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67020D" w14:textId="77777777" w:rsidR="00732E6C" w:rsidRPr="00F027DD" w:rsidRDefault="00732E6C">
      <w:pPr>
        <w:jc w:val="center"/>
        <w:rPr>
          <w:rFonts w:cs="Arial"/>
          <w:b/>
          <w:sz w:val="48"/>
          <w:lang w:val="en-GB"/>
        </w:rPr>
      </w:pPr>
    </w:p>
    <w:p w14:paraId="3AC6A7FB" w14:textId="77777777" w:rsidR="00732E6C" w:rsidRPr="00F027DD" w:rsidRDefault="00F027DD">
      <w:pPr>
        <w:jc w:val="center"/>
        <w:rPr>
          <w:rFonts w:cs="Arial"/>
          <w:b/>
          <w:sz w:val="48"/>
          <w:lang w:val="en-GB"/>
        </w:rPr>
      </w:pPr>
      <w:r w:rsidRPr="00F027DD">
        <w:rPr>
          <w:rFonts w:cs="Arial"/>
          <w:b/>
          <w:noProof/>
          <w:sz w:val="48"/>
        </w:rPr>
        <w:drawing>
          <wp:inline distT="0" distB="0" distL="0" distR="0" wp14:anchorId="3E50A974" wp14:editId="3781A986">
            <wp:extent cx="1980000" cy="824400"/>
            <wp:effectExtent l="0" t="0" r="127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80000" cy="824400"/>
                    </a:xfrm>
                    <a:prstGeom prst="rect">
                      <a:avLst/>
                    </a:prstGeom>
                    <a:noFill/>
                  </pic:spPr>
                </pic:pic>
              </a:graphicData>
            </a:graphic>
          </wp:inline>
        </w:drawing>
      </w:r>
    </w:p>
    <w:p w14:paraId="72271A61" w14:textId="77777777" w:rsidR="00732E6C" w:rsidRPr="00F027DD" w:rsidRDefault="00DF099F">
      <w:pPr>
        <w:jc w:val="center"/>
        <w:rPr>
          <w:rFonts w:cs="Arial"/>
          <w:b/>
          <w:sz w:val="44"/>
          <w:szCs w:val="44"/>
          <w:lang w:val="en-GB"/>
        </w:rPr>
      </w:pPr>
      <w:r w:rsidRPr="00F027DD">
        <w:rPr>
          <w:rFonts w:cs="Arial"/>
          <w:b/>
          <w:sz w:val="36"/>
          <w:shd w:val="clear" w:color="FFFFFF" w:fill="FFFFFF"/>
          <w:lang w:val="en-GB"/>
        </w:rPr>
        <w:t>National Tobacco Control Program (NTCP) on Reducing Coronary Heart Disease Risk among Young Adults in Urban India</w:t>
      </w:r>
    </w:p>
    <w:p w14:paraId="612BDF0B" w14:textId="77777777" w:rsidR="00732E6C" w:rsidRPr="00F027DD" w:rsidRDefault="00F027DD" w:rsidP="00F027DD">
      <w:pPr>
        <w:jc w:val="center"/>
        <w:rPr>
          <w:rFonts w:cs="Arial"/>
          <w:lang w:val="en-GB"/>
        </w:rPr>
      </w:pPr>
      <w:bookmarkStart w:id="0" w:name="_Toc35792665"/>
      <w:r w:rsidRPr="00F027DD">
        <w:rPr>
          <w:rFonts w:cs="Arial"/>
          <w:lang w:val="en-GB"/>
        </w:rPr>
        <w:t>by</w:t>
      </w:r>
    </w:p>
    <w:p w14:paraId="6B1880BC" w14:textId="77777777" w:rsidR="00732E6C" w:rsidRPr="00F027DD" w:rsidRDefault="00DF099F" w:rsidP="00F027DD">
      <w:pPr>
        <w:spacing w:after="200" w:line="276" w:lineRule="auto"/>
        <w:jc w:val="center"/>
        <w:rPr>
          <w:rFonts w:cs="Arial"/>
          <w:sz w:val="24"/>
          <w:szCs w:val="36"/>
          <w:lang w:val="en-GB"/>
        </w:rPr>
      </w:pPr>
      <w:r w:rsidRPr="00F027DD">
        <w:rPr>
          <w:rFonts w:cs="Arial"/>
          <w:sz w:val="24"/>
          <w:szCs w:val="36"/>
          <w:lang w:val="en-GB"/>
        </w:rPr>
        <w:t>KRUNALKUMAR BIPINBHAI PATEL</w:t>
      </w:r>
    </w:p>
    <w:p w14:paraId="260FA109" w14:textId="77777777" w:rsidR="00F027DD" w:rsidRPr="00F027DD" w:rsidRDefault="00DF099F" w:rsidP="00F027DD">
      <w:pPr>
        <w:spacing w:after="200" w:line="276" w:lineRule="auto"/>
        <w:jc w:val="center"/>
        <w:rPr>
          <w:rFonts w:cs="Arial"/>
          <w:szCs w:val="36"/>
          <w:lang w:val="en-GB"/>
        </w:rPr>
      </w:pPr>
      <w:r w:rsidRPr="00F027DD">
        <w:rPr>
          <w:rFonts w:cs="Arial"/>
          <w:sz w:val="24"/>
          <w:szCs w:val="36"/>
          <w:lang w:val="en-GB"/>
        </w:rPr>
        <w:t>(2427679)</w:t>
      </w:r>
    </w:p>
    <w:p w14:paraId="40A1B01C" w14:textId="77777777" w:rsidR="00F027DD" w:rsidRPr="00F027DD" w:rsidRDefault="00F027DD" w:rsidP="00F027DD">
      <w:pPr>
        <w:spacing w:after="156"/>
        <w:ind w:left="59"/>
        <w:jc w:val="center"/>
        <w:rPr>
          <w:rFonts w:cs="Arial"/>
          <w:sz w:val="24"/>
          <w:szCs w:val="24"/>
        </w:rPr>
      </w:pPr>
      <w:r w:rsidRPr="00F027DD">
        <w:rPr>
          <w:rFonts w:cs="Arial"/>
          <w:sz w:val="24"/>
          <w:szCs w:val="24"/>
        </w:rPr>
        <w:t>A Dissertation submitted in partial fulfilment of the requirements for the degree of Masters of Science in Public Health and Social Care in Practice</w:t>
      </w:r>
    </w:p>
    <w:p w14:paraId="15EDF3D9" w14:textId="77777777" w:rsidR="00F027DD" w:rsidRPr="00F027DD" w:rsidRDefault="00F027DD" w:rsidP="00F027DD">
      <w:pPr>
        <w:spacing w:after="156"/>
        <w:ind w:left="59"/>
        <w:rPr>
          <w:rFonts w:cs="Arial"/>
        </w:rPr>
      </w:pPr>
    </w:p>
    <w:p w14:paraId="64B07EDB" w14:textId="77777777" w:rsidR="00F027DD" w:rsidRPr="00F027DD" w:rsidRDefault="00F027DD" w:rsidP="00F027DD">
      <w:pPr>
        <w:spacing w:after="169"/>
        <w:jc w:val="center"/>
        <w:rPr>
          <w:rFonts w:cs="Arial"/>
          <w:b/>
          <w:bCs/>
        </w:rPr>
      </w:pPr>
    </w:p>
    <w:p w14:paraId="61FF8C25" w14:textId="77777777" w:rsidR="00F027DD" w:rsidRPr="00F027DD" w:rsidRDefault="00F027DD" w:rsidP="00F027DD">
      <w:pPr>
        <w:spacing w:after="169"/>
        <w:jc w:val="center"/>
        <w:rPr>
          <w:rFonts w:cs="Arial"/>
          <w:b/>
          <w:bCs/>
        </w:rPr>
      </w:pPr>
    </w:p>
    <w:p w14:paraId="23B0598F" w14:textId="77777777" w:rsidR="00F027DD" w:rsidRPr="00F027DD" w:rsidRDefault="00F027DD" w:rsidP="00F027DD">
      <w:pPr>
        <w:spacing w:after="169"/>
        <w:jc w:val="center"/>
        <w:rPr>
          <w:rFonts w:cs="Arial"/>
          <w:b/>
          <w:bCs/>
          <w:sz w:val="24"/>
          <w:szCs w:val="24"/>
        </w:rPr>
      </w:pPr>
      <w:r w:rsidRPr="00F027DD">
        <w:rPr>
          <w:rFonts w:cs="Arial"/>
          <w:b/>
          <w:bCs/>
          <w:sz w:val="24"/>
          <w:szCs w:val="24"/>
        </w:rPr>
        <w:t>The Institute of Inner-City Learning</w:t>
      </w:r>
    </w:p>
    <w:p w14:paraId="3F688EED" w14:textId="77777777" w:rsidR="00F027DD" w:rsidRPr="00F027DD" w:rsidRDefault="00F027DD" w:rsidP="00F027DD">
      <w:pPr>
        <w:spacing w:after="169"/>
        <w:jc w:val="center"/>
        <w:rPr>
          <w:rFonts w:cs="Arial"/>
          <w:b/>
          <w:bCs/>
          <w:sz w:val="24"/>
          <w:szCs w:val="24"/>
        </w:rPr>
      </w:pPr>
      <w:r w:rsidRPr="00F027DD">
        <w:rPr>
          <w:rFonts w:cs="Arial"/>
          <w:b/>
          <w:bCs/>
          <w:sz w:val="24"/>
          <w:szCs w:val="24"/>
        </w:rPr>
        <w:t>University of Wales Trinity Saint David – London Campus</w:t>
      </w:r>
    </w:p>
    <w:p w14:paraId="293FFAFB" w14:textId="77777777" w:rsidR="00F027DD" w:rsidRPr="00F027DD" w:rsidRDefault="00F027DD" w:rsidP="00F027DD">
      <w:pPr>
        <w:spacing w:after="157"/>
        <w:ind w:left="2367" w:right="2357"/>
        <w:jc w:val="center"/>
        <w:rPr>
          <w:rFonts w:cs="Arial"/>
          <w:b/>
          <w:bCs/>
          <w:sz w:val="24"/>
          <w:szCs w:val="24"/>
        </w:rPr>
      </w:pPr>
    </w:p>
    <w:p w14:paraId="168C43B5" w14:textId="77777777" w:rsidR="00F027DD" w:rsidRPr="00F027DD" w:rsidRDefault="00F027DD" w:rsidP="00F027DD">
      <w:pPr>
        <w:spacing w:after="157"/>
        <w:ind w:left="2367" w:right="2357"/>
        <w:jc w:val="center"/>
        <w:rPr>
          <w:rFonts w:cs="Arial"/>
          <w:b/>
          <w:bCs/>
          <w:sz w:val="24"/>
          <w:szCs w:val="24"/>
        </w:rPr>
      </w:pPr>
    </w:p>
    <w:p w14:paraId="03E48A49" w14:textId="77777777" w:rsidR="00562501" w:rsidRDefault="00F027DD" w:rsidP="00F027DD">
      <w:pPr>
        <w:spacing w:after="157"/>
        <w:ind w:left="2367" w:right="2357"/>
        <w:jc w:val="center"/>
        <w:rPr>
          <w:rFonts w:cs="Arial"/>
          <w:b/>
          <w:bCs/>
          <w:sz w:val="24"/>
          <w:szCs w:val="24"/>
        </w:rPr>
      </w:pPr>
      <w:r w:rsidRPr="00F027DD">
        <w:rPr>
          <w:rFonts w:cs="Arial"/>
          <w:b/>
          <w:bCs/>
          <w:sz w:val="24"/>
          <w:szCs w:val="24"/>
        </w:rPr>
        <w:t>[Month Year]</w:t>
      </w:r>
    </w:p>
    <w:p w14:paraId="3319DBA3" w14:textId="77777777" w:rsidR="00562501" w:rsidRDefault="00562501">
      <w:pPr>
        <w:spacing w:after="200" w:line="276" w:lineRule="auto"/>
        <w:jc w:val="left"/>
        <w:rPr>
          <w:rFonts w:cs="Arial"/>
          <w:b/>
          <w:bCs/>
          <w:sz w:val="24"/>
          <w:szCs w:val="24"/>
        </w:rPr>
      </w:pPr>
      <w:r>
        <w:rPr>
          <w:rFonts w:cs="Arial"/>
          <w:b/>
          <w:bCs/>
          <w:sz w:val="24"/>
          <w:szCs w:val="24"/>
        </w:rPr>
        <w:br w:type="page"/>
      </w:r>
    </w:p>
    <w:p w14:paraId="1E0E2609" w14:textId="041590DE" w:rsidR="00F027DD" w:rsidRPr="0017115B" w:rsidRDefault="00562501" w:rsidP="00650546">
      <w:pPr>
        <w:spacing w:after="157"/>
        <w:ind w:left="2367" w:right="2357"/>
        <w:jc w:val="center"/>
        <w:rPr>
          <w:rFonts w:cs="Arial"/>
          <w:b/>
          <w:bCs/>
          <w:sz w:val="24"/>
          <w:szCs w:val="24"/>
        </w:rPr>
      </w:pPr>
      <w:r w:rsidRPr="0017115B">
        <w:rPr>
          <w:rFonts w:cs="Arial"/>
          <w:b/>
          <w:bCs/>
          <w:sz w:val="24"/>
          <w:szCs w:val="24"/>
        </w:rPr>
        <w:lastRenderedPageBreak/>
        <w:t>DECLARATIO</w:t>
      </w:r>
      <w:r w:rsidR="00650546" w:rsidRPr="0017115B">
        <w:rPr>
          <w:rFonts w:cs="Arial"/>
          <w:b/>
          <w:bCs/>
          <w:sz w:val="24"/>
          <w:szCs w:val="24"/>
        </w:rPr>
        <w:t>N</w:t>
      </w:r>
    </w:p>
    <w:p w14:paraId="4A63353E" w14:textId="10EF63D7" w:rsidR="00650546" w:rsidRPr="0017115B" w:rsidRDefault="00650546" w:rsidP="00650546">
      <w:pPr>
        <w:rPr>
          <w:rFonts w:cs="Arial"/>
        </w:rPr>
      </w:pPr>
      <w:r w:rsidRPr="0017115B">
        <w:rPr>
          <w:rFonts w:cs="Arial"/>
        </w:rPr>
        <w:t>I, ________________, declare that this dissertation has been composed and completed by myself and the work that is included in the study is entirely my own where explicitly stated otherwise in the text, and that this work is not submitted for any other qualification or degree, in part or in whole, except as specified.</w:t>
      </w:r>
    </w:p>
    <w:p w14:paraId="3DE934AE" w14:textId="77777777" w:rsidR="00650546" w:rsidRPr="0017115B" w:rsidRDefault="00650546" w:rsidP="00650546">
      <w:pPr>
        <w:rPr>
          <w:rFonts w:cs="Arial"/>
        </w:rPr>
      </w:pPr>
    </w:p>
    <w:p w14:paraId="259B8D6B" w14:textId="2612E508" w:rsidR="00650546" w:rsidRPr="0017115B" w:rsidRDefault="00650546" w:rsidP="00650546">
      <w:pPr>
        <w:rPr>
          <w:rFonts w:cs="Arial"/>
        </w:rPr>
      </w:pPr>
      <w:r w:rsidRPr="0017115B">
        <w:rPr>
          <w:rFonts w:cs="Arial"/>
        </w:rPr>
        <w:t>Signed: ____________________</w:t>
      </w:r>
    </w:p>
    <w:p w14:paraId="3696C9B5" w14:textId="77777777" w:rsidR="00650546" w:rsidRPr="0017115B" w:rsidRDefault="00650546" w:rsidP="00650546">
      <w:pPr>
        <w:rPr>
          <w:rFonts w:cs="Arial"/>
        </w:rPr>
      </w:pPr>
    </w:p>
    <w:p w14:paraId="51C4FE11" w14:textId="74732263" w:rsidR="004821D3" w:rsidRPr="0017115B" w:rsidRDefault="00650546" w:rsidP="00650546">
      <w:pPr>
        <w:rPr>
          <w:rFonts w:cs="Arial"/>
        </w:rPr>
      </w:pPr>
      <w:r w:rsidRPr="0017115B">
        <w:rPr>
          <w:rFonts w:cs="Arial"/>
        </w:rPr>
        <w:t>Dated: _____________________</w:t>
      </w:r>
    </w:p>
    <w:p w14:paraId="7FFB1BC8" w14:textId="77777777" w:rsidR="004821D3" w:rsidRPr="0017115B" w:rsidRDefault="004821D3">
      <w:pPr>
        <w:spacing w:after="200" w:line="276" w:lineRule="auto"/>
        <w:jc w:val="left"/>
        <w:rPr>
          <w:rFonts w:cs="Arial"/>
          <w:sz w:val="24"/>
        </w:rPr>
      </w:pPr>
      <w:r w:rsidRPr="0017115B">
        <w:rPr>
          <w:rFonts w:cs="Arial"/>
          <w:sz w:val="24"/>
        </w:rPr>
        <w:br w:type="page"/>
      </w:r>
    </w:p>
    <w:p w14:paraId="72BDBFC7" w14:textId="43F9867F" w:rsidR="00650546" w:rsidRPr="0017115B" w:rsidRDefault="004821D3" w:rsidP="004821D3">
      <w:pPr>
        <w:jc w:val="center"/>
        <w:rPr>
          <w:rFonts w:cs="Arial"/>
          <w:b/>
          <w:sz w:val="28"/>
        </w:rPr>
      </w:pPr>
      <w:r w:rsidRPr="0017115B">
        <w:rPr>
          <w:rFonts w:cs="Arial"/>
          <w:b/>
          <w:sz w:val="28"/>
        </w:rPr>
        <w:lastRenderedPageBreak/>
        <w:t>Acknowledgements</w:t>
      </w:r>
    </w:p>
    <w:p w14:paraId="56A98975" w14:textId="0B3EF673" w:rsidR="004821D3" w:rsidRPr="0017115B" w:rsidRDefault="004821D3" w:rsidP="004821D3">
      <w:pPr>
        <w:rPr>
          <w:rFonts w:cs="Arial"/>
        </w:rPr>
      </w:pPr>
      <w:r w:rsidRPr="0017115B">
        <w:rPr>
          <w:rFonts w:cs="Arial"/>
        </w:rPr>
        <w:t xml:space="preserve">I would like to express my sincere gratitude to my supervisor for their valuable guidance, continuous encouragement, and constructive feedback during the course of this study. </w:t>
      </w:r>
      <w:r w:rsidR="005421ED" w:rsidRPr="0017115B">
        <w:rPr>
          <w:rFonts w:cs="Arial"/>
        </w:rPr>
        <w:t xml:space="preserve">Their support and academic insight were highly instrumental which helped me in shaping the depth, quality, and direction of this dissertation. </w:t>
      </w:r>
    </w:p>
    <w:p w14:paraId="256AE1E9" w14:textId="562D7FD2" w:rsidR="00F4318D" w:rsidRPr="0017115B" w:rsidRDefault="00F4318D" w:rsidP="004821D3">
      <w:pPr>
        <w:rPr>
          <w:rFonts w:cs="Arial"/>
        </w:rPr>
      </w:pPr>
      <w:r w:rsidRPr="0017115B">
        <w:rPr>
          <w:rFonts w:cs="Arial"/>
        </w:rPr>
        <w:t xml:space="preserve">I am also very grateful to academic staff and faculty members of my department for offer me a supportive learning environment and for sharing knowledge that effectively contributed to my understanding to public health policy analysis and research. </w:t>
      </w:r>
    </w:p>
    <w:p w14:paraId="0A5FB71A" w14:textId="71524F82" w:rsidR="002B6E0B" w:rsidRPr="0017115B" w:rsidRDefault="00607050" w:rsidP="004821D3">
      <w:pPr>
        <w:rPr>
          <w:rFonts w:cs="Arial"/>
        </w:rPr>
      </w:pPr>
      <w:r w:rsidRPr="0017115B">
        <w:rPr>
          <w:rFonts w:cs="Arial"/>
        </w:rPr>
        <w:t xml:space="preserve">I would also like to acknowledge researchers and authors whose work helped me to form the foundation of this study. Finally, I would also like to extent my heartfelt thanks to my family and friends for this constant patience, motivation, and emotional support throughout the writing process and research. </w:t>
      </w:r>
      <w:r w:rsidR="00660CA1" w:rsidRPr="0017115B">
        <w:rPr>
          <w:rFonts w:cs="Arial"/>
        </w:rPr>
        <w:t>Their support and encouragement helped me to remain resilient and focused during the completion of this dissertation.</w:t>
      </w:r>
    </w:p>
    <w:p w14:paraId="7DC1274F" w14:textId="77777777" w:rsidR="002B6E0B" w:rsidRPr="0017115B" w:rsidRDefault="002B6E0B">
      <w:pPr>
        <w:spacing w:after="200" w:line="276" w:lineRule="auto"/>
        <w:jc w:val="left"/>
        <w:rPr>
          <w:rFonts w:cs="Arial"/>
        </w:rPr>
      </w:pPr>
      <w:r w:rsidRPr="0017115B">
        <w:rPr>
          <w:rFonts w:cs="Arial"/>
        </w:rPr>
        <w:br w:type="page"/>
      </w:r>
    </w:p>
    <w:p w14:paraId="238646AE" w14:textId="32F583DF" w:rsidR="00607050" w:rsidRPr="0017115B" w:rsidRDefault="002B6E0B" w:rsidP="002B6E0B">
      <w:pPr>
        <w:jc w:val="center"/>
        <w:rPr>
          <w:rFonts w:cs="Arial"/>
          <w:sz w:val="24"/>
        </w:rPr>
      </w:pPr>
      <w:r w:rsidRPr="0017115B">
        <w:rPr>
          <w:rFonts w:cs="Arial"/>
          <w:b/>
          <w:sz w:val="28"/>
        </w:rPr>
        <w:lastRenderedPageBreak/>
        <w:t>Abstract</w:t>
      </w:r>
    </w:p>
    <w:p w14:paraId="0FD0DC4E" w14:textId="38B204C6" w:rsidR="002B6E0B" w:rsidRPr="00A32DFD" w:rsidRDefault="00040B13" w:rsidP="004821D3">
      <w:pPr>
        <w:rPr>
          <w:rFonts w:cs="Arial"/>
        </w:rPr>
      </w:pPr>
      <w:r w:rsidRPr="00A32DFD">
        <w:rPr>
          <w:rFonts w:cs="Arial"/>
        </w:rPr>
        <w:t xml:space="preserve">Tobacco use still remains one of the major public health challenges in India and also represents a huge modifiable risk factor for CHD (coronary heart disease), especially among young adults in urban settings. </w:t>
      </w:r>
      <w:r w:rsidR="007D526B" w:rsidRPr="00A32DFD">
        <w:rPr>
          <w:rFonts w:cs="Arial"/>
        </w:rPr>
        <w:t>However, despite the implementation of NTCP (National Tobacco Control Prog</w:t>
      </w:r>
      <w:r w:rsidR="007367AE" w:rsidRPr="00A32DFD">
        <w:rPr>
          <w:rFonts w:cs="Arial"/>
        </w:rPr>
        <w:t>r</w:t>
      </w:r>
      <w:r w:rsidR="007D526B" w:rsidRPr="00A32DFD">
        <w:rPr>
          <w:rFonts w:cs="Arial"/>
        </w:rPr>
        <w:t xml:space="preserve">amme), tobacco consumption among young Indian urban adults continues to persist thus, raising concerns about the effectiveness of the programme in reducing cardiovascular risks. </w:t>
      </w:r>
    </w:p>
    <w:p w14:paraId="4EBA9B61" w14:textId="76521C50" w:rsidR="001969DB" w:rsidRPr="00A32DFD" w:rsidRDefault="001969DB" w:rsidP="004821D3">
      <w:pPr>
        <w:rPr>
          <w:rFonts w:cs="Arial"/>
        </w:rPr>
      </w:pPr>
      <w:r w:rsidRPr="00A32DFD">
        <w:rPr>
          <w:rFonts w:cs="Arial"/>
        </w:rPr>
        <w:t xml:space="preserve">The primary research problem that has been addressed in the study is whether the NTCP has been effective in the process of reduction of tobacco use as well as associated CHD risks among young urban Indian adults. In addition to that, the primary objective of the study is to effectively evaluate the effectiveness of NTCP in addressing tobacco use and reducing early CHD risk factors among young urban adults in India. </w:t>
      </w:r>
      <w:r w:rsidR="00B22504" w:rsidRPr="00A32DFD">
        <w:rPr>
          <w:rFonts w:cs="Arial"/>
        </w:rPr>
        <w:t xml:space="preserve">Moreover, the specific objectives of the study are to examine the key determinants of NTCP intervention, to analyse the extent to which these interventions has influenced tobacco-related CHD risk factors, and to identify major barriers as well as enablers affecting NTCP implementation process in urban settings. </w:t>
      </w:r>
    </w:p>
    <w:p w14:paraId="2CBBD310" w14:textId="65205C64" w:rsidR="00552F9C" w:rsidRPr="00A32DFD" w:rsidRDefault="00552F9C" w:rsidP="004821D3">
      <w:pPr>
        <w:rPr>
          <w:rFonts w:cs="Arial"/>
        </w:rPr>
      </w:pPr>
      <w:r w:rsidRPr="00A32DFD">
        <w:rPr>
          <w:rFonts w:cs="Arial"/>
        </w:rPr>
        <w:t xml:space="preserve">The present study adopted SLR (systematic literature review) design which has been guided by the PRISMA framework. Peer-reviewed studies were identified, screened by using predefined exclusion and inclusion criteria, and critically appraised from methodological quality. </w:t>
      </w:r>
      <w:r w:rsidR="0083027C" w:rsidRPr="00A32DFD">
        <w:rPr>
          <w:rFonts w:cs="Arial"/>
        </w:rPr>
        <w:t>In addition to that, studies selected were analysed by using thematic synthesis to integrate evidence on tobacco use patterns, implementation challenges, NTCP settings, and cardiovascular risk outcomes.</w:t>
      </w:r>
    </w:p>
    <w:p w14:paraId="12200D08" w14:textId="070D2658" w:rsidR="000F4F25" w:rsidRPr="00A32DFD" w:rsidRDefault="000F4F25" w:rsidP="004821D3">
      <w:pPr>
        <w:rPr>
          <w:rFonts w:cs="Arial"/>
        </w:rPr>
      </w:pPr>
      <w:r w:rsidRPr="00A32DFD">
        <w:rPr>
          <w:rFonts w:cs="Arial"/>
        </w:rPr>
        <w:t xml:space="preserve">The findings of the study also indicated that tobacco use among young urban adults remains highly prevalent and is also strongly influenced by stress, peer pressure, evolving marketing strategies, and accessibility of tobacco use. </w:t>
      </w:r>
      <w:r w:rsidR="00CC7E3E" w:rsidRPr="00A32DFD">
        <w:rPr>
          <w:rFonts w:cs="Arial"/>
        </w:rPr>
        <w:t xml:space="preserve">It was also found that NTCP has positively contributed towards the increase awareness, enhanced cessation support, and improved smoke-free compliance. </w:t>
      </w:r>
      <w:r w:rsidR="00724F94" w:rsidRPr="00A32DFD">
        <w:rPr>
          <w:rFonts w:cs="Arial"/>
        </w:rPr>
        <w:t>However, it was also found that, its effectiveness in achieving meaningful reduction in early CHD risk and sustained behaviour change was limited.</w:t>
      </w:r>
    </w:p>
    <w:p w14:paraId="746CC016" w14:textId="2B2D583B" w:rsidR="00AE54C6" w:rsidRPr="00A32DFD" w:rsidRDefault="00AE54C6" w:rsidP="004821D3">
      <w:pPr>
        <w:rPr>
          <w:rFonts w:cs="Arial"/>
        </w:rPr>
      </w:pPr>
      <w:r w:rsidRPr="00A32DFD">
        <w:rPr>
          <w:rFonts w:cs="Arial"/>
        </w:rPr>
        <w:t xml:space="preserve">In conclusion, the NTCP offered an essential foundation for tobacco control within India, however, its impact on the reduction of tobacco-related CHD risk among young Indian adults remains partial. </w:t>
      </w:r>
      <w:r w:rsidR="00256A6D" w:rsidRPr="00A32DFD">
        <w:rPr>
          <w:rFonts w:cs="Arial"/>
        </w:rPr>
        <w:t xml:space="preserve">Integrating cardiovascular-specific indicators into programme evaluation, strengthening youth-centered strategies, and enhancing enforcement mechanisms can prove vital for improving effectiveness. </w:t>
      </w:r>
      <w:r w:rsidR="00612C05" w:rsidRPr="00A32DFD">
        <w:rPr>
          <w:rFonts w:cs="Arial"/>
        </w:rPr>
        <w:t>In addition to that, future research</w:t>
      </w:r>
      <w:r w:rsidR="00090A31">
        <w:rPr>
          <w:rFonts w:cs="Arial"/>
        </w:rPr>
        <w:t xml:space="preserve"> </w:t>
      </w:r>
      <w:r w:rsidR="00612C05" w:rsidRPr="00A32DFD">
        <w:rPr>
          <w:rFonts w:cs="Arial"/>
        </w:rPr>
        <w:t>need</w:t>
      </w:r>
      <w:r w:rsidR="0011189B">
        <w:rPr>
          <w:rFonts w:cs="Arial"/>
        </w:rPr>
        <w:t>s</w:t>
      </w:r>
      <w:r w:rsidR="00612C05" w:rsidRPr="00A32DFD">
        <w:rPr>
          <w:rFonts w:cs="Arial"/>
        </w:rPr>
        <w:t xml:space="preserve"> to prioritise cardiovascular and longitudinal-focused evaluation to strengthen the policy-relevant evidence. </w:t>
      </w:r>
    </w:p>
    <w:p w14:paraId="1FD5F25A" w14:textId="77777777" w:rsidR="00732E6C" w:rsidRPr="00F027DD" w:rsidRDefault="00DF099F" w:rsidP="00F027DD">
      <w:pPr>
        <w:spacing w:after="200" w:line="276" w:lineRule="auto"/>
        <w:jc w:val="center"/>
        <w:rPr>
          <w:rFonts w:eastAsia="SimSun" w:cs="Arial"/>
          <w:b/>
          <w:bCs/>
          <w:color w:val="000000"/>
          <w:sz w:val="36"/>
          <w:szCs w:val="36"/>
          <w:lang w:val="en-GB"/>
        </w:rPr>
      </w:pPr>
      <w:r w:rsidRPr="00F027DD">
        <w:rPr>
          <w:rFonts w:cs="Arial"/>
          <w:sz w:val="36"/>
          <w:szCs w:val="36"/>
          <w:lang w:val="en-GB"/>
        </w:rPr>
        <w:br w:type="page"/>
      </w:r>
    </w:p>
    <w:p w14:paraId="6DBF1A52" w14:textId="77777777" w:rsidR="00732E6C" w:rsidRPr="00F027DD" w:rsidRDefault="00DF099F">
      <w:pPr>
        <w:pStyle w:val="TOCHeading"/>
        <w:jc w:val="center"/>
        <w:rPr>
          <w:rFonts w:ascii="Arial" w:hAnsi="Arial" w:cs="Arial"/>
          <w:color w:val="auto"/>
          <w:lang w:val="en-GB"/>
        </w:rPr>
      </w:pPr>
      <w:bookmarkStart w:id="1" w:name="_Toc111565362"/>
      <w:r w:rsidRPr="00F027DD">
        <w:rPr>
          <w:rFonts w:ascii="Arial" w:hAnsi="Arial" w:cs="Arial"/>
          <w:color w:val="auto"/>
          <w:lang w:val="en-GB"/>
        </w:rPr>
        <w:lastRenderedPageBreak/>
        <w:t>Table of Contents</w:t>
      </w:r>
    </w:p>
    <w:bookmarkStart w:id="2" w:name="_GoBack"/>
    <w:bookmarkEnd w:id="2"/>
    <w:p w14:paraId="769F5A00" w14:textId="77777777" w:rsidR="000C1B1B" w:rsidRDefault="00BE711B">
      <w:pPr>
        <w:pStyle w:val="TOC1"/>
        <w:tabs>
          <w:tab w:val="right" w:leader="dot" w:pos="9350"/>
        </w:tabs>
        <w:rPr>
          <w:rFonts w:asciiTheme="minorHAnsi" w:eastAsiaTheme="minorEastAsia" w:hAnsiTheme="minorHAnsi" w:cstheme="minorBidi"/>
          <w:noProof/>
          <w:shd w:val="clear" w:color="auto" w:fill="auto"/>
        </w:rPr>
      </w:pPr>
      <w:r w:rsidRPr="00F027DD">
        <w:rPr>
          <w:rFonts w:cs="Arial"/>
          <w:lang w:val="en-GB"/>
        </w:rPr>
        <w:fldChar w:fldCharType="begin"/>
      </w:r>
      <w:r w:rsidR="00DF099F" w:rsidRPr="00F027DD">
        <w:rPr>
          <w:rFonts w:cs="Arial"/>
          <w:lang w:val="en-GB"/>
        </w:rPr>
        <w:instrText xml:space="preserve"> TOC \o "1-3" \h \z \u </w:instrText>
      </w:r>
      <w:r w:rsidRPr="00F027DD">
        <w:rPr>
          <w:rFonts w:cs="Arial"/>
          <w:lang w:val="en-GB"/>
        </w:rPr>
        <w:fldChar w:fldCharType="separate"/>
      </w:r>
      <w:hyperlink w:anchor="_Toc220668518" w:history="1">
        <w:r w:rsidR="000C1B1B" w:rsidRPr="00AD5C4A">
          <w:rPr>
            <w:rStyle w:val="Hyperlink"/>
            <w:rFonts w:cs="Arial"/>
            <w:noProof/>
            <w:lang w:val="en-GB"/>
          </w:rPr>
          <w:t>Chapter 1: Introduction</w:t>
        </w:r>
        <w:r w:rsidR="000C1B1B">
          <w:rPr>
            <w:noProof/>
            <w:webHidden/>
          </w:rPr>
          <w:tab/>
        </w:r>
        <w:r w:rsidR="000C1B1B">
          <w:rPr>
            <w:noProof/>
            <w:webHidden/>
          </w:rPr>
          <w:fldChar w:fldCharType="begin"/>
        </w:r>
        <w:r w:rsidR="000C1B1B">
          <w:rPr>
            <w:noProof/>
            <w:webHidden/>
          </w:rPr>
          <w:instrText xml:space="preserve"> PAGEREF _Toc220668518 \h </w:instrText>
        </w:r>
        <w:r w:rsidR="000C1B1B">
          <w:rPr>
            <w:noProof/>
            <w:webHidden/>
          </w:rPr>
        </w:r>
        <w:r w:rsidR="000C1B1B">
          <w:rPr>
            <w:noProof/>
            <w:webHidden/>
          </w:rPr>
          <w:fldChar w:fldCharType="separate"/>
        </w:r>
        <w:r w:rsidR="000C1B1B">
          <w:rPr>
            <w:noProof/>
            <w:webHidden/>
          </w:rPr>
          <w:t>8</w:t>
        </w:r>
        <w:r w:rsidR="000C1B1B">
          <w:rPr>
            <w:noProof/>
            <w:webHidden/>
          </w:rPr>
          <w:fldChar w:fldCharType="end"/>
        </w:r>
      </w:hyperlink>
    </w:p>
    <w:p w14:paraId="5A4CA46A" w14:textId="77777777" w:rsidR="000C1B1B" w:rsidRDefault="000C1B1B">
      <w:pPr>
        <w:pStyle w:val="TOC2"/>
        <w:tabs>
          <w:tab w:val="left" w:pos="880"/>
          <w:tab w:val="right" w:leader="dot" w:pos="9350"/>
        </w:tabs>
        <w:rPr>
          <w:rFonts w:asciiTheme="minorHAnsi" w:eastAsiaTheme="minorEastAsia" w:hAnsiTheme="minorHAnsi" w:cstheme="minorBidi"/>
          <w:noProof/>
          <w:shd w:val="clear" w:color="auto" w:fill="auto"/>
        </w:rPr>
      </w:pPr>
      <w:hyperlink w:anchor="_Toc220668519" w:history="1">
        <w:r w:rsidRPr="00AD5C4A">
          <w:rPr>
            <w:rStyle w:val="Hyperlink"/>
            <w:rFonts w:cs="Arial"/>
            <w:noProof/>
            <w:lang w:val="en-GB"/>
          </w:rPr>
          <w:t>1.1</w:t>
        </w:r>
        <w:r>
          <w:rPr>
            <w:rFonts w:asciiTheme="minorHAnsi" w:eastAsiaTheme="minorEastAsia" w:hAnsiTheme="minorHAnsi" w:cstheme="minorBidi"/>
            <w:noProof/>
            <w:shd w:val="clear" w:color="auto" w:fill="auto"/>
          </w:rPr>
          <w:tab/>
        </w:r>
        <w:r w:rsidRPr="00AD5C4A">
          <w:rPr>
            <w:rStyle w:val="Hyperlink"/>
            <w:rFonts w:cs="Arial"/>
            <w:noProof/>
            <w:lang w:val="en-GB"/>
          </w:rPr>
          <w:t>Background</w:t>
        </w:r>
        <w:r>
          <w:rPr>
            <w:noProof/>
            <w:webHidden/>
          </w:rPr>
          <w:tab/>
        </w:r>
        <w:r>
          <w:rPr>
            <w:noProof/>
            <w:webHidden/>
          </w:rPr>
          <w:fldChar w:fldCharType="begin"/>
        </w:r>
        <w:r>
          <w:rPr>
            <w:noProof/>
            <w:webHidden/>
          </w:rPr>
          <w:instrText xml:space="preserve"> PAGEREF _Toc220668519 \h </w:instrText>
        </w:r>
        <w:r>
          <w:rPr>
            <w:noProof/>
            <w:webHidden/>
          </w:rPr>
        </w:r>
        <w:r>
          <w:rPr>
            <w:noProof/>
            <w:webHidden/>
          </w:rPr>
          <w:fldChar w:fldCharType="separate"/>
        </w:r>
        <w:r>
          <w:rPr>
            <w:noProof/>
            <w:webHidden/>
          </w:rPr>
          <w:t>8</w:t>
        </w:r>
        <w:r>
          <w:rPr>
            <w:noProof/>
            <w:webHidden/>
          </w:rPr>
          <w:fldChar w:fldCharType="end"/>
        </w:r>
      </w:hyperlink>
    </w:p>
    <w:p w14:paraId="494C5E6F" w14:textId="77777777" w:rsidR="000C1B1B" w:rsidRDefault="000C1B1B">
      <w:pPr>
        <w:pStyle w:val="TOC2"/>
        <w:tabs>
          <w:tab w:val="right" w:leader="dot" w:pos="9350"/>
        </w:tabs>
        <w:rPr>
          <w:rFonts w:asciiTheme="minorHAnsi" w:eastAsiaTheme="minorEastAsia" w:hAnsiTheme="minorHAnsi" w:cstheme="minorBidi"/>
          <w:noProof/>
          <w:shd w:val="clear" w:color="auto" w:fill="auto"/>
        </w:rPr>
      </w:pPr>
      <w:hyperlink w:anchor="_Toc220668520" w:history="1">
        <w:r w:rsidRPr="00AD5C4A">
          <w:rPr>
            <w:rStyle w:val="Hyperlink"/>
            <w:rFonts w:cs="Arial"/>
            <w:noProof/>
            <w:lang w:val="en-GB"/>
          </w:rPr>
          <w:t>1.2 Aim</w:t>
        </w:r>
        <w:r>
          <w:rPr>
            <w:noProof/>
            <w:webHidden/>
          </w:rPr>
          <w:tab/>
        </w:r>
        <w:r>
          <w:rPr>
            <w:noProof/>
            <w:webHidden/>
          </w:rPr>
          <w:fldChar w:fldCharType="begin"/>
        </w:r>
        <w:r>
          <w:rPr>
            <w:noProof/>
            <w:webHidden/>
          </w:rPr>
          <w:instrText xml:space="preserve"> PAGEREF _Toc220668520 \h </w:instrText>
        </w:r>
        <w:r>
          <w:rPr>
            <w:noProof/>
            <w:webHidden/>
          </w:rPr>
        </w:r>
        <w:r>
          <w:rPr>
            <w:noProof/>
            <w:webHidden/>
          </w:rPr>
          <w:fldChar w:fldCharType="separate"/>
        </w:r>
        <w:r>
          <w:rPr>
            <w:noProof/>
            <w:webHidden/>
          </w:rPr>
          <w:t>9</w:t>
        </w:r>
        <w:r>
          <w:rPr>
            <w:noProof/>
            <w:webHidden/>
          </w:rPr>
          <w:fldChar w:fldCharType="end"/>
        </w:r>
      </w:hyperlink>
    </w:p>
    <w:p w14:paraId="11CF9FB2" w14:textId="77777777" w:rsidR="000C1B1B" w:rsidRDefault="000C1B1B">
      <w:pPr>
        <w:pStyle w:val="TOC2"/>
        <w:tabs>
          <w:tab w:val="right" w:leader="dot" w:pos="9350"/>
        </w:tabs>
        <w:rPr>
          <w:rFonts w:asciiTheme="minorHAnsi" w:eastAsiaTheme="minorEastAsia" w:hAnsiTheme="minorHAnsi" w:cstheme="minorBidi"/>
          <w:noProof/>
          <w:shd w:val="clear" w:color="auto" w:fill="auto"/>
        </w:rPr>
      </w:pPr>
      <w:hyperlink w:anchor="_Toc220668521" w:history="1">
        <w:r w:rsidRPr="00AD5C4A">
          <w:rPr>
            <w:rStyle w:val="Hyperlink"/>
            <w:rFonts w:cs="Arial"/>
            <w:noProof/>
            <w:lang w:val="en-GB"/>
          </w:rPr>
          <w:t>1.3 Objectives</w:t>
        </w:r>
        <w:r>
          <w:rPr>
            <w:noProof/>
            <w:webHidden/>
          </w:rPr>
          <w:tab/>
        </w:r>
        <w:r>
          <w:rPr>
            <w:noProof/>
            <w:webHidden/>
          </w:rPr>
          <w:fldChar w:fldCharType="begin"/>
        </w:r>
        <w:r>
          <w:rPr>
            <w:noProof/>
            <w:webHidden/>
          </w:rPr>
          <w:instrText xml:space="preserve"> PAGEREF _Toc220668521 \h </w:instrText>
        </w:r>
        <w:r>
          <w:rPr>
            <w:noProof/>
            <w:webHidden/>
          </w:rPr>
        </w:r>
        <w:r>
          <w:rPr>
            <w:noProof/>
            <w:webHidden/>
          </w:rPr>
          <w:fldChar w:fldCharType="separate"/>
        </w:r>
        <w:r>
          <w:rPr>
            <w:noProof/>
            <w:webHidden/>
          </w:rPr>
          <w:t>9</w:t>
        </w:r>
        <w:r>
          <w:rPr>
            <w:noProof/>
            <w:webHidden/>
          </w:rPr>
          <w:fldChar w:fldCharType="end"/>
        </w:r>
      </w:hyperlink>
    </w:p>
    <w:p w14:paraId="652E1B32" w14:textId="77777777" w:rsidR="000C1B1B" w:rsidRDefault="000C1B1B">
      <w:pPr>
        <w:pStyle w:val="TOC2"/>
        <w:tabs>
          <w:tab w:val="right" w:leader="dot" w:pos="9350"/>
        </w:tabs>
        <w:rPr>
          <w:rFonts w:asciiTheme="minorHAnsi" w:eastAsiaTheme="minorEastAsia" w:hAnsiTheme="minorHAnsi" w:cstheme="minorBidi"/>
          <w:noProof/>
          <w:shd w:val="clear" w:color="auto" w:fill="auto"/>
        </w:rPr>
      </w:pPr>
      <w:hyperlink w:anchor="_Toc220668522" w:history="1">
        <w:r w:rsidRPr="00AD5C4A">
          <w:rPr>
            <w:rStyle w:val="Hyperlink"/>
            <w:rFonts w:cs="Arial"/>
            <w:noProof/>
            <w:lang w:val="en-GB"/>
          </w:rPr>
          <w:t>1.4 Research Question</w:t>
        </w:r>
        <w:r>
          <w:rPr>
            <w:noProof/>
            <w:webHidden/>
          </w:rPr>
          <w:tab/>
        </w:r>
        <w:r>
          <w:rPr>
            <w:noProof/>
            <w:webHidden/>
          </w:rPr>
          <w:fldChar w:fldCharType="begin"/>
        </w:r>
        <w:r>
          <w:rPr>
            <w:noProof/>
            <w:webHidden/>
          </w:rPr>
          <w:instrText xml:space="preserve"> PAGEREF _Toc220668522 \h </w:instrText>
        </w:r>
        <w:r>
          <w:rPr>
            <w:noProof/>
            <w:webHidden/>
          </w:rPr>
        </w:r>
        <w:r>
          <w:rPr>
            <w:noProof/>
            <w:webHidden/>
          </w:rPr>
          <w:fldChar w:fldCharType="separate"/>
        </w:r>
        <w:r>
          <w:rPr>
            <w:noProof/>
            <w:webHidden/>
          </w:rPr>
          <w:t>10</w:t>
        </w:r>
        <w:r>
          <w:rPr>
            <w:noProof/>
            <w:webHidden/>
          </w:rPr>
          <w:fldChar w:fldCharType="end"/>
        </w:r>
      </w:hyperlink>
    </w:p>
    <w:p w14:paraId="34D63B76" w14:textId="77777777" w:rsidR="000C1B1B" w:rsidRDefault="000C1B1B">
      <w:pPr>
        <w:pStyle w:val="TOC2"/>
        <w:tabs>
          <w:tab w:val="right" w:leader="dot" w:pos="9350"/>
        </w:tabs>
        <w:rPr>
          <w:rFonts w:asciiTheme="minorHAnsi" w:eastAsiaTheme="minorEastAsia" w:hAnsiTheme="minorHAnsi" w:cstheme="minorBidi"/>
          <w:noProof/>
          <w:shd w:val="clear" w:color="auto" w:fill="auto"/>
        </w:rPr>
      </w:pPr>
      <w:hyperlink w:anchor="_Toc220668523" w:history="1">
        <w:r w:rsidRPr="00AD5C4A">
          <w:rPr>
            <w:rStyle w:val="Hyperlink"/>
            <w:rFonts w:cs="Arial"/>
            <w:noProof/>
            <w:lang w:val="en-GB"/>
          </w:rPr>
          <w:t>1.5 Rationale</w:t>
        </w:r>
        <w:r>
          <w:rPr>
            <w:noProof/>
            <w:webHidden/>
          </w:rPr>
          <w:tab/>
        </w:r>
        <w:r>
          <w:rPr>
            <w:noProof/>
            <w:webHidden/>
          </w:rPr>
          <w:fldChar w:fldCharType="begin"/>
        </w:r>
        <w:r>
          <w:rPr>
            <w:noProof/>
            <w:webHidden/>
          </w:rPr>
          <w:instrText xml:space="preserve"> PAGEREF _Toc220668523 \h </w:instrText>
        </w:r>
        <w:r>
          <w:rPr>
            <w:noProof/>
            <w:webHidden/>
          </w:rPr>
        </w:r>
        <w:r>
          <w:rPr>
            <w:noProof/>
            <w:webHidden/>
          </w:rPr>
          <w:fldChar w:fldCharType="separate"/>
        </w:r>
        <w:r>
          <w:rPr>
            <w:noProof/>
            <w:webHidden/>
          </w:rPr>
          <w:t>10</w:t>
        </w:r>
        <w:r>
          <w:rPr>
            <w:noProof/>
            <w:webHidden/>
          </w:rPr>
          <w:fldChar w:fldCharType="end"/>
        </w:r>
      </w:hyperlink>
    </w:p>
    <w:p w14:paraId="19B3DFBB" w14:textId="77777777" w:rsidR="000C1B1B" w:rsidRDefault="000C1B1B">
      <w:pPr>
        <w:pStyle w:val="TOC1"/>
        <w:tabs>
          <w:tab w:val="right" w:leader="dot" w:pos="9350"/>
        </w:tabs>
        <w:rPr>
          <w:rFonts w:asciiTheme="minorHAnsi" w:eastAsiaTheme="minorEastAsia" w:hAnsiTheme="minorHAnsi" w:cstheme="minorBidi"/>
          <w:noProof/>
          <w:shd w:val="clear" w:color="auto" w:fill="auto"/>
        </w:rPr>
      </w:pPr>
      <w:hyperlink w:anchor="_Toc220668524" w:history="1">
        <w:r w:rsidRPr="00AD5C4A">
          <w:rPr>
            <w:rStyle w:val="Hyperlink"/>
            <w:rFonts w:cs="Arial"/>
            <w:noProof/>
            <w:lang w:val="en-GB"/>
          </w:rPr>
          <w:t>Chapter 2: Literature review</w:t>
        </w:r>
        <w:r>
          <w:rPr>
            <w:noProof/>
            <w:webHidden/>
          </w:rPr>
          <w:tab/>
        </w:r>
        <w:r>
          <w:rPr>
            <w:noProof/>
            <w:webHidden/>
          </w:rPr>
          <w:fldChar w:fldCharType="begin"/>
        </w:r>
        <w:r>
          <w:rPr>
            <w:noProof/>
            <w:webHidden/>
          </w:rPr>
          <w:instrText xml:space="preserve"> PAGEREF _Toc220668524 \h </w:instrText>
        </w:r>
        <w:r>
          <w:rPr>
            <w:noProof/>
            <w:webHidden/>
          </w:rPr>
        </w:r>
        <w:r>
          <w:rPr>
            <w:noProof/>
            <w:webHidden/>
          </w:rPr>
          <w:fldChar w:fldCharType="separate"/>
        </w:r>
        <w:r>
          <w:rPr>
            <w:noProof/>
            <w:webHidden/>
          </w:rPr>
          <w:t>11</w:t>
        </w:r>
        <w:r>
          <w:rPr>
            <w:noProof/>
            <w:webHidden/>
          </w:rPr>
          <w:fldChar w:fldCharType="end"/>
        </w:r>
      </w:hyperlink>
    </w:p>
    <w:p w14:paraId="249AD5D0" w14:textId="77777777" w:rsidR="000C1B1B" w:rsidRDefault="000C1B1B">
      <w:pPr>
        <w:pStyle w:val="TOC2"/>
        <w:tabs>
          <w:tab w:val="right" w:leader="dot" w:pos="9350"/>
        </w:tabs>
        <w:rPr>
          <w:rFonts w:asciiTheme="minorHAnsi" w:eastAsiaTheme="minorEastAsia" w:hAnsiTheme="minorHAnsi" w:cstheme="minorBidi"/>
          <w:noProof/>
          <w:shd w:val="clear" w:color="auto" w:fill="auto"/>
        </w:rPr>
      </w:pPr>
      <w:hyperlink w:anchor="_Toc220668525" w:history="1">
        <w:r w:rsidRPr="00AD5C4A">
          <w:rPr>
            <w:rStyle w:val="Hyperlink"/>
            <w:rFonts w:cs="Arial"/>
            <w:noProof/>
            <w:lang w:val="en-GB"/>
          </w:rPr>
          <w:t>2.1 Trends in tobacco prevalence among urban Indian young adults</w:t>
        </w:r>
        <w:r>
          <w:rPr>
            <w:noProof/>
            <w:webHidden/>
          </w:rPr>
          <w:tab/>
        </w:r>
        <w:r>
          <w:rPr>
            <w:noProof/>
            <w:webHidden/>
          </w:rPr>
          <w:fldChar w:fldCharType="begin"/>
        </w:r>
        <w:r>
          <w:rPr>
            <w:noProof/>
            <w:webHidden/>
          </w:rPr>
          <w:instrText xml:space="preserve"> PAGEREF _Toc220668525 \h </w:instrText>
        </w:r>
        <w:r>
          <w:rPr>
            <w:noProof/>
            <w:webHidden/>
          </w:rPr>
        </w:r>
        <w:r>
          <w:rPr>
            <w:noProof/>
            <w:webHidden/>
          </w:rPr>
          <w:fldChar w:fldCharType="separate"/>
        </w:r>
        <w:r>
          <w:rPr>
            <w:noProof/>
            <w:webHidden/>
          </w:rPr>
          <w:t>11</w:t>
        </w:r>
        <w:r>
          <w:rPr>
            <w:noProof/>
            <w:webHidden/>
          </w:rPr>
          <w:fldChar w:fldCharType="end"/>
        </w:r>
      </w:hyperlink>
    </w:p>
    <w:p w14:paraId="63094DF9" w14:textId="77777777" w:rsidR="000C1B1B" w:rsidRDefault="000C1B1B">
      <w:pPr>
        <w:pStyle w:val="TOC2"/>
        <w:tabs>
          <w:tab w:val="right" w:leader="dot" w:pos="9350"/>
        </w:tabs>
        <w:rPr>
          <w:rFonts w:asciiTheme="minorHAnsi" w:eastAsiaTheme="minorEastAsia" w:hAnsiTheme="minorHAnsi" w:cstheme="minorBidi"/>
          <w:noProof/>
          <w:shd w:val="clear" w:color="auto" w:fill="auto"/>
        </w:rPr>
      </w:pPr>
      <w:hyperlink w:anchor="_Toc220668526" w:history="1">
        <w:r w:rsidRPr="00AD5C4A">
          <w:rPr>
            <w:rStyle w:val="Hyperlink"/>
            <w:rFonts w:cs="Arial"/>
            <w:noProof/>
            <w:lang w:val="en-GB"/>
          </w:rPr>
          <w:t>2.2 Prevalence of coronary heart disease attributable to tobacco use among young adults in urban India</w:t>
        </w:r>
        <w:r>
          <w:rPr>
            <w:noProof/>
            <w:webHidden/>
          </w:rPr>
          <w:tab/>
        </w:r>
        <w:r>
          <w:rPr>
            <w:noProof/>
            <w:webHidden/>
          </w:rPr>
          <w:fldChar w:fldCharType="begin"/>
        </w:r>
        <w:r>
          <w:rPr>
            <w:noProof/>
            <w:webHidden/>
          </w:rPr>
          <w:instrText xml:space="preserve"> PAGEREF _Toc220668526 \h </w:instrText>
        </w:r>
        <w:r>
          <w:rPr>
            <w:noProof/>
            <w:webHidden/>
          </w:rPr>
        </w:r>
        <w:r>
          <w:rPr>
            <w:noProof/>
            <w:webHidden/>
          </w:rPr>
          <w:fldChar w:fldCharType="separate"/>
        </w:r>
        <w:r>
          <w:rPr>
            <w:noProof/>
            <w:webHidden/>
          </w:rPr>
          <w:t>13</w:t>
        </w:r>
        <w:r>
          <w:rPr>
            <w:noProof/>
            <w:webHidden/>
          </w:rPr>
          <w:fldChar w:fldCharType="end"/>
        </w:r>
      </w:hyperlink>
    </w:p>
    <w:p w14:paraId="7701393F" w14:textId="77777777" w:rsidR="000C1B1B" w:rsidRDefault="000C1B1B">
      <w:pPr>
        <w:pStyle w:val="TOC2"/>
        <w:tabs>
          <w:tab w:val="right" w:leader="dot" w:pos="9350"/>
        </w:tabs>
        <w:rPr>
          <w:rFonts w:asciiTheme="minorHAnsi" w:eastAsiaTheme="minorEastAsia" w:hAnsiTheme="minorHAnsi" w:cstheme="minorBidi"/>
          <w:noProof/>
          <w:shd w:val="clear" w:color="auto" w:fill="auto"/>
        </w:rPr>
      </w:pPr>
      <w:hyperlink w:anchor="_Toc220668527" w:history="1">
        <w:r w:rsidRPr="00AD5C4A">
          <w:rPr>
            <w:rStyle w:val="Hyperlink"/>
            <w:rFonts w:cs="Arial"/>
            <w:noProof/>
            <w:lang w:val="en-GB"/>
          </w:rPr>
          <w:t>2.3 Role of NTCP policies on reducing early risk factors</w:t>
        </w:r>
        <w:r>
          <w:rPr>
            <w:noProof/>
            <w:webHidden/>
          </w:rPr>
          <w:tab/>
        </w:r>
        <w:r>
          <w:rPr>
            <w:noProof/>
            <w:webHidden/>
          </w:rPr>
          <w:fldChar w:fldCharType="begin"/>
        </w:r>
        <w:r>
          <w:rPr>
            <w:noProof/>
            <w:webHidden/>
          </w:rPr>
          <w:instrText xml:space="preserve"> PAGEREF _Toc220668527 \h </w:instrText>
        </w:r>
        <w:r>
          <w:rPr>
            <w:noProof/>
            <w:webHidden/>
          </w:rPr>
        </w:r>
        <w:r>
          <w:rPr>
            <w:noProof/>
            <w:webHidden/>
          </w:rPr>
          <w:fldChar w:fldCharType="separate"/>
        </w:r>
        <w:r>
          <w:rPr>
            <w:noProof/>
            <w:webHidden/>
          </w:rPr>
          <w:t>14</w:t>
        </w:r>
        <w:r>
          <w:rPr>
            <w:noProof/>
            <w:webHidden/>
          </w:rPr>
          <w:fldChar w:fldCharType="end"/>
        </w:r>
      </w:hyperlink>
    </w:p>
    <w:p w14:paraId="04FE2665" w14:textId="77777777" w:rsidR="000C1B1B" w:rsidRDefault="000C1B1B">
      <w:pPr>
        <w:pStyle w:val="TOC2"/>
        <w:tabs>
          <w:tab w:val="right" w:leader="dot" w:pos="9350"/>
        </w:tabs>
        <w:rPr>
          <w:rFonts w:asciiTheme="minorHAnsi" w:eastAsiaTheme="minorEastAsia" w:hAnsiTheme="minorHAnsi" w:cstheme="minorBidi"/>
          <w:noProof/>
          <w:shd w:val="clear" w:color="auto" w:fill="auto"/>
        </w:rPr>
      </w:pPr>
      <w:hyperlink w:anchor="_Toc220668528" w:history="1">
        <w:r w:rsidRPr="00AD5C4A">
          <w:rPr>
            <w:rStyle w:val="Hyperlink"/>
            <w:rFonts w:cs="Arial"/>
            <w:noProof/>
            <w:lang w:val="en-GB"/>
          </w:rPr>
          <w:t>2.4 Effectiveness of NTCP strategies in reducing tobacco-related coronary heart disease risk among young adults in urban India</w:t>
        </w:r>
        <w:r>
          <w:rPr>
            <w:noProof/>
            <w:webHidden/>
          </w:rPr>
          <w:tab/>
        </w:r>
        <w:r>
          <w:rPr>
            <w:noProof/>
            <w:webHidden/>
          </w:rPr>
          <w:fldChar w:fldCharType="begin"/>
        </w:r>
        <w:r>
          <w:rPr>
            <w:noProof/>
            <w:webHidden/>
          </w:rPr>
          <w:instrText xml:space="preserve"> PAGEREF _Toc220668528 \h </w:instrText>
        </w:r>
        <w:r>
          <w:rPr>
            <w:noProof/>
            <w:webHidden/>
          </w:rPr>
        </w:r>
        <w:r>
          <w:rPr>
            <w:noProof/>
            <w:webHidden/>
          </w:rPr>
          <w:fldChar w:fldCharType="separate"/>
        </w:r>
        <w:r>
          <w:rPr>
            <w:noProof/>
            <w:webHidden/>
          </w:rPr>
          <w:t>16</w:t>
        </w:r>
        <w:r>
          <w:rPr>
            <w:noProof/>
            <w:webHidden/>
          </w:rPr>
          <w:fldChar w:fldCharType="end"/>
        </w:r>
      </w:hyperlink>
    </w:p>
    <w:p w14:paraId="25139196" w14:textId="77777777" w:rsidR="000C1B1B" w:rsidRDefault="000C1B1B">
      <w:pPr>
        <w:pStyle w:val="TOC2"/>
        <w:tabs>
          <w:tab w:val="right" w:leader="dot" w:pos="9350"/>
        </w:tabs>
        <w:rPr>
          <w:rFonts w:asciiTheme="minorHAnsi" w:eastAsiaTheme="minorEastAsia" w:hAnsiTheme="minorHAnsi" w:cstheme="minorBidi"/>
          <w:noProof/>
          <w:shd w:val="clear" w:color="auto" w:fill="auto"/>
        </w:rPr>
      </w:pPr>
      <w:hyperlink w:anchor="_Toc220668529" w:history="1">
        <w:r w:rsidRPr="00AD5C4A">
          <w:rPr>
            <w:rStyle w:val="Hyperlink"/>
            <w:rFonts w:cs="Arial"/>
            <w:noProof/>
            <w:lang w:val="en-GB"/>
          </w:rPr>
          <w:t>2.5 Theoretical framework</w:t>
        </w:r>
        <w:r>
          <w:rPr>
            <w:noProof/>
            <w:webHidden/>
          </w:rPr>
          <w:tab/>
        </w:r>
        <w:r>
          <w:rPr>
            <w:noProof/>
            <w:webHidden/>
          </w:rPr>
          <w:fldChar w:fldCharType="begin"/>
        </w:r>
        <w:r>
          <w:rPr>
            <w:noProof/>
            <w:webHidden/>
          </w:rPr>
          <w:instrText xml:space="preserve"> PAGEREF _Toc220668529 \h </w:instrText>
        </w:r>
        <w:r>
          <w:rPr>
            <w:noProof/>
            <w:webHidden/>
          </w:rPr>
        </w:r>
        <w:r>
          <w:rPr>
            <w:noProof/>
            <w:webHidden/>
          </w:rPr>
          <w:fldChar w:fldCharType="separate"/>
        </w:r>
        <w:r>
          <w:rPr>
            <w:noProof/>
            <w:webHidden/>
          </w:rPr>
          <w:t>18</w:t>
        </w:r>
        <w:r>
          <w:rPr>
            <w:noProof/>
            <w:webHidden/>
          </w:rPr>
          <w:fldChar w:fldCharType="end"/>
        </w:r>
      </w:hyperlink>
    </w:p>
    <w:p w14:paraId="7AC4F75D" w14:textId="77777777" w:rsidR="000C1B1B" w:rsidRDefault="000C1B1B">
      <w:pPr>
        <w:pStyle w:val="TOC2"/>
        <w:tabs>
          <w:tab w:val="right" w:leader="dot" w:pos="9350"/>
        </w:tabs>
        <w:rPr>
          <w:rFonts w:asciiTheme="minorHAnsi" w:eastAsiaTheme="minorEastAsia" w:hAnsiTheme="minorHAnsi" w:cstheme="minorBidi"/>
          <w:noProof/>
          <w:shd w:val="clear" w:color="auto" w:fill="auto"/>
        </w:rPr>
      </w:pPr>
      <w:hyperlink w:anchor="_Toc220668530" w:history="1">
        <w:r w:rsidRPr="00AD5C4A">
          <w:rPr>
            <w:rStyle w:val="Hyperlink"/>
            <w:rFonts w:cs="Arial"/>
            <w:noProof/>
            <w:lang w:val="en-GB"/>
          </w:rPr>
          <w:t>2.6 Research gap</w:t>
        </w:r>
        <w:r>
          <w:rPr>
            <w:noProof/>
            <w:webHidden/>
          </w:rPr>
          <w:tab/>
        </w:r>
        <w:r>
          <w:rPr>
            <w:noProof/>
            <w:webHidden/>
          </w:rPr>
          <w:fldChar w:fldCharType="begin"/>
        </w:r>
        <w:r>
          <w:rPr>
            <w:noProof/>
            <w:webHidden/>
          </w:rPr>
          <w:instrText xml:space="preserve"> PAGEREF _Toc220668530 \h </w:instrText>
        </w:r>
        <w:r>
          <w:rPr>
            <w:noProof/>
            <w:webHidden/>
          </w:rPr>
        </w:r>
        <w:r>
          <w:rPr>
            <w:noProof/>
            <w:webHidden/>
          </w:rPr>
          <w:fldChar w:fldCharType="separate"/>
        </w:r>
        <w:r>
          <w:rPr>
            <w:noProof/>
            <w:webHidden/>
          </w:rPr>
          <w:t>20</w:t>
        </w:r>
        <w:r>
          <w:rPr>
            <w:noProof/>
            <w:webHidden/>
          </w:rPr>
          <w:fldChar w:fldCharType="end"/>
        </w:r>
      </w:hyperlink>
    </w:p>
    <w:p w14:paraId="71529CC0" w14:textId="77777777" w:rsidR="000C1B1B" w:rsidRDefault="000C1B1B">
      <w:pPr>
        <w:pStyle w:val="TOC1"/>
        <w:tabs>
          <w:tab w:val="right" w:leader="dot" w:pos="9350"/>
        </w:tabs>
        <w:rPr>
          <w:rFonts w:asciiTheme="minorHAnsi" w:eastAsiaTheme="minorEastAsia" w:hAnsiTheme="minorHAnsi" w:cstheme="minorBidi"/>
          <w:noProof/>
          <w:shd w:val="clear" w:color="auto" w:fill="auto"/>
        </w:rPr>
      </w:pPr>
      <w:hyperlink w:anchor="_Toc220668531" w:history="1">
        <w:r w:rsidRPr="00AD5C4A">
          <w:rPr>
            <w:rStyle w:val="Hyperlink"/>
            <w:rFonts w:cs="Arial"/>
            <w:noProof/>
            <w:lang w:val="en-GB"/>
          </w:rPr>
          <w:t>Chapter 3: Research Methodology</w:t>
        </w:r>
        <w:r>
          <w:rPr>
            <w:noProof/>
            <w:webHidden/>
          </w:rPr>
          <w:tab/>
        </w:r>
        <w:r>
          <w:rPr>
            <w:noProof/>
            <w:webHidden/>
          </w:rPr>
          <w:fldChar w:fldCharType="begin"/>
        </w:r>
        <w:r>
          <w:rPr>
            <w:noProof/>
            <w:webHidden/>
          </w:rPr>
          <w:instrText xml:space="preserve"> PAGEREF _Toc220668531 \h </w:instrText>
        </w:r>
        <w:r>
          <w:rPr>
            <w:noProof/>
            <w:webHidden/>
          </w:rPr>
        </w:r>
        <w:r>
          <w:rPr>
            <w:noProof/>
            <w:webHidden/>
          </w:rPr>
          <w:fldChar w:fldCharType="separate"/>
        </w:r>
        <w:r>
          <w:rPr>
            <w:noProof/>
            <w:webHidden/>
          </w:rPr>
          <w:t>21</w:t>
        </w:r>
        <w:r>
          <w:rPr>
            <w:noProof/>
            <w:webHidden/>
          </w:rPr>
          <w:fldChar w:fldCharType="end"/>
        </w:r>
      </w:hyperlink>
    </w:p>
    <w:p w14:paraId="0954563C" w14:textId="77777777" w:rsidR="000C1B1B" w:rsidRDefault="000C1B1B">
      <w:pPr>
        <w:pStyle w:val="TOC2"/>
        <w:tabs>
          <w:tab w:val="right" w:leader="dot" w:pos="9350"/>
        </w:tabs>
        <w:rPr>
          <w:rFonts w:asciiTheme="minorHAnsi" w:eastAsiaTheme="minorEastAsia" w:hAnsiTheme="minorHAnsi" w:cstheme="minorBidi"/>
          <w:noProof/>
          <w:shd w:val="clear" w:color="auto" w:fill="auto"/>
        </w:rPr>
      </w:pPr>
      <w:hyperlink w:anchor="_Toc220668532" w:history="1">
        <w:r w:rsidRPr="00AD5C4A">
          <w:rPr>
            <w:rStyle w:val="Hyperlink"/>
            <w:rFonts w:cs="Arial"/>
            <w:noProof/>
            <w:lang w:val="en-GB"/>
          </w:rPr>
          <w:t>3.1 Introduction</w:t>
        </w:r>
        <w:r>
          <w:rPr>
            <w:noProof/>
            <w:webHidden/>
          </w:rPr>
          <w:tab/>
        </w:r>
        <w:r>
          <w:rPr>
            <w:noProof/>
            <w:webHidden/>
          </w:rPr>
          <w:fldChar w:fldCharType="begin"/>
        </w:r>
        <w:r>
          <w:rPr>
            <w:noProof/>
            <w:webHidden/>
          </w:rPr>
          <w:instrText xml:space="preserve"> PAGEREF _Toc220668532 \h </w:instrText>
        </w:r>
        <w:r>
          <w:rPr>
            <w:noProof/>
            <w:webHidden/>
          </w:rPr>
        </w:r>
        <w:r>
          <w:rPr>
            <w:noProof/>
            <w:webHidden/>
          </w:rPr>
          <w:fldChar w:fldCharType="separate"/>
        </w:r>
        <w:r>
          <w:rPr>
            <w:noProof/>
            <w:webHidden/>
          </w:rPr>
          <w:t>21</w:t>
        </w:r>
        <w:r>
          <w:rPr>
            <w:noProof/>
            <w:webHidden/>
          </w:rPr>
          <w:fldChar w:fldCharType="end"/>
        </w:r>
      </w:hyperlink>
    </w:p>
    <w:p w14:paraId="037CDF3E" w14:textId="77777777" w:rsidR="000C1B1B" w:rsidRDefault="000C1B1B">
      <w:pPr>
        <w:pStyle w:val="TOC2"/>
        <w:tabs>
          <w:tab w:val="right" w:leader="dot" w:pos="9350"/>
        </w:tabs>
        <w:rPr>
          <w:rFonts w:asciiTheme="minorHAnsi" w:eastAsiaTheme="minorEastAsia" w:hAnsiTheme="minorHAnsi" w:cstheme="minorBidi"/>
          <w:noProof/>
          <w:shd w:val="clear" w:color="auto" w:fill="auto"/>
        </w:rPr>
      </w:pPr>
      <w:hyperlink w:anchor="_Toc220668533" w:history="1">
        <w:r w:rsidRPr="00AD5C4A">
          <w:rPr>
            <w:rStyle w:val="Hyperlink"/>
            <w:rFonts w:cs="Arial"/>
            <w:noProof/>
            <w:lang w:val="en-GB"/>
          </w:rPr>
          <w:t>3.2 Research Approach/Study Design</w:t>
        </w:r>
        <w:r>
          <w:rPr>
            <w:noProof/>
            <w:webHidden/>
          </w:rPr>
          <w:tab/>
        </w:r>
        <w:r>
          <w:rPr>
            <w:noProof/>
            <w:webHidden/>
          </w:rPr>
          <w:fldChar w:fldCharType="begin"/>
        </w:r>
        <w:r>
          <w:rPr>
            <w:noProof/>
            <w:webHidden/>
          </w:rPr>
          <w:instrText xml:space="preserve"> PAGEREF _Toc220668533 \h </w:instrText>
        </w:r>
        <w:r>
          <w:rPr>
            <w:noProof/>
            <w:webHidden/>
          </w:rPr>
        </w:r>
        <w:r>
          <w:rPr>
            <w:noProof/>
            <w:webHidden/>
          </w:rPr>
          <w:fldChar w:fldCharType="separate"/>
        </w:r>
        <w:r>
          <w:rPr>
            <w:noProof/>
            <w:webHidden/>
          </w:rPr>
          <w:t>21</w:t>
        </w:r>
        <w:r>
          <w:rPr>
            <w:noProof/>
            <w:webHidden/>
          </w:rPr>
          <w:fldChar w:fldCharType="end"/>
        </w:r>
      </w:hyperlink>
    </w:p>
    <w:p w14:paraId="688CFDC6" w14:textId="77777777" w:rsidR="000C1B1B" w:rsidRDefault="000C1B1B">
      <w:pPr>
        <w:pStyle w:val="TOC2"/>
        <w:tabs>
          <w:tab w:val="right" w:leader="dot" w:pos="9350"/>
        </w:tabs>
        <w:rPr>
          <w:rFonts w:asciiTheme="minorHAnsi" w:eastAsiaTheme="minorEastAsia" w:hAnsiTheme="minorHAnsi" w:cstheme="minorBidi"/>
          <w:noProof/>
          <w:shd w:val="clear" w:color="auto" w:fill="auto"/>
        </w:rPr>
      </w:pPr>
      <w:hyperlink w:anchor="_Toc220668534" w:history="1">
        <w:r w:rsidRPr="00AD5C4A">
          <w:rPr>
            <w:rStyle w:val="Hyperlink"/>
            <w:rFonts w:cs="Arial"/>
            <w:noProof/>
            <w:lang w:val="en-GB"/>
          </w:rPr>
          <w:t>3.3 Method of Data Collection</w:t>
        </w:r>
        <w:r>
          <w:rPr>
            <w:noProof/>
            <w:webHidden/>
          </w:rPr>
          <w:tab/>
        </w:r>
        <w:r>
          <w:rPr>
            <w:noProof/>
            <w:webHidden/>
          </w:rPr>
          <w:fldChar w:fldCharType="begin"/>
        </w:r>
        <w:r>
          <w:rPr>
            <w:noProof/>
            <w:webHidden/>
          </w:rPr>
          <w:instrText xml:space="preserve"> PAGEREF _Toc220668534 \h </w:instrText>
        </w:r>
        <w:r>
          <w:rPr>
            <w:noProof/>
            <w:webHidden/>
          </w:rPr>
        </w:r>
        <w:r>
          <w:rPr>
            <w:noProof/>
            <w:webHidden/>
          </w:rPr>
          <w:fldChar w:fldCharType="separate"/>
        </w:r>
        <w:r>
          <w:rPr>
            <w:noProof/>
            <w:webHidden/>
          </w:rPr>
          <w:t>22</w:t>
        </w:r>
        <w:r>
          <w:rPr>
            <w:noProof/>
            <w:webHidden/>
          </w:rPr>
          <w:fldChar w:fldCharType="end"/>
        </w:r>
      </w:hyperlink>
    </w:p>
    <w:p w14:paraId="03F0943D" w14:textId="77777777" w:rsidR="000C1B1B" w:rsidRDefault="000C1B1B">
      <w:pPr>
        <w:pStyle w:val="TOC3"/>
        <w:tabs>
          <w:tab w:val="right" w:leader="dot" w:pos="9350"/>
        </w:tabs>
        <w:rPr>
          <w:rFonts w:asciiTheme="minorHAnsi" w:eastAsiaTheme="minorEastAsia" w:hAnsiTheme="minorHAnsi" w:cstheme="minorBidi"/>
          <w:noProof/>
          <w:shd w:val="clear" w:color="auto" w:fill="auto"/>
        </w:rPr>
      </w:pPr>
      <w:hyperlink w:anchor="_Toc220668535" w:history="1">
        <w:r w:rsidRPr="00AD5C4A">
          <w:rPr>
            <w:rStyle w:val="Hyperlink"/>
            <w:rFonts w:cs="Arial"/>
            <w:noProof/>
            <w:lang w:val="en-GB"/>
          </w:rPr>
          <w:t>3.3.1 Search Strategy</w:t>
        </w:r>
        <w:r>
          <w:rPr>
            <w:noProof/>
            <w:webHidden/>
          </w:rPr>
          <w:tab/>
        </w:r>
        <w:r>
          <w:rPr>
            <w:noProof/>
            <w:webHidden/>
          </w:rPr>
          <w:fldChar w:fldCharType="begin"/>
        </w:r>
        <w:r>
          <w:rPr>
            <w:noProof/>
            <w:webHidden/>
          </w:rPr>
          <w:instrText xml:space="preserve"> PAGEREF _Toc220668535 \h </w:instrText>
        </w:r>
        <w:r>
          <w:rPr>
            <w:noProof/>
            <w:webHidden/>
          </w:rPr>
        </w:r>
        <w:r>
          <w:rPr>
            <w:noProof/>
            <w:webHidden/>
          </w:rPr>
          <w:fldChar w:fldCharType="separate"/>
        </w:r>
        <w:r>
          <w:rPr>
            <w:noProof/>
            <w:webHidden/>
          </w:rPr>
          <w:t>22</w:t>
        </w:r>
        <w:r>
          <w:rPr>
            <w:noProof/>
            <w:webHidden/>
          </w:rPr>
          <w:fldChar w:fldCharType="end"/>
        </w:r>
      </w:hyperlink>
    </w:p>
    <w:p w14:paraId="3F738C93" w14:textId="77777777" w:rsidR="000C1B1B" w:rsidRDefault="000C1B1B">
      <w:pPr>
        <w:pStyle w:val="TOC2"/>
        <w:tabs>
          <w:tab w:val="right" w:leader="dot" w:pos="9350"/>
        </w:tabs>
        <w:rPr>
          <w:rFonts w:asciiTheme="minorHAnsi" w:eastAsiaTheme="minorEastAsia" w:hAnsiTheme="minorHAnsi" w:cstheme="minorBidi"/>
          <w:noProof/>
          <w:shd w:val="clear" w:color="auto" w:fill="auto"/>
        </w:rPr>
      </w:pPr>
      <w:hyperlink w:anchor="_Toc220668536" w:history="1">
        <w:r w:rsidRPr="00AD5C4A">
          <w:rPr>
            <w:rStyle w:val="Hyperlink"/>
            <w:rFonts w:cs="Arial"/>
            <w:noProof/>
            <w:lang w:val="en-GB"/>
          </w:rPr>
          <w:t>3.4 Framing the Research Question</w:t>
        </w:r>
        <w:r>
          <w:rPr>
            <w:noProof/>
            <w:webHidden/>
          </w:rPr>
          <w:tab/>
        </w:r>
        <w:r>
          <w:rPr>
            <w:noProof/>
            <w:webHidden/>
          </w:rPr>
          <w:fldChar w:fldCharType="begin"/>
        </w:r>
        <w:r>
          <w:rPr>
            <w:noProof/>
            <w:webHidden/>
          </w:rPr>
          <w:instrText xml:space="preserve"> PAGEREF _Toc220668536 \h </w:instrText>
        </w:r>
        <w:r>
          <w:rPr>
            <w:noProof/>
            <w:webHidden/>
          </w:rPr>
        </w:r>
        <w:r>
          <w:rPr>
            <w:noProof/>
            <w:webHidden/>
          </w:rPr>
          <w:fldChar w:fldCharType="separate"/>
        </w:r>
        <w:r>
          <w:rPr>
            <w:noProof/>
            <w:webHidden/>
          </w:rPr>
          <w:t>22</w:t>
        </w:r>
        <w:r>
          <w:rPr>
            <w:noProof/>
            <w:webHidden/>
          </w:rPr>
          <w:fldChar w:fldCharType="end"/>
        </w:r>
      </w:hyperlink>
    </w:p>
    <w:p w14:paraId="4EE4C7E1" w14:textId="77777777" w:rsidR="000C1B1B" w:rsidRDefault="000C1B1B">
      <w:pPr>
        <w:pStyle w:val="TOC2"/>
        <w:tabs>
          <w:tab w:val="right" w:leader="dot" w:pos="9350"/>
        </w:tabs>
        <w:rPr>
          <w:rFonts w:asciiTheme="minorHAnsi" w:eastAsiaTheme="minorEastAsia" w:hAnsiTheme="minorHAnsi" w:cstheme="minorBidi"/>
          <w:noProof/>
          <w:shd w:val="clear" w:color="auto" w:fill="auto"/>
        </w:rPr>
      </w:pPr>
      <w:hyperlink w:anchor="_Toc220668537" w:history="1">
        <w:r w:rsidRPr="00AD5C4A">
          <w:rPr>
            <w:rStyle w:val="Hyperlink"/>
            <w:rFonts w:cs="Arial"/>
            <w:noProof/>
            <w:lang w:val="en-GB"/>
          </w:rPr>
          <w:t>3.5 Database Search Procedure</w:t>
        </w:r>
        <w:r>
          <w:rPr>
            <w:noProof/>
            <w:webHidden/>
          </w:rPr>
          <w:tab/>
        </w:r>
        <w:r>
          <w:rPr>
            <w:noProof/>
            <w:webHidden/>
          </w:rPr>
          <w:fldChar w:fldCharType="begin"/>
        </w:r>
        <w:r>
          <w:rPr>
            <w:noProof/>
            <w:webHidden/>
          </w:rPr>
          <w:instrText xml:space="preserve"> PAGEREF _Toc220668537 \h </w:instrText>
        </w:r>
        <w:r>
          <w:rPr>
            <w:noProof/>
            <w:webHidden/>
          </w:rPr>
        </w:r>
        <w:r>
          <w:rPr>
            <w:noProof/>
            <w:webHidden/>
          </w:rPr>
          <w:fldChar w:fldCharType="separate"/>
        </w:r>
        <w:r>
          <w:rPr>
            <w:noProof/>
            <w:webHidden/>
          </w:rPr>
          <w:t>23</w:t>
        </w:r>
        <w:r>
          <w:rPr>
            <w:noProof/>
            <w:webHidden/>
          </w:rPr>
          <w:fldChar w:fldCharType="end"/>
        </w:r>
      </w:hyperlink>
    </w:p>
    <w:p w14:paraId="39D4F2D5" w14:textId="77777777" w:rsidR="000C1B1B" w:rsidRDefault="000C1B1B">
      <w:pPr>
        <w:pStyle w:val="TOC2"/>
        <w:tabs>
          <w:tab w:val="right" w:leader="dot" w:pos="9350"/>
        </w:tabs>
        <w:rPr>
          <w:rFonts w:asciiTheme="minorHAnsi" w:eastAsiaTheme="minorEastAsia" w:hAnsiTheme="minorHAnsi" w:cstheme="minorBidi"/>
          <w:noProof/>
          <w:shd w:val="clear" w:color="auto" w:fill="auto"/>
        </w:rPr>
      </w:pPr>
      <w:hyperlink w:anchor="_Toc220668538" w:history="1">
        <w:r w:rsidRPr="00AD5C4A">
          <w:rPr>
            <w:rStyle w:val="Hyperlink"/>
            <w:rFonts w:cs="Arial"/>
            <w:noProof/>
            <w:lang w:val="en-GB"/>
          </w:rPr>
          <w:t>3.6 Inclusion / Exclusion Criteria</w:t>
        </w:r>
        <w:r>
          <w:rPr>
            <w:noProof/>
            <w:webHidden/>
          </w:rPr>
          <w:tab/>
        </w:r>
        <w:r>
          <w:rPr>
            <w:noProof/>
            <w:webHidden/>
          </w:rPr>
          <w:fldChar w:fldCharType="begin"/>
        </w:r>
        <w:r>
          <w:rPr>
            <w:noProof/>
            <w:webHidden/>
          </w:rPr>
          <w:instrText xml:space="preserve"> PAGEREF _Toc220668538 \h </w:instrText>
        </w:r>
        <w:r>
          <w:rPr>
            <w:noProof/>
            <w:webHidden/>
          </w:rPr>
        </w:r>
        <w:r>
          <w:rPr>
            <w:noProof/>
            <w:webHidden/>
          </w:rPr>
          <w:fldChar w:fldCharType="separate"/>
        </w:r>
        <w:r>
          <w:rPr>
            <w:noProof/>
            <w:webHidden/>
          </w:rPr>
          <w:t>24</w:t>
        </w:r>
        <w:r>
          <w:rPr>
            <w:noProof/>
            <w:webHidden/>
          </w:rPr>
          <w:fldChar w:fldCharType="end"/>
        </w:r>
      </w:hyperlink>
    </w:p>
    <w:p w14:paraId="3974A507" w14:textId="77777777" w:rsidR="000C1B1B" w:rsidRDefault="000C1B1B">
      <w:pPr>
        <w:pStyle w:val="TOC2"/>
        <w:tabs>
          <w:tab w:val="right" w:leader="dot" w:pos="9350"/>
        </w:tabs>
        <w:rPr>
          <w:rFonts w:asciiTheme="minorHAnsi" w:eastAsiaTheme="minorEastAsia" w:hAnsiTheme="minorHAnsi" w:cstheme="minorBidi"/>
          <w:noProof/>
          <w:shd w:val="clear" w:color="auto" w:fill="auto"/>
        </w:rPr>
      </w:pPr>
      <w:hyperlink w:anchor="_Toc220668539" w:history="1">
        <w:r w:rsidRPr="00AD5C4A">
          <w:rPr>
            <w:rStyle w:val="Hyperlink"/>
            <w:rFonts w:cs="Arial"/>
            <w:noProof/>
            <w:lang w:val="en-GB"/>
          </w:rPr>
          <w:t>3.7 Study screening and Selection</w:t>
        </w:r>
        <w:r>
          <w:rPr>
            <w:noProof/>
            <w:webHidden/>
          </w:rPr>
          <w:tab/>
        </w:r>
        <w:r>
          <w:rPr>
            <w:noProof/>
            <w:webHidden/>
          </w:rPr>
          <w:fldChar w:fldCharType="begin"/>
        </w:r>
        <w:r>
          <w:rPr>
            <w:noProof/>
            <w:webHidden/>
          </w:rPr>
          <w:instrText xml:space="preserve"> PAGEREF _Toc220668539 \h </w:instrText>
        </w:r>
        <w:r>
          <w:rPr>
            <w:noProof/>
            <w:webHidden/>
          </w:rPr>
        </w:r>
        <w:r>
          <w:rPr>
            <w:noProof/>
            <w:webHidden/>
          </w:rPr>
          <w:fldChar w:fldCharType="separate"/>
        </w:r>
        <w:r>
          <w:rPr>
            <w:noProof/>
            <w:webHidden/>
          </w:rPr>
          <w:t>25</w:t>
        </w:r>
        <w:r>
          <w:rPr>
            <w:noProof/>
            <w:webHidden/>
          </w:rPr>
          <w:fldChar w:fldCharType="end"/>
        </w:r>
      </w:hyperlink>
    </w:p>
    <w:p w14:paraId="4AEBDA9B" w14:textId="77777777" w:rsidR="000C1B1B" w:rsidRDefault="000C1B1B">
      <w:pPr>
        <w:pStyle w:val="TOC2"/>
        <w:tabs>
          <w:tab w:val="right" w:leader="dot" w:pos="9350"/>
        </w:tabs>
        <w:rPr>
          <w:rFonts w:asciiTheme="minorHAnsi" w:eastAsiaTheme="minorEastAsia" w:hAnsiTheme="minorHAnsi" w:cstheme="minorBidi"/>
          <w:noProof/>
          <w:shd w:val="clear" w:color="auto" w:fill="auto"/>
        </w:rPr>
      </w:pPr>
      <w:hyperlink w:anchor="_Toc220668540" w:history="1">
        <w:r w:rsidRPr="00AD5C4A">
          <w:rPr>
            <w:rStyle w:val="Hyperlink"/>
            <w:rFonts w:cs="Arial"/>
            <w:noProof/>
            <w:lang w:val="en-GB"/>
          </w:rPr>
          <w:t>3.10 Quality Assessment (QA)</w:t>
        </w:r>
        <w:r>
          <w:rPr>
            <w:noProof/>
            <w:webHidden/>
          </w:rPr>
          <w:tab/>
        </w:r>
        <w:r>
          <w:rPr>
            <w:noProof/>
            <w:webHidden/>
          </w:rPr>
          <w:fldChar w:fldCharType="begin"/>
        </w:r>
        <w:r>
          <w:rPr>
            <w:noProof/>
            <w:webHidden/>
          </w:rPr>
          <w:instrText xml:space="preserve"> PAGEREF _Toc220668540 \h </w:instrText>
        </w:r>
        <w:r>
          <w:rPr>
            <w:noProof/>
            <w:webHidden/>
          </w:rPr>
        </w:r>
        <w:r>
          <w:rPr>
            <w:noProof/>
            <w:webHidden/>
          </w:rPr>
          <w:fldChar w:fldCharType="separate"/>
        </w:r>
        <w:r>
          <w:rPr>
            <w:noProof/>
            <w:webHidden/>
          </w:rPr>
          <w:t>29</w:t>
        </w:r>
        <w:r>
          <w:rPr>
            <w:noProof/>
            <w:webHidden/>
          </w:rPr>
          <w:fldChar w:fldCharType="end"/>
        </w:r>
      </w:hyperlink>
    </w:p>
    <w:p w14:paraId="552E36B6" w14:textId="77777777" w:rsidR="000C1B1B" w:rsidRDefault="000C1B1B">
      <w:pPr>
        <w:pStyle w:val="TOC2"/>
        <w:tabs>
          <w:tab w:val="right" w:leader="dot" w:pos="9350"/>
        </w:tabs>
        <w:rPr>
          <w:rFonts w:asciiTheme="minorHAnsi" w:eastAsiaTheme="minorEastAsia" w:hAnsiTheme="minorHAnsi" w:cstheme="minorBidi"/>
          <w:noProof/>
          <w:shd w:val="clear" w:color="auto" w:fill="auto"/>
        </w:rPr>
      </w:pPr>
      <w:hyperlink w:anchor="_Toc220668541" w:history="1">
        <w:r w:rsidRPr="00AD5C4A">
          <w:rPr>
            <w:rStyle w:val="Hyperlink"/>
            <w:rFonts w:cs="Arial"/>
            <w:noProof/>
            <w:lang w:val="en-GB"/>
          </w:rPr>
          <w:t>3.11 Data Characteristics / Extraction</w:t>
        </w:r>
        <w:r>
          <w:rPr>
            <w:noProof/>
            <w:webHidden/>
          </w:rPr>
          <w:tab/>
        </w:r>
        <w:r>
          <w:rPr>
            <w:noProof/>
            <w:webHidden/>
          </w:rPr>
          <w:fldChar w:fldCharType="begin"/>
        </w:r>
        <w:r>
          <w:rPr>
            <w:noProof/>
            <w:webHidden/>
          </w:rPr>
          <w:instrText xml:space="preserve"> PAGEREF _Toc220668541 \h </w:instrText>
        </w:r>
        <w:r>
          <w:rPr>
            <w:noProof/>
            <w:webHidden/>
          </w:rPr>
        </w:r>
        <w:r>
          <w:rPr>
            <w:noProof/>
            <w:webHidden/>
          </w:rPr>
          <w:fldChar w:fldCharType="separate"/>
        </w:r>
        <w:r>
          <w:rPr>
            <w:noProof/>
            <w:webHidden/>
          </w:rPr>
          <w:t>29</w:t>
        </w:r>
        <w:r>
          <w:rPr>
            <w:noProof/>
            <w:webHidden/>
          </w:rPr>
          <w:fldChar w:fldCharType="end"/>
        </w:r>
      </w:hyperlink>
    </w:p>
    <w:p w14:paraId="68F5CC1E" w14:textId="77777777" w:rsidR="000C1B1B" w:rsidRDefault="000C1B1B">
      <w:pPr>
        <w:pStyle w:val="TOC3"/>
        <w:tabs>
          <w:tab w:val="right" w:leader="dot" w:pos="9350"/>
        </w:tabs>
        <w:rPr>
          <w:rFonts w:asciiTheme="minorHAnsi" w:eastAsiaTheme="minorEastAsia" w:hAnsiTheme="minorHAnsi" w:cstheme="minorBidi"/>
          <w:noProof/>
          <w:shd w:val="clear" w:color="auto" w:fill="auto"/>
        </w:rPr>
      </w:pPr>
      <w:hyperlink w:anchor="_Toc220668542" w:history="1">
        <w:r w:rsidRPr="00AD5C4A">
          <w:rPr>
            <w:rStyle w:val="Hyperlink"/>
            <w:rFonts w:cs="Arial"/>
            <w:iCs/>
            <w:noProof/>
            <w:lang w:val="en-GB"/>
          </w:rPr>
          <w:t>Thematic data analysis</w:t>
        </w:r>
        <w:r>
          <w:rPr>
            <w:noProof/>
            <w:webHidden/>
          </w:rPr>
          <w:tab/>
        </w:r>
        <w:r>
          <w:rPr>
            <w:noProof/>
            <w:webHidden/>
          </w:rPr>
          <w:fldChar w:fldCharType="begin"/>
        </w:r>
        <w:r>
          <w:rPr>
            <w:noProof/>
            <w:webHidden/>
          </w:rPr>
          <w:instrText xml:space="preserve"> PAGEREF _Toc220668542 \h </w:instrText>
        </w:r>
        <w:r>
          <w:rPr>
            <w:noProof/>
            <w:webHidden/>
          </w:rPr>
        </w:r>
        <w:r>
          <w:rPr>
            <w:noProof/>
            <w:webHidden/>
          </w:rPr>
          <w:fldChar w:fldCharType="separate"/>
        </w:r>
        <w:r>
          <w:rPr>
            <w:noProof/>
            <w:webHidden/>
          </w:rPr>
          <w:t>29</w:t>
        </w:r>
        <w:r>
          <w:rPr>
            <w:noProof/>
            <w:webHidden/>
          </w:rPr>
          <w:fldChar w:fldCharType="end"/>
        </w:r>
      </w:hyperlink>
    </w:p>
    <w:p w14:paraId="38A4793C" w14:textId="77777777" w:rsidR="000C1B1B" w:rsidRDefault="000C1B1B">
      <w:pPr>
        <w:pStyle w:val="TOC3"/>
        <w:tabs>
          <w:tab w:val="right" w:leader="dot" w:pos="9350"/>
        </w:tabs>
        <w:rPr>
          <w:rFonts w:asciiTheme="minorHAnsi" w:eastAsiaTheme="minorEastAsia" w:hAnsiTheme="minorHAnsi" w:cstheme="minorBidi"/>
          <w:noProof/>
          <w:shd w:val="clear" w:color="auto" w:fill="auto"/>
        </w:rPr>
      </w:pPr>
      <w:hyperlink w:anchor="_Toc220668543" w:history="1">
        <w:r w:rsidRPr="00AD5C4A">
          <w:rPr>
            <w:rStyle w:val="Hyperlink"/>
            <w:rFonts w:cs="Arial"/>
            <w:noProof/>
            <w:lang w:val="en-GB"/>
          </w:rPr>
          <w:t>3.12.2 Limitations of the Research/Risk of Bias:</w:t>
        </w:r>
        <w:r>
          <w:rPr>
            <w:noProof/>
            <w:webHidden/>
          </w:rPr>
          <w:tab/>
        </w:r>
        <w:r>
          <w:rPr>
            <w:noProof/>
            <w:webHidden/>
          </w:rPr>
          <w:fldChar w:fldCharType="begin"/>
        </w:r>
        <w:r>
          <w:rPr>
            <w:noProof/>
            <w:webHidden/>
          </w:rPr>
          <w:instrText xml:space="preserve"> PAGEREF _Toc220668543 \h </w:instrText>
        </w:r>
        <w:r>
          <w:rPr>
            <w:noProof/>
            <w:webHidden/>
          </w:rPr>
        </w:r>
        <w:r>
          <w:rPr>
            <w:noProof/>
            <w:webHidden/>
          </w:rPr>
          <w:fldChar w:fldCharType="separate"/>
        </w:r>
        <w:r>
          <w:rPr>
            <w:noProof/>
            <w:webHidden/>
          </w:rPr>
          <w:t>30</w:t>
        </w:r>
        <w:r>
          <w:rPr>
            <w:noProof/>
            <w:webHidden/>
          </w:rPr>
          <w:fldChar w:fldCharType="end"/>
        </w:r>
      </w:hyperlink>
    </w:p>
    <w:p w14:paraId="18CBC093" w14:textId="77777777" w:rsidR="000C1B1B" w:rsidRDefault="000C1B1B">
      <w:pPr>
        <w:pStyle w:val="TOC2"/>
        <w:tabs>
          <w:tab w:val="right" w:leader="dot" w:pos="9350"/>
        </w:tabs>
        <w:rPr>
          <w:rFonts w:asciiTheme="minorHAnsi" w:eastAsiaTheme="minorEastAsia" w:hAnsiTheme="minorHAnsi" w:cstheme="minorBidi"/>
          <w:noProof/>
          <w:shd w:val="clear" w:color="auto" w:fill="auto"/>
        </w:rPr>
      </w:pPr>
      <w:hyperlink w:anchor="_Toc220668544" w:history="1">
        <w:r w:rsidRPr="00AD5C4A">
          <w:rPr>
            <w:rStyle w:val="Hyperlink"/>
            <w:rFonts w:cs="Arial"/>
            <w:noProof/>
            <w:lang w:val="en-GB"/>
          </w:rPr>
          <w:t>3.13 Ethical Considerations</w:t>
        </w:r>
        <w:r>
          <w:rPr>
            <w:noProof/>
            <w:webHidden/>
          </w:rPr>
          <w:tab/>
        </w:r>
        <w:r>
          <w:rPr>
            <w:noProof/>
            <w:webHidden/>
          </w:rPr>
          <w:fldChar w:fldCharType="begin"/>
        </w:r>
        <w:r>
          <w:rPr>
            <w:noProof/>
            <w:webHidden/>
          </w:rPr>
          <w:instrText xml:space="preserve"> PAGEREF _Toc220668544 \h </w:instrText>
        </w:r>
        <w:r>
          <w:rPr>
            <w:noProof/>
            <w:webHidden/>
          </w:rPr>
        </w:r>
        <w:r>
          <w:rPr>
            <w:noProof/>
            <w:webHidden/>
          </w:rPr>
          <w:fldChar w:fldCharType="separate"/>
        </w:r>
        <w:r>
          <w:rPr>
            <w:noProof/>
            <w:webHidden/>
          </w:rPr>
          <w:t>30</w:t>
        </w:r>
        <w:r>
          <w:rPr>
            <w:noProof/>
            <w:webHidden/>
          </w:rPr>
          <w:fldChar w:fldCharType="end"/>
        </w:r>
      </w:hyperlink>
    </w:p>
    <w:p w14:paraId="5BA78FB5" w14:textId="77777777" w:rsidR="000C1B1B" w:rsidRDefault="000C1B1B">
      <w:pPr>
        <w:pStyle w:val="TOC2"/>
        <w:tabs>
          <w:tab w:val="right" w:leader="dot" w:pos="9350"/>
        </w:tabs>
        <w:rPr>
          <w:rFonts w:asciiTheme="minorHAnsi" w:eastAsiaTheme="minorEastAsia" w:hAnsiTheme="minorHAnsi" w:cstheme="minorBidi"/>
          <w:noProof/>
          <w:shd w:val="clear" w:color="auto" w:fill="auto"/>
        </w:rPr>
      </w:pPr>
      <w:hyperlink w:anchor="_Toc220668545" w:history="1">
        <w:r w:rsidRPr="00AD5C4A">
          <w:rPr>
            <w:rStyle w:val="Hyperlink"/>
            <w:rFonts w:cs="Arial"/>
            <w:noProof/>
            <w:lang w:val="en-GB"/>
          </w:rPr>
          <w:t>3.14 Chapter Summary</w:t>
        </w:r>
        <w:r>
          <w:rPr>
            <w:noProof/>
            <w:webHidden/>
          </w:rPr>
          <w:tab/>
        </w:r>
        <w:r>
          <w:rPr>
            <w:noProof/>
            <w:webHidden/>
          </w:rPr>
          <w:fldChar w:fldCharType="begin"/>
        </w:r>
        <w:r>
          <w:rPr>
            <w:noProof/>
            <w:webHidden/>
          </w:rPr>
          <w:instrText xml:space="preserve"> PAGEREF _Toc220668545 \h </w:instrText>
        </w:r>
        <w:r>
          <w:rPr>
            <w:noProof/>
            <w:webHidden/>
          </w:rPr>
        </w:r>
        <w:r>
          <w:rPr>
            <w:noProof/>
            <w:webHidden/>
          </w:rPr>
          <w:fldChar w:fldCharType="separate"/>
        </w:r>
        <w:r>
          <w:rPr>
            <w:noProof/>
            <w:webHidden/>
          </w:rPr>
          <w:t>31</w:t>
        </w:r>
        <w:r>
          <w:rPr>
            <w:noProof/>
            <w:webHidden/>
          </w:rPr>
          <w:fldChar w:fldCharType="end"/>
        </w:r>
      </w:hyperlink>
    </w:p>
    <w:p w14:paraId="4640F775" w14:textId="77777777" w:rsidR="000C1B1B" w:rsidRDefault="000C1B1B">
      <w:pPr>
        <w:pStyle w:val="TOC1"/>
        <w:tabs>
          <w:tab w:val="right" w:leader="dot" w:pos="9350"/>
        </w:tabs>
        <w:rPr>
          <w:rFonts w:asciiTheme="minorHAnsi" w:eastAsiaTheme="minorEastAsia" w:hAnsiTheme="minorHAnsi" w:cstheme="minorBidi"/>
          <w:noProof/>
          <w:shd w:val="clear" w:color="auto" w:fill="auto"/>
        </w:rPr>
      </w:pPr>
      <w:hyperlink w:anchor="_Toc220668546" w:history="1">
        <w:r w:rsidRPr="00AD5C4A">
          <w:rPr>
            <w:rStyle w:val="Hyperlink"/>
            <w:rFonts w:cs="Arial"/>
            <w:noProof/>
          </w:rPr>
          <w:t>Chapter 4 Results</w:t>
        </w:r>
        <w:r>
          <w:rPr>
            <w:noProof/>
            <w:webHidden/>
          </w:rPr>
          <w:tab/>
        </w:r>
        <w:r>
          <w:rPr>
            <w:noProof/>
            <w:webHidden/>
          </w:rPr>
          <w:fldChar w:fldCharType="begin"/>
        </w:r>
        <w:r>
          <w:rPr>
            <w:noProof/>
            <w:webHidden/>
          </w:rPr>
          <w:instrText xml:space="preserve"> PAGEREF _Toc220668546 \h </w:instrText>
        </w:r>
        <w:r>
          <w:rPr>
            <w:noProof/>
            <w:webHidden/>
          </w:rPr>
        </w:r>
        <w:r>
          <w:rPr>
            <w:noProof/>
            <w:webHidden/>
          </w:rPr>
          <w:fldChar w:fldCharType="separate"/>
        </w:r>
        <w:r>
          <w:rPr>
            <w:noProof/>
            <w:webHidden/>
          </w:rPr>
          <w:t>32</w:t>
        </w:r>
        <w:r>
          <w:rPr>
            <w:noProof/>
            <w:webHidden/>
          </w:rPr>
          <w:fldChar w:fldCharType="end"/>
        </w:r>
      </w:hyperlink>
    </w:p>
    <w:p w14:paraId="45622223" w14:textId="77777777" w:rsidR="000C1B1B" w:rsidRDefault="000C1B1B">
      <w:pPr>
        <w:pStyle w:val="TOC2"/>
        <w:tabs>
          <w:tab w:val="right" w:leader="dot" w:pos="9350"/>
        </w:tabs>
        <w:rPr>
          <w:rFonts w:asciiTheme="minorHAnsi" w:eastAsiaTheme="minorEastAsia" w:hAnsiTheme="minorHAnsi" w:cstheme="minorBidi"/>
          <w:noProof/>
          <w:shd w:val="clear" w:color="auto" w:fill="auto"/>
        </w:rPr>
      </w:pPr>
      <w:hyperlink w:anchor="_Toc220668547" w:history="1">
        <w:r w:rsidRPr="00AD5C4A">
          <w:rPr>
            <w:rStyle w:val="Hyperlink"/>
            <w:rFonts w:cs="Arial"/>
            <w:noProof/>
          </w:rPr>
          <w:t>4.1 Introduction</w:t>
        </w:r>
        <w:r>
          <w:rPr>
            <w:noProof/>
            <w:webHidden/>
          </w:rPr>
          <w:tab/>
        </w:r>
        <w:r>
          <w:rPr>
            <w:noProof/>
            <w:webHidden/>
          </w:rPr>
          <w:fldChar w:fldCharType="begin"/>
        </w:r>
        <w:r>
          <w:rPr>
            <w:noProof/>
            <w:webHidden/>
          </w:rPr>
          <w:instrText xml:space="preserve"> PAGEREF _Toc220668547 \h </w:instrText>
        </w:r>
        <w:r>
          <w:rPr>
            <w:noProof/>
            <w:webHidden/>
          </w:rPr>
        </w:r>
        <w:r>
          <w:rPr>
            <w:noProof/>
            <w:webHidden/>
          </w:rPr>
          <w:fldChar w:fldCharType="separate"/>
        </w:r>
        <w:r>
          <w:rPr>
            <w:noProof/>
            <w:webHidden/>
          </w:rPr>
          <w:t>32</w:t>
        </w:r>
        <w:r>
          <w:rPr>
            <w:noProof/>
            <w:webHidden/>
          </w:rPr>
          <w:fldChar w:fldCharType="end"/>
        </w:r>
      </w:hyperlink>
    </w:p>
    <w:p w14:paraId="60C4825D" w14:textId="77777777" w:rsidR="000C1B1B" w:rsidRDefault="000C1B1B">
      <w:pPr>
        <w:pStyle w:val="TOC2"/>
        <w:tabs>
          <w:tab w:val="right" w:leader="dot" w:pos="9350"/>
        </w:tabs>
        <w:rPr>
          <w:rFonts w:asciiTheme="minorHAnsi" w:eastAsiaTheme="minorEastAsia" w:hAnsiTheme="minorHAnsi" w:cstheme="minorBidi"/>
          <w:noProof/>
          <w:shd w:val="clear" w:color="auto" w:fill="auto"/>
        </w:rPr>
      </w:pPr>
      <w:hyperlink w:anchor="_Toc220668548" w:history="1">
        <w:r w:rsidRPr="00AD5C4A">
          <w:rPr>
            <w:rStyle w:val="Hyperlink"/>
            <w:rFonts w:cs="Arial"/>
            <w:noProof/>
          </w:rPr>
          <w:t>4.2 Data extraction</w:t>
        </w:r>
        <w:r>
          <w:rPr>
            <w:noProof/>
            <w:webHidden/>
          </w:rPr>
          <w:tab/>
        </w:r>
        <w:r>
          <w:rPr>
            <w:noProof/>
            <w:webHidden/>
          </w:rPr>
          <w:fldChar w:fldCharType="begin"/>
        </w:r>
        <w:r>
          <w:rPr>
            <w:noProof/>
            <w:webHidden/>
          </w:rPr>
          <w:instrText xml:space="preserve"> PAGEREF _Toc220668548 \h </w:instrText>
        </w:r>
        <w:r>
          <w:rPr>
            <w:noProof/>
            <w:webHidden/>
          </w:rPr>
        </w:r>
        <w:r>
          <w:rPr>
            <w:noProof/>
            <w:webHidden/>
          </w:rPr>
          <w:fldChar w:fldCharType="separate"/>
        </w:r>
        <w:r>
          <w:rPr>
            <w:noProof/>
            <w:webHidden/>
          </w:rPr>
          <w:t>32</w:t>
        </w:r>
        <w:r>
          <w:rPr>
            <w:noProof/>
            <w:webHidden/>
          </w:rPr>
          <w:fldChar w:fldCharType="end"/>
        </w:r>
      </w:hyperlink>
    </w:p>
    <w:p w14:paraId="6DCA07F8" w14:textId="77777777" w:rsidR="000C1B1B" w:rsidRDefault="000C1B1B">
      <w:pPr>
        <w:pStyle w:val="TOC2"/>
        <w:tabs>
          <w:tab w:val="right" w:leader="dot" w:pos="9350"/>
        </w:tabs>
        <w:rPr>
          <w:rFonts w:asciiTheme="minorHAnsi" w:eastAsiaTheme="minorEastAsia" w:hAnsiTheme="minorHAnsi" w:cstheme="minorBidi"/>
          <w:noProof/>
          <w:shd w:val="clear" w:color="auto" w:fill="auto"/>
        </w:rPr>
      </w:pPr>
      <w:hyperlink w:anchor="_Toc220668549" w:history="1">
        <w:r w:rsidRPr="00AD5C4A">
          <w:rPr>
            <w:rStyle w:val="Hyperlink"/>
            <w:rFonts w:cs="Arial"/>
            <w:noProof/>
          </w:rPr>
          <w:t>4.3 Thematic coding overview</w:t>
        </w:r>
        <w:r>
          <w:rPr>
            <w:noProof/>
            <w:webHidden/>
          </w:rPr>
          <w:tab/>
        </w:r>
        <w:r>
          <w:rPr>
            <w:noProof/>
            <w:webHidden/>
          </w:rPr>
          <w:fldChar w:fldCharType="begin"/>
        </w:r>
        <w:r>
          <w:rPr>
            <w:noProof/>
            <w:webHidden/>
          </w:rPr>
          <w:instrText xml:space="preserve"> PAGEREF _Toc220668549 \h </w:instrText>
        </w:r>
        <w:r>
          <w:rPr>
            <w:noProof/>
            <w:webHidden/>
          </w:rPr>
        </w:r>
        <w:r>
          <w:rPr>
            <w:noProof/>
            <w:webHidden/>
          </w:rPr>
          <w:fldChar w:fldCharType="separate"/>
        </w:r>
        <w:r>
          <w:rPr>
            <w:noProof/>
            <w:webHidden/>
          </w:rPr>
          <w:t>32</w:t>
        </w:r>
        <w:r>
          <w:rPr>
            <w:noProof/>
            <w:webHidden/>
          </w:rPr>
          <w:fldChar w:fldCharType="end"/>
        </w:r>
      </w:hyperlink>
    </w:p>
    <w:p w14:paraId="7AA09B4B" w14:textId="77777777" w:rsidR="000C1B1B" w:rsidRDefault="000C1B1B">
      <w:pPr>
        <w:pStyle w:val="TOC2"/>
        <w:tabs>
          <w:tab w:val="right" w:leader="dot" w:pos="9350"/>
        </w:tabs>
        <w:rPr>
          <w:rFonts w:asciiTheme="minorHAnsi" w:eastAsiaTheme="minorEastAsia" w:hAnsiTheme="minorHAnsi" w:cstheme="minorBidi"/>
          <w:noProof/>
          <w:shd w:val="clear" w:color="auto" w:fill="auto"/>
        </w:rPr>
      </w:pPr>
      <w:hyperlink w:anchor="_Toc220668550" w:history="1">
        <w:r w:rsidRPr="00AD5C4A">
          <w:rPr>
            <w:rStyle w:val="Hyperlink"/>
            <w:rFonts w:cs="Arial"/>
            <w:noProof/>
          </w:rPr>
          <w:t>4.4 Thematic findings</w:t>
        </w:r>
        <w:r>
          <w:rPr>
            <w:noProof/>
            <w:webHidden/>
          </w:rPr>
          <w:tab/>
        </w:r>
        <w:r>
          <w:rPr>
            <w:noProof/>
            <w:webHidden/>
          </w:rPr>
          <w:fldChar w:fldCharType="begin"/>
        </w:r>
        <w:r>
          <w:rPr>
            <w:noProof/>
            <w:webHidden/>
          </w:rPr>
          <w:instrText xml:space="preserve"> PAGEREF _Toc220668550 \h </w:instrText>
        </w:r>
        <w:r>
          <w:rPr>
            <w:noProof/>
            <w:webHidden/>
          </w:rPr>
        </w:r>
        <w:r>
          <w:rPr>
            <w:noProof/>
            <w:webHidden/>
          </w:rPr>
          <w:fldChar w:fldCharType="separate"/>
        </w:r>
        <w:r>
          <w:rPr>
            <w:noProof/>
            <w:webHidden/>
          </w:rPr>
          <w:t>33</w:t>
        </w:r>
        <w:r>
          <w:rPr>
            <w:noProof/>
            <w:webHidden/>
          </w:rPr>
          <w:fldChar w:fldCharType="end"/>
        </w:r>
      </w:hyperlink>
    </w:p>
    <w:p w14:paraId="7E728327" w14:textId="77777777" w:rsidR="000C1B1B" w:rsidRDefault="000C1B1B">
      <w:pPr>
        <w:pStyle w:val="TOC3"/>
        <w:tabs>
          <w:tab w:val="right" w:leader="dot" w:pos="9350"/>
        </w:tabs>
        <w:rPr>
          <w:rFonts w:asciiTheme="minorHAnsi" w:eastAsiaTheme="minorEastAsia" w:hAnsiTheme="minorHAnsi" w:cstheme="minorBidi"/>
          <w:noProof/>
          <w:shd w:val="clear" w:color="auto" w:fill="auto"/>
        </w:rPr>
      </w:pPr>
      <w:hyperlink w:anchor="_Toc220668551" w:history="1">
        <w:r w:rsidRPr="00AD5C4A">
          <w:rPr>
            <w:rStyle w:val="Hyperlink"/>
            <w:rFonts w:cs="Arial"/>
            <w:noProof/>
          </w:rPr>
          <w:t>Research objective 1</w:t>
        </w:r>
        <w:r>
          <w:rPr>
            <w:noProof/>
            <w:webHidden/>
          </w:rPr>
          <w:tab/>
        </w:r>
        <w:r>
          <w:rPr>
            <w:noProof/>
            <w:webHidden/>
          </w:rPr>
          <w:fldChar w:fldCharType="begin"/>
        </w:r>
        <w:r>
          <w:rPr>
            <w:noProof/>
            <w:webHidden/>
          </w:rPr>
          <w:instrText xml:space="preserve"> PAGEREF _Toc220668551 \h </w:instrText>
        </w:r>
        <w:r>
          <w:rPr>
            <w:noProof/>
            <w:webHidden/>
          </w:rPr>
        </w:r>
        <w:r>
          <w:rPr>
            <w:noProof/>
            <w:webHidden/>
          </w:rPr>
          <w:fldChar w:fldCharType="separate"/>
        </w:r>
        <w:r>
          <w:rPr>
            <w:noProof/>
            <w:webHidden/>
          </w:rPr>
          <w:t>33</w:t>
        </w:r>
        <w:r>
          <w:rPr>
            <w:noProof/>
            <w:webHidden/>
          </w:rPr>
          <w:fldChar w:fldCharType="end"/>
        </w:r>
      </w:hyperlink>
    </w:p>
    <w:p w14:paraId="0A1E7990" w14:textId="77777777" w:rsidR="000C1B1B" w:rsidRDefault="000C1B1B">
      <w:pPr>
        <w:pStyle w:val="TOC3"/>
        <w:tabs>
          <w:tab w:val="right" w:leader="dot" w:pos="9350"/>
        </w:tabs>
        <w:rPr>
          <w:rFonts w:asciiTheme="minorHAnsi" w:eastAsiaTheme="minorEastAsia" w:hAnsiTheme="minorHAnsi" w:cstheme="minorBidi"/>
          <w:noProof/>
          <w:shd w:val="clear" w:color="auto" w:fill="auto"/>
        </w:rPr>
      </w:pPr>
      <w:hyperlink w:anchor="_Toc220668552" w:history="1">
        <w:r w:rsidRPr="00AD5C4A">
          <w:rPr>
            <w:rStyle w:val="Hyperlink"/>
            <w:rFonts w:cs="Arial"/>
            <w:noProof/>
            <w:lang w:val="en-GB"/>
          </w:rPr>
          <w:t>Theme 1: Smoking prevalence in young adult in India is very high</w:t>
        </w:r>
        <w:r>
          <w:rPr>
            <w:noProof/>
            <w:webHidden/>
          </w:rPr>
          <w:tab/>
        </w:r>
        <w:r>
          <w:rPr>
            <w:noProof/>
            <w:webHidden/>
          </w:rPr>
          <w:fldChar w:fldCharType="begin"/>
        </w:r>
        <w:r>
          <w:rPr>
            <w:noProof/>
            <w:webHidden/>
          </w:rPr>
          <w:instrText xml:space="preserve"> PAGEREF _Toc220668552 \h </w:instrText>
        </w:r>
        <w:r>
          <w:rPr>
            <w:noProof/>
            <w:webHidden/>
          </w:rPr>
        </w:r>
        <w:r>
          <w:rPr>
            <w:noProof/>
            <w:webHidden/>
          </w:rPr>
          <w:fldChar w:fldCharType="separate"/>
        </w:r>
        <w:r>
          <w:rPr>
            <w:noProof/>
            <w:webHidden/>
          </w:rPr>
          <w:t>33</w:t>
        </w:r>
        <w:r>
          <w:rPr>
            <w:noProof/>
            <w:webHidden/>
          </w:rPr>
          <w:fldChar w:fldCharType="end"/>
        </w:r>
      </w:hyperlink>
    </w:p>
    <w:p w14:paraId="4E2A4FAB" w14:textId="77777777" w:rsidR="000C1B1B" w:rsidRDefault="000C1B1B">
      <w:pPr>
        <w:pStyle w:val="TOC3"/>
        <w:tabs>
          <w:tab w:val="right" w:leader="dot" w:pos="9350"/>
        </w:tabs>
        <w:rPr>
          <w:rFonts w:asciiTheme="minorHAnsi" w:eastAsiaTheme="minorEastAsia" w:hAnsiTheme="minorHAnsi" w:cstheme="minorBidi"/>
          <w:noProof/>
          <w:shd w:val="clear" w:color="auto" w:fill="auto"/>
        </w:rPr>
      </w:pPr>
      <w:hyperlink w:anchor="_Toc220668553" w:history="1">
        <w:r w:rsidRPr="00AD5C4A">
          <w:rPr>
            <w:rStyle w:val="Hyperlink"/>
            <w:rFonts w:cs="Arial"/>
            <w:noProof/>
            <w:lang w:val="en-GB"/>
          </w:rPr>
          <w:t>Theme 2 Family history and peer pressure are key determinants of tobacco use in young adults in India</w:t>
        </w:r>
        <w:r>
          <w:rPr>
            <w:noProof/>
            <w:webHidden/>
          </w:rPr>
          <w:tab/>
        </w:r>
        <w:r>
          <w:rPr>
            <w:noProof/>
            <w:webHidden/>
          </w:rPr>
          <w:fldChar w:fldCharType="begin"/>
        </w:r>
        <w:r>
          <w:rPr>
            <w:noProof/>
            <w:webHidden/>
          </w:rPr>
          <w:instrText xml:space="preserve"> PAGEREF _Toc220668553 \h </w:instrText>
        </w:r>
        <w:r>
          <w:rPr>
            <w:noProof/>
            <w:webHidden/>
          </w:rPr>
        </w:r>
        <w:r>
          <w:rPr>
            <w:noProof/>
            <w:webHidden/>
          </w:rPr>
          <w:fldChar w:fldCharType="separate"/>
        </w:r>
        <w:r>
          <w:rPr>
            <w:noProof/>
            <w:webHidden/>
          </w:rPr>
          <w:t>33</w:t>
        </w:r>
        <w:r>
          <w:rPr>
            <w:noProof/>
            <w:webHidden/>
          </w:rPr>
          <w:fldChar w:fldCharType="end"/>
        </w:r>
      </w:hyperlink>
    </w:p>
    <w:p w14:paraId="483F4277" w14:textId="77777777" w:rsidR="000C1B1B" w:rsidRDefault="000C1B1B">
      <w:pPr>
        <w:pStyle w:val="TOC3"/>
        <w:tabs>
          <w:tab w:val="right" w:leader="dot" w:pos="9350"/>
        </w:tabs>
        <w:rPr>
          <w:rFonts w:asciiTheme="minorHAnsi" w:eastAsiaTheme="minorEastAsia" w:hAnsiTheme="minorHAnsi" w:cstheme="minorBidi"/>
          <w:noProof/>
          <w:shd w:val="clear" w:color="auto" w:fill="auto"/>
        </w:rPr>
      </w:pPr>
      <w:hyperlink w:anchor="_Toc220668554" w:history="1">
        <w:r w:rsidRPr="00AD5C4A">
          <w:rPr>
            <w:rStyle w:val="Hyperlink"/>
            <w:rFonts w:cs="Arial"/>
            <w:noProof/>
            <w:lang w:val="en-GB"/>
          </w:rPr>
          <w:t>Theme 3 Nicotine and toxins from tobacco causes early coronary heart disease risk in young adults in India</w:t>
        </w:r>
        <w:r>
          <w:rPr>
            <w:noProof/>
            <w:webHidden/>
          </w:rPr>
          <w:tab/>
        </w:r>
        <w:r>
          <w:rPr>
            <w:noProof/>
            <w:webHidden/>
          </w:rPr>
          <w:fldChar w:fldCharType="begin"/>
        </w:r>
        <w:r>
          <w:rPr>
            <w:noProof/>
            <w:webHidden/>
          </w:rPr>
          <w:instrText xml:space="preserve"> PAGEREF _Toc220668554 \h </w:instrText>
        </w:r>
        <w:r>
          <w:rPr>
            <w:noProof/>
            <w:webHidden/>
          </w:rPr>
        </w:r>
        <w:r>
          <w:rPr>
            <w:noProof/>
            <w:webHidden/>
          </w:rPr>
          <w:fldChar w:fldCharType="separate"/>
        </w:r>
        <w:r>
          <w:rPr>
            <w:noProof/>
            <w:webHidden/>
          </w:rPr>
          <w:t>34</w:t>
        </w:r>
        <w:r>
          <w:rPr>
            <w:noProof/>
            <w:webHidden/>
          </w:rPr>
          <w:fldChar w:fldCharType="end"/>
        </w:r>
      </w:hyperlink>
    </w:p>
    <w:p w14:paraId="3DE5A5EC" w14:textId="77777777" w:rsidR="000C1B1B" w:rsidRDefault="000C1B1B">
      <w:pPr>
        <w:pStyle w:val="TOC3"/>
        <w:tabs>
          <w:tab w:val="right" w:leader="dot" w:pos="9350"/>
        </w:tabs>
        <w:rPr>
          <w:rFonts w:asciiTheme="minorHAnsi" w:eastAsiaTheme="minorEastAsia" w:hAnsiTheme="minorHAnsi" w:cstheme="minorBidi"/>
          <w:noProof/>
          <w:shd w:val="clear" w:color="auto" w:fill="auto"/>
        </w:rPr>
      </w:pPr>
      <w:hyperlink w:anchor="_Toc220668555" w:history="1">
        <w:r w:rsidRPr="00AD5C4A">
          <w:rPr>
            <w:rStyle w:val="Hyperlink"/>
            <w:noProof/>
            <w:lang w:val="en-GB"/>
          </w:rPr>
          <w:t>Research Objective 2</w:t>
        </w:r>
        <w:r>
          <w:rPr>
            <w:noProof/>
            <w:webHidden/>
          </w:rPr>
          <w:tab/>
        </w:r>
        <w:r>
          <w:rPr>
            <w:noProof/>
            <w:webHidden/>
          </w:rPr>
          <w:fldChar w:fldCharType="begin"/>
        </w:r>
        <w:r>
          <w:rPr>
            <w:noProof/>
            <w:webHidden/>
          </w:rPr>
          <w:instrText xml:space="preserve"> PAGEREF _Toc220668555 \h </w:instrText>
        </w:r>
        <w:r>
          <w:rPr>
            <w:noProof/>
            <w:webHidden/>
          </w:rPr>
        </w:r>
        <w:r>
          <w:rPr>
            <w:noProof/>
            <w:webHidden/>
          </w:rPr>
          <w:fldChar w:fldCharType="separate"/>
        </w:r>
        <w:r>
          <w:rPr>
            <w:noProof/>
            <w:webHidden/>
          </w:rPr>
          <w:t>38</w:t>
        </w:r>
        <w:r>
          <w:rPr>
            <w:noProof/>
            <w:webHidden/>
          </w:rPr>
          <w:fldChar w:fldCharType="end"/>
        </w:r>
      </w:hyperlink>
    </w:p>
    <w:p w14:paraId="2E1B2EA5" w14:textId="77777777" w:rsidR="000C1B1B" w:rsidRDefault="000C1B1B">
      <w:pPr>
        <w:pStyle w:val="TOC3"/>
        <w:tabs>
          <w:tab w:val="right" w:leader="dot" w:pos="9350"/>
        </w:tabs>
        <w:rPr>
          <w:rFonts w:asciiTheme="minorHAnsi" w:eastAsiaTheme="minorEastAsia" w:hAnsiTheme="minorHAnsi" w:cstheme="minorBidi"/>
          <w:noProof/>
          <w:shd w:val="clear" w:color="auto" w:fill="auto"/>
        </w:rPr>
      </w:pPr>
      <w:hyperlink w:anchor="_Toc220668556" w:history="1">
        <w:r w:rsidRPr="00AD5C4A">
          <w:rPr>
            <w:rStyle w:val="Hyperlink"/>
            <w:noProof/>
            <w:lang w:val="en-GB"/>
          </w:rPr>
          <w:t>Theme 1: National Tobacco Control Programme (NTCP) provides structured cessation support</w:t>
        </w:r>
        <w:r>
          <w:rPr>
            <w:noProof/>
            <w:webHidden/>
          </w:rPr>
          <w:tab/>
        </w:r>
        <w:r>
          <w:rPr>
            <w:noProof/>
            <w:webHidden/>
          </w:rPr>
          <w:fldChar w:fldCharType="begin"/>
        </w:r>
        <w:r>
          <w:rPr>
            <w:noProof/>
            <w:webHidden/>
          </w:rPr>
          <w:instrText xml:space="preserve"> PAGEREF _Toc220668556 \h </w:instrText>
        </w:r>
        <w:r>
          <w:rPr>
            <w:noProof/>
            <w:webHidden/>
          </w:rPr>
        </w:r>
        <w:r>
          <w:rPr>
            <w:noProof/>
            <w:webHidden/>
          </w:rPr>
          <w:fldChar w:fldCharType="separate"/>
        </w:r>
        <w:r>
          <w:rPr>
            <w:noProof/>
            <w:webHidden/>
          </w:rPr>
          <w:t>38</w:t>
        </w:r>
        <w:r>
          <w:rPr>
            <w:noProof/>
            <w:webHidden/>
          </w:rPr>
          <w:fldChar w:fldCharType="end"/>
        </w:r>
      </w:hyperlink>
    </w:p>
    <w:p w14:paraId="63D93699" w14:textId="77777777" w:rsidR="000C1B1B" w:rsidRDefault="000C1B1B">
      <w:pPr>
        <w:pStyle w:val="TOC3"/>
        <w:tabs>
          <w:tab w:val="right" w:leader="dot" w:pos="9350"/>
        </w:tabs>
        <w:rPr>
          <w:rFonts w:asciiTheme="minorHAnsi" w:eastAsiaTheme="minorEastAsia" w:hAnsiTheme="minorHAnsi" w:cstheme="minorBidi"/>
          <w:noProof/>
          <w:shd w:val="clear" w:color="auto" w:fill="auto"/>
        </w:rPr>
      </w:pPr>
      <w:hyperlink w:anchor="_Toc220668557" w:history="1">
        <w:r w:rsidRPr="00AD5C4A">
          <w:rPr>
            <w:rStyle w:val="Hyperlink"/>
            <w:noProof/>
            <w:lang w:val="en-GB"/>
          </w:rPr>
          <w:t>Theme 2: NTCP policies promote behaviour change and awareness among young adults</w:t>
        </w:r>
        <w:r>
          <w:rPr>
            <w:noProof/>
            <w:webHidden/>
          </w:rPr>
          <w:tab/>
        </w:r>
        <w:r>
          <w:rPr>
            <w:noProof/>
            <w:webHidden/>
          </w:rPr>
          <w:fldChar w:fldCharType="begin"/>
        </w:r>
        <w:r>
          <w:rPr>
            <w:noProof/>
            <w:webHidden/>
          </w:rPr>
          <w:instrText xml:space="preserve"> PAGEREF _Toc220668557 \h </w:instrText>
        </w:r>
        <w:r>
          <w:rPr>
            <w:noProof/>
            <w:webHidden/>
          </w:rPr>
        </w:r>
        <w:r>
          <w:rPr>
            <w:noProof/>
            <w:webHidden/>
          </w:rPr>
          <w:fldChar w:fldCharType="separate"/>
        </w:r>
        <w:r>
          <w:rPr>
            <w:noProof/>
            <w:webHidden/>
          </w:rPr>
          <w:t>39</w:t>
        </w:r>
        <w:r>
          <w:rPr>
            <w:noProof/>
            <w:webHidden/>
          </w:rPr>
          <w:fldChar w:fldCharType="end"/>
        </w:r>
      </w:hyperlink>
    </w:p>
    <w:p w14:paraId="1F107070" w14:textId="77777777" w:rsidR="000C1B1B" w:rsidRDefault="000C1B1B">
      <w:pPr>
        <w:pStyle w:val="TOC3"/>
        <w:tabs>
          <w:tab w:val="right" w:leader="dot" w:pos="9350"/>
        </w:tabs>
        <w:rPr>
          <w:rFonts w:asciiTheme="minorHAnsi" w:eastAsiaTheme="minorEastAsia" w:hAnsiTheme="minorHAnsi" w:cstheme="minorBidi"/>
          <w:noProof/>
          <w:shd w:val="clear" w:color="auto" w:fill="auto"/>
        </w:rPr>
      </w:pPr>
      <w:hyperlink w:anchor="_Toc220668558" w:history="1">
        <w:r w:rsidRPr="00AD5C4A">
          <w:rPr>
            <w:rStyle w:val="Hyperlink"/>
            <w:rFonts w:cs="Arial"/>
            <w:noProof/>
          </w:rPr>
          <w:t>Research objective 3</w:t>
        </w:r>
        <w:r>
          <w:rPr>
            <w:noProof/>
            <w:webHidden/>
          </w:rPr>
          <w:tab/>
        </w:r>
        <w:r>
          <w:rPr>
            <w:noProof/>
            <w:webHidden/>
          </w:rPr>
          <w:fldChar w:fldCharType="begin"/>
        </w:r>
        <w:r>
          <w:rPr>
            <w:noProof/>
            <w:webHidden/>
          </w:rPr>
          <w:instrText xml:space="preserve"> PAGEREF _Toc220668558 \h </w:instrText>
        </w:r>
        <w:r>
          <w:rPr>
            <w:noProof/>
            <w:webHidden/>
          </w:rPr>
        </w:r>
        <w:r>
          <w:rPr>
            <w:noProof/>
            <w:webHidden/>
          </w:rPr>
          <w:fldChar w:fldCharType="separate"/>
        </w:r>
        <w:r>
          <w:rPr>
            <w:noProof/>
            <w:webHidden/>
          </w:rPr>
          <w:t>40</w:t>
        </w:r>
        <w:r>
          <w:rPr>
            <w:noProof/>
            <w:webHidden/>
          </w:rPr>
          <w:fldChar w:fldCharType="end"/>
        </w:r>
      </w:hyperlink>
    </w:p>
    <w:p w14:paraId="54B63EE5" w14:textId="77777777" w:rsidR="000C1B1B" w:rsidRDefault="000C1B1B">
      <w:pPr>
        <w:pStyle w:val="TOC3"/>
        <w:tabs>
          <w:tab w:val="right" w:leader="dot" w:pos="9350"/>
        </w:tabs>
        <w:rPr>
          <w:rFonts w:asciiTheme="minorHAnsi" w:eastAsiaTheme="minorEastAsia" w:hAnsiTheme="minorHAnsi" w:cstheme="minorBidi"/>
          <w:noProof/>
          <w:shd w:val="clear" w:color="auto" w:fill="auto"/>
        </w:rPr>
      </w:pPr>
      <w:hyperlink w:anchor="_Toc220668559" w:history="1">
        <w:r w:rsidRPr="00AD5C4A">
          <w:rPr>
            <w:rStyle w:val="Hyperlink"/>
            <w:rFonts w:cs="Arial"/>
            <w:noProof/>
            <w:lang w:val="en-GB"/>
          </w:rPr>
          <w:t>Theme 1: NTCP intervention promote smoking cessation in schools that positively reduces early risk factor for coronary heart disease</w:t>
        </w:r>
        <w:r>
          <w:rPr>
            <w:noProof/>
            <w:webHidden/>
          </w:rPr>
          <w:tab/>
        </w:r>
        <w:r>
          <w:rPr>
            <w:noProof/>
            <w:webHidden/>
          </w:rPr>
          <w:fldChar w:fldCharType="begin"/>
        </w:r>
        <w:r>
          <w:rPr>
            <w:noProof/>
            <w:webHidden/>
          </w:rPr>
          <w:instrText xml:space="preserve"> PAGEREF _Toc220668559 \h </w:instrText>
        </w:r>
        <w:r>
          <w:rPr>
            <w:noProof/>
            <w:webHidden/>
          </w:rPr>
        </w:r>
        <w:r>
          <w:rPr>
            <w:noProof/>
            <w:webHidden/>
          </w:rPr>
          <w:fldChar w:fldCharType="separate"/>
        </w:r>
        <w:r>
          <w:rPr>
            <w:noProof/>
            <w:webHidden/>
          </w:rPr>
          <w:t>40</w:t>
        </w:r>
        <w:r>
          <w:rPr>
            <w:noProof/>
            <w:webHidden/>
          </w:rPr>
          <w:fldChar w:fldCharType="end"/>
        </w:r>
      </w:hyperlink>
    </w:p>
    <w:p w14:paraId="6E97B898" w14:textId="77777777" w:rsidR="000C1B1B" w:rsidRDefault="000C1B1B">
      <w:pPr>
        <w:pStyle w:val="TOC3"/>
        <w:tabs>
          <w:tab w:val="right" w:leader="dot" w:pos="9350"/>
        </w:tabs>
        <w:rPr>
          <w:rFonts w:asciiTheme="minorHAnsi" w:eastAsiaTheme="minorEastAsia" w:hAnsiTheme="minorHAnsi" w:cstheme="minorBidi"/>
          <w:noProof/>
          <w:shd w:val="clear" w:color="auto" w:fill="auto"/>
        </w:rPr>
      </w:pPr>
      <w:hyperlink w:anchor="_Toc220668560" w:history="1">
        <w:r w:rsidRPr="00AD5C4A">
          <w:rPr>
            <w:rStyle w:val="Hyperlink"/>
            <w:rFonts w:cs="Arial"/>
            <w:noProof/>
            <w:lang w:val="en-GB"/>
          </w:rPr>
          <w:t>Theme 2: NTCP interventions informs youths regarding negative health impact of tobacco use which positively impact reducing early risk factors</w:t>
        </w:r>
        <w:r>
          <w:rPr>
            <w:noProof/>
            <w:webHidden/>
          </w:rPr>
          <w:tab/>
        </w:r>
        <w:r>
          <w:rPr>
            <w:noProof/>
            <w:webHidden/>
          </w:rPr>
          <w:fldChar w:fldCharType="begin"/>
        </w:r>
        <w:r>
          <w:rPr>
            <w:noProof/>
            <w:webHidden/>
          </w:rPr>
          <w:instrText xml:space="preserve"> PAGEREF _Toc220668560 \h </w:instrText>
        </w:r>
        <w:r>
          <w:rPr>
            <w:noProof/>
            <w:webHidden/>
          </w:rPr>
        </w:r>
        <w:r>
          <w:rPr>
            <w:noProof/>
            <w:webHidden/>
          </w:rPr>
          <w:fldChar w:fldCharType="separate"/>
        </w:r>
        <w:r>
          <w:rPr>
            <w:noProof/>
            <w:webHidden/>
          </w:rPr>
          <w:t>40</w:t>
        </w:r>
        <w:r>
          <w:rPr>
            <w:noProof/>
            <w:webHidden/>
          </w:rPr>
          <w:fldChar w:fldCharType="end"/>
        </w:r>
      </w:hyperlink>
    </w:p>
    <w:p w14:paraId="4D91A484" w14:textId="77777777" w:rsidR="000C1B1B" w:rsidRDefault="000C1B1B">
      <w:pPr>
        <w:pStyle w:val="TOC3"/>
        <w:tabs>
          <w:tab w:val="right" w:leader="dot" w:pos="9350"/>
        </w:tabs>
        <w:rPr>
          <w:rFonts w:asciiTheme="minorHAnsi" w:eastAsiaTheme="minorEastAsia" w:hAnsiTheme="minorHAnsi" w:cstheme="minorBidi"/>
          <w:noProof/>
          <w:shd w:val="clear" w:color="auto" w:fill="auto"/>
        </w:rPr>
      </w:pPr>
      <w:hyperlink w:anchor="_Toc220668561" w:history="1">
        <w:r w:rsidRPr="00AD5C4A">
          <w:rPr>
            <w:rStyle w:val="Hyperlink"/>
            <w:rFonts w:cs="Arial"/>
            <w:noProof/>
          </w:rPr>
          <w:t>Research objective 4</w:t>
        </w:r>
        <w:r>
          <w:rPr>
            <w:noProof/>
            <w:webHidden/>
          </w:rPr>
          <w:tab/>
        </w:r>
        <w:r>
          <w:rPr>
            <w:noProof/>
            <w:webHidden/>
          </w:rPr>
          <w:fldChar w:fldCharType="begin"/>
        </w:r>
        <w:r>
          <w:rPr>
            <w:noProof/>
            <w:webHidden/>
          </w:rPr>
          <w:instrText xml:space="preserve"> PAGEREF _Toc220668561 \h </w:instrText>
        </w:r>
        <w:r>
          <w:rPr>
            <w:noProof/>
            <w:webHidden/>
          </w:rPr>
        </w:r>
        <w:r>
          <w:rPr>
            <w:noProof/>
            <w:webHidden/>
          </w:rPr>
          <w:fldChar w:fldCharType="separate"/>
        </w:r>
        <w:r>
          <w:rPr>
            <w:noProof/>
            <w:webHidden/>
          </w:rPr>
          <w:t>41</w:t>
        </w:r>
        <w:r>
          <w:rPr>
            <w:noProof/>
            <w:webHidden/>
          </w:rPr>
          <w:fldChar w:fldCharType="end"/>
        </w:r>
      </w:hyperlink>
    </w:p>
    <w:p w14:paraId="67613B2F" w14:textId="77777777" w:rsidR="000C1B1B" w:rsidRDefault="000C1B1B">
      <w:pPr>
        <w:pStyle w:val="TOC3"/>
        <w:tabs>
          <w:tab w:val="right" w:leader="dot" w:pos="9350"/>
        </w:tabs>
        <w:rPr>
          <w:rFonts w:asciiTheme="minorHAnsi" w:eastAsiaTheme="minorEastAsia" w:hAnsiTheme="minorHAnsi" w:cstheme="minorBidi"/>
          <w:noProof/>
          <w:shd w:val="clear" w:color="auto" w:fill="auto"/>
        </w:rPr>
      </w:pPr>
      <w:hyperlink w:anchor="_Toc220668562" w:history="1">
        <w:r w:rsidRPr="00AD5C4A">
          <w:rPr>
            <w:rStyle w:val="Hyperlink"/>
            <w:rFonts w:cs="Arial"/>
            <w:noProof/>
          </w:rPr>
          <w:t>Theme 1: High cost of implementation of NTCP policies is one of key barrier in India</w:t>
        </w:r>
        <w:r>
          <w:rPr>
            <w:noProof/>
            <w:webHidden/>
          </w:rPr>
          <w:tab/>
        </w:r>
        <w:r>
          <w:rPr>
            <w:noProof/>
            <w:webHidden/>
          </w:rPr>
          <w:fldChar w:fldCharType="begin"/>
        </w:r>
        <w:r>
          <w:rPr>
            <w:noProof/>
            <w:webHidden/>
          </w:rPr>
          <w:instrText xml:space="preserve"> PAGEREF _Toc220668562 \h </w:instrText>
        </w:r>
        <w:r>
          <w:rPr>
            <w:noProof/>
            <w:webHidden/>
          </w:rPr>
        </w:r>
        <w:r>
          <w:rPr>
            <w:noProof/>
            <w:webHidden/>
          </w:rPr>
          <w:fldChar w:fldCharType="separate"/>
        </w:r>
        <w:r>
          <w:rPr>
            <w:noProof/>
            <w:webHidden/>
          </w:rPr>
          <w:t>41</w:t>
        </w:r>
        <w:r>
          <w:rPr>
            <w:noProof/>
            <w:webHidden/>
          </w:rPr>
          <w:fldChar w:fldCharType="end"/>
        </w:r>
      </w:hyperlink>
    </w:p>
    <w:p w14:paraId="1828751C" w14:textId="77777777" w:rsidR="000C1B1B" w:rsidRDefault="000C1B1B">
      <w:pPr>
        <w:pStyle w:val="TOC3"/>
        <w:tabs>
          <w:tab w:val="right" w:leader="dot" w:pos="9350"/>
        </w:tabs>
        <w:rPr>
          <w:rFonts w:asciiTheme="minorHAnsi" w:eastAsiaTheme="minorEastAsia" w:hAnsiTheme="minorHAnsi" w:cstheme="minorBidi"/>
          <w:noProof/>
          <w:shd w:val="clear" w:color="auto" w:fill="auto"/>
        </w:rPr>
      </w:pPr>
      <w:hyperlink w:anchor="_Toc220668563" w:history="1">
        <w:r w:rsidRPr="00AD5C4A">
          <w:rPr>
            <w:rStyle w:val="Hyperlink"/>
            <w:rFonts w:cs="Arial"/>
            <w:noProof/>
          </w:rPr>
          <w:t>Theme 2: Supportive governance in India is one of key enabler of NTCP policies implementation in India</w:t>
        </w:r>
        <w:r>
          <w:rPr>
            <w:noProof/>
            <w:webHidden/>
          </w:rPr>
          <w:tab/>
        </w:r>
        <w:r>
          <w:rPr>
            <w:noProof/>
            <w:webHidden/>
          </w:rPr>
          <w:fldChar w:fldCharType="begin"/>
        </w:r>
        <w:r>
          <w:rPr>
            <w:noProof/>
            <w:webHidden/>
          </w:rPr>
          <w:instrText xml:space="preserve"> PAGEREF _Toc220668563 \h </w:instrText>
        </w:r>
        <w:r>
          <w:rPr>
            <w:noProof/>
            <w:webHidden/>
          </w:rPr>
        </w:r>
        <w:r>
          <w:rPr>
            <w:noProof/>
            <w:webHidden/>
          </w:rPr>
          <w:fldChar w:fldCharType="separate"/>
        </w:r>
        <w:r>
          <w:rPr>
            <w:noProof/>
            <w:webHidden/>
          </w:rPr>
          <w:t>42</w:t>
        </w:r>
        <w:r>
          <w:rPr>
            <w:noProof/>
            <w:webHidden/>
          </w:rPr>
          <w:fldChar w:fldCharType="end"/>
        </w:r>
      </w:hyperlink>
    </w:p>
    <w:p w14:paraId="63217063" w14:textId="77777777" w:rsidR="000C1B1B" w:rsidRDefault="000C1B1B">
      <w:pPr>
        <w:pStyle w:val="TOC2"/>
        <w:tabs>
          <w:tab w:val="right" w:leader="dot" w:pos="9350"/>
        </w:tabs>
        <w:rPr>
          <w:rFonts w:asciiTheme="minorHAnsi" w:eastAsiaTheme="minorEastAsia" w:hAnsiTheme="minorHAnsi" w:cstheme="minorBidi"/>
          <w:noProof/>
          <w:shd w:val="clear" w:color="auto" w:fill="auto"/>
        </w:rPr>
      </w:pPr>
      <w:hyperlink w:anchor="_Toc220668564" w:history="1">
        <w:r w:rsidRPr="00AD5C4A">
          <w:rPr>
            <w:rStyle w:val="Hyperlink"/>
            <w:rFonts w:cs="Arial"/>
            <w:noProof/>
          </w:rPr>
          <w:t>4.5 Conclusion</w:t>
        </w:r>
        <w:r>
          <w:rPr>
            <w:noProof/>
            <w:webHidden/>
          </w:rPr>
          <w:tab/>
        </w:r>
        <w:r>
          <w:rPr>
            <w:noProof/>
            <w:webHidden/>
          </w:rPr>
          <w:fldChar w:fldCharType="begin"/>
        </w:r>
        <w:r>
          <w:rPr>
            <w:noProof/>
            <w:webHidden/>
          </w:rPr>
          <w:instrText xml:space="preserve"> PAGEREF _Toc220668564 \h </w:instrText>
        </w:r>
        <w:r>
          <w:rPr>
            <w:noProof/>
            <w:webHidden/>
          </w:rPr>
        </w:r>
        <w:r>
          <w:rPr>
            <w:noProof/>
            <w:webHidden/>
          </w:rPr>
          <w:fldChar w:fldCharType="separate"/>
        </w:r>
        <w:r>
          <w:rPr>
            <w:noProof/>
            <w:webHidden/>
          </w:rPr>
          <w:t>43</w:t>
        </w:r>
        <w:r>
          <w:rPr>
            <w:noProof/>
            <w:webHidden/>
          </w:rPr>
          <w:fldChar w:fldCharType="end"/>
        </w:r>
      </w:hyperlink>
    </w:p>
    <w:p w14:paraId="14E16F2B" w14:textId="77777777" w:rsidR="000C1B1B" w:rsidRDefault="000C1B1B">
      <w:pPr>
        <w:pStyle w:val="TOC1"/>
        <w:tabs>
          <w:tab w:val="right" w:leader="dot" w:pos="9350"/>
        </w:tabs>
        <w:rPr>
          <w:rFonts w:asciiTheme="minorHAnsi" w:eastAsiaTheme="minorEastAsia" w:hAnsiTheme="minorHAnsi" w:cstheme="minorBidi"/>
          <w:noProof/>
          <w:shd w:val="clear" w:color="auto" w:fill="auto"/>
        </w:rPr>
      </w:pPr>
      <w:hyperlink w:anchor="_Toc220668565" w:history="1">
        <w:r w:rsidRPr="00AD5C4A">
          <w:rPr>
            <w:rStyle w:val="Hyperlink"/>
            <w:rFonts w:cs="Arial"/>
            <w:noProof/>
          </w:rPr>
          <w:t>Chapter 5 Discussion</w:t>
        </w:r>
        <w:r>
          <w:rPr>
            <w:noProof/>
            <w:webHidden/>
          </w:rPr>
          <w:tab/>
        </w:r>
        <w:r>
          <w:rPr>
            <w:noProof/>
            <w:webHidden/>
          </w:rPr>
          <w:fldChar w:fldCharType="begin"/>
        </w:r>
        <w:r>
          <w:rPr>
            <w:noProof/>
            <w:webHidden/>
          </w:rPr>
          <w:instrText xml:space="preserve"> PAGEREF _Toc220668565 \h </w:instrText>
        </w:r>
        <w:r>
          <w:rPr>
            <w:noProof/>
            <w:webHidden/>
          </w:rPr>
        </w:r>
        <w:r>
          <w:rPr>
            <w:noProof/>
            <w:webHidden/>
          </w:rPr>
          <w:fldChar w:fldCharType="separate"/>
        </w:r>
        <w:r>
          <w:rPr>
            <w:noProof/>
            <w:webHidden/>
          </w:rPr>
          <w:t>44</w:t>
        </w:r>
        <w:r>
          <w:rPr>
            <w:noProof/>
            <w:webHidden/>
          </w:rPr>
          <w:fldChar w:fldCharType="end"/>
        </w:r>
      </w:hyperlink>
    </w:p>
    <w:p w14:paraId="277278FF" w14:textId="77777777" w:rsidR="000C1B1B" w:rsidRDefault="000C1B1B">
      <w:pPr>
        <w:pStyle w:val="TOC2"/>
        <w:tabs>
          <w:tab w:val="right" w:leader="dot" w:pos="9350"/>
        </w:tabs>
        <w:rPr>
          <w:rFonts w:asciiTheme="minorHAnsi" w:eastAsiaTheme="minorEastAsia" w:hAnsiTheme="minorHAnsi" w:cstheme="minorBidi"/>
          <w:noProof/>
          <w:shd w:val="clear" w:color="auto" w:fill="auto"/>
        </w:rPr>
      </w:pPr>
      <w:hyperlink w:anchor="_Toc220668566" w:history="1">
        <w:r w:rsidRPr="00AD5C4A">
          <w:rPr>
            <w:rStyle w:val="Hyperlink"/>
            <w:rFonts w:cs="Arial"/>
            <w:noProof/>
          </w:rPr>
          <w:t>5.1 Introduction</w:t>
        </w:r>
        <w:r>
          <w:rPr>
            <w:noProof/>
            <w:webHidden/>
          </w:rPr>
          <w:tab/>
        </w:r>
        <w:r>
          <w:rPr>
            <w:noProof/>
            <w:webHidden/>
          </w:rPr>
          <w:fldChar w:fldCharType="begin"/>
        </w:r>
        <w:r>
          <w:rPr>
            <w:noProof/>
            <w:webHidden/>
          </w:rPr>
          <w:instrText xml:space="preserve"> PAGEREF _Toc220668566 \h </w:instrText>
        </w:r>
        <w:r>
          <w:rPr>
            <w:noProof/>
            <w:webHidden/>
          </w:rPr>
        </w:r>
        <w:r>
          <w:rPr>
            <w:noProof/>
            <w:webHidden/>
          </w:rPr>
          <w:fldChar w:fldCharType="separate"/>
        </w:r>
        <w:r>
          <w:rPr>
            <w:noProof/>
            <w:webHidden/>
          </w:rPr>
          <w:t>44</w:t>
        </w:r>
        <w:r>
          <w:rPr>
            <w:noProof/>
            <w:webHidden/>
          </w:rPr>
          <w:fldChar w:fldCharType="end"/>
        </w:r>
      </w:hyperlink>
    </w:p>
    <w:p w14:paraId="6D98A733" w14:textId="77777777" w:rsidR="000C1B1B" w:rsidRDefault="000C1B1B">
      <w:pPr>
        <w:pStyle w:val="TOC2"/>
        <w:tabs>
          <w:tab w:val="right" w:leader="dot" w:pos="9350"/>
        </w:tabs>
        <w:rPr>
          <w:rFonts w:asciiTheme="minorHAnsi" w:eastAsiaTheme="minorEastAsia" w:hAnsiTheme="minorHAnsi" w:cstheme="minorBidi"/>
          <w:noProof/>
          <w:shd w:val="clear" w:color="auto" w:fill="auto"/>
        </w:rPr>
      </w:pPr>
      <w:hyperlink w:anchor="_Toc220668567" w:history="1">
        <w:r w:rsidRPr="00AD5C4A">
          <w:rPr>
            <w:rStyle w:val="Hyperlink"/>
            <w:rFonts w:cs="Arial"/>
            <w:noProof/>
          </w:rPr>
          <w:t>5.2 Discussion</w:t>
        </w:r>
        <w:r>
          <w:rPr>
            <w:noProof/>
            <w:webHidden/>
          </w:rPr>
          <w:tab/>
        </w:r>
        <w:r>
          <w:rPr>
            <w:noProof/>
            <w:webHidden/>
          </w:rPr>
          <w:fldChar w:fldCharType="begin"/>
        </w:r>
        <w:r>
          <w:rPr>
            <w:noProof/>
            <w:webHidden/>
          </w:rPr>
          <w:instrText xml:space="preserve"> PAGEREF _Toc220668567 \h </w:instrText>
        </w:r>
        <w:r>
          <w:rPr>
            <w:noProof/>
            <w:webHidden/>
          </w:rPr>
        </w:r>
        <w:r>
          <w:rPr>
            <w:noProof/>
            <w:webHidden/>
          </w:rPr>
          <w:fldChar w:fldCharType="separate"/>
        </w:r>
        <w:r>
          <w:rPr>
            <w:noProof/>
            <w:webHidden/>
          </w:rPr>
          <w:t>44</w:t>
        </w:r>
        <w:r>
          <w:rPr>
            <w:noProof/>
            <w:webHidden/>
          </w:rPr>
          <w:fldChar w:fldCharType="end"/>
        </w:r>
      </w:hyperlink>
    </w:p>
    <w:p w14:paraId="14534432" w14:textId="77777777" w:rsidR="000C1B1B" w:rsidRDefault="000C1B1B">
      <w:pPr>
        <w:pStyle w:val="TOC3"/>
        <w:tabs>
          <w:tab w:val="right" w:leader="dot" w:pos="9350"/>
        </w:tabs>
        <w:rPr>
          <w:rFonts w:asciiTheme="minorHAnsi" w:eastAsiaTheme="minorEastAsia" w:hAnsiTheme="minorHAnsi" w:cstheme="minorBidi"/>
          <w:noProof/>
          <w:shd w:val="clear" w:color="auto" w:fill="auto"/>
        </w:rPr>
      </w:pPr>
      <w:hyperlink w:anchor="_Toc220668568" w:history="1">
        <w:r w:rsidRPr="00AD5C4A">
          <w:rPr>
            <w:rStyle w:val="Hyperlink"/>
            <w:rFonts w:cs="Arial"/>
            <w:noProof/>
          </w:rPr>
          <w:t>Findings link with LR.</w:t>
        </w:r>
        <w:r>
          <w:rPr>
            <w:noProof/>
            <w:webHidden/>
          </w:rPr>
          <w:tab/>
        </w:r>
        <w:r>
          <w:rPr>
            <w:noProof/>
            <w:webHidden/>
          </w:rPr>
          <w:fldChar w:fldCharType="begin"/>
        </w:r>
        <w:r>
          <w:rPr>
            <w:noProof/>
            <w:webHidden/>
          </w:rPr>
          <w:instrText xml:space="preserve"> PAGEREF _Toc220668568 \h </w:instrText>
        </w:r>
        <w:r>
          <w:rPr>
            <w:noProof/>
            <w:webHidden/>
          </w:rPr>
        </w:r>
        <w:r>
          <w:rPr>
            <w:noProof/>
            <w:webHidden/>
          </w:rPr>
          <w:fldChar w:fldCharType="separate"/>
        </w:r>
        <w:r>
          <w:rPr>
            <w:noProof/>
            <w:webHidden/>
          </w:rPr>
          <w:t>44</w:t>
        </w:r>
        <w:r>
          <w:rPr>
            <w:noProof/>
            <w:webHidden/>
          </w:rPr>
          <w:fldChar w:fldCharType="end"/>
        </w:r>
      </w:hyperlink>
    </w:p>
    <w:p w14:paraId="596BDE98" w14:textId="77777777" w:rsidR="000C1B1B" w:rsidRDefault="000C1B1B">
      <w:pPr>
        <w:pStyle w:val="TOC3"/>
        <w:tabs>
          <w:tab w:val="right" w:leader="dot" w:pos="9350"/>
        </w:tabs>
        <w:rPr>
          <w:rFonts w:asciiTheme="minorHAnsi" w:eastAsiaTheme="minorEastAsia" w:hAnsiTheme="minorHAnsi" w:cstheme="minorBidi"/>
          <w:noProof/>
          <w:shd w:val="clear" w:color="auto" w:fill="auto"/>
        </w:rPr>
      </w:pPr>
      <w:hyperlink w:anchor="_Toc220668569" w:history="1">
        <w:r w:rsidRPr="00AD5C4A">
          <w:rPr>
            <w:rStyle w:val="Hyperlink"/>
            <w:rFonts w:cs="Arial"/>
            <w:noProof/>
          </w:rPr>
          <w:t>Findings link with research questions and objectives.</w:t>
        </w:r>
        <w:r>
          <w:rPr>
            <w:noProof/>
            <w:webHidden/>
          </w:rPr>
          <w:tab/>
        </w:r>
        <w:r>
          <w:rPr>
            <w:noProof/>
            <w:webHidden/>
          </w:rPr>
          <w:fldChar w:fldCharType="begin"/>
        </w:r>
        <w:r>
          <w:rPr>
            <w:noProof/>
            <w:webHidden/>
          </w:rPr>
          <w:instrText xml:space="preserve"> PAGEREF _Toc220668569 \h </w:instrText>
        </w:r>
        <w:r>
          <w:rPr>
            <w:noProof/>
            <w:webHidden/>
          </w:rPr>
        </w:r>
        <w:r>
          <w:rPr>
            <w:noProof/>
            <w:webHidden/>
          </w:rPr>
          <w:fldChar w:fldCharType="separate"/>
        </w:r>
        <w:r>
          <w:rPr>
            <w:noProof/>
            <w:webHidden/>
          </w:rPr>
          <w:t>45</w:t>
        </w:r>
        <w:r>
          <w:rPr>
            <w:noProof/>
            <w:webHidden/>
          </w:rPr>
          <w:fldChar w:fldCharType="end"/>
        </w:r>
      </w:hyperlink>
    </w:p>
    <w:p w14:paraId="1A476269" w14:textId="77777777" w:rsidR="000C1B1B" w:rsidRDefault="000C1B1B">
      <w:pPr>
        <w:pStyle w:val="TOC2"/>
        <w:tabs>
          <w:tab w:val="right" w:leader="dot" w:pos="9350"/>
        </w:tabs>
        <w:rPr>
          <w:rFonts w:asciiTheme="minorHAnsi" w:eastAsiaTheme="minorEastAsia" w:hAnsiTheme="minorHAnsi" w:cstheme="minorBidi"/>
          <w:noProof/>
          <w:shd w:val="clear" w:color="auto" w:fill="auto"/>
        </w:rPr>
      </w:pPr>
      <w:hyperlink w:anchor="_Toc220668570" w:history="1">
        <w:r w:rsidRPr="00AD5C4A">
          <w:rPr>
            <w:rStyle w:val="Hyperlink"/>
            <w:rFonts w:cs="Arial"/>
            <w:noProof/>
          </w:rPr>
          <w:t>5.3 Implication of findings</w:t>
        </w:r>
        <w:r>
          <w:rPr>
            <w:noProof/>
            <w:webHidden/>
          </w:rPr>
          <w:tab/>
        </w:r>
        <w:r>
          <w:rPr>
            <w:noProof/>
            <w:webHidden/>
          </w:rPr>
          <w:fldChar w:fldCharType="begin"/>
        </w:r>
        <w:r>
          <w:rPr>
            <w:noProof/>
            <w:webHidden/>
          </w:rPr>
          <w:instrText xml:space="preserve"> PAGEREF _Toc220668570 \h </w:instrText>
        </w:r>
        <w:r>
          <w:rPr>
            <w:noProof/>
            <w:webHidden/>
          </w:rPr>
        </w:r>
        <w:r>
          <w:rPr>
            <w:noProof/>
            <w:webHidden/>
          </w:rPr>
          <w:fldChar w:fldCharType="separate"/>
        </w:r>
        <w:r>
          <w:rPr>
            <w:noProof/>
            <w:webHidden/>
          </w:rPr>
          <w:t>47</w:t>
        </w:r>
        <w:r>
          <w:rPr>
            <w:noProof/>
            <w:webHidden/>
          </w:rPr>
          <w:fldChar w:fldCharType="end"/>
        </w:r>
      </w:hyperlink>
    </w:p>
    <w:p w14:paraId="3F970CEB" w14:textId="77777777" w:rsidR="000C1B1B" w:rsidRDefault="000C1B1B">
      <w:pPr>
        <w:pStyle w:val="TOC2"/>
        <w:tabs>
          <w:tab w:val="right" w:leader="dot" w:pos="9350"/>
        </w:tabs>
        <w:rPr>
          <w:rFonts w:asciiTheme="minorHAnsi" w:eastAsiaTheme="minorEastAsia" w:hAnsiTheme="minorHAnsi" w:cstheme="minorBidi"/>
          <w:noProof/>
          <w:shd w:val="clear" w:color="auto" w:fill="auto"/>
        </w:rPr>
      </w:pPr>
      <w:hyperlink w:anchor="_Toc220668571" w:history="1">
        <w:r w:rsidRPr="00AD5C4A">
          <w:rPr>
            <w:rStyle w:val="Hyperlink"/>
            <w:rFonts w:cs="Arial"/>
            <w:noProof/>
          </w:rPr>
          <w:t>5.4 Strengths and limitations</w:t>
        </w:r>
        <w:r>
          <w:rPr>
            <w:noProof/>
            <w:webHidden/>
          </w:rPr>
          <w:tab/>
        </w:r>
        <w:r>
          <w:rPr>
            <w:noProof/>
            <w:webHidden/>
          </w:rPr>
          <w:fldChar w:fldCharType="begin"/>
        </w:r>
        <w:r>
          <w:rPr>
            <w:noProof/>
            <w:webHidden/>
          </w:rPr>
          <w:instrText xml:space="preserve"> PAGEREF _Toc220668571 \h </w:instrText>
        </w:r>
        <w:r>
          <w:rPr>
            <w:noProof/>
            <w:webHidden/>
          </w:rPr>
        </w:r>
        <w:r>
          <w:rPr>
            <w:noProof/>
            <w:webHidden/>
          </w:rPr>
          <w:fldChar w:fldCharType="separate"/>
        </w:r>
        <w:r>
          <w:rPr>
            <w:noProof/>
            <w:webHidden/>
          </w:rPr>
          <w:t>48</w:t>
        </w:r>
        <w:r>
          <w:rPr>
            <w:noProof/>
            <w:webHidden/>
          </w:rPr>
          <w:fldChar w:fldCharType="end"/>
        </w:r>
      </w:hyperlink>
    </w:p>
    <w:p w14:paraId="20D764BF" w14:textId="77777777" w:rsidR="000C1B1B" w:rsidRDefault="000C1B1B">
      <w:pPr>
        <w:pStyle w:val="TOC2"/>
        <w:tabs>
          <w:tab w:val="right" w:leader="dot" w:pos="9350"/>
        </w:tabs>
        <w:rPr>
          <w:rFonts w:asciiTheme="minorHAnsi" w:eastAsiaTheme="minorEastAsia" w:hAnsiTheme="minorHAnsi" w:cstheme="minorBidi"/>
          <w:noProof/>
          <w:shd w:val="clear" w:color="auto" w:fill="auto"/>
        </w:rPr>
      </w:pPr>
      <w:hyperlink w:anchor="_Toc220668572" w:history="1">
        <w:r w:rsidRPr="00AD5C4A">
          <w:rPr>
            <w:rStyle w:val="Hyperlink"/>
            <w:rFonts w:cs="Arial"/>
            <w:noProof/>
          </w:rPr>
          <w:t>5.5 Conclusion</w:t>
        </w:r>
        <w:r>
          <w:rPr>
            <w:noProof/>
            <w:webHidden/>
          </w:rPr>
          <w:tab/>
        </w:r>
        <w:r>
          <w:rPr>
            <w:noProof/>
            <w:webHidden/>
          </w:rPr>
          <w:fldChar w:fldCharType="begin"/>
        </w:r>
        <w:r>
          <w:rPr>
            <w:noProof/>
            <w:webHidden/>
          </w:rPr>
          <w:instrText xml:space="preserve"> PAGEREF _Toc220668572 \h </w:instrText>
        </w:r>
        <w:r>
          <w:rPr>
            <w:noProof/>
            <w:webHidden/>
          </w:rPr>
        </w:r>
        <w:r>
          <w:rPr>
            <w:noProof/>
            <w:webHidden/>
          </w:rPr>
          <w:fldChar w:fldCharType="separate"/>
        </w:r>
        <w:r>
          <w:rPr>
            <w:noProof/>
            <w:webHidden/>
          </w:rPr>
          <w:t>49</w:t>
        </w:r>
        <w:r>
          <w:rPr>
            <w:noProof/>
            <w:webHidden/>
          </w:rPr>
          <w:fldChar w:fldCharType="end"/>
        </w:r>
      </w:hyperlink>
    </w:p>
    <w:p w14:paraId="0240B0E8" w14:textId="77777777" w:rsidR="000C1B1B" w:rsidRDefault="000C1B1B">
      <w:pPr>
        <w:pStyle w:val="TOC1"/>
        <w:tabs>
          <w:tab w:val="right" w:leader="dot" w:pos="9350"/>
        </w:tabs>
        <w:rPr>
          <w:rFonts w:asciiTheme="minorHAnsi" w:eastAsiaTheme="minorEastAsia" w:hAnsiTheme="minorHAnsi" w:cstheme="minorBidi"/>
          <w:noProof/>
          <w:shd w:val="clear" w:color="auto" w:fill="auto"/>
        </w:rPr>
      </w:pPr>
      <w:hyperlink w:anchor="_Toc220668573" w:history="1">
        <w:r w:rsidRPr="00AD5C4A">
          <w:rPr>
            <w:rStyle w:val="Hyperlink"/>
            <w:rFonts w:cs="Arial"/>
            <w:noProof/>
            <w:lang w:val="en-GB"/>
          </w:rPr>
          <w:t>Chapter 6 Conclusion and recommendations</w:t>
        </w:r>
        <w:r>
          <w:rPr>
            <w:noProof/>
            <w:webHidden/>
          </w:rPr>
          <w:tab/>
        </w:r>
        <w:r>
          <w:rPr>
            <w:noProof/>
            <w:webHidden/>
          </w:rPr>
          <w:fldChar w:fldCharType="begin"/>
        </w:r>
        <w:r>
          <w:rPr>
            <w:noProof/>
            <w:webHidden/>
          </w:rPr>
          <w:instrText xml:space="preserve"> PAGEREF _Toc220668573 \h </w:instrText>
        </w:r>
        <w:r>
          <w:rPr>
            <w:noProof/>
            <w:webHidden/>
          </w:rPr>
        </w:r>
        <w:r>
          <w:rPr>
            <w:noProof/>
            <w:webHidden/>
          </w:rPr>
          <w:fldChar w:fldCharType="separate"/>
        </w:r>
        <w:r>
          <w:rPr>
            <w:noProof/>
            <w:webHidden/>
          </w:rPr>
          <w:t>50</w:t>
        </w:r>
        <w:r>
          <w:rPr>
            <w:noProof/>
            <w:webHidden/>
          </w:rPr>
          <w:fldChar w:fldCharType="end"/>
        </w:r>
      </w:hyperlink>
    </w:p>
    <w:p w14:paraId="06CF6CA2" w14:textId="77777777" w:rsidR="000C1B1B" w:rsidRDefault="000C1B1B">
      <w:pPr>
        <w:pStyle w:val="TOC2"/>
        <w:tabs>
          <w:tab w:val="right" w:leader="dot" w:pos="9350"/>
        </w:tabs>
        <w:rPr>
          <w:rFonts w:asciiTheme="minorHAnsi" w:eastAsiaTheme="minorEastAsia" w:hAnsiTheme="minorHAnsi" w:cstheme="minorBidi"/>
          <w:noProof/>
          <w:shd w:val="clear" w:color="auto" w:fill="auto"/>
        </w:rPr>
      </w:pPr>
      <w:hyperlink w:anchor="_Toc220668574" w:history="1">
        <w:r w:rsidRPr="00AD5C4A">
          <w:rPr>
            <w:rStyle w:val="Hyperlink"/>
            <w:noProof/>
            <w:lang w:val="en-GB"/>
          </w:rPr>
          <w:t>6.1 Answering research question</w:t>
        </w:r>
        <w:r>
          <w:rPr>
            <w:noProof/>
            <w:webHidden/>
          </w:rPr>
          <w:tab/>
        </w:r>
        <w:r>
          <w:rPr>
            <w:noProof/>
            <w:webHidden/>
          </w:rPr>
          <w:fldChar w:fldCharType="begin"/>
        </w:r>
        <w:r>
          <w:rPr>
            <w:noProof/>
            <w:webHidden/>
          </w:rPr>
          <w:instrText xml:space="preserve"> PAGEREF _Toc220668574 \h </w:instrText>
        </w:r>
        <w:r>
          <w:rPr>
            <w:noProof/>
            <w:webHidden/>
          </w:rPr>
        </w:r>
        <w:r>
          <w:rPr>
            <w:noProof/>
            <w:webHidden/>
          </w:rPr>
          <w:fldChar w:fldCharType="separate"/>
        </w:r>
        <w:r>
          <w:rPr>
            <w:noProof/>
            <w:webHidden/>
          </w:rPr>
          <w:t>50</w:t>
        </w:r>
        <w:r>
          <w:rPr>
            <w:noProof/>
            <w:webHidden/>
          </w:rPr>
          <w:fldChar w:fldCharType="end"/>
        </w:r>
      </w:hyperlink>
    </w:p>
    <w:p w14:paraId="5E8726BE" w14:textId="77777777" w:rsidR="000C1B1B" w:rsidRDefault="000C1B1B">
      <w:pPr>
        <w:pStyle w:val="TOC2"/>
        <w:tabs>
          <w:tab w:val="right" w:leader="dot" w:pos="9350"/>
        </w:tabs>
        <w:rPr>
          <w:rFonts w:asciiTheme="minorHAnsi" w:eastAsiaTheme="minorEastAsia" w:hAnsiTheme="minorHAnsi" w:cstheme="minorBidi"/>
          <w:noProof/>
          <w:shd w:val="clear" w:color="auto" w:fill="auto"/>
        </w:rPr>
      </w:pPr>
      <w:hyperlink w:anchor="_Toc220668575" w:history="1">
        <w:r w:rsidRPr="00AD5C4A">
          <w:rPr>
            <w:rStyle w:val="Hyperlink"/>
            <w:noProof/>
            <w:lang w:val="en-GB"/>
          </w:rPr>
          <w:t>6.2 Reflection on research</w:t>
        </w:r>
        <w:r>
          <w:rPr>
            <w:noProof/>
            <w:webHidden/>
          </w:rPr>
          <w:tab/>
        </w:r>
        <w:r>
          <w:rPr>
            <w:noProof/>
            <w:webHidden/>
          </w:rPr>
          <w:fldChar w:fldCharType="begin"/>
        </w:r>
        <w:r>
          <w:rPr>
            <w:noProof/>
            <w:webHidden/>
          </w:rPr>
          <w:instrText xml:space="preserve"> PAGEREF _Toc220668575 \h </w:instrText>
        </w:r>
        <w:r>
          <w:rPr>
            <w:noProof/>
            <w:webHidden/>
          </w:rPr>
        </w:r>
        <w:r>
          <w:rPr>
            <w:noProof/>
            <w:webHidden/>
          </w:rPr>
          <w:fldChar w:fldCharType="separate"/>
        </w:r>
        <w:r>
          <w:rPr>
            <w:noProof/>
            <w:webHidden/>
          </w:rPr>
          <w:t>50</w:t>
        </w:r>
        <w:r>
          <w:rPr>
            <w:noProof/>
            <w:webHidden/>
          </w:rPr>
          <w:fldChar w:fldCharType="end"/>
        </w:r>
      </w:hyperlink>
    </w:p>
    <w:p w14:paraId="01E63816" w14:textId="77777777" w:rsidR="000C1B1B" w:rsidRDefault="000C1B1B">
      <w:pPr>
        <w:pStyle w:val="TOC2"/>
        <w:tabs>
          <w:tab w:val="right" w:leader="dot" w:pos="9350"/>
        </w:tabs>
        <w:rPr>
          <w:rFonts w:asciiTheme="minorHAnsi" w:eastAsiaTheme="minorEastAsia" w:hAnsiTheme="minorHAnsi" w:cstheme="minorBidi"/>
          <w:noProof/>
          <w:shd w:val="clear" w:color="auto" w:fill="auto"/>
        </w:rPr>
      </w:pPr>
      <w:hyperlink w:anchor="_Toc220668576" w:history="1">
        <w:r w:rsidRPr="00AD5C4A">
          <w:rPr>
            <w:rStyle w:val="Hyperlink"/>
            <w:noProof/>
            <w:lang w:val="en-GB"/>
          </w:rPr>
          <w:t>6.3 Recommendations</w:t>
        </w:r>
        <w:r>
          <w:rPr>
            <w:noProof/>
            <w:webHidden/>
          </w:rPr>
          <w:tab/>
        </w:r>
        <w:r>
          <w:rPr>
            <w:noProof/>
            <w:webHidden/>
          </w:rPr>
          <w:fldChar w:fldCharType="begin"/>
        </w:r>
        <w:r>
          <w:rPr>
            <w:noProof/>
            <w:webHidden/>
          </w:rPr>
          <w:instrText xml:space="preserve"> PAGEREF _Toc220668576 \h </w:instrText>
        </w:r>
        <w:r>
          <w:rPr>
            <w:noProof/>
            <w:webHidden/>
          </w:rPr>
        </w:r>
        <w:r>
          <w:rPr>
            <w:noProof/>
            <w:webHidden/>
          </w:rPr>
          <w:fldChar w:fldCharType="separate"/>
        </w:r>
        <w:r>
          <w:rPr>
            <w:noProof/>
            <w:webHidden/>
          </w:rPr>
          <w:t>51</w:t>
        </w:r>
        <w:r>
          <w:rPr>
            <w:noProof/>
            <w:webHidden/>
          </w:rPr>
          <w:fldChar w:fldCharType="end"/>
        </w:r>
      </w:hyperlink>
    </w:p>
    <w:p w14:paraId="78024BDA" w14:textId="77777777" w:rsidR="000C1B1B" w:rsidRDefault="000C1B1B">
      <w:pPr>
        <w:pStyle w:val="TOC2"/>
        <w:tabs>
          <w:tab w:val="right" w:leader="dot" w:pos="9350"/>
        </w:tabs>
        <w:rPr>
          <w:rFonts w:asciiTheme="minorHAnsi" w:eastAsiaTheme="minorEastAsia" w:hAnsiTheme="minorHAnsi" w:cstheme="minorBidi"/>
          <w:noProof/>
          <w:shd w:val="clear" w:color="auto" w:fill="auto"/>
        </w:rPr>
      </w:pPr>
      <w:hyperlink w:anchor="_Toc220668577" w:history="1">
        <w:r w:rsidRPr="00AD5C4A">
          <w:rPr>
            <w:rStyle w:val="Hyperlink"/>
            <w:noProof/>
            <w:lang w:val="en-GB"/>
          </w:rPr>
          <w:t>6.4 Contribution</w:t>
        </w:r>
        <w:r>
          <w:rPr>
            <w:noProof/>
            <w:webHidden/>
          </w:rPr>
          <w:tab/>
        </w:r>
        <w:r>
          <w:rPr>
            <w:noProof/>
            <w:webHidden/>
          </w:rPr>
          <w:fldChar w:fldCharType="begin"/>
        </w:r>
        <w:r>
          <w:rPr>
            <w:noProof/>
            <w:webHidden/>
          </w:rPr>
          <w:instrText xml:space="preserve"> PAGEREF _Toc220668577 \h </w:instrText>
        </w:r>
        <w:r>
          <w:rPr>
            <w:noProof/>
            <w:webHidden/>
          </w:rPr>
        </w:r>
        <w:r>
          <w:rPr>
            <w:noProof/>
            <w:webHidden/>
          </w:rPr>
          <w:fldChar w:fldCharType="separate"/>
        </w:r>
        <w:r>
          <w:rPr>
            <w:noProof/>
            <w:webHidden/>
          </w:rPr>
          <w:t>51</w:t>
        </w:r>
        <w:r>
          <w:rPr>
            <w:noProof/>
            <w:webHidden/>
          </w:rPr>
          <w:fldChar w:fldCharType="end"/>
        </w:r>
      </w:hyperlink>
    </w:p>
    <w:p w14:paraId="0B24DC51" w14:textId="77777777" w:rsidR="000C1B1B" w:rsidRDefault="000C1B1B">
      <w:pPr>
        <w:pStyle w:val="TOC1"/>
        <w:tabs>
          <w:tab w:val="right" w:leader="dot" w:pos="9350"/>
        </w:tabs>
        <w:rPr>
          <w:rFonts w:asciiTheme="minorHAnsi" w:eastAsiaTheme="minorEastAsia" w:hAnsiTheme="minorHAnsi" w:cstheme="minorBidi"/>
          <w:noProof/>
          <w:shd w:val="clear" w:color="auto" w:fill="auto"/>
        </w:rPr>
      </w:pPr>
      <w:hyperlink w:anchor="_Toc220668578" w:history="1">
        <w:r w:rsidRPr="00AD5C4A">
          <w:rPr>
            <w:rStyle w:val="Hyperlink"/>
            <w:rFonts w:cs="Arial"/>
            <w:noProof/>
            <w:lang w:val="en-GB"/>
          </w:rPr>
          <w:t>References</w:t>
        </w:r>
        <w:r>
          <w:rPr>
            <w:noProof/>
            <w:webHidden/>
          </w:rPr>
          <w:tab/>
        </w:r>
        <w:r>
          <w:rPr>
            <w:noProof/>
            <w:webHidden/>
          </w:rPr>
          <w:fldChar w:fldCharType="begin"/>
        </w:r>
        <w:r>
          <w:rPr>
            <w:noProof/>
            <w:webHidden/>
          </w:rPr>
          <w:instrText xml:space="preserve"> PAGEREF _Toc220668578 \h </w:instrText>
        </w:r>
        <w:r>
          <w:rPr>
            <w:noProof/>
            <w:webHidden/>
          </w:rPr>
        </w:r>
        <w:r>
          <w:rPr>
            <w:noProof/>
            <w:webHidden/>
          </w:rPr>
          <w:fldChar w:fldCharType="separate"/>
        </w:r>
        <w:r>
          <w:rPr>
            <w:noProof/>
            <w:webHidden/>
          </w:rPr>
          <w:t>53</w:t>
        </w:r>
        <w:r>
          <w:rPr>
            <w:noProof/>
            <w:webHidden/>
          </w:rPr>
          <w:fldChar w:fldCharType="end"/>
        </w:r>
      </w:hyperlink>
    </w:p>
    <w:p w14:paraId="05B6BC04" w14:textId="77777777" w:rsidR="00732E6C" w:rsidRPr="00F027DD" w:rsidRDefault="00BE711B">
      <w:pPr>
        <w:rPr>
          <w:rFonts w:cs="Arial"/>
          <w:lang w:val="en-GB"/>
        </w:rPr>
      </w:pPr>
      <w:r w:rsidRPr="00F027DD">
        <w:rPr>
          <w:rFonts w:cs="Arial"/>
          <w:b/>
          <w:bCs/>
          <w:noProof/>
          <w:lang w:val="en-GB"/>
        </w:rPr>
        <w:fldChar w:fldCharType="end"/>
      </w:r>
    </w:p>
    <w:p w14:paraId="4E57AC09" w14:textId="77777777" w:rsidR="00732E6C" w:rsidRPr="00F027DD" w:rsidRDefault="00732E6C">
      <w:pPr>
        <w:rPr>
          <w:rFonts w:cs="Arial"/>
          <w:lang w:val="en-GB"/>
        </w:rPr>
      </w:pPr>
    </w:p>
    <w:p w14:paraId="146FB328" w14:textId="77777777" w:rsidR="00732E6C" w:rsidRPr="00F027DD" w:rsidRDefault="00DF099F">
      <w:pPr>
        <w:spacing w:after="200" w:line="276" w:lineRule="auto"/>
        <w:jc w:val="left"/>
        <w:rPr>
          <w:rFonts w:eastAsia="SimSun" w:cs="Arial"/>
          <w:b/>
          <w:bCs/>
          <w:color w:val="000000"/>
          <w:sz w:val="28"/>
          <w:szCs w:val="28"/>
          <w:lang w:val="en-GB"/>
        </w:rPr>
      </w:pPr>
      <w:r w:rsidRPr="00F027DD">
        <w:rPr>
          <w:rFonts w:cs="Arial"/>
          <w:lang w:val="en-GB"/>
        </w:rPr>
        <w:br w:type="page"/>
      </w:r>
    </w:p>
    <w:p w14:paraId="1C38CFDD" w14:textId="77777777" w:rsidR="00732E6C" w:rsidRPr="00F027DD" w:rsidRDefault="00732E6C">
      <w:pPr>
        <w:pStyle w:val="Heading1"/>
        <w:rPr>
          <w:rFonts w:cs="Arial"/>
          <w:lang w:val="en-GB"/>
        </w:rPr>
      </w:pPr>
    </w:p>
    <w:p w14:paraId="4A8B0BF4" w14:textId="77777777" w:rsidR="00732E6C" w:rsidRPr="00F027DD" w:rsidRDefault="00DF099F">
      <w:pPr>
        <w:pStyle w:val="Heading1"/>
        <w:rPr>
          <w:rFonts w:cs="Arial"/>
          <w:lang w:val="en-GB"/>
        </w:rPr>
      </w:pPr>
      <w:bookmarkStart w:id="3" w:name="_Toc76205109"/>
      <w:bookmarkStart w:id="4" w:name="_Toc108641919"/>
      <w:bookmarkStart w:id="5" w:name="_Toc111565370"/>
      <w:bookmarkStart w:id="6" w:name="_Toc220668518"/>
      <w:bookmarkEnd w:id="1"/>
      <w:r w:rsidRPr="00F027DD">
        <w:rPr>
          <w:rFonts w:cs="Arial"/>
          <w:lang w:val="en-GB"/>
        </w:rPr>
        <w:t>Chapter 1: Introduction</w:t>
      </w:r>
      <w:bookmarkEnd w:id="6"/>
    </w:p>
    <w:p w14:paraId="53567218" w14:textId="77777777" w:rsidR="00732E6C" w:rsidRPr="00F027DD" w:rsidRDefault="00DF099F">
      <w:pPr>
        <w:pStyle w:val="Heading2"/>
        <w:numPr>
          <w:ilvl w:val="1"/>
          <w:numId w:val="1"/>
        </w:numPr>
        <w:tabs>
          <w:tab w:val="left" w:pos="1970"/>
        </w:tabs>
        <w:rPr>
          <w:rFonts w:cs="Arial"/>
          <w:lang w:val="en-GB"/>
        </w:rPr>
      </w:pPr>
      <w:bookmarkStart w:id="7" w:name="_Toc220668519"/>
      <w:r w:rsidRPr="00F027DD">
        <w:rPr>
          <w:rFonts w:cs="Arial"/>
          <w:lang w:val="en-GB"/>
        </w:rPr>
        <w:t>Background</w:t>
      </w:r>
      <w:bookmarkEnd w:id="7"/>
    </w:p>
    <w:p w14:paraId="3663F67C" w14:textId="77777777" w:rsidR="00732E6C" w:rsidRPr="00F027DD" w:rsidRDefault="00DF099F">
      <w:pPr>
        <w:rPr>
          <w:rFonts w:cs="Arial"/>
          <w:color w:val="000000"/>
          <w:lang w:val="en-GB"/>
        </w:rPr>
      </w:pPr>
      <w:r w:rsidRPr="00F027DD">
        <w:rPr>
          <w:rFonts w:cs="Arial"/>
          <w:color w:val="000000"/>
          <w:lang w:val="en-GB"/>
        </w:rPr>
        <w:t>The smoking of tobacco continues to be among the major preventable causes of morbidity and mortality in the world. The World Health Organization (WHO) estimates that over one point three billion persons worldwide smoke tobacco, and this habit causes over seven million deaths annually (World Health Organization, 2025). One of the risk factors that is highly modifiable in cardiovascular diseases (CVDs) is tobacco use, which leads to coronary heart disease (CHD), stroke, and peripheral vascular diseases. The toxic nature of tobacco smoke is a contributor to endothelial dysfunction, inflammation, thrombosis, and accelerated atherosclerosis, which potentially increases the risk of premature cardiovascular events (</w:t>
      </w:r>
      <w:r w:rsidRPr="00F027DD">
        <w:rPr>
          <w:rFonts w:cs="Arial"/>
          <w:color w:val="000000"/>
        </w:rPr>
        <w:t>Klein, 2022</w:t>
      </w:r>
      <w:r w:rsidRPr="00F027DD">
        <w:rPr>
          <w:rFonts w:cs="Arial"/>
          <w:color w:val="000000"/>
          <w:lang w:val="en-GB"/>
        </w:rPr>
        <w:t>). The modern trends in the world are determining the growing tobacco consumption among young adults, with alarming rates in recent years, due to intensive marketing, peer influence, stress, and more accessible tobacco products that are considered alternatives to tobacco.</w:t>
      </w:r>
    </w:p>
    <w:p w14:paraId="33F3BEE0" w14:textId="77777777" w:rsidR="00732E6C" w:rsidRPr="00F027DD" w:rsidRDefault="00DF099F">
      <w:pPr>
        <w:rPr>
          <w:rFonts w:cs="Arial"/>
          <w:color w:val="000000"/>
          <w:lang w:val="en-GB"/>
        </w:rPr>
      </w:pPr>
      <w:r w:rsidRPr="00F027DD">
        <w:rPr>
          <w:rFonts w:cs="Arial"/>
          <w:color w:val="000000"/>
          <w:lang w:val="en-GB"/>
        </w:rPr>
        <w:t>The rate of tobacco consumption is still high in India, although there has been long-term policy work. According to the Global Adult Tobacco Survey (GATS-2) and the National Family Health Survey (NFHS-5), it is estimated that 1 in 4 adults in India use tobacco or smokeless tobacco, with significant differences between urban and rural populations (</w:t>
      </w:r>
      <w:r w:rsidRPr="00F027DD">
        <w:rPr>
          <w:rFonts w:cs="Arial"/>
          <w:color w:val="000000"/>
        </w:rPr>
        <w:t>Sarkar, 2025</w:t>
      </w:r>
      <w:r w:rsidRPr="00F027DD">
        <w:rPr>
          <w:rFonts w:cs="Arial"/>
          <w:color w:val="000000"/>
          <w:lang w:val="en-GB"/>
        </w:rPr>
        <w:t>). The consumption patterns have changed in the metropolitan areas, especially with the growing cigarette smoking, dual use of smokeless tobacco products, and new trends in the experimentation of e-cigarette and heated tobacco products among the youth have been witnessed (</w:t>
      </w:r>
      <w:r w:rsidRPr="00F027DD">
        <w:rPr>
          <w:rFonts w:cs="Arial"/>
          <w:color w:val="000000"/>
          <w:szCs w:val="20"/>
          <w:lang w:val="en-GB"/>
        </w:rPr>
        <w:t>Chitlange</w:t>
      </w:r>
      <w:r w:rsidRPr="00F027DD">
        <w:rPr>
          <w:rFonts w:cs="Arial"/>
          <w:i/>
          <w:color w:val="000000"/>
          <w:szCs w:val="20"/>
          <w:lang w:val="en-GB"/>
        </w:rPr>
        <w:t xml:space="preserve"> et.al </w:t>
      </w:r>
      <w:r w:rsidRPr="00F027DD">
        <w:rPr>
          <w:rFonts w:cs="Arial"/>
          <w:color w:val="000000"/>
          <w:szCs w:val="20"/>
          <w:lang w:val="en-GB"/>
        </w:rPr>
        <w:t>2024</w:t>
      </w:r>
      <w:r w:rsidRPr="00F027DD">
        <w:rPr>
          <w:rFonts w:cs="Arial"/>
          <w:color w:val="000000"/>
          <w:lang w:val="en-GB"/>
        </w:rPr>
        <w:t>). The onset of tobacco use at a late adolescence age and early adulthood has been reported to be a risk factor for significant consequences, including the occurrence of long-term nicotine dependence and chronic diseases.</w:t>
      </w:r>
    </w:p>
    <w:p w14:paraId="28EE6A53" w14:textId="77777777" w:rsidR="00732E6C" w:rsidRPr="00F027DD" w:rsidRDefault="00DF099F">
      <w:pPr>
        <w:rPr>
          <w:rFonts w:cs="Arial"/>
          <w:color w:val="000000"/>
          <w:lang w:val="en-GB"/>
        </w:rPr>
      </w:pPr>
      <w:r w:rsidRPr="00F027DD">
        <w:rPr>
          <w:rFonts w:cs="Arial"/>
          <w:color w:val="000000"/>
          <w:lang w:val="en-GB"/>
        </w:rPr>
        <w:t>Coronary heart disease is one of the most frequent causes of early mortality in India, and there is an increasing amount of information available that suggests that the incidence of CHD in the younger age group is increasing (</w:t>
      </w:r>
      <w:r w:rsidRPr="00F027DD">
        <w:rPr>
          <w:rFonts w:cs="Arial"/>
          <w:color w:val="000000"/>
        </w:rPr>
        <w:t>Alpert, 2023</w:t>
      </w:r>
      <w:r w:rsidRPr="00F027DD">
        <w:rPr>
          <w:rFonts w:cs="Arial"/>
          <w:color w:val="000000"/>
          <w:lang w:val="en-GB"/>
        </w:rPr>
        <w:t>). Indian adults usually get the disease nearly 10 years younger than in other Western countries, where CHD is typically a disease that is common among old people in society. City life, sedentary habits, dietary changes, mental implosion, and exposure to tobacco are some of the factors leading to this trend. Urban young adults are especially vulnerable to academic stress, unemployment, work-related stress, social media, and targeted advertising by tobacco industries, which puts them at high risk of early cardiovascular morbidity.</w:t>
      </w:r>
    </w:p>
    <w:p w14:paraId="5D71A88C" w14:textId="77777777" w:rsidR="00732E6C" w:rsidRPr="00F027DD" w:rsidRDefault="00DF099F">
      <w:pPr>
        <w:rPr>
          <w:rFonts w:cs="Arial"/>
          <w:color w:val="000000"/>
          <w:lang w:val="en-GB"/>
        </w:rPr>
      </w:pPr>
      <w:r w:rsidRPr="00F027DD">
        <w:rPr>
          <w:rFonts w:cs="Arial"/>
          <w:color w:val="000000"/>
          <w:lang w:val="en-GB"/>
        </w:rPr>
        <w:lastRenderedPageBreak/>
        <w:t>Tobacco is a key pathophysiological contributor to CHD because it facilitates the formation of atherosclerotic plaque, high levels of oxidative stress, and impaired lipid metabolism (</w:t>
      </w:r>
      <w:r w:rsidRPr="00F027DD">
        <w:rPr>
          <w:rFonts w:cs="Arial"/>
          <w:color w:val="000000"/>
          <w:szCs w:val="20"/>
          <w:lang w:val="en-GB"/>
        </w:rPr>
        <w:t>Pai</w:t>
      </w:r>
      <w:r w:rsidRPr="00F027DD">
        <w:rPr>
          <w:rFonts w:cs="Arial"/>
          <w:i/>
          <w:color w:val="000000"/>
          <w:szCs w:val="20"/>
          <w:lang w:val="en-GB"/>
        </w:rPr>
        <w:t xml:space="preserve"> et.al</w:t>
      </w:r>
      <w:r w:rsidRPr="00F027DD">
        <w:rPr>
          <w:rFonts w:cs="Arial"/>
          <w:color w:val="000000"/>
          <w:szCs w:val="20"/>
          <w:lang w:val="en-GB"/>
        </w:rPr>
        <w:t xml:space="preserve"> 2025)</w:t>
      </w:r>
      <w:r w:rsidRPr="00F027DD">
        <w:rPr>
          <w:rFonts w:cs="Arial"/>
          <w:color w:val="000000"/>
          <w:lang w:val="en-GB"/>
        </w:rPr>
        <w:t>. Nicotine and carbon monoxide reduce the oxygen supply to cardiac tissues, and pro-inflammatory effects accelerate the progression of vascular damage. In young adults, the mechanisms are silent causes of early arteriovenous hardness and dysfunctional endothelium, which can occur before clinical complications appear. This piece of evidence is a pointer to the seriousness of the necessity of creating better tobacco control measures targeting the younger groups.</w:t>
      </w:r>
    </w:p>
    <w:p w14:paraId="6C5BFE1D" w14:textId="77777777" w:rsidR="00732E6C" w:rsidRPr="00F027DD" w:rsidRDefault="00DF099F">
      <w:pPr>
        <w:rPr>
          <w:rFonts w:cs="Arial"/>
          <w:color w:val="000000"/>
          <w:lang w:val="en-GB"/>
        </w:rPr>
      </w:pPr>
      <w:r w:rsidRPr="00F027DD">
        <w:rPr>
          <w:rFonts w:cs="Arial"/>
          <w:color w:val="000000"/>
          <w:lang w:val="en-GB"/>
        </w:rPr>
        <w:t>As part of its wider non-communicable disease (NCD) prevention strategy, the Government of India launched the National Tobacco Control Programme (NTCP) in 2007-2008 to decrease the extent of the tobacco epidemic (</w:t>
      </w:r>
      <w:r w:rsidRPr="00F027DD">
        <w:rPr>
          <w:rFonts w:cs="Arial"/>
          <w:color w:val="000000"/>
          <w:szCs w:val="20"/>
          <w:lang w:val="en-GB"/>
        </w:rPr>
        <w:t>Sheikh</w:t>
      </w:r>
      <w:r w:rsidRPr="00F027DD">
        <w:rPr>
          <w:rFonts w:cs="Arial"/>
          <w:i/>
          <w:color w:val="000000"/>
          <w:szCs w:val="20"/>
          <w:lang w:val="en-GB"/>
        </w:rPr>
        <w:t xml:space="preserve"> et.al</w:t>
      </w:r>
      <w:r w:rsidRPr="00F027DD">
        <w:rPr>
          <w:rFonts w:cs="Arial"/>
          <w:color w:val="000000"/>
          <w:szCs w:val="20"/>
          <w:lang w:val="en-GB"/>
        </w:rPr>
        <w:t xml:space="preserve"> 2023)</w:t>
      </w:r>
      <w:r w:rsidRPr="00F027DD">
        <w:rPr>
          <w:rFonts w:cs="Arial"/>
          <w:color w:val="000000"/>
          <w:lang w:val="en-GB"/>
        </w:rPr>
        <w:t>. The NTCP was developed in order to make operational the Cigarettes and Other Tobacco Products Act (COTPA) and enhance tobacco control by means of a multi-sectoral strategy. The major elements of the programme are enforcing the smoke-free public environments, promotion and advertising bans, health warning labels, taxation, Information, Education and Communication (IEC) activities, school-based awareness programmes, and setting up of tobacco cessation services.</w:t>
      </w:r>
    </w:p>
    <w:p w14:paraId="20309706" w14:textId="77777777" w:rsidR="00732E6C" w:rsidRPr="00F027DD" w:rsidRDefault="00DF099F">
      <w:pPr>
        <w:rPr>
          <w:rFonts w:cs="Arial"/>
          <w:color w:val="000000"/>
          <w:lang w:val="en-GB"/>
        </w:rPr>
      </w:pPr>
      <w:r w:rsidRPr="00F027DD">
        <w:rPr>
          <w:rFonts w:cs="Arial"/>
          <w:color w:val="000000"/>
          <w:lang w:val="en-GB"/>
        </w:rPr>
        <w:t>Despite the extensive nature of the NTCP design, it is possible to believe that the program's implementation has been unequal across states and districts. Other studies have been reported to have gaps in enforcement, limited coverage of the cessation services, insufficient attention to youth-related intervention, and difficulties with the interference with industries (</w:t>
      </w:r>
      <w:r w:rsidRPr="00F027DD">
        <w:rPr>
          <w:rFonts w:cs="Arial"/>
          <w:color w:val="000000"/>
        </w:rPr>
        <w:t>Asmare  et al., 024</w:t>
      </w:r>
      <w:r w:rsidRPr="00F027DD">
        <w:rPr>
          <w:rFonts w:cs="Arial"/>
          <w:color w:val="000000"/>
          <w:lang w:val="en-GB"/>
        </w:rPr>
        <w:t>). Urban environment is even more complicated with the introduction of more point-of-sale advertising, digital marketing, and easy accessibility to tobacco products. Although the NTCP has already shown its effectiveness in raising awareness and decreasing tobacco use among certain groups of people, its particular influence on young adults and its potential to reduce CHD risk factors among urban Indian populations have not been studied yet.</w:t>
      </w:r>
    </w:p>
    <w:p w14:paraId="031E77A8" w14:textId="77777777" w:rsidR="00732E6C" w:rsidRPr="00F027DD" w:rsidRDefault="00732E6C">
      <w:pPr>
        <w:rPr>
          <w:rFonts w:cs="Arial"/>
          <w:color w:val="000000"/>
          <w:lang w:val="en-GB"/>
        </w:rPr>
      </w:pPr>
    </w:p>
    <w:p w14:paraId="42E11D88" w14:textId="77777777" w:rsidR="00732E6C" w:rsidRPr="00F027DD" w:rsidRDefault="00DF099F">
      <w:pPr>
        <w:pStyle w:val="Heading2"/>
        <w:rPr>
          <w:rFonts w:cs="Arial"/>
          <w:lang w:val="en-GB"/>
        </w:rPr>
      </w:pPr>
      <w:bookmarkStart w:id="8" w:name="_Toc220668520"/>
      <w:r w:rsidRPr="00F027DD">
        <w:rPr>
          <w:rFonts w:cs="Arial"/>
          <w:lang w:val="en-GB"/>
        </w:rPr>
        <w:t>1.2 Aim</w:t>
      </w:r>
      <w:bookmarkEnd w:id="8"/>
    </w:p>
    <w:p w14:paraId="5136B869" w14:textId="77777777" w:rsidR="00732E6C" w:rsidRPr="00F027DD" w:rsidRDefault="00DF099F">
      <w:pPr>
        <w:rPr>
          <w:rFonts w:cs="Arial"/>
          <w:color w:val="000000"/>
          <w:lang w:val="en-GB"/>
        </w:rPr>
      </w:pPr>
      <w:r w:rsidRPr="00F027DD">
        <w:rPr>
          <w:rFonts w:cs="Arial"/>
          <w:color w:val="000000"/>
          <w:shd w:val="clear" w:color="FFFFFF" w:fill="FFFFFF"/>
          <w:lang w:val="en-GB"/>
        </w:rPr>
        <w:t>The research aims to examine the impact of the National Tobacco Control Program (NTCP) on Reducing Coronary Heart Disease Risk among Young Adults in Urban India.</w:t>
      </w:r>
    </w:p>
    <w:p w14:paraId="3B4D61FF" w14:textId="77777777" w:rsidR="00732E6C" w:rsidRPr="00F027DD" w:rsidRDefault="00DF099F">
      <w:pPr>
        <w:pStyle w:val="Heading2"/>
        <w:rPr>
          <w:rFonts w:cs="Arial"/>
          <w:lang w:val="en-GB"/>
        </w:rPr>
      </w:pPr>
      <w:bookmarkStart w:id="9" w:name="_Toc220668521"/>
      <w:r w:rsidRPr="00F027DD">
        <w:rPr>
          <w:rFonts w:cs="Arial"/>
          <w:lang w:val="en-GB"/>
        </w:rPr>
        <w:t>1.3 Objectives</w:t>
      </w:r>
      <w:bookmarkEnd w:id="9"/>
    </w:p>
    <w:p w14:paraId="22B542EA" w14:textId="77777777" w:rsidR="00732E6C" w:rsidRPr="00F027DD" w:rsidRDefault="00DF099F">
      <w:pPr>
        <w:pStyle w:val="ListParagraph"/>
        <w:numPr>
          <w:ilvl w:val="0"/>
          <w:numId w:val="36"/>
        </w:numPr>
        <w:rPr>
          <w:rFonts w:cs="Arial"/>
          <w:color w:val="000000"/>
          <w:lang w:val="en-GB"/>
        </w:rPr>
      </w:pPr>
      <w:r w:rsidRPr="00F027DD">
        <w:rPr>
          <w:rFonts w:cs="Arial"/>
          <w:color w:val="000000"/>
          <w:lang w:val="en-GB"/>
        </w:rPr>
        <w:t>To explore the determinants of tobacco use among young adults in urban India and how these factors contribute to early coronary heart disease risk.</w:t>
      </w:r>
    </w:p>
    <w:p w14:paraId="1ED4C53B" w14:textId="77777777" w:rsidR="00732E6C" w:rsidRPr="00F027DD" w:rsidRDefault="00DF099F">
      <w:pPr>
        <w:pStyle w:val="ListParagraph"/>
        <w:numPr>
          <w:ilvl w:val="0"/>
          <w:numId w:val="36"/>
        </w:numPr>
        <w:rPr>
          <w:rFonts w:cs="Arial"/>
          <w:color w:val="000000"/>
          <w:lang w:val="en-GB"/>
        </w:rPr>
      </w:pPr>
      <w:r w:rsidRPr="00F027DD">
        <w:rPr>
          <w:rFonts w:cs="Arial"/>
          <w:color w:val="000000"/>
          <w:lang w:val="en-GB"/>
        </w:rPr>
        <w:t>To evaluate the effectiveness of NTCP policies and strategies in reducing tobacco use among this population.</w:t>
      </w:r>
    </w:p>
    <w:p w14:paraId="639F2114" w14:textId="77777777" w:rsidR="00732E6C" w:rsidRPr="00F027DD" w:rsidRDefault="00DF099F">
      <w:pPr>
        <w:pStyle w:val="ListParagraph"/>
        <w:numPr>
          <w:ilvl w:val="0"/>
          <w:numId w:val="36"/>
        </w:numPr>
        <w:rPr>
          <w:rFonts w:cs="Arial"/>
          <w:color w:val="000000"/>
          <w:lang w:val="en-GB"/>
        </w:rPr>
      </w:pPr>
      <w:r w:rsidRPr="00F027DD">
        <w:rPr>
          <w:rFonts w:cs="Arial"/>
          <w:color w:val="000000"/>
          <w:lang w:val="en-GB"/>
        </w:rPr>
        <w:lastRenderedPageBreak/>
        <w:t>To assess the impact of NTCP interventions on early risk factors and overall risk of coronary heart disease in young urban adults.</w:t>
      </w:r>
    </w:p>
    <w:p w14:paraId="6AC4E264" w14:textId="77777777" w:rsidR="00732E6C" w:rsidRPr="00F027DD" w:rsidRDefault="00DF099F">
      <w:pPr>
        <w:pStyle w:val="ListParagraph"/>
        <w:numPr>
          <w:ilvl w:val="0"/>
          <w:numId w:val="36"/>
        </w:numPr>
        <w:rPr>
          <w:rFonts w:cs="Arial"/>
          <w:color w:val="000000"/>
          <w:lang w:val="en-GB"/>
        </w:rPr>
      </w:pPr>
      <w:r w:rsidRPr="00F027DD">
        <w:rPr>
          <w:rFonts w:cs="Arial"/>
          <w:color w:val="000000"/>
          <w:lang w:val="en-GB"/>
        </w:rPr>
        <w:t>To identify barriers and enablers influencing NTCP implementation and propose recommendations to enhance policy effectiveness and reduce cardiovascular risk.</w:t>
      </w:r>
    </w:p>
    <w:p w14:paraId="1E2E0646" w14:textId="77777777" w:rsidR="00732E6C" w:rsidRPr="00F027DD" w:rsidRDefault="00DF099F">
      <w:pPr>
        <w:pStyle w:val="Heading2"/>
        <w:rPr>
          <w:rFonts w:cs="Arial"/>
          <w:lang w:val="en-GB"/>
        </w:rPr>
      </w:pPr>
      <w:bookmarkStart w:id="10" w:name="_Toc220668522"/>
      <w:r w:rsidRPr="00F027DD">
        <w:rPr>
          <w:rFonts w:cs="Arial"/>
          <w:lang w:val="en-GB"/>
        </w:rPr>
        <w:t>1.4 Research Question</w:t>
      </w:r>
      <w:bookmarkEnd w:id="10"/>
    </w:p>
    <w:p w14:paraId="66B36D4A" w14:textId="77777777" w:rsidR="00732E6C" w:rsidRPr="00F027DD" w:rsidRDefault="00DF099F">
      <w:pPr>
        <w:rPr>
          <w:rFonts w:cs="Arial"/>
          <w:color w:val="000000"/>
          <w:lang w:val="en-GB"/>
        </w:rPr>
      </w:pPr>
      <w:r w:rsidRPr="00F027DD">
        <w:rPr>
          <w:rFonts w:cs="Arial"/>
          <w:color w:val="000000"/>
          <w:lang w:val="en-GB"/>
        </w:rPr>
        <w:t>How effective have National Tobacco Control Program (NTCP) interventions been in reducing tobacco-related risk factors and preventing coronary heart disease among young adults in urban India?</w:t>
      </w:r>
    </w:p>
    <w:p w14:paraId="0C74A320" w14:textId="77777777" w:rsidR="00732E6C" w:rsidRPr="00F027DD" w:rsidRDefault="00DF099F">
      <w:pPr>
        <w:pStyle w:val="Heading2"/>
        <w:rPr>
          <w:rFonts w:cs="Arial"/>
          <w:lang w:val="en-GB"/>
        </w:rPr>
      </w:pPr>
      <w:bookmarkStart w:id="11" w:name="_Toc220668523"/>
      <w:r w:rsidRPr="00F027DD">
        <w:rPr>
          <w:rFonts w:cs="Arial"/>
          <w:lang w:val="en-GB"/>
        </w:rPr>
        <w:t>1.5 Rationale</w:t>
      </w:r>
      <w:bookmarkEnd w:id="11"/>
    </w:p>
    <w:p w14:paraId="71A2C409" w14:textId="77777777" w:rsidR="00732E6C" w:rsidRPr="00F027DD" w:rsidRDefault="00DF099F">
      <w:pPr>
        <w:rPr>
          <w:rFonts w:cs="Arial"/>
          <w:color w:val="000000"/>
          <w:lang w:val="en-GB"/>
        </w:rPr>
      </w:pPr>
      <w:r w:rsidRPr="00F027DD">
        <w:rPr>
          <w:rFonts w:cs="Arial"/>
          <w:color w:val="000000"/>
          <w:lang w:val="en-GB"/>
        </w:rPr>
        <w:t>CHD is one of the leading causes of mortality and morbidity in India, with the use of tobacco being one of its major factors. A significant proportion of the young urban population in the country is engaged in the consumption of tobacco, who are generally unaware of the numerous consequences to the heart. The NTCP has been designed to curb tobacco use and also to reduce associated health risks, but still, limited research has evaluated numerous impacts on CHD risk among young adults (</w:t>
      </w:r>
      <w:r w:rsidRPr="00F027DD">
        <w:rPr>
          <w:rFonts w:cs="Arial"/>
          <w:color w:val="000000"/>
          <w:szCs w:val="20"/>
          <w:lang w:val="en-GB"/>
        </w:rPr>
        <w:t>Sidhu</w:t>
      </w:r>
      <w:r w:rsidRPr="00F027DD">
        <w:rPr>
          <w:rFonts w:cs="Arial"/>
          <w:i/>
          <w:color w:val="000000"/>
          <w:szCs w:val="20"/>
          <w:lang w:val="en-GB"/>
        </w:rPr>
        <w:t xml:space="preserve"> et.al</w:t>
      </w:r>
      <w:r w:rsidRPr="00F027DD">
        <w:rPr>
          <w:rFonts w:cs="Arial"/>
          <w:color w:val="000000"/>
          <w:szCs w:val="20"/>
          <w:lang w:val="en-GB"/>
        </w:rPr>
        <w:t xml:space="preserve"> 2024)</w:t>
      </w:r>
      <w:r w:rsidRPr="00F027DD">
        <w:rPr>
          <w:rFonts w:cs="Arial"/>
          <w:color w:val="000000"/>
          <w:lang w:val="en-GB"/>
        </w:rPr>
        <w:t xml:space="preserve">. </w:t>
      </w:r>
    </w:p>
    <w:p w14:paraId="0C477D11" w14:textId="77777777" w:rsidR="00732E6C" w:rsidRPr="00F027DD" w:rsidRDefault="00DF099F">
      <w:pPr>
        <w:rPr>
          <w:rFonts w:cs="Arial"/>
          <w:color w:val="000000"/>
          <w:lang w:val="en-GB"/>
        </w:rPr>
      </w:pPr>
      <w:r w:rsidRPr="00F027DD">
        <w:rPr>
          <w:rFonts w:cs="Arial"/>
          <w:color w:val="000000"/>
        </w:rPr>
        <w:t>Even though the NTCP delivers the flagship initiative of tobacco control in India, the available studies have focused either on the general adult population, rural regions, or educational settings. Focused evidence on the effectiveness of this programme in dealing with the tobacco risks of CHD among urban young adults is lacking. This gap constrains policymakers' capacity to develop youth-sensitive, urban-focused interventions. The present research fits the national and international health agenda, the National Program on Prevention and Control of Cancer, Diabetes, Cardiovascular Diseases and Stroke (NP-NCD) of India, the WHO MPOWER strategy and the United Nations Sustainable Development Goals (SDGs). Through critical analysis of the role of NTCP in the alleviation of cardiovascular risk of a high-risk population, the study aims to provide valuable piece of evidence to enhance tobacco control policy and initiate early coronary heart disease prevention in India.</w:t>
      </w:r>
    </w:p>
    <w:p w14:paraId="2D95A8F4" w14:textId="77777777" w:rsidR="00732E6C" w:rsidRPr="00F027DD" w:rsidRDefault="00DF099F">
      <w:pPr>
        <w:rPr>
          <w:rFonts w:cs="Arial"/>
          <w:color w:val="000000"/>
          <w:lang w:val="en-GB"/>
        </w:rPr>
      </w:pPr>
      <w:r w:rsidRPr="00F027DD">
        <w:rPr>
          <w:rFonts w:cs="Arial"/>
          <w:color w:val="000000"/>
          <w:lang w:val="en-GB"/>
        </w:rPr>
        <w:t xml:space="preserve">So, this study assesses the effectiveness of the program, which can prove essential to determine where the existing strategies are effective in addressing early-stage disease prevention. Moreover, this study also provides valuable insights into the relationship between CHD prevention, tobacco prevention, and NTCP interventions. The study findings can effectively inform health practitioners and policymakers in strengthening youth-focused tobacco control and numerous cardiovascular health initiatives in the country. </w:t>
      </w:r>
    </w:p>
    <w:p w14:paraId="617F5FD2" w14:textId="77777777" w:rsidR="00732E6C" w:rsidRPr="00F027DD" w:rsidRDefault="00DF099F">
      <w:pPr>
        <w:spacing w:after="200" w:line="276" w:lineRule="auto"/>
        <w:jc w:val="left"/>
        <w:rPr>
          <w:rFonts w:cs="Arial"/>
          <w:lang w:val="en-GB"/>
        </w:rPr>
      </w:pPr>
      <w:r w:rsidRPr="00F027DD">
        <w:rPr>
          <w:rFonts w:cs="Arial"/>
          <w:lang w:val="en-GB"/>
        </w:rPr>
        <w:br w:type="page"/>
      </w:r>
    </w:p>
    <w:p w14:paraId="6E8BEA8E" w14:textId="77777777" w:rsidR="00732E6C" w:rsidRPr="00F027DD" w:rsidRDefault="00DF099F">
      <w:pPr>
        <w:pStyle w:val="Heading1"/>
        <w:rPr>
          <w:rFonts w:cs="Arial"/>
          <w:lang w:val="en-GB"/>
        </w:rPr>
      </w:pPr>
      <w:bookmarkStart w:id="12" w:name="_Toc220668524"/>
      <w:r w:rsidRPr="00F027DD">
        <w:rPr>
          <w:rFonts w:cs="Arial"/>
          <w:lang w:val="en-GB"/>
        </w:rPr>
        <w:lastRenderedPageBreak/>
        <w:t>Chapter 2: Literature review</w:t>
      </w:r>
      <w:bookmarkEnd w:id="12"/>
    </w:p>
    <w:p w14:paraId="08B23FAD" w14:textId="77777777" w:rsidR="00732E6C" w:rsidRPr="00F027DD" w:rsidRDefault="00DF099F">
      <w:pPr>
        <w:pStyle w:val="Heading2"/>
        <w:rPr>
          <w:rFonts w:cs="Arial"/>
          <w:lang w:val="en-GB"/>
        </w:rPr>
      </w:pPr>
      <w:bookmarkStart w:id="13" w:name="_Toc220668525"/>
      <w:r w:rsidRPr="00F027DD">
        <w:rPr>
          <w:rFonts w:cs="Arial"/>
          <w:lang w:val="en-GB"/>
        </w:rPr>
        <w:t>2.1 Trends in tobacco prevalence among urban Indian young adults</w:t>
      </w:r>
      <w:bookmarkEnd w:id="13"/>
    </w:p>
    <w:p w14:paraId="39418D84" w14:textId="77777777" w:rsidR="00732E6C" w:rsidRPr="00F027DD" w:rsidRDefault="00DF099F">
      <w:pPr>
        <w:rPr>
          <w:rFonts w:cs="Arial"/>
          <w:lang w:val="en-GB"/>
        </w:rPr>
      </w:pPr>
      <w:r w:rsidRPr="00F027DD">
        <w:rPr>
          <w:rFonts w:cs="Arial"/>
          <w:lang w:val="en-GB"/>
        </w:rPr>
        <w:t xml:space="preserve">The use of tobacco amongst the young adults has made significant transformations over the past decade, where it has influenced the cultural norms, evolving lifestyles, and the emergence of new tobacco products. As per the National Health survey, there has been a gradual decline in the overall tobacco use, and the evidence suggests that the urban youth remain at high risk with the regular use of tobacco despite the regulatory interventions (El Husseini, Nichols and Owolabi, 2025). With the help of the understanding of these trends, it will be possible to focus on the assessment of the role of policy programs like the national tobacco control program in addressing the tobacco-related diseases in this demographic. </w:t>
      </w:r>
    </w:p>
    <w:p w14:paraId="22DEC73D" w14:textId="77777777" w:rsidR="00732E6C" w:rsidRPr="00F027DD" w:rsidRDefault="00DF099F">
      <w:pPr>
        <w:rPr>
          <w:rFonts w:cs="Arial"/>
        </w:rPr>
      </w:pPr>
      <w:r w:rsidRPr="00F027DD">
        <w:rPr>
          <w:rFonts w:cs="Arial"/>
          <w:lang w:val="en-GB"/>
        </w:rPr>
        <w:t xml:space="preserve">One of the most noticeable trends lies in the diversification of tobacco </w:t>
      </w:r>
      <w:r w:rsidRPr="00F027DD">
        <w:rPr>
          <w:rFonts w:cs="Arial"/>
          <w:b/>
          <w:bCs/>
          <w:lang w:val="en-GB"/>
        </w:rPr>
        <w:t>products that are used by the youth</w:t>
      </w:r>
      <w:r w:rsidRPr="00F027DD">
        <w:rPr>
          <w:rFonts w:cs="Arial"/>
          <w:lang w:val="en-GB"/>
        </w:rPr>
        <w:t xml:space="preserve">. Traditionally, the tobacco landscape was dominated by smokeless forms such as gutkha and paan with tobacco (O'Connor </w:t>
      </w:r>
      <w:r w:rsidRPr="00F027DD">
        <w:rPr>
          <w:rFonts w:cs="Arial"/>
          <w:i/>
          <w:iCs/>
          <w:lang w:val="en-GB"/>
        </w:rPr>
        <w:t>et al.,</w:t>
      </w:r>
      <w:r w:rsidRPr="00F027DD">
        <w:rPr>
          <w:rFonts w:cs="Arial"/>
          <w:lang w:val="en-GB"/>
        </w:rPr>
        <w:t xml:space="preserve"> 2022). These were popular amongst the low-income populations. However, the urban young adults are more focused on smoked forms such as cigarettes and hookah, along with vaping and e-cigarettes being the current trend.  The consumption of cigarettes has significantly grown amongst the students of the university, which is driven by perceived association with social identity and status (</w:t>
      </w:r>
      <w:r w:rsidRPr="00F027DD">
        <w:rPr>
          <w:rFonts w:cs="Arial"/>
        </w:rPr>
        <w:t xml:space="preserve">Huffman </w:t>
      </w:r>
      <w:r w:rsidRPr="00F027DD">
        <w:rPr>
          <w:rFonts w:cs="Arial"/>
          <w:i/>
        </w:rPr>
        <w:t>et.al</w:t>
      </w:r>
      <w:r w:rsidRPr="00F027DD">
        <w:rPr>
          <w:rFonts w:cs="Arial"/>
        </w:rPr>
        <w:t xml:space="preserve"> 2011</w:t>
      </w:r>
      <w:r w:rsidRPr="00F027DD">
        <w:rPr>
          <w:rFonts w:cs="Arial"/>
          <w:lang w:val="en-GB"/>
        </w:rPr>
        <w:t>). Further, the existence of Hookah cafes and lounges has also proliferated in the large cities, even after the regulatory restrictions. Even though many such establishments have faced closure, the home-based hookah continues (</w:t>
      </w:r>
      <w:bookmarkStart w:id="14" w:name="_Hlk219840958"/>
      <w:r w:rsidRPr="00F027DD">
        <w:rPr>
          <w:rFonts w:cs="Arial"/>
        </w:rPr>
        <w:t>Verma</w:t>
      </w:r>
      <w:r w:rsidRPr="00F027DD">
        <w:rPr>
          <w:rFonts w:cs="Arial"/>
          <w:i/>
          <w:iCs/>
        </w:rPr>
        <w:t xml:space="preserve"> et.al</w:t>
      </w:r>
      <w:r w:rsidRPr="00F027DD">
        <w:rPr>
          <w:rFonts w:cs="Arial"/>
        </w:rPr>
        <w:t xml:space="preserve"> 2023</w:t>
      </w:r>
      <w:bookmarkEnd w:id="14"/>
      <w:r w:rsidRPr="00F027DD">
        <w:rPr>
          <w:rFonts w:cs="Arial"/>
          <w:lang w:val="en-GB"/>
        </w:rPr>
        <w:t xml:space="preserve">). </w:t>
      </w:r>
    </w:p>
    <w:p w14:paraId="578E312C" w14:textId="77777777" w:rsidR="00732E6C" w:rsidRPr="00F027DD" w:rsidRDefault="00DF099F">
      <w:pPr>
        <w:rPr>
          <w:rFonts w:cs="Arial"/>
          <w:lang w:val="en-GB"/>
        </w:rPr>
      </w:pPr>
      <w:r w:rsidRPr="00F027DD">
        <w:rPr>
          <w:rFonts w:cs="Arial"/>
          <w:lang w:val="en-GB"/>
        </w:rPr>
        <w:t xml:space="preserve">One significant pattern is the </w:t>
      </w:r>
      <w:r w:rsidRPr="00F027DD">
        <w:rPr>
          <w:rFonts w:cs="Arial"/>
          <w:b/>
          <w:bCs/>
          <w:lang w:val="en-GB"/>
        </w:rPr>
        <w:t>use of Polytobacco</w:t>
      </w:r>
      <w:r w:rsidRPr="00F027DD">
        <w:rPr>
          <w:rFonts w:cs="Arial"/>
          <w:lang w:val="en-GB"/>
        </w:rPr>
        <w:t>, where the young adults focus on the consumption of more than one type of tobacco product.  The use of smokeless tobacco during work hours and occasional vaping is significant amongst the youngsters (</w:t>
      </w:r>
      <w:bookmarkStart w:id="15" w:name="_Hlk219840988"/>
      <w:r w:rsidRPr="00F027DD">
        <w:rPr>
          <w:rFonts w:cs="Arial"/>
        </w:rPr>
        <w:t>Murmu</w:t>
      </w:r>
      <w:r w:rsidRPr="00F027DD">
        <w:rPr>
          <w:rFonts w:cs="Arial"/>
          <w:i/>
          <w:iCs/>
        </w:rPr>
        <w:t xml:space="preserve"> et.al</w:t>
      </w:r>
      <w:r w:rsidRPr="00F027DD">
        <w:rPr>
          <w:rFonts w:cs="Arial"/>
        </w:rPr>
        <w:t xml:space="preserve"> 2023</w:t>
      </w:r>
      <w:bookmarkEnd w:id="15"/>
      <w:r w:rsidRPr="00F027DD">
        <w:rPr>
          <w:rFonts w:cs="Arial"/>
          <w:lang w:val="en-GB"/>
        </w:rPr>
        <w:t xml:space="preserve">). The use of </w:t>
      </w:r>
      <w:r w:rsidRPr="00F027DD">
        <w:rPr>
          <w:rFonts w:cs="Arial"/>
          <w:b/>
          <w:bCs/>
          <w:lang w:val="en-GB"/>
        </w:rPr>
        <w:t>Polytobacco</w:t>
      </w:r>
      <w:r w:rsidRPr="00F027DD">
        <w:rPr>
          <w:rFonts w:cs="Arial"/>
          <w:lang w:val="en-GB"/>
        </w:rPr>
        <w:t xml:space="preserve"> tobacco is more likely to progress to nicotine dependence and has a higher risk of cardiovascular disease (Chen, 2023). This problem majorly exists in the case of urban males, but an increasing number of females are also experimenting with the same (</w:t>
      </w:r>
      <w:bookmarkStart w:id="16" w:name="_Hlk219841006"/>
      <w:r w:rsidRPr="00F027DD">
        <w:rPr>
          <w:rFonts w:cs="Arial"/>
        </w:rPr>
        <w:t>Bharati</w:t>
      </w:r>
      <w:r w:rsidRPr="00F027DD">
        <w:rPr>
          <w:rFonts w:cs="Arial"/>
          <w:i/>
          <w:iCs/>
        </w:rPr>
        <w:t xml:space="preserve"> et.al</w:t>
      </w:r>
      <w:r w:rsidRPr="00F027DD">
        <w:rPr>
          <w:rFonts w:cs="Arial"/>
        </w:rPr>
        <w:t xml:space="preserve"> 2023</w:t>
      </w:r>
      <w:bookmarkEnd w:id="16"/>
      <w:r w:rsidRPr="00F027DD">
        <w:rPr>
          <w:rFonts w:cs="Arial"/>
          <w:lang w:val="en-GB"/>
        </w:rPr>
        <w:t>). The adult transition, such as college entry, employment, and relocation to Metropolitan cities, has led to enhanced exposure. They feel that such experimentation is temporary and harmless, but the long-term effects are extremely dangerous (</w:t>
      </w:r>
      <w:bookmarkStart w:id="17" w:name="_Hlk219841041"/>
      <w:r w:rsidRPr="00F027DD">
        <w:rPr>
          <w:rFonts w:cs="Arial"/>
        </w:rPr>
        <w:t>Khambayat</w:t>
      </w:r>
      <w:r w:rsidRPr="00F027DD">
        <w:rPr>
          <w:rFonts w:cs="Arial"/>
          <w:i/>
          <w:iCs/>
        </w:rPr>
        <w:t xml:space="preserve"> et.al</w:t>
      </w:r>
      <w:r w:rsidRPr="00F027DD">
        <w:rPr>
          <w:rFonts w:cs="Arial"/>
        </w:rPr>
        <w:t xml:space="preserve"> 2023</w:t>
      </w:r>
      <w:bookmarkEnd w:id="17"/>
      <w:r w:rsidRPr="00F027DD">
        <w:rPr>
          <w:rFonts w:cs="Arial"/>
          <w:lang w:val="en-GB"/>
        </w:rPr>
        <w:t xml:space="preserve">). </w:t>
      </w:r>
    </w:p>
    <w:p w14:paraId="05013FCD" w14:textId="77777777" w:rsidR="00732E6C" w:rsidRPr="00F027DD" w:rsidRDefault="00DF099F">
      <w:pPr>
        <w:rPr>
          <w:rFonts w:cs="Arial"/>
        </w:rPr>
      </w:pPr>
      <w:r w:rsidRPr="00F027DD">
        <w:rPr>
          <w:rFonts w:cs="Arial"/>
          <w:lang w:val="en-GB"/>
        </w:rPr>
        <w:t xml:space="preserve">Even when the tobacco consumption in India has been male-dominated, the </w:t>
      </w:r>
      <w:r w:rsidRPr="00F027DD">
        <w:rPr>
          <w:rFonts w:cs="Arial"/>
          <w:b/>
          <w:bCs/>
          <w:lang w:val="en-GB"/>
        </w:rPr>
        <w:t>gender gap is now narrowing in urban spaces.</w:t>
      </w:r>
      <w:r w:rsidRPr="00F027DD">
        <w:rPr>
          <w:rFonts w:cs="Arial"/>
          <w:lang w:val="en-GB"/>
        </w:rPr>
        <w:t xml:space="preserve"> The young urban women are increasingly exposed to the use of cigarettes and occasional hookah (</w:t>
      </w:r>
      <w:r w:rsidRPr="00F027DD">
        <w:rPr>
          <w:rFonts w:cs="Arial"/>
        </w:rPr>
        <w:t>Jodalli and Panchmal, 2020</w:t>
      </w:r>
      <w:r w:rsidRPr="00F027DD">
        <w:rPr>
          <w:rFonts w:cs="Arial"/>
          <w:lang w:val="en-GB"/>
        </w:rPr>
        <w:t xml:space="preserve">). This is influenced by the shifting social norms, which are due to the greater economic independence and reduced stigma. </w:t>
      </w:r>
      <w:r w:rsidRPr="00F027DD">
        <w:rPr>
          <w:rFonts w:cs="Arial"/>
          <w:lang w:val="en-GB"/>
        </w:rPr>
        <w:lastRenderedPageBreak/>
        <w:t>Even though the problems that exist amongst women are lower, there is a rising trend that is leading to a change in cultural dynamics (</w:t>
      </w:r>
      <w:bookmarkStart w:id="18" w:name="_Hlk219841070"/>
      <w:r w:rsidRPr="00F027DD">
        <w:rPr>
          <w:rFonts w:cs="Arial"/>
        </w:rPr>
        <w:t>Goel</w:t>
      </w:r>
      <w:r w:rsidRPr="00F027DD">
        <w:rPr>
          <w:rFonts w:cs="Arial"/>
          <w:i/>
          <w:iCs/>
        </w:rPr>
        <w:t xml:space="preserve"> et.al</w:t>
      </w:r>
      <w:r w:rsidRPr="00F027DD">
        <w:rPr>
          <w:rFonts w:cs="Arial"/>
        </w:rPr>
        <w:t xml:space="preserve"> 2025</w:t>
      </w:r>
      <w:bookmarkEnd w:id="18"/>
      <w:r w:rsidRPr="00F027DD">
        <w:rPr>
          <w:rFonts w:cs="Arial"/>
          <w:lang w:val="en-GB"/>
        </w:rPr>
        <w:t>). The indirect digital content also continues to influence the female consumers.</w:t>
      </w:r>
    </w:p>
    <w:p w14:paraId="1BF954A5" w14:textId="77777777" w:rsidR="00732E6C" w:rsidRPr="0098755F" w:rsidRDefault="00DF099F">
      <w:r w:rsidRPr="00F027DD">
        <w:rPr>
          <w:rFonts w:cs="Arial"/>
          <w:lang w:val="en-GB"/>
        </w:rPr>
        <w:t xml:space="preserve">The presence of a </w:t>
      </w:r>
      <w:r w:rsidRPr="00F027DD">
        <w:rPr>
          <w:rFonts w:cs="Arial"/>
          <w:b/>
          <w:bCs/>
          <w:lang w:val="en-GB"/>
        </w:rPr>
        <w:t>diverse socioeconomic group</w:t>
      </w:r>
      <w:r w:rsidRPr="00F027DD">
        <w:rPr>
          <w:rFonts w:cs="Arial"/>
          <w:lang w:val="en-GB"/>
        </w:rPr>
        <w:t xml:space="preserve"> also highlights different tobacco patterns (Ferreira </w:t>
      </w:r>
      <w:r w:rsidRPr="00F027DD">
        <w:rPr>
          <w:rFonts w:cs="Arial"/>
          <w:i/>
          <w:iCs/>
          <w:lang w:val="en-GB"/>
        </w:rPr>
        <w:t>et al.,</w:t>
      </w:r>
      <w:r w:rsidRPr="00F027DD">
        <w:rPr>
          <w:rFonts w:cs="Arial"/>
          <w:lang w:val="en-GB"/>
        </w:rPr>
        <w:t xml:space="preserve"> 2023). The youngsters from affluent backgrounds are preferring cigarettes, vapes and premium tobacco products, associating themselves with social belonging or stress relief. Further, young adults also continue to rely on expensive products such as bidi and chewing tobacco. This environment is also contributing towards the consumption patterns because of high-stress corporate jobs and gig-economy professionals</w:t>
      </w:r>
      <w:r w:rsidR="0098755F">
        <w:rPr>
          <w:rFonts w:cs="Arial"/>
          <w:lang w:val="en-GB"/>
        </w:rPr>
        <w:t xml:space="preserve"> (</w:t>
      </w:r>
      <w:r w:rsidR="0098755F" w:rsidRPr="008E3ADC">
        <w:rPr>
          <w:rFonts w:cs="Arial"/>
        </w:rPr>
        <w:t>Ahmed</w:t>
      </w:r>
      <w:r w:rsidR="0098755F">
        <w:rPr>
          <w:rFonts w:cs="Arial"/>
        </w:rPr>
        <w:t xml:space="preserve"> </w:t>
      </w:r>
      <w:r w:rsidR="0098755F" w:rsidRPr="0098755F">
        <w:rPr>
          <w:rFonts w:cs="Arial"/>
          <w:i/>
        </w:rPr>
        <w:t>et.al</w:t>
      </w:r>
      <w:r w:rsidR="0098755F">
        <w:rPr>
          <w:rFonts w:cs="Arial"/>
        </w:rPr>
        <w:t xml:space="preserve"> </w:t>
      </w:r>
      <w:r w:rsidR="0098755F" w:rsidRPr="008E3ADC">
        <w:rPr>
          <w:rFonts w:cs="Arial"/>
        </w:rPr>
        <w:t>2023</w:t>
      </w:r>
      <w:r w:rsidR="0098755F">
        <w:rPr>
          <w:rFonts w:cs="Arial"/>
          <w:lang w:val="en-GB"/>
        </w:rPr>
        <w:t>)</w:t>
      </w:r>
      <w:r w:rsidRPr="00F027DD">
        <w:rPr>
          <w:rFonts w:cs="Arial"/>
          <w:lang w:val="en-GB"/>
        </w:rPr>
        <w:t>.</w:t>
      </w:r>
    </w:p>
    <w:p w14:paraId="4731081F" w14:textId="77777777" w:rsidR="00732E6C" w:rsidRPr="00F027DD" w:rsidRDefault="00DF099F">
      <w:pPr>
        <w:jc w:val="center"/>
        <w:rPr>
          <w:rFonts w:cs="Arial"/>
          <w:lang w:val="en-GB"/>
        </w:rPr>
      </w:pPr>
      <w:r w:rsidRPr="00F027DD">
        <w:rPr>
          <w:rFonts w:cs="Arial"/>
          <w:noProof/>
        </w:rPr>
        <w:drawing>
          <wp:inline distT="0" distB="0" distL="0" distR="0" wp14:anchorId="0451401E" wp14:editId="3C15687C">
            <wp:extent cx="4730750" cy="4064000"/>
            <wp:effectExtent l="0" t="0" r="0" b="0"/>
            <wp:docPr id="1026"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0" cstate="print"/>
                    <a:srcRect/>
                    <a:stretch/>
                  </pic:blipFill>
                  <pic:spPr>
                    <a:xfrm>
                      <a:off x="0" y="0"/>
                      <a:ext cx="4730750" cy="4064000"/>
                    </a:xfrm>
                    <a:prstGeom prst="rect">
                      <a:avLst/>
                    </a:prstGeom>
                    <a:ln>
                      <a:noFill/>
                    </a:ln>
                  </pic:spPr>
                </pic:pic>
              </a:graphicData>
            </a:graphic>
          </wp:inline>
        </w:drawing>
      </w:r>
    </w:p>
    <w:p w14:paraId="3F11605C" w14:textId="77777777" w:rsidR="00732E6C" w:rsidRPr="00F027DD" w:rsidRDefault="00DF099F">
      <w:pPr>
        <w:jc w:val="center"/>
        <w:rPr>
          <w:rFonts w:cs="Arial"/>
          <w:b/>
          <w:bCs/>
          <w:lang w:val="en-GB"/>
        </w:rPr>
      </w:pPr>
      <w:r w:rsidRPr="00F027DD">
        <w:rPr>
          <w:rFonts w:cs="Arial"/>
          <w:b/>
          <w:bCs/>
          <w:lang w:val="en-GB"/>
        </w:rPr>
        <w:t xml:space="preserve">Figure </w:t>
      </w:r>
      <w:r w:rsidR="00BE711B" w:rsidRPr="00F027DD">
        <w:rPr>
          <w:rFonts w:cs="Arial"/>
          <w:b/>
          <w:bCs/>
          <w:lang w:val="en-GB"/>
        </w:rPr>
        <w:fldChar w:fldCharType="begin"/>
      </w:r>
      <w:r w:rsidRPr="00F027DD">
        <w:rPr>
          <w:rFonts w:cs="Arial"/>
          <w:b/>
          <w:bCs/>
          <w:lang w:val="en-GB"/>
        </w:rPr>
        <w:instrText xml:space="preserve"> SEQ Figure \* ARABIC </w:instrText>
      </w:r>
      <w:r w:rsidR="00BE711B" w:rsidRPr="00F027DD">
        <w:rPr>
          <w:rFonts w:cs="Arial"/>
          <w:b/>
          <w:bCs/>
          <w:lang w:val="en-GB"/>
        </w:rPr>
        <w:fldChar w:fldCharType="separate"/>
      </w:r>
      <w:r w:rsidRPr="00F027DD">
        <w:rPr>
          <w:rFonts w:cs="Arial"/>
          <w:b/>
          <w:bCs/>
          <w:lang w:val="en-GB"/>
        </w:rPr>
        <w:t>1</w:t>
      </w:r>
      <w:r w:rsidR="00BE711B" w:rsidRPr="00F027DD">
        <w:rPr>
          <w:rFonts w:cs="Arial"/>
          <w:lang w:val="en-GB"/>
        </w:rPr>
        <w:fldChar w:fldCharType="end"/>
      </w:r>
      <w:r w:rsidRPr="00F027DD">
        <w:rPr>
          <w:rFonts w:cs="Arial"/>
          <w:b/>
          <w:bCs/>
          <w:lang w:val="en-GB"/>
        </w:rPr>
        <w:t>: Smoking Isn't Fire</w:t>
      </w:r>
    </w:p>
    <w:p w14:paraId="18AA6DC2" w14:textId="77777777" w:rsidR="00732E6C" w:rsidRPr="00F027DD" w:rsidRDefault="00DF099F">
      <w:pPr>
        <w:jc w:val="center"/>
        <w:rPr>
          <w:rFonts w:cs="Arial"/>
          <w:b/>
          <w:bCs/>
          <w:lang w:val="en-GB"/>
        </w:rPr>
      </w:pPr>
      <w:r w:rsidRPr="00F027DD">
        <w:rPr>
          <w:rFonts w:cs="Arial"/>
          <w:b/>
          <w:bCs/>
          <w:lang w:val="en-GB"/>
        </w:rPr>
        <w:t>Source: Martin Armstrong, 2022</w:t>
      </w:r>
    </w:p>
    <w:p w14:paraId="5D417820" w14:textId="77777777" w:rsidR="00732E6C" w:rsidRPr="0098755F" w:rsidRDefault="00DF099F">
      <w:r w:rsidRPr="00F027DD">
        <w:rPr>
          <w:rFonts w:cs="Arial"/>
          <w:lang w:val="en-GB"/>
        </w:rPr>
        <w:t xml:space="preserve">Even when significant </w:t>
      </w:r>
      <w:r w:rsidRPr="00F027DD">
        <w:rPr>
          <w:rFonts w:cs="Arial"/>
          <w:b/>
          <w:bCs/>
          <w:lang w:val="en-GB"/>
        </w:rPr>
        <w:t>restrictions exist on direct advertising,</w:t>
      </w:r>
      <w:r w:rsidRPr="00F027DD">
        <w:rPr>
          <w:rFonts w:cs="Arial"/>
          <w:lang w:val="en-GB"/>
        </w:rPr>
        <w:t xml:space="preserve"> the indirect advertising persists in the digital space. The tobacco-related imagery in films and lifestyle-oriented promotional material continues to influence the youth. They often expose young people to global smoking culture, due to which the experimentation and curiosity of the youngsters are triggered. The exposure to smoking in the entertainment media also enhances the likelihood of such a habit amongst young adults</w:t>
      </w:r>
      <w:r w:rsidR="0098755F">
        <w:rPr>
          <w:rFonts w:cs="Arial"/>
          <w:lang w:val="en-GB"/>
        </w:rPr>
        <w:t xml:space="preserve"> (</w:t>
      </w:r>
      <w:r w:rsidR="0098755F" w:rsidRPr="00E82F74">
        <w:rPr>
          <w:rFonts w:cs="Arial"/>
        </w:rPr>
        <w:t>Parmar</w:t>
      </w:r>
      <w:r w:rsidR="0098755F">
        <w:rPr>
          <w:rFonts w:cs="Arial"/>
        </w:rPr>
        <w:t xml:space="preserve"> </w:t>
      </w:r>
      <w:r w:rsidR="0098755F" w:rsidRPr="0098755F">
        <w:rPr>
          <w:rFonts w:cs="Arial"/>
          <w:i/>
        </w:rPr>
        <w:t>et.al</w:t>
      </w:r>
      <w:r w:rsidR="0098755F" w:rsidRPr="00E82F74">
        <w:rPr>
          <w:rFonts w:cs="Arial"/>
        </w:rPr>
        <w:t xml:space="preserve"> 2023</w:t>
      </w:r>
      <w:r w:rsidR="0098755F">
        <w:rPr>
          <w:rFonts w:cs="Arial"/>
          <w:lang w:val="en-GB"/>
        </w:rPr>
        <w:t>)</w:t>
      </w:r>
      <w:r w:rsidRPr="00F027DD">
        <w:rPr>
          <w:rFonts w:cs="Arial"/>
          <w:lang w:val="en-GB"/>
        </w:rPr>
        <w:t>.</w:t>
      </w:r>
    </w:p>
    <w:p w14:paraId="33AA5CDC" w14:textId="77777777" w:rsidR="00732E6C" w:rsidRPr="00F027DD" w:rsidRDefault="00DF099F">
      <w:pPr>
        <w:rPr>
          <w:rFonts w:cs="Arial"/>
          <w:lang w:val="en-GB"/>
        </w:rPr>
      </w:pPr>
      <w:r w:rsidRPr="00F027DD">
        <w:rPr>
          <w:rFonts w:cs="Arial"/>
          <w:lang w:val="en-GB"/>
        </w:rPr>
        <w:lastRenderedPageBreak/>
        <w:t xml:space="preserve">Exposure of the people towards academic pressure, competitive job market and social expectations leads to a </w:t>
      </w:r>
      <w:r w:rsidRPr="00F027DD">
        <w:rPr>
          <w:rFonts w:cs="Arial"/>
          <w:b/>
          <w:bCs/>
          <w:lang w:val="en-GB"/>
        </w:rPr>
        <w:t>lot of stress</w:t>
      </w:r>
      <w:r w:rsidRPr="00F027DD">
        <w:rPr>
          <w:rFonts w:cs="Arial"/>
          <w:lang w:val="en-GB"/>
        </w:rPr>
        <w:t xml:space="preserve"> due to which they are often prone to being addicted to such substances (Addissouky </w:t>
      </w:r>
      <w:r w:rsidRPr="00F027DD">
        <w:rPr>
          <w:rFonts w:cs="Arial"/>
          <w:i/>
          <w:iCs/>
          <w:lang w:val="en-GB"/>
        </w:rPr>
        <w:t>et al.,</w:t>
      </w:r>
      <w:r w:rsidRPr="00F027DD">
        <w:rPr>
          <w:rFonts w:cs="Arial"/>
          <w:lang w:val="en-GB"/>
        </w:rPr>
        <w:t xml:space="preserve"> 2024). There are rising cases of mental health concerns as well, including urban loneliness, anxiety and burnout, which makes this group significantly vulnerable (</w:t>
      </w:r>
      <w:bookmarkStart w:id="19" w:name="_Hlk219841096"/>
      <w:r w:rsidRPr="00F027DD">
        <w:rPr>
          <w:rFonts w:cs="Arial"/>
        </w:rPr>
        <w:t>Shankar</w:t>
      </w:r>
      <w:r w:rsidRPr="00F027DD">
        <w:rPr>
          <w:rFonts w:cs="Arial"/>
          <w:i/>
          <w:iCs/>
        </w:rPr>
        <w:t xml:space="preserve"> et.al</w:t>
      </w:r>
      <w:r w:rsidRPr="00F027DD">
        <w:rPr>
          <w:rFonts w:cs="Arial"/>
        </w:rPr>
        <w:t xml:space="preserve"> 2022</w:t>
      </w:r>
      <w:bookmarkEnd w:id="19"/>
      <w:r w:rsidRPr="00F027DD">
        <w:rPr>
          <w:rFonts w:cs="Arial"/>
        </w:rPr>
        <w:t>)</w:t>
      </w:r>
      <w:r w:rsidRPr="00F027DD">
        <w:rPr>
          <w:rFonts w:cs="Arial"/>
          <w:lang w:val="en-GB"/>
        </w:rPr>
        <w:t xml:space="preserve">. </w:t>
      </w:r>
    </w:p>
    <w:p w14:paraId="29B939B7" w14:textId="77777777" w:rsidR="00732E6C" w:rsidRPr="00F027DD" w:rsidRDefault="00DF099F">
      <w:pPr>
        <w:rPr>
          <w:rFonts w:cs="Arial"/>
          <w:lang w:val="en-GB"/>
        </w:rPr>
      </w:pPr>
      <w:r w:rsidRPr="00F027DD">
        <w:rPr>
          <w:rFonts w:cs="Arial"/>
          <w:lang w:val="en-GB"/>
        </w:rPr>
        <w:t>Even when strict laws have been introduced, the availability of tobacco products remains high in urban centres.</w:t>
      </w:r>
    </w:p>
    <w:p w14:paraId="41E7FA7F" w14:textId="77777777" w:rsidR="00732E6C" w:rsidRPr="00F027DD" w:rsidRDefault="00DF099F">
      <w:pPr>
        <w:rPr>
          <w:rFonts w:cs="Arial"/>
        </w:rPr>
      </w:pPr>
      <w:r w:rsidRPr="00F027DD">
        <w:rPr>
          <w:rFonts w:cs="Arial"/>
          <w:lang w:val="en-GB"/>
        </w:rPr>
        <w:t>The existence of various misconceptions also makes it difficult for young adults, as they underestimate the health risk of tobacco and believe that occasional or social smoking does not lead to any risk (</w:t>
      </w:r>
      <w:r w:rsidRPr="00F027DD">
        <w:rPr>
          <w:rFonts w:cs="Arial"/>
        </w:rPr>
        <w:t xml:space="preserve">Shah </w:t>
      </w:r>
      <w:r w:rsidRPr="00F027DD">
        <w:rPr>
          <w:rFonts w:cs="Arial"/>
          <w:i/>
        </w:rPr>
        <w:t>et.al</w:t>
      </w:r>
      <w:r w:rsidRPr="00F027DD">
        <w:rPr>
          <w:rFonts w:cs="Arial"/>
        </w:rPr>
        <w:t xml:space="preserve"> 2018</w:t>
      </w:r>
      <w:r w:rsidRPr="00F027DD">
        <w:rPr>
          <w:rFonts w:cs="Arial"/>
          <w:lang w:val="en-GB"/>
        </w:rPr>
        <w:t xml:space="preserve">). These assumptions are often contradicted by the cardiovascular research and the misconceptions lead to continued use and delay cessation. </w:t>
      </w:r>
    </w:p>
    <w:p w14:paraId="7B81ABE1" w14:textId="77777777" w:rsidR="00732E6C" w:rsidRPr="00F027DD" w:rsidRDefault="00DF099F">
      <w:pPr>
        <w:pStyle w:val="Heading2"/>
        <w:rPr>
          <w:rFonts w:cs="Arial"/>
          <w:lang w:val="en-GB"/>
        </w:rPr>
      </w:pPr>
      <w:bookmarkStart w:id="20" w:name="_Toc220668526"/>
      <w:r w:rsidRPr="00F027DD">
        <w:rPr>
          <w:rFonts w:cs="Arial"/>
          <w:lang w:val="en-GB"/>
        </w:rPr>
        <w:t>2.2 Prevalence of coronary heart disease attributable to tobacco use among young adults in urban India</w:t>
      </w:r>
      <w:bookmarkEnd w:id="20"/>
    </w:p>
    <w:p w14:paraId="38ABDD76" w14:textId="77777777" w:rsidR="00732E6C" w:rsidRPr="0098755F" w:rsidRDefault="00DF099F">
      <w:r w:rsidRPr="00F027DD">
        <w:rPr>
          <w:rFonts w:cs="Arial"/>
          <w:lang w:val="en-GB"/>
        </w:rPr>
        <w:t>Coronary heart disease has become a major public health concern in India due to the alarming shift towards younger age groups in the urban areas</w:t>
      </w:r>
      <w:r w:rsidR="0098755F">
        <w:rPr>
          <w:rFonts w:cs="Arial"/>
          <w:lang w:val="en-GB"/>
        </w:rPr>
        <w:t xml:space="preserve"> (</w:t>
      </w:r>
      <w:r w:rsidR="0098755F" w:rsidRPr="000C1970">
        <w:rPr>
          <w:rFonts w:cs="Arial"/>
        </w:rPr>
        <w:t>Yellapantula</w:t>
      </w:r>
      <w:r w:rsidR="0098755F">
        <w:rPr>
          <w:rFonts w:cs="Arial"/>
        </w:rPr>
        <w:t xml:space="preserve"> </w:t>
      </w:r>
      <w:r w:rsidR="0098755F" w:rsidRPr="0098755F">
        <w:rPr>
          <w:rFonts w:cs="Arial"/>
          <w:i/>
        </w:rPr>
        <w:t>et.al</w:t>
      </w:r>
      <w:r w:rsidR="0098755F">
        <w:rPr>
          <w:rFonts w:cs="Arial"/>
        </w:rPr>
        <w:t xml:space="preserve"> </w:t>
      </w:r>
      <w:r w:rsidR="0098755F" w:rsidRPr="000C1970">
        <w:rPr>
          <w:rFonts w:cs="Arial"/>
        </w:rPr>
        <w:t>2025</w:t>
      </w:r>
      <w:r w:rsidR="0098755F">
        <w:rPr>
          <w:rFonts w:cs="Arial"/>
          <w:lang w:val="en-GB"/>
        </w:rPr>
        <w:t>)</w:t>
      </w:r>
      <w:r w:rsidRPr="00F027DD">
        <w:rPr>
          <w:rFonts w:cs="Arial"/>
          <w:lang w:val="en-GB"/>
        </w:rPr>
        <w:t>. Traditionally, it was regarded as a condition that affected middle-aged or older adults, but it is now observed that the youngsters are being diagnosed with the same condition. Both smoking and smokeless consumption of tobacco play an important role, which contributes significantly to the premature cardiovascular morbidity. It is important to understand the ways in which it has an impact on the health of young adults and ensure that youth-focused tobacco control strategies are implemented</w:t>
      </w:r>
      <w:r w:rsidR="0098755F">
        <w:rPr>
          <w:rFonts w:cs="Arial"/>
          <w:lang w:val="en-GB"/>
        </w:rPr>
        <w:t xml:space="preserve"> (</w:t>
      </w:r>
      <w:r w:rsidR="0098755F" w:rsidRPr="003105DB">
        <w:rPr>
          <w:rFonts w:cs="Arial"/>
        </w:rPr>
        <w:t>Nagar</w:t>
      </w:r>
      <w:r w:rsidR="0098755F">
        <w:rPr>
          <w:rFonts w:cs="Arial"/>
        </w:rPr>
        <w:t xml:space="preserve"> </w:t>
      </w:r>
      <w:r w:rsidR="0098755F" w:rsidRPr="0098755F">
        <w:rPr>
          <w:rFonts w:cs="Arial"/>
          <w:i/>
        </w:rPr>
        <w:t>et.al</w:t>
      </w:r>
      <w:r w:rsidR="0098755F" w:rsidRPr="003105DB">
        <w:rPr>
          <w:rFonts w:cs="Arial"/>
        </w:rPr>
        <w:t xml:space="preserve"> 2025</w:t>
      </w:r>
      <w:r w:rsidR="0098755F">
        <w:rPr>
          <w:rFonts w:cs="Arial"/>
          <w:lang w:val="en-GB"/>
        </w:rPr>
        <w:t>)</w:t>
      </w:r>
      <w:r w:rsidRPr="00F027DD">
        <w:rPr>
          <w:rFonts w:cs="Arial"/>
          <w:lang w:val="en-GB"/>
        </w:rPr>
        <w:t xml:space="preserve">. </w:t>
      </w:r>
    </w:p>
    <w:p w14:paraId="345BC21F" w14:textId="77777777" w:rsidR="00732E6C" w:rsidRPr="00F027DD" w:rsidRDefault="00DF099F">
      <w:pPr>
        <w:rPr>
          <w:rFonts w:cs="Arial"/>
          <w:lang w:val="en-GB"/>
        </w:rPr>
      </w:pPr>
      <w:r w:rsidRPr="00F027DD">
        <w:rPr>
          <w:rFonts w:cs="Arial"/>
          <w:lang w:val="en-GB"/>
        </w:rPr>
        <w:t xml:space="preserve">Urban India has witnessed a </w:t>
      </w:r>
      <w:r w:rsidRPr="00F027DD">
        <w:rPr>
          <w:rFonts w:cs="Arial"/>
          <w:b/>
          <w:bCs/>
          <w:lang w:val="en-GB"/>
        </w:rPr>
        <w:t>rise in premature CHD cases</w:t>
      </w:r>
      <w:r w:rsidRPr="00F027DD">
        <w:rPr>
          <w:rFonts w:cs="Arial"/>
          <w:lang w:val="en-GB"/>
        </w:rPr>
        <w:t xml:space="preserve"> over the past two decades. Approximately 15 to 20% of acute coronary syndrome admissions now involve patients who are below the age of 40 in Western populations (Timmis </w:t>
      </w:r>
      <w:r w:rsidRPr="00F027DD">
        <w:rPr>
          <w:rFonts w:cs="Arial"/>
          <w:i/>
          <w:iCs/>
          <w:lang w:val="en-GB"/>
        </w:rPr>
        <w:t>et al.,</w:t>
      </w:r>
      <w:r w:rsidRPr="00F027DD">
        <w:rPr>
          <w:rFonts w:cs="Arial"/>
          <w:lang w:val="en-GB"/>
        </w:rPr>
        <w:t xml:space="preserve"> 2023). It is one of the leading modifiable risk factors amongst young patients because the youngsters often engage in this practice early on in their lives, leading to cardiovascular damage quickly. Further, the risk also amplifies in the urban environment because of a sedentary lifestyle, processed food consumption, long working hours and high exposure to air pollution. The combination of these factors with tobacco use makes the condition worse and leads to hypertension and dysfunctions. </w:t>
      </w:r>
    </w:p>
    <w:p w14:paraId="3F32F953" w14:textId="77777777" w:rsidR="00732E6C" w:rsidRPr="0098755F" w:rsidRDefault="00DF099F">
      <w:r w:rsidRPr="00F027DD">
        <w:rPr>
          <w:rFonts w:cs="Arial"/>
          <w:lang w:val="en-GB"/>
        </w:rPr>
        <w:t xml:space="preserve">The issue of tobacco also contributes </w:t>
      </w:r>
      <w:r w:rsidRPr="00F027DD">
        <w:rPr>
          <w:rFonts w:cs="Arial"/>
          <w:b/>
          <w:bCs/>
          <w:lang w:val="en-GB"/>
        </w:rPr>
        <w:t>significantly to CHD</w:t>
      </w:r>
      <w:r w:rsidRPr="00F027DD">
        <w:rPr>
          <w:rFonts w:cs="Arial"/>
          <w:lang w:val="en-GB"/>
        </w:rPr>
        <w:t xml:space="preserve"> through multiple biological pathways. With the conjunction of nicotine, there is increased heart rate, blood pressure and oxygen demand, due to which there is a significant pressure on the heart</w:t>
      </w:r>
      <w:r w:rsidR="0098755F">
        <w:rPr>
          <w:rFonts w:cs="Arial"/>
          <w:lang w:val="en-GB"/>
        </w:rPr>
        <w:t xml:space="preserve"> (</w:t>
      </w:r>
      <w:r w:rsidR="0098755F" w:rsidRPr="000811A7">
        <w:rPr>
          <w:rFonts w:cs="Arial"/>
          <w:lang w:val="en-GB"/>
        </w:rPr>
        <w:t>Smith, 2025</w:t>
      </w:r>
      <w:r w:rsidR="0098755F">
        <w:rPr>
          <w:rFonts w:cs="Arial"/>
          <w:lang w:val="en-GB"/>
        </w:rPr>
        <w:t>)</w:t>
      </w:r>
      <w:r w:rsidRPr="00F027DD">
        <w:rPr>
          <w:rFonts w:cs="Arial"/>
          <w:lang w:val="en-GB"/>
        </w:rPr>
        <w:t xml:space="preserve">. Further, carbon monoxide also leads to the reduction of the carrying capacity of blood and makes it </w:t>
      </w:r>
      <w:r w:rsidRPr="00F027DD">
        <w:rPr>
          <w:rFonts w:cs="Arial"/>
          <w:lang w:val="en-GB"/>
        </w:rPr>
        <w:lastRenderedPageBreak/>
        <w:t xml:space="preserve">difficult for the heart to perform its functions. Due to the smoke of tobacco, there is damage to the endothelial cells in the coronary arteries, which increases the likelihood of artery blockage. </w:t>
      </w:r>
    </w:p>
    <w:p w14:paraId="2193CBBB" w14:textId="77777777" w:rsidR="00732E6C" w:rsidRPr="00F027DD" w:rsidRDefault="00DF099F">
      <w:pPr>
        <w:rPr>
          <w:rFonts w:cs="Arial"/>
          <w:lang w:val="en-GB"/>
        </w:rPr>
      </w:pPr>
      <w:r w:rsidRPr="00F027DD">
        <w:rPr>
          <w:rFonts w:cs="Arial"/>
          <w:lang w:val="en-GB"/>
        </w:rPr>
        <w:t xml:space="preserve">Thus, smokeless tobacco consumed by the young adults from the </w:t>
      </w:r>
      <w:r w:rsidRPr="00F027DD">
        <w:rPr>
          <w:rFonts w:cs="Arial"/>
          <w:b/>
          <w:bCs/>
          <w:lang w:val="en-GB"/>
        </w:rPr>
        <w:t>lower socioeconomic backgrounds</w:t>
      </w:r>
      <w:r w:rsidRPr="00F027DD">
        <w:rPr>
          <w:rFonts w:cs="Arial"/>
          <w:lang w:val="en-GB"/>
        </w:rPr>
        <w:t xml:space="preserve"> also contributes towards CHD (Lahoti and Dixit, 2021). Various products, such as bidis and Gutka, have nicotine levels due to which there is increased platelet aggregation. As per various Indian studies, the regular use of smokeless tobacco leads to the elevation of blood pressure, leading to an inflammatory marker linked with CHD. Due to this, smoking and smokeless forms often lead to the elevation of the CHD risks amongst young adults. </w:t>
      </w:r>
    </w:p>
    <w:p w14:paraId="3DFB91F6" w14:textId="77777777" w:rsidR="00732E6C" w:rsidRPr="00F027DD" w:rsidRDefault="00DF099F">
      <w:pPr>
        <w:rPr>
          <w:rFonts w:cs="Arial"/>
          <w:lang w:val="en-GB"/>
        </w:rPr>
      </w:pPr>
      <w:r w:rsidRPr="00F027DD">
        <w:rPr>
          <w:rFonts w:cs="Arial"/>
          <w:lang w:val="en-GB"/>
        </w:rPr>
        <w:t xml:space="preserve">There have been broad estimates about tobacco, but it does not adequately disaggregate the CHD outcomes about the age group. Study suggests that in North India, 40-60% of young CHD patients are active smokers and urban male CHD patients have long histories of high-intensity smoking with the consumption of 10 to 20 cigarettes per day (Jan </w:t>
      </w:r>
      <w:r w:rsidRPr="00F027DD">
        <w:rPr>
          <w:rFonts w:cs="Arial"/>
          <w:i/>
          <w:iCs/>
          <w:lang w:val="en-GB"/>
        </w:rPr>
        <w:t>et al.,</w:t>
      </w:r>
      <w:r w:rsidRPr="00F027DD">
        <w:rPr>
          <w:rFonts w:cs="Arial"/>
          <w:lang w:val="en-GB"/>
        </w:rPr>
        <w:t xml:space="preserve"> 2024). Further, young adults with a history of smokeless tobacco use are also more likely to present with acute myocardial infarction. The young admitted patients have consistently high prevalence of tobacco, having major risks relating to diabetes, hypertension and dyslipidaemia. </w:t>
      </w:r>
    </w:p>
    <w:p w14:paraId="771B59B7" w14:textId="77777777" w:rsidR="00732E6C" w:rsidRPr="0098755F" w:rsidRDefault="00DF099F">
      <w:r w:rsidRPr="00F027DD">
        <w:rPr>
          <w:rFonts w:cs="Arial"/>
          <w:lang w:val="en-GB"/>
        </w:rPr>
        <w:t xml:space="preserve">The problems of CHD are higher among urban men, but with the rising tobacco experimentation, </w:t>
      </w:r>
      <w:r w:rsidRPr="00F027DD">
        <w:rPr>
          <w:rFonts w:cs="Arial"/>
          <w:b/>
          <w:bCs/>
          <w:lang w:val="en-GB"/>
        </w:rPr>
        <w:t>young women</w:t>
      </w:r>
      <w:r w:rsidRPr="00F027DD">
        <w:rPr>
          <w:rFonts w:cs="Arial"/>
          <w:lang w:val="en-GB"/>
        </w:rPr>
        <w:t xml:space="preserve"> are also getting influenced and are also getting these diseases. Young women who smoke often experience relatively higher CHD risk in comparison to men at similar consumption levels</w:t>
      </w:r>
      <w:r w:rsidR="0098755F">
        <w:rPr>
          <w:rFonts w:cs="Arial"/>
          <w:lang w:val="en-GB"/>
        </w:rPr>
        <w:t xml:space="preserve"> (</w:t>
      </w:r>
      <w:r w:rsidR="0098755F" w:rsidRPr="003257DA">
        <w:rPr>
          <w:rFonts w:cs="Arial"/>
        </w:rPr>
        <w:t>Kumari and Shukla, 2025</w:t>
      </w:r>
      <w:r w:rsidR="0098755F">
        <w:rPr>
          <w:rFonts w:cs="Arial"/>
          <w:lang w:val="en-GB"/>
        </w:rPr>
        <w:t>)</w:t>
      </w:r>
      <w:r w:rsidRPr="00F027DD">
        <w:rPr>
          <w:rFonts w:cs="Arial"/>
          <w:lang w:val="en-GB"/>
        </w:rPr>
        <w:t xml:space="preserve">. Due to this, it is an alarming situation for the young women, which triggers metabolic and endothelial alterations that are linked to CHD. It is important to address this as soon as possible. </w:t>
      </w:r>
    </w:p>
    <w:p w14:paraId="6F4DA907" w14:textId="77777777" w:rsidR="00732E6C" w:rsidRPr="00F027DD" w:rsidRDefault="00DF099F">
      <w:pPr>
        <w:rPr>
          <w:rFonts w:cs="Arial"/>
          <w:lang w:val="en-GB"/>
        </w:rPr>
      </w:pPr>
      <w:r w:rsidRPr="00F027DD">
        <w:rPr>
          <w:rFonts w:cs="Arial"/>
          <w:lang w:val="en-GB"/>
        </w:rPr>
        <w:t xml:space="preserve">Tobacco is entering </w:t>
      </w:r>
      <w:r w:rsidRPr="00F027DD">
        <w:rPr>
          <w:rFonts w:cs="Arial"/>
          <w:b/>
          <w:bCs/>
          <w:lang w:val="en-GB"/>
        </w:rPr>
        <w:t>the universities and urban work</w:t>
      </w:r>
      <w:r w:rsidRPr="00F027DD">
        <w:rPr>
          <w:rFonts w:cs="Arial"/>
          <w:lang w:val="en-GB"/>
        </w:rPr>
        <w:t xml:space="preserve">places, due to which the cardiovascular damage is accelerating. The users often focus on continuous experimentation and exposure, which leads to cardiovascular harm as well as the enhancement of the likelihood of arterial plaque formation by the mid-20s. Individuals starting to smoke before the age of 20 have twice the risk of premature CHD in comparison to those initiating later (Rana </w:t>
      </w:r>
      <w:r w:rsidRPr="00F027DD">
        <w:rPr>
          <w:rFonts w:cs="Arial"/>
          <w:i/>
          <w:iCs/>
          <w:lang w:val="en-GB"/>
        </w:rPr>
        <w:t>et al.,</w:t>
      </w:r>
      <w:r w:rsidRPr="00F027DD">
        <w:rPr>
          <w:rFonts w:cs="Arial"/>
          <w:lang w:val="en-GB"/>
        </w:rPr>
        <w:t xml:space="preserve"> 2022).</w:t>
      </w:r>
    </w:p>
    <w:p w14:paraId="115A72F3" w14:textId="77777777" w:rsidR="00732E6C" w:rsidRPr="00F027DD" w:rsidRDefault="00DF099F">
      <w:pPr>
        <w:rPr>
          <w:rFonts w:cs="Arial"/>
          <w:lang w:val="en-GB"/>
        </w:rPr>
      </w:pPr>
      <w:r w:rsidRPr="00F027DD">
        <w:rPr>
          <w:rFonts w:cs="Arial"/>
          <w:lang w:val="en-GB"/>
        </w:rPr>
        <w:t xml:space="preserve">Other factors also play a major role in this scenario, including the reduction of oxygen availability and hypoxic stress on the cardiac issue. The urban diets are high in sodium and trans-fats, due to which the harmful effects increase significantly. It is important to understand the situation effectively and make sure that the right steps are taken for handling it in the right manner. </w:t>
      </w:r>
    </w:p>
    <w:p w14:paraId="55F87C10" w14:textId="77777777" w:rsidR="00732E6C" w:rsidRPr="00F027DD" w:rsidRDefault="00DF099F">
      <w:pPr>
        <w:pStyle w:val="Heading2"/>
        <w:rPr>
          <w:rFonts w:cs="Arial"/>
          <w:lang w:val="en-GB"/>
        </w:rPr>
      </w:pPr>
      <w:bookmarkStart w:id="21" w:name="_Toc220668527"/>
      <w:r w:rsidRPr="00F027DD">
        <w:rPr>
          <w:rFonts w:cs="Arial"/>
          <w:lang w:val="en-GB"/>
        </w:rPr>
        <w:t>2.3 Role of NTCP policies on reducing early risk factors</w:t>
      </w:r>
      <w:bookmarkEnd w:id="21"/>
    </w:p>
    <w:p w14:paraId="38BC5CF6" w14:textId="77777777" w:rsidR="00732E6C" w:rsidRPr="00F027DD" w:rsidRDefault="00DF099F">
      <w:pPr>
        <w:rPr>
          <w:rFonts w:cs="Arial"/>
          <w:lang w:val="en-GB"/>
        </w:rPr>
      </w:pPr>
      <w:r w:rsidRPr="00F027DD">
        <w:rPr>
          <w:rFonts w:cs="Arial"/>
          <w:lang w:val="en-GB"/>
        </w:rPr>
        <w:t xml:space="preserve">One of the most vulnerable groups are the young adults in urban areas that are exposed to the acceleration of the onset of coronary heart disease. The focus of the NTCP is on the </w:t>
      </w:r>
      <w:r w:rsidRPr="00F027DD">
        <w:rPr>
          <w:rFonts w:cs="Arial"/>
          <w:lang w:val="en-GB"/>
        </w:rPr>
        <w:lastRenderedPageBreak/>
        <w:t xml:space="preserve">combination of behavioural change intervention, surveillance and ensuring that the cardiovascular disease is identified timely. </w:t>
      </w:r>
    </w:p>
    <w:p w14:paraId="2D471978" w14:textId="77777777" w:rsidR="00732E6C" w:rsidRPr="00F027DD" w:rsidRDefault="00DF099F">
      <w:pPr>
        <w:rPr>
          <w:rFonts w:cs="Arial"/>
          <w:lang w:val="en-GB"/>
        </w:rPr>
      </w:pPr>
      <w:r w:rsidRPr="00F027DD">
        <w:rPr>
          <w:rFonts w:cs="Arial"/>
          <w:lang w:val="en-GB"/>
        </w:rPr>
        <w:t xml:space="preserve">By ensuring the </w:t>
      </w:r>
      <w:r w:rsidRPr="00F027DD">
        <w:rPr>
          <w:rFonts w:cs="Arial"/>
          <w:b/>
          <w:bCs/>
          <w:lang w:val="en-GB"/>
        </w:rPr>
        <w:t>strengthening of the legislative measures</w:t>
      </w:r>
      <w:r w:rsidRPr="00F027DD">
        <w:rPr>
          <w:rFonts w:cs="Arial"/>
          <w:lang w:val="en-GB"/>
        </w:rPr>
        <w:t xml:space="preserve"> it is possible to reduce such exposure. Through the Cigarettes and Other Tobacco Products Act (COTPA) lays emphasis on such measures through which such exposure is minimised (Hebbar </w:t>
      </w:r>
      <w:r w:rsidRPr="00F027DD">
        <w:rPr>
          <w:rFonts w:cs="Arial"/>
          <w:i/>
          <w:iCs/>
          <w:lang w:val="en-GB"/>
        </w:rPr>
        <w:t>et al.,</w:t>
      </w:r>
      <w:r w:rsidRPr="00F027DD">
        <w:rPr>
          <w:rFonts w:cs="Arial"/>
          <w:lang w:val="en-GB"/>
        </w:rPr>
        <w:t xml:space="preserve"> 2025). This is done to make sure that the initiation can be reduced and emphasis can be laid on creating an environment where tobacco becomes socially less acceptable. </w:t>
      </w:r>
    </w:p>
    <w:p w14:paraId="1BA8CABE" w14:textId="77777777" w:rsidR="00732E6C" w:rsidRPr="0098755F" w:rsidRDefault="00DF099F">
      <w:r w:rsidRPr="00F027DD">
        <w:rPr>
          <w:rFonts w:cs="Arial"/>
          <w:lang w:val="en-GB"/>
        </w:rPr>
        <w:t>The exposure to such messaging helps in making them aware and ensures that the usage reduces. The workplaces, restaurants and universities have also reduced the passive smoking exposure with the smoke-free initiative</w:t>
      </w:r>
      <w:r w:rsidR="0098755F">
        <w:rPr>
          <w:rFonts w:cs="Arial"/>
          <w:lang w:val="en-GB"/>
        </w:rPr>
        <w:t xml:space="preserve"> (</w:t>
      </w:r>
      <w:r w:rsidR="0098755F" w:rsidRPr="00C0635E">
        <w:rPr>
          <w:rFonts w:cs="Arial"/>
        </w:rPr>
        <w:t>Ghosh</w:t>
      </w:r>
      <w:r w:rsidR="0098755F">
        <w:rPr>
          <w:rFonts w:cs="Arial"/>
        </w:rPr>
        <w:t xml:space="preserve"> </w:t>
      </w:r>
      <w:r w:rsidR="0098755F" w:rsidRPr="0098755F">
        <w:rPr>
          <w:rFonts w:cs="Arial"/>
          <w:i/>
        </w:rPr>
        <w:t>et.al</w:t>
      </w:r>
      <w:r w:rsidR="0098755F" w:rsidRPr="00C0635E">
        <w:rPr>
          <w:rFonts w:cs="Arial"/>
        </w:rPr>
        <w:t xml:space="preserve"> 2025</w:t>
      </w:r>
      <w:r w:rsidR="0098755F">
        <w:rPr>
          <w:rFonts w:cs="Arial"/>
          <w:lang w:val="en-GB"/>
        </w:rPr>
        <w:t>)</w:t>
      </w:r>
      <w:r w:rsidRPr="00F027DD">
        <w:rPr>
          <w:rFonts w:cs="Arial"/>
          <w:lang w:val="en-GB"/>
        </w:rPr>
        <w:t>. The limitation on the visibility and normalisation of smoking in public places leads to a reduction, leading to a ban on early initiation.</w:t>
      </w:r>
    </w:p>
    <w:p w14:paraId="35768CB4" w14:textId="77777777" w:rsidR="00732E6C" w:rsidRPr="00F027DD" w:rsidRDefault="00DF099F">
      <w:pPr>
        <w:rPr>
          <w:rFonts w:cs="Arial"/>
          <w:lang w:val="en-GB"/>
        </w:rPr>
      </w:pPr>
      <w:r w:rsidRPr="00F027DD">
        <w:rPr>
          <w:rFonts w:cs="Arial"/>
          <w:lang w:val="en-GB"/>
        </w:rPr>
        <w:t xml:space="preserve">Along with this, it also emphasizes the </w:t>
      </w:r>
      <w:r w:rsidRPr="00F027DD">
        <w:rPr>
          <w:rFonts w:cs="Arial"/>
          <w:b/>
          <w:bCs/>
          <w:lang w:val="en-GB"/>
        </w:rPr>
        <w:t>reduction of accessibility</w:t>
      </w:r>
      <w:r w:rsidRPr="00F027DD">
        <w:rPr>
          <w:rFonts w:cs="Arial"/>
          <w:lang w:val="en-GB"/>
        </w:rPr>
        <w:t xml:space="preserve"> among the youth with the </w:t>
      </w:r>
      <w:r w:rsidRPr="00F027DD">
        <w:rPr>
          <w:rFonts w:cs="Arial"/>
          <w:b/>
          <w:bCs/>
          <w:lang w:val="en-GB"/>
        </w:rPr>
        <w:t>help of a ban on the selling of tobacco and crackdowns</w:t>
      </w:r>
      <w:r w:rsidRPr="00F027DD">
        <w:rPr>
          <w:rFonts w:cs="Arial"/>
          <w:lang w:val="en-GB"/>
        </w:rPr>
        <w:t xml:space="preserve"> on illegal hookah parlours (Islam, 2023). Further, the restriction on single-stick cigarette sales also plays an important role in this situation.  With the help of targeted compliance drives across the Metropolitan areas, it is possible to temporarily reduce the availability of such substances near the Universities and ensure that the reduction of access ensures the protection of the youngsters. The ban on electronic cigarettes in 2019 was also implemented with the NTCP's support, making it possible to prevent the escalation of vaping amongst the youth. </w:t>
      </w:r>
    </w:p>
    <w:p w14:paraId="20009947" w14:textId="77777777" w:rsidR="00732E6C" w:rsidRPr="00F027DD" w:rsidRDefault="00DF099F">
      <w:pPr>
        <w:rPr>
          <w:rFonts w:cs="Arial"/>
          <w:lang w:val="en-GB"/>
        </w:rPr>
      </w:pPr>
      <w:r w:rsidRPr="00F027DD">
        <w:rPr>
          <w:rFonts w:cs="Arial"/>
          <w:lang w:val="en-GB"/>
        </w:rPr>
        <w:t xml:space="preserve">With the help of </w:t>
      </w:r>
      <w:r w:rsidRPr="00F027DD">
        <w:rPr>
          <w:rFonts w:cs="Arial"/>
          <w:b/>
          <w:bCs/>
          <w:lang w:val="en-GB"/>
        </w:rPr>
        <w:t>mass media campaigns,</w:t>
      </w:r>
      <w:r w:rsidRPr="00F027DD">
        <w:rPr>
          <w:rFonts w:cs="Arial"/>
          <w:lang w:val="en-GB"/>
        </w:rPr>
        <w:t xml:space="preserve"> it is possible to ensure that the public understanding about the tobacco’s cardiovascular harms is enhanced and the emphasis is also laid on highlighting heart disease, systemic risk and stroke. The campaign, such as “Tears You Apart,” “Sunita,” has played a central role in the situation, making it possible to make use of real stories to make the generation aware (RCTC, 2025). </w:t>
      </w:r>
    </w:p>
    <w:p w14:paraId="520501FF" w14:textId="77777777" w:rsidR="00732E6C" w:rsidRPr="0038729C" w:rsidRDefault="00DF099F">
      <w:r w:rsidRPr="00F027DD">
        <w:rPr>
          <w:rFonts w:cs="Arial"/>
          <w:lang w:val="en-GB"/>
        </w:rPr>
        <w:t xml:space="preserve">With the help of dedicated tobacco cessation centres, the emphasis has also been laid on trained counsellors in the public health facilities for gaining the right results. With the help of accessible situations, it is possible to substantially reduce the CHD risk and ensure that the arterial damage can be reversed (Addissouky </w:t>
      </w:r>
      <w:r w:rsidRPr="00F027DD">
        <w:rPr>
          <w:rFonts w:cs="Arial"/>
          <w:i/>
          <w:iCs/>
          <w:lang w:val="en-GB"/>
        </w:rPr>
        <w:t>et al.,</w:t>
      </w:r>
      <w:r w:rsidRPr="00F027DD">
        <w:rPr>
          <w:rFonts w:cs="Arial"/>
          <w:lang w:val="en-GB"/>
        </w:rPr>
        <w:t xml:space="preserve"> 2024).  The urban areas have experienced a greater concentration of tobacco cessation centres to ensure that college students and young working professionals can improve their habits. Through the m-Cessation initiative, launched in partnership with the Ministry of Health and WHO, it is possible to ensure engagement of young adults preferring mobile-based interventions. With the help of such initiatives, it is possible to </w:t>
      </w:r>
      <w:r w:rsidRPr="00F027DD">
        <w:rPr>
          <w:rFonts w:cs="Arial"/>
          <w:lang w:val="en-GB"/>
        </w:rPr>
        <w:lastRenderedPageBreak/>
        <w:t>address challenges and ensure that sustainable quitting attempts are taken into account</w:t>
      </w:r>
      <w:r w:rsidR="0038729C">
        <w:rPr>
          <w:rFonts w:cs="Arial"/>
          <w:lang w:val="en-GB"/>
        </w:rPr>
        <w:t xml:space="preserve"> (</w:t>
      </w:r>
      <w:r w:rsidR="0038729C" w:rsidRPr="0038729C">
        <w:rPr>
          <w:rFonts w:cs="Arial"/>
          <w:color w:val="222222"/>
          <w:szCs w:val="24"/>
        </w:rPr>
        <w:t>Biswas</w:t>
      </w:r>
      <w:r w:rsidR="0038729C">
        <w:rPr>
          <w:rFonts w:cs="Arial"/>
          <w:color w:val="222222"/>
          <w:szCs w:val="24"/>
        </w:rPr>
        <w:t xml:space="preserve"> </w:t>
      </w:r>
      <w:r w:rsidR="0038729C" w:rsidRPr="0038729C">
        <w:rPr>
          <w:rFonts w:cs="Arial"/>
          <w:i/>
          <w:color w:val="222222"/>
          <w:szCs w:val="24"/>
        </w:rPr>
        <w:t>et.al</w:t>
      </w:r>
      <w:r w:rsidR="0038729C" w:rsidRPr="0038729C">
        <w:rPr>
          <w:rFonts w:cs="Arial"/>
          <w:color w:val="222222"/>
          <w:szCs w:val="24"/>
        </w:rPr>
        <w:t xml:space="preserve"> 2025</w:t>
      </w:r>
      <w:r w:rsidR="0038729C">
        <w:rPr>
          <w:rFonts w:cs="Arial"/>
          <w:lang w:val="en-GB"/>
        </w:rPr>
        <w:t>)</w:t>
      </w:r>
      <w:r w:rsidRPr="00F027DD">
        <w:rPr>
          <w:rFonts w:cs="Arial"/>
          <w:lang w:val="en-GB"/>
        </w:rPr>
        <w:t>.</w:t>
      </w:r>
    </w:p>
    <w:p w14:paraId="252A7F3C" w14:textId="77777777" w:rsidR="00732E6C" w:rsidRPr="00F027DD" w:rsidRDefault="00DF099F">
      <w:pPr>
        <w:rPr>
          <w:rFonts w:cs="Arial"/>
          <w:lang w:val="en-GB"/>
        </w:rPr>
      </w:pPr>
      <w:r w:rsidRPr="00F027DD">
        <w:rPr>
          <w:rFonts w:cs="Arial"/>
          <w:lang w:val="en-GB"/>
        </w:rPr>
        <w:t xml:space="preserve">NTCP is also focused on </w:t>
      </w:r>
      <w:r w:rsidRPr="00F027DD">
        <w:rPr>
          <w:rFonts w:cs="Arial"/>
          <w:b/>
          <w:bCs/>
          <w:lang w:val="en-GB"/>
        </w:rPr>
        <w:t>supporting surveillance mechanism</w:t>
      </w:r>
      <w:r w:rsidRPr="00F027DD">
        <w:rPr>
          <w:rFonts w:cs="Arial"/>
          <w:lang w:val="en-GB"/>
        </w:rPr>
        <w:t xml:space="preserve">s such as research collaborations and behavioural monitoring (Dhinwa </w:t>
      </w:r>
      <w:r w:rsidRPr="00F027DD">
        <w:rPr>
          <w:rFonts w:cs="Arial"/>
          <w:i/>
          <w:iCs/>
          <w:lang w:val="en-GB"/>
        </w:rPr>
        <w:t>et al.,</w:t>
      </w:r>
      <w:r w:rsidRPr="00F027DD">
        <w:rPr>
          <w:rFonts w:cs="Arial"/>
          <w:lang w:val="en-GB"/>
        </w:rPr>
        <w:t xml:space="preserve"> 2022). With the help of these systems, it is possible to generate data on the youth tobacco use patterns, emerging products such as hukkah and vapes, as well as risk factors. With the help of this evidence, it is possible to gain an understanding of the refinements in policies and enforcement strategies. </w:t>
      </w:r>
    </w:p>
    <w:p w14:paraId="6A5FF457" w14:textId="77777777" w:rsidR="00732E6C" w:rsidRPr="00F027DD" w:rsidRDefault="00DF099F">
      <w:pPr>
        <w:rPr>
          <w:rFonts w:cs="Arial"/>
          <w:lang w:val="en-GB"/>
        </w:rPr>
      </w:pPr>
      <w:r w:rsidRPr="00F027DD">
        <w:rPr>
          <w:rFonts w:cs="Arial"/>
          <w:lang w:val="en-GB"/>
        </w:rPr>
        <w:t xml:space="preserve">The rising Hookah use amongst the college students has prompted urban crackdown on the hookah café (Paul, Ganie and Dar, 2024). The data also indicates that there is enhanced female tobacco experimentation and the cities leading to gender gender-inclusive campaigns. With the help of responsive adaptation, it is possible to address a cardiovascular risk factor amongst the youth before they become entrenched. </w:t>
      </w:r>
    </w:p>
    <w:p w14:paraId="7E2D9BBF" w14:textId="77777777" w:rsidR="00732E6C" w:rsidRPr="0098755F" w:rsidRDefault="00DF099F">
      <w:r w:rsidRPr="00F027DD">
        <w:rPr>
          <w:rFonts w:cs="Arial"/>
          <w:lang w:val="en-GB"/>
        </w:rPr>
        <w:t>Even after significant policies, the achievements remain challenging because there are enforcement inconsistencies across the urban centres due to widespread digital advertising and rising stress levels of the people</w:t>
      </w:r>
      <w:r w:rsidR="0098755F">
        <w:rPr>
          <w:rFonts w:cs="Arial"/>
          <w:lang w:val="en-GB"/>
        </w:rPr>
        <w:t xml:space="preserve"> (</w:t>
      </w:r>
      <w:r w:rsidR="0098755F" w:rsidRPr="00C057DA">
        <w:rPr>
          <w:rFonts w:cs="Arial"/>
        </w:rPr>
        <w:t>Chowdhary</w:t>
      </w:r>
      <w:r w:rsidR="0098755F">
        <w:rPr>
          <w:rFonts w:cs="Arial"/>
        </w:rPr>
        <w:t xml:space="preserve"> </w:t>
      </w:r>
      <w:r w:rsidR="0098755F" w:rsidRPr="0098755F">
        <w:rPr>
          <w:rFonts w:cs="Arial"/>
          <w:i/>
        </w:rPr>
        <w:t>et.al</w:t>
      </w:r>
      <w:r w:rsidR="0098755F">
        <w:rPr>
          <w:rFonts w:cs="Arial"/>
        </w:rPr>
        <w:t xml:space="preserve"> </w:t>
      </w:r>
      <w:r w:rsidR="0098755F" w:rsidRPr="00C057DA">
        <w:rPr>
          <w:rFonts w:cs="Arial"/>
        </w:rPr>
        <w:t>2025</w:t>
      </w:r>
      <w:r w:rsidR="0098755F">
        <w:rPr>
          <w:rFonts w:cs="Arial"/>
          <w:lang w:val="en-GB"/>
        </w:rPr>
        <w:t>)</w:t>
      </w:r>
      <w:r w:rsidRPr="00F027DD">
        <w:rPr>
          <w:rFonts w:cs="Arial"/>
          <w:lang w:val="en-GB"/>
        </w:rPr>
        <w:t xml:space="preserve">. The young professionals also deal with significant problems in their lives, due to which smoking and other activities serve as a stress reliever or distraction for them. The younger adults also underestimate risk and are often not fully informed with regard to the same. </w:t>
      </w:r>
    </w:p>
    <w:p w14:paraId="36BCEF0A" w14:textId="77777777" w:rsidR="00732E6C" w:rsidRPr="00F027DD" w:rsidRDefault="00DF099F">
      <w:pPr>
        <w:pStyle w:val="Heading2"/>
        <w:rPr>
          <w:rFonts w:cs="Arial"/>
          <w:lang w:val="en-GB"/>
        </w:rPr>
      </w:pPr>
      <w:bookmarkStart w:id="22" w:name="_Toc220668528"/>
      <w:r w:rsidRPr="00F027DD">
        <w:rPr>
          <w:rFonts w:cs="Arial"/>
          <w:lang w:val="en-GB"/>
        </w:rPr>
        <w:t>2.4 Effectiveness of NTCP strategies in reducing tobacco-related coronary heart disease risk among young adults in urban India</w:t>
      </w:r>
      <w:bookmarkEnd w:id="22"/>
    </w:p>
    <w:p w14:paraId="092B27D4" w14:textId="77777777" w:rsidR="00732E6C" w:rsidRPr="0098755F" w:rsidRDefault="00DF099F">
      <w:r w:rsidRPr="00F027DD">
        <w:rPr>
          <w:rFonts w:cs="Arial"/>
          <w:lang w:val="en-GB"/>
        </w:rPr>
        <w:t>The national tobacco control Programme was established with the overarching purpose to ensure that the reduction of tobacco-related mortality in India takes place effectively. The interventions focus on targeting the population as a whole, but also ensure that the young adults in the urban settings are given more importance</w:t>
      </w:r>
      <w:r w:rsidR="0098755F">
        <w:rPr>
          <w:rFonts w:cs="Arial"/>
          <w:lang w:val="en-GB"/>
        </w:rPr>
        <w:t xml:space="preserve"> (</w:t>
      </w:r>
      <w:r w:rsidR="0098755F" w:rsidRPr="0098755F">
        <w:rPr>
          <w:rFonts w:cs="Arial"/>
        </w:rPr>
        <w:t>Bhojani and Hebbar, 2025</w:t>
      </w:r>
      <w:r w:rsidR="0098755F">
        <w:rPr>
          <w:rFonts w:cs="Arial"/>
          <w:lang w:val="en-GB"/>
        </w:rPr>
        <w:t>)</w:t>
      </w:r>
      <w:r w:rsidRPr="00F027DD">
        <w:rPr>
          <w:rFonts w:cs="Arial"/>
          <w:lang w:val="en-GB"/>
        </w:rPr>
        <w:t xml:space="preserve">. This is due to the high vulnerability of this group towards the risk of early cardiovascular disease. By evaluating the effectiveness of NTCP strategies amongst these youngsters, it will be possible to focus on the analysis of their behavioural outcomes, cessation uptake, and policy enforcement effectiveness. </w:t>
      </w:r>
    </w:p>
    <w:p w14:paraId="57A3B7A5" w14:textId="77777777" w:rsidR="00732E6C" w:rsidRPr="00C11B2F" w:rsidRDefault="00DF099F">
      <w:r w:rsidRPr="00F027DD">
        <w:rPr>
          <w:rFonts w:cs="Arial"/>
          <w:lang w:val="en-GB"/>
        </w:rPr>
        <w:t xml:space="preserve">One of the most central components of the strategy focuses on </w:t>
      </w:r>
      <w:r w:rsidRPr="00F027DD">
        <w:rPr>
          <w:rFonts w:cs="Arial"/>
          <w:b/>
          <w:bCs/>
          <w:lang w:val="en-GB"/>
        </w:rPr>
        <w:t xml:space="preserve">awareness generation </w:t>
      </w:r>
      <w:r w:rsidRPr="00F027DD">
        <w:rPr>
          <w:rFonts w:cs="Arial"/>
          <w:lang w:val="en-GB"/>
        </w:rPr>
        <w:t xml:space="preserve">conducted with nationwide mass media campaigns and community-level outreach (Durbin and Filer, 2021). The graphic warnings, awareness drives and Anti-tobacco advertisements focus on the enhancement of the understanding of young adults with regard to the health consequences, making it possible for them to deal with the cardiovascular risks. The recall rates of anti-campaigns are higher among the urban youth because of the content on media, as well as the </w:t>
      </w:r>
      <w:r w:rsidRPr="00F027DD">
        <w:rPr>
          <w:rFonts w:cs="Arial"/>
          <w:lang w:val="en-GB"/>
        </w:rPr>
        <w:lastRenderedPageBreak/>
        <w:t>enhancement and improvement in knowledge with regard to the risk factors</w:t>
      </w:r>
      <w:r w:rsidR="00C11B2F">
        <w:rPr>
          <w:rFonts w:cs="Arial"/>
          <w:lang w:val="en-GB"/>
        </w:rPr>
        <w:t xml:space="preserve"> (</w:t>
      </w:r>
      <w:r w:rsidR="00C11B2F" w:rsidRPr="004A2E48">
        <w:rPr>
          <w:rFonts w:cs="Arial"/>
        </w:rPr>
        <w:t>Mahalingam</w:t>
      </w:r>
      <w:r w:rsidR="00C11B2F">
        <w:rPr>
          <w:rFonts w:cs="Arial"/>
        </w:rPr>
        <w:t xml:space="preserve"> </w:t>
      </w:r>
      <w:r w:rsidR="00C11B2F" w:rsidRPr="00C11B2F">
        <w:rPr>
          <w:rFonts w:cs="Arial"/>
          <w:i/>
        </w:rPr>
        <w:t>et.al</w:t>
      </w:r>
      <w:r w:rsidR="00C11B2F" w:rsidRPr="004A2E48">
        <w:rPr>
          <w:rFonts w:cs="Arial"/>
        </w:rPr>
        <w:t xml:space="preserve"> 2025</w:t>
      </w:r>
      <w:r w:rsidR="00C11B2F">
        <w:rPr>
          <w:rFonts w:cs="Arial"/>
          <w:lang w:val="en-GB"/>
        </w:rPr>
        <w:t>)</w:t>
      </w:r>
      <w:r w:rsidRPr="00F027DD">
        <w:rPr>
          <w:rFonts w:cs="Arial"/>
          <w:lang w:val="en-GB"/>
        </w:rPr>
        <w:t xml:space="preserve">. When the knowledge alone does not lead to behavioural change, these campaigns make sure that they contribute towards delayed initiation age and also reduce the social acceptability of smoking. With the help of this, it is possible to quit this practice amongst the young urban adults and make sure that the CHD susceptibility also lowers. </w:t>
      </w:r>
    </w:p>
    <w:p w14:paraId="3EC927A8" w14:textId="77777777" w:rsidR="00732E6C" w:rsidRPr="00C11B2F" w:rsidRDefault="00DF099F">
      <w:r w:rsidRPr="00F027DD">
        <w:rPr>
          <w:rFonts w:cs="Arial"/>
          <w:lang w:val="en-GB"/>
        </w:rPr>
        <w:t xml:space="preserve">Another significant factor is the </w:t>
      </w:r>
      <w:r w:rsidRPr="00F027DD">
        <w:rPr>
          <w:rFonts w:cs="Arial"/>
          <w:b/>
          <w:bCs/>
          <w:lang w:val="en-GB"/>
        </w:rPr>
        <w:t>regulatory enforcement</w:t>
      </w:r>
      <w:r w:rsidRPr="00F027DD">
        <w:rPr>
          <w:rFonts w:cs="Arial"/>
          <w:lang w:val="en-GB"/>
        </w:rPr>
        <w:t xml:space="preserve">, which takes place with the implementation of the Cigarettes and Other Tobacco Products Act (COTPA) (Mallya </w:t>
      </w:r>
      <w:r w:rsidRPr="00F027DD">
        <w:rPr>
          <w:rFonts w:cs="Arial"/>
          <w:i/>
          <w:iCs/>
          <w:lang w:val="en-GB"/>
        </w:rPr>
        <w:t>et al.,</w:t>
      </w:r>
      <w:r w:rsidRPr="00F027DD">
        <w:rPr>
          <w:rFonts w:cs="Arial"/>
          <w:lang w:val="en-GB"/>
        </w:rPr>
        <w:t xml:space="preserve"> 2025). The key measures in this scenario are focused on a ban on smoking in public places, restriction of advertising, and mandatory pictorial warnings. Due to this, it is possible to have relatively stronger control over frequent checks and the whole system, leading to compliance monitoring. Further, </w:t>
      </w:r>
      <w:r w:rsidR="00C11B2F" w:rsidRPr="000B301C">
        <w:rPr>
          <w:rFonts w:cs="Arial"/>
        </w:rPr>
        <w:t>Goel</w:t>
      </w:r>
      <w:r w:rsidR="00C11B2F">
        <w:rPr>
          <w:rFonts w:cs="Arial"/>
        </w:rPr>
        <w:t xml:space="preserve"> </w:t>
      </w:r>
      <w:r w:rsidR="00C11B2F" w:rsidRPr="00C11B2F">
        <w:rPr>
          <w:rFonts w:cs="Arial"/>
          <w:i/>
        </w:rPr>
        <w:t>et.al</w:t>
      </w:r>
      <w:r w:rsidR="00C11B2F" w:rsidRPr="000B301C">
        <w:rPr>
          <w:rFonts w:cs="Arial"/>
        </w:rPr>
        <w:t xml:space="preserve"> </w:t>
      </w:r>
      <w:r w:rsidR="00C11B2F">
        <w:rPr>
          <w:rFonts w:cs="Arial"/>
        </w:rPr>
        <w:t>(</w:t>
      </w:r>
      <w:r w:rsidR="00C11B2F" w:rsidRPr="000B301C">
        <w:rPr>
          <w:rFonts w:cs="Arial"/>
        </w:rPr>
        <w:t>2025</w:t>
      </w:r>
      <w:r w:rsidR="00C11B2F">
        <w:t xml:space="preserve">) argued that </w:t>
      </w:r>
      <w:r w:rsidRPr="00F027DD">
        <w:rPr>
          <w:rFonts w:cs="Arial"/>
          <w:lang w:val="en-GB"/>
        </w:rPr>
        <w:t xml:space="preserve">the second-hand smoke exposure is also a significant contributor to the early vascular dysfunction and it is important to make sure that such exposure is also reduced. Even though the enforcement challenges continue to persist, the emphasis is being laid on advertising and social media promotions through which the younger generation can be influenced. </w:t>
      </w:r>
    </w:p>
    <w:p w14:paraId="46033564" w14:textId="77777777" w:rsidR="00732E6C" w:rsidRPr="00C11B2F" w:rsidRDefault="00DF099F">
      <w:r w:rsidRPr="00F027DD">
        <w:rPr>
          <w:rFonts w:cs="Arial"/>
          <w:lang w:val="en-GB"/>
        </w:rPr>
        <w:t xml:space="preserve">The </w:t>
      </w:r>
      <w:r w:rsidRPr="00F027DD">
        <w:rPr>
          <w:rFonts w:cs="Arial"/>
          <w:b/>
          <w:bCs/>
          <w:lang w:val="en-GB"/>
        </w:rPr>
        <w:t>tobacco cessation support system</w:t>
      </w:r>
      <w:r w:rsidRPr="00F027DD">
        <w:rPr>
          <w:rFonts w:cs="Arial"/>
          <w:lang w:val="en-GB"/>
        </w:rPr>
        <w:t xml:space="preserve"> has also been instrumental in ensuring that the CHD-related risk reduction duly takes place (Ullah </w:t>
      </w:r>
      <w:r w:rsidRPr="00F027DD">
        <w:rPr>
          <w:rFonts w:cs="Arial"/>
          <w:i/>
          <w:iCs/>
          <w:lang w:val="en-GB"/>
        </w:rPr>
        <w:t>et al.,</w:t>
      </w:r>
      <w:r w:rsidRPr="00F027DD">
        <w:rPr>
          <w:rFonts w:cs="Arial"/>
          <w:lang w:val="en-GB"/>
        </w:rPr>
        <w:t xml:space="preserve"> 2023). With the establishment of Tobacco Cessation Centres, the emphasis is being laid on counselling as well as tele-counselling services to make sure that the area can be broadened. As per the research, young adults who are availing the cessation service often have quit attempts and this makes it possible for them to have successful results. With the help of better health care accessibility, it is possible to improve the situation and make sure that exposure to other substances is reduced. However, the problem lies in terms of the infrastructure limitations and low awareness, which have an impact on the full potential of the program</w:t>
      </w:r>
      <w:r w:rsidR="00C11B2F">
        <w:rPr>
          <w:rFonts w:cs="Arial"/>
          <w:lang w:val="en-GB"/>
        </w:rPr>
        <w:t xml:space="preserve"> (</w:t>
      </w:r>
      <w:r w:rsidR="00C11B2F" w:rsidRPr="001A1CF0">
        <w:rPr>
          <w:rFonts w:cs="Arial"/>
        </w:rPr>
        <w:t>Pai</w:t>
      </w:r>
      <w:r w:rsidR="00C11B2F">
        <w:rPr>
          <w:rFonts w:cs="Arial"/>
        </w:rPr>
        <w:t xml:space="preserve"> </w:t>
      </w:r>
      <w:r w:rsidR="00C11B2F" w:rsidRPr="00C11B2F">
        <w:rPr>
          <w:rFonts w:cs="Arial"/>
          <w:i/>
        </w:rPr>
        <w:t>et.al</w:t>
      </w:r>
      <w:r w:rsidR="00C11B2F" w:rsidRPr="001A1CF0">
        <w:rPr>
          <w:rFonts w:cs="Arial"/>
        </w:rPr>
        <w:t xml:space="preserve"> 2025</w:t>
      </w:r>
      <w:r w:rsidR="00C11B2F">
        <w:rPr>
          <w:rFonts w:cs="Arial"/>
          <w:lang w:val="en-GB"/>
        </w:rPr>
        <w:t>)</w:t>
      </w:r>
      <w:r w:rsidRPr="00F027DD">
        <w:rPr>
          <w:rFonts w:cs="Arial"/>
          <w:lang w:val="en-GB"/>
        </w:rPr>
        <w:t>.</w:t>
      </w:r>
    </w:p>
    <w:p w14:paraId="0424239C" w14:textId="77777777" w:rsidR="00732E6C" w:rsidRPr="00F027DD" w:rsidRDefault="00DF099F">
      <w:pPr>
        <w:rPr>
          <w:rFonts w:cs="Arial"/>
          <w:lang w:val="en-GB"/>
        </w:rPr>
      </w:pPr>
      <w:r w:rsidRPr="00F027DD">
        <w:rPr>
          <w:rFonts w:cs="Arial"/>
          <w:lang w:val="en-GB"/>
        </w:rPr>
        <w:t xml:space="preserve">It also takes into account </w:t>
      </w:r>
      <w:r w:rsidRPr="00F027DD">
        <w:rPr>
          <w:rFonts w:cs="Arial"/>
          <w:b/>
          <w:bCs/>
          <w:lang w:val="en-GB"/>
        </w:rPr>
        <w:t>continuous monitoring and surveillance</w:t>
      </w:r>
      <w:r w:rsidRPr="00F027DD">
        <w:rPr>
          <w:rFonts w:cs="Arial"/>
          <w:lang w:val="en-GB"/>
        </w:rPr>
        <w:t xml:space="preserve"> with the help of initiatives such as the Global Adult Tobacco Survey and regular compliance assessment (World Health Organization, 2025). As per the findings, there has been a downward trend in smoking amongst the younger urban males who are influenced by the policy interventions. Even though the smokeless tobacco remains a challenge due to its easy availability. </w:t>
      </w:r>
    </w:p>
    <w:p w14:paraId="7976C8D2" w14:textId="77777777" w:rsidR="00732E6C" w:rsidRPr="0038729C" w:rsidRDefault="00DF099F">
      <w:r w:rsidRPr="00F027DD">
        <w:rPr>
          <w:rFonts w:cs="Arial"/>
          <w:lang w:val="en-GB"/>
        </w:rPr>
        <w:t xml:space="preserve">The effort of the program towards </w:t>
      </w:r>
      <w:r w:rsidRPr="00F027DD">
        <w:rPr>
          <w:rFonts w:cs="Arial"/>
          <w:b/>
          <w:bCs/>
          <w:lang w:val="en-GB"/>
        </w:rPr>
        <w:t>restricting the tobacco marketing</w:t>
      </w:r>
      <w:r w:rsidRPr="00F027DD">
        <w:rPr>
          <w:rFonts w:cs="Arial"/>
          <w:lang w:val="en-GB"/>
        </w:rPr>
        <w:t xml:space="preserve"> has also impacted the youth by taking into account the point-of-sale display restrictions and bans.  However, loopholes in terms of product placement in films, brand stretching and influencer promotions continue to exist. Even after significant success, NTCP continues to face substantial limitations in the minimisation of CHD risk among the urban young adults</w:t>
      </w:r>
      <w:r w:rsidR="0038729C">
        <w:rPr>
          <w:rFonts w:cs="Arial"/>
          <w:lang w:val="en-GB"/>
        </w:rPr>
        <w:t xml:space="preserve"> (</w:t>
      </w:r>
      <w:r w:rsidR="0038729C" w:rsidRPr="00BD34BB">
        <w:rPr>
          <w:rFonts w:cs="Arial"/>
          <w:color w:val="222222"/>
          <w:szCs w:val="24"/>
        </w:rPr>
        <w:t>Shaikh</w:t>
      </w:r>
      <w:r w:rsidR="0038729C">
        <w:rPr>
          <w:rFonts w:cs="Arial"/>
          <w:color w:val="222222"/>
          <w:szCs w:val="24"/>
        </w:rPr>
        <w:t xml:space="preserve"> </w:t>
      </w:r>
      <w:r w:rsidR="0038729C" w:rsidRPr="0038729C">
        <w:rPr>
          <w:rFonts w:cs="Arial"/>
          <w:i/>
          <w:color w:val="222222"/>
          <w:szCs w:val="24"/>
        </w:rPr>
        <w:t>et.al</w:t>
      </w:r>
      <w:r w:rsidR="0038729C" w:rsidRPr="00BD34BB">
        <w:rPr>
          <w:rFonts w:cs="Arial"/>
          <w:color w:val="222222"/>
          <w:szCs w:val="24"/>
        </w:rPr>
        <w:t xml:space="preserve"> 2025</w:t>
      </w:r>
      <w:r w:rsidR="0038729C">
        <w:rPr>
          <w:rFonts w:cs="Arial"/>
          <w:lang w:val="en-GB"/>
        </w:rPr>
        <w:t>)</w:t>
      </w:r>
      <w:r w:rsidRPr="00F027DD">
        <w:rPr>
          <w:rFonts w:cs="Arial"/>
          <w:lang w:val="en-GB"/>
        </w:rPr>
        <w:t xml:space="preserve">. Due to the limited </w:t>
      </w:r>
      <w:r w:rsidRPr="00F027DD">
        <w:rPr>
          <w:rFonts w:cs="Arial"/>
          <w:lang w:val="en-GB"/>
        </w:rPr>
        <w:lastRenderedPageBreak/>
        <w:t>focus on cardiovascular-specific messaging, the focus is on highlighting cancer and respiratory illness, due to which the specific risks are comparatively lower. With the integration of CHD-related content, it will be possible to have a link between tobacco and early heart attacks, making it possible to enhance risk perception.</w:t>
      </w:r>
    </w:p>
    <w:p w14:paraId="5D03267C" w14:textId="77777777" w:rsidR="00732E6C" w:rsidRPr="00F027DD" w:rsidRDefault="00DF099F">
      <w:pPr>
        <w:rPr>
          <w:rFonts w:cs="Arial"/>
          <w:lang w:val="en-GB"/>
        </w:rPr>
      </w:pPr>
      <w:r w:rsidRPr="00F027DD">
        <w:rPr>
          <w:rFonts w:cs="Arial"/>
          <w:lang w:val="en-GB"/>
        </w:rPr>
        <w:t xml:space="preserve">NTCP has continuously demonstrated measurable effectiveness in the reduction of tobacco-related CHD risks amongst the urban young adults with the help of surveillance, support, and regulation (Chitlange </w:t>
      </w:r>
      <w:r w:rsidRPr="00F027DD">
        <w:rPr>
          <w:rFonts w:cs="Arial"/>
          <w:i/>
          <w:iCs/>
          <w:lang w:val="en-GB"/>
        </w:rPr>
        <w:t>et al.,</w:t>
      </w:r>
      <w:r w:rsidRPr="00F027DD">
        <w:rPr>
          <w:rFonts w:cs="Arial"/>
          <w:lang w:val="en-GB"/>
        </w:rPr>
        <w:t xml:space="preserve"> 2024). There has been evident progress, but there is also a need to focus on strengthening the enforcement, increasing the CHD-specific messaging and addressing the emerging challenges. With the help of the right strategy and execution, it will be possible to deal with the same and make sure that the generation is protected. </w:t>
      </w:r>
    </w:p>
    <w:p w14:paraId="5CE8492C" w14:textId="77777777" w:rsidR="00732E6C" w:rsidRPr="00F027DD" w:rsidRDefault="00DF099F">
      <w:pPr>
        <w:pStyle w:val="Heading2"/>
        <w:rPr>
          <w:rFonts w:cs="Arial"/>
          <w:lang w:val="en-GB"/>
        </w:rPr>
      </w:pPr>
      <w:bookmarkStart w:id="23" w:name="_Toc220668529"/>
      <w:r w:rsidRPr="00F027DD">
        <w:rPr>
          <w:rFonts w:cs="Arial"/>
          <w:lang w:val="en-GB"/>
        </w:rPr>
        <w:t>2.5 Theoretical framework</w:t>
      </w:r>
      <w:bookmarkEnd w:id="23"/>
    </w:p>
    <w:p w14:paraId="564C0CED" w14:textId="77777777" w:rsidR="00732E6C" w:rsidRPr="00F027DD" w:rsidRDefault="00DF099F">
      <w:pPr>
        <w:rPr>
          <w:rFonts w:cs="Arial"/>
          <w:b/>
          <w:bCs/>
          <w:i/>
          <w:lang w:val="en-GB"/>
        </w:rPr>
      </w:pPr>
      <w:r w:rsidRPr="00F027DD">
        <w:rPr>
          <w:rFonts w:cs="Arial"/>
          <w:b/>
          <w:bCs/>
          <w:i/>
          <w:lang w:val="en-GB"/>
        </w:rPr>
        <w:t>Health Belief Model (HBM)</w:t>
      </w:r>
    </w:p>
    <w:p w14:paraId="3E98C82C" w14:textId="77777777" w:rsidR="00732E6C" w:rsidRPr="00F027DD" w:rsidRDefault="00DF099F">
      <w:pPr>
        <w:rPr>
          <w:rFonts w:cs="Arial"/>
          <w:lang w:val="en-GB"/>
        </w:rPr>
      </w:pPr>
      <w:r w:rsidRPr="00F027DD">
        <w:rPr>
          <w:rFonts w:cs="Arial"/>
          <w:lang w:val="en-GB"/>
        </w:rPr>
        <w:t xml:space="preserve">The health belief model provides an essential lens through which it is possible to understand how young adults continue to indulge in the use of tobacco or discontinue the same (Ghanbarnejad </w:t>
      </w:r>
      <w:r w:rsidRPr="00F027DD">
        <w:rPr>
          <w:rFonts w:cs="Arial"/>
          <w:i/>
          <w:iCs/>
          <w:lang w:val="en-GB"/>
        </w:rPr>
        <w:t>et al.,</w:t>
      </w:r>
      <w:r w:rsidRPr="00F027DD">
        <w:rPr>
          <w:rFonts w:cs="Arial"/>
          <w:lang w:val="en-GB"/>
        </w:rPr>
        <w:t xml:space="preserve"> 2022). </w:t>
      </w:r>
    </w:p>
    <w:p w14:paraId="0644254B" w14:textId="77777777" w:rsidR="00732E6C" w:rsidRPr="00F027DD" w:rsidRDefault="00DF099F">
      <w:pPr>
        <w:jc w:val="center"/>
        <w:rPr>
          <w:rFonts w:cs="Arial"/>
          <w:lang w:val="en-GB"/>
        </w:rPr>
      </w:pPr>
      <w:r w:rsidRPr="00F027DD">
        <w:rPr>
          <w:rFonts w:cs="Arial"/>
          <w:noProof/>
        </w:rPr>
        <w:drawing>
          <wp:inline distT="0" distB="0" distL="0" distR="0" wp14:anchorId="1C562F9F" wp14:editId="316DA0AF">
            <wp:extent cx="3473450" cy="2482850"/>
            <wp:effectExtent l="0" t="0" r="0" b="0"/>
            <wp:docPr id="1027"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3"/>
                    <pic:cNvPicPr/>
                  </pic:nvPicPr>
                  <pic:blipFill>
                    <a:blip r:embed="rId10" cstate="print"/>
                    <a:srcRect/>
                    <a:stretch/>
                  </pic:blipFill>
                  <pic:spPr>
                    <a:xfrm>
                      <a:off x="0" y="0"/>
                      <a:ext cx="3473450" cy="2482850"/>
                    </a:xfrm>
                    <a:prstGeom prst="rect">
                      <a:avLst/>
                    </a:prstGeom>
                    <a:ln>
                      <a:noFill/>
                    </a:ln>
                  </pic:spPr>
                </pic:pic>
              </a:graphicData>
            </a:graphic>
          </wp:inline>
        </w:drawing>
      </w:r>
    </w:p>
    <w:p w14:paraId="7F575189" w14:textId="77777777" w:rsidR="00732E6C" w:rsidRPr="00F027DD" w:rsidRDefault="00DF099F">
      <w:pPr>
        <w:jc w:val="center"/>
        <w:rPr>
          <w:rFonts w:cs="Arial"/>
          <w:b/>
          <w:bCs/>
          <w:lang w:val="en-GB"/>
        </w:rPr>
      </w:pPr>
      <w:r w:rsidRPr="00F027DD">
        <w:rPr>
          <w:rFonts w:cs="Arial"/>
          <w:b/>
          <w:bCs/>
          <w:lang w:val="en-GB"/>
        </w:rPr>
        <w:t xml:space="preserve">Figure </w:t>
      </w:r>
      <w:r w:rsidR="00BE711B" w:rsidRPr="00F027DD">
        <w:rPr>
          <w:rFonts w:cs="Arial"/>
          <w:b/>
          <w:bCs/>
          <w:lang w:val="en-GB"/>
        </w:rPr>
        <w:fldChar w:fldCharType="begin"/>
      </w:r>
      <w:r w:rsidRPr="00F027DD">
        <w:rPr>
          <w:rFonts w:cs="Arial"/>
          <w:b/>
          <w:bCs/>
          <w:lang w:val="en-GB"/>
        </w:rPr>
        <w:instrText xml:space="preserve"> SEQ Figure \* ARABIC </w:instrText>
      </w:r>
      <w:r w:rsidR="00BE711B" w:rsidRPr="00F027DD">
        <w:rPr>
          <w:rFonts w:cs="Arial"/>
          <w:b/>
          <w:bCs/>
          <w:lang w:val="en-GB"/>
        </w:rPr>
        <w:fldChar w:fldCharType="separate"/>
      </w:r>
      <w:r w:rsidRPr="00F027DD">
        <w:rPr>
          <w:rFonts w:cs="Arial"/>
          <w:b/>
          <w:bCs/>
          <w:lang w:val="en-GB"/>
        </w:rPr>
        <w:t>2</w:t>
      </w:r>
      <w:r w:rsidR="00BE711B" w:rsidRPr="00F027DD">
        <w:rPr>
          <w:rFonts w:cs="Arial"/>
          <w:lang w:val="en-GB"/>
        </w:rPr>
        <w:fldChar w:fldCharType="end"/>
      </w:r>
      <w:r w:rsidRPr="00F027DD">
        <w:rPr>
          <w:rFonts w:cs="Arial"/>
          <w:b/>
          <w:bCs/>
          <w:lang w:val="en-GB"/>
        </w:rPr>
        <w:t>: The Health Belief Model</w:t>
      </w:r>
    </w:p>
    <w:p w14:paraId="53DFE3D0" w14:textId="77777777" w:rsidR="00732E6C" w:rsidRPr="00F027DD" w:rsidRDefault="00DF099F">
      <w:pPr>
        <w:jc w:val="center"/>
        <w:rPr>
          <w:rFonts w:cs="Arial"/>
          <w:b/>
          <w:bCs/>
          <w:lang w:val="en-GB"/>
        </w:rPr>
      </w:pPr>
      <w:r w:rsidRPr="00F027DD">
        <w:rPr>
          <w:rFonts w:cs="Arial"/>
          <w:b/>
          <w:bCs/>
          <w:lang w:val="en-GB"/>
        </w:rPr>
        <w:t>Source: Pennstate, 2025</w:t>
      </w:r>
    </w:p>
    <w:p w14:paraId="4F3383E5" w14:textId="77777777" w:rsidR="00732E6C" w:rsidRPr="00C11B2F" w:rsidRDefault="00DF099F">
      <w:r w:rsidRPr="00F027DD">
        <w:rPr>
          <w:rFonts w:cs="Arial"/>
          <w:lang w:val="en-GB"/>
        </w:rPr>
        <w:t xml:space="preserve">With the help of this model, the emphasis is laid on understanding the health behaviour which is influenced by the perceptions of the individual with regard to the perceived severity and susceptibility to the disease. With the help of the study of HBM, it is possible to understand how the graphic warnings and anti-tobacco campaigns shape the perception of CHD risk.  With the help of the pictorial warnings and mass media messages, it is possible to ensure that the youngsters are influenced by highlighting the risk and also leads to early intervention. With the </w:t>
      </w:r>
      <w:r w:rsidRPr="00F027DD">
        <w:rPr>
          <w:rFonts w:cs="Arial"/>
          <w:lang w:val="en-GB"/>
        </w:rPr>
        <w:lastRenderedPageBreak/>
        <w:t>help of the situation support systems and counselling services, it is possible to make it easier and more accessible to quit smoking</w:t>
      </w:r>
      <w:r w:rsidR="00C11B2F">
        <w:rPr>
          <w:rFonts w:cs="Arial"/>
          <w:lang w:val="en-GB"/>
        </w:rPr>
        <w:t xml:space="preserve"> (</w:t>
      </w:r>
      <w:r w:rsidR="00C11B2F" w:rsidRPr="0065306C">
        <w:rPr>
          <w:rFonts w:cs="Arial"/>
        </w:rPr>
        <w:t>Singh</w:t>
      </w:r>
      <w:r w:rsidR="00C11B2F">
        <w:rPr>
          <w:rFonts w:cs="Arial"/>
        </w:rPr>
        <w:t xml:space="preserve"> </w:t>
      </w:r>
      <w:r w:rsidR="00C11B2F" w:rsidRPr="00C11B2F">
        <w:rPr>
          <w:rFonts w:cs="Arial"/>
          <w:i/>
        </w:rPr>
        <w:t>et.al</w:t>
      </w:r>
      <w:r w:rsidR="00C11B2F">
        <w:rPr>
          <w:rFonts w:cs="Arial"/>
        </w:rPr>
        <w:t xml:space="preserve"> </w:t>
      </w:r>
      <w:r w:rsidR="00C11B2F" w:rsidRPr="0065306C">
        <w:rPr>
          <w:rFonts w:cs="Arial"/>
        </w:rPr>
        <w:t>2025</w:t>
      </w:r>
      <w:r w:rsidR="00C11B2F">
        <w:rPr>
          <w:rFonts w:cs="Arial"/>
          <w:lang w:val="en-GB"/>
        </w:rPr>
        <w:t>)</w:t>
      </w:r>
      <w:r w:rsidRPr="00F027DD">
        <w:rPr>
          <w:rFonts w:cs="Arial"/>
          <w:lang w:val="en-GB"/>
        </w:rPr>
        <w:t xml:space="preserve">. Further, the enhancement in the activities also makes it possible to encourage confidence in their ability to quit. The health belief model is an essential Framework through which it is possible to understand how the dynamics are influenced. </w:t>
      </w:r>
    </w:p>
    <w:p w14:paraId="0657C029" w14:textId="77777777" w:rsidR="00732E6C" w:rsidRPr="00F027DD" w:rsidRDefault="00DF099F">
      <w:pPr>
        <w:rPr>
          <w:rFonts w:cs="Arial"/>
          <w:b/>
          <w:bCs/>
          <w:i/>
          <w:lang w:val="en-GB"/>
        </w:rPr>
      </w:pPr>
      <w:r w:rsidRPr="00F027DD">
        <w:rPr>
          <w:rFonts w:cs="Arial"/>
          <w:b/>
          <w:bCs/>
          <w:i/>
          <w:lang w:val="en-GB"/>
        </w:rPr>
        <w:t>Social Ecological Model (SEM)</w:t>
      </w:r>
    </w:p>
    <w:p w14:paraId="6F73A1CF" w14:textId="77777777" w:rsidR="00732E6C" w:rsidRPr="00F027DD" w:rsidRDefault="00DF099F">
      <w:pPr>
        <w:rPr>
          <w:rFonts w:cs="Arial"/>
          <w:lang w:val="en-GB"/>
        </w:rPr>
      </w:pPr>
      <w:r w:rsidRPr="00F027DD">
        <w:rPr>
          <w:rFonts w:cs="Arial"/>
          <w:lang w:val="en-GB"/>
        </w:rPr>
        <w:t xml:space="preserve">The social ecological model expands analysis and lays emphasis on interpersonal organisation, policy level and community factors (Hu </w:t>
      </w:r>
      <w:r w:rsidRPr="00F027DD">
        <w:rPr>
          <w:rFonts w:cs="Arial"/>
          <w:i/>
          <w:iCs/>
          <w:lang w:val="en-GB"/>
        </w:rPr>
        <w:t>et al.,</w:t>
      </w:r>
      <w:r w:rsidRPr="00F027DD">
        <w:rPr>
          <w:rFonts w:cs="Arial"/>
          <w:lang w:val="en-GB"/>
        </w:rPr>
        <w:t xml:space="preserve"> 2021). This is prominent in the urban Indian context, where the emphasis is laid on shaping the behaviour of the individual by changing their social environment and structural conditions. At the interpersonal level, there is social acceptance of smoking and peer pressure, which influences the situation. With the help of the school and college, the emphasis is laid on providing the required knowledge and skills to deal with the same. </w:t>
      </w:r>
    </w:p>
    <w:p w14:paraId="421375E4" w14:textId="77777777" w:rsidR="00732E6C" w:rsidRPr="00F027DD" w:rsidRDefault="00DF099F">
      <w:pPr>
        <w:rPr>
          <w:rFonts w:cs="Arial"/>
          <w:lang w:val="en-GB"/>
        </w:rPr>
      </w:pPr>
      <w:r w:rsidRPr="00F027DD">
        <w:rPr>
          <w:rFonts w:cs="Arial"/>
          <w:lang w:val="en-GB"/>
        </w:rPr>
        <w:t>At the community level, the focus is on informal vendors to ensure that the accessibility of the same is reduced (</w:t>
      </w:r>
      <w:bookmarkStart w:id="24" w:name="_Hlk219841133"/>
      <w:r w:rsidRPr="00F027DD">
        <w:rPr>
          <w:rFonts w:cs="Arial"/>
        </w:rPr>
        <w:t>Bhargava and Paul, 2022</w:t>
      </w:r>
      <w:bookmarkEnd w:id="24"/>
      <w:r w:rsidRPr="00F027DD">
        <w:rPr>
          <w:rFonts w:cs="Arial"/>
          <w:lang w:val="en-GB"/>
        </w:rPr>
        <w:t>). With the enforcement of such restrictions, it is possible to reduce the environmental triggers and ensure that the youth can be influenced in the right direction. Further, at the policy level, the focus is laid on the evaluation of the impact of regulations that are enforced under the NTCP and through these measures, the broad social environment is altered, making it possible to reduce the exposure of tobacco promotion. It helps in the reduction of both passive and active smoking, leading to lower cardiovascular strain (</w:t>
      </w:r>
      <w:bookmarkStart w:id="25" w:name="_Hlk219841175"/>
      <w:r w:rsidRPr="00F027DD">
        <w:rPr>
          <w:rFonts w:cs="Arial"/>
        </w:rPr>
        <w:t>Kodali</w:t>
      </w:r>
      <w:r w:rsidRPr="00F027DD">
        <w:rPr>
          <w:rFonts w:cs="Arial"/>
          <w:i/>
          <w:iCs/>
        </w:rPr>
        <w:t xml:space="preserve"> et.al</w:t>
      </w:r>
      <w:r w:rsidRPr="00F027DD">
        <w:rPr>
          <w:rFonts w:cs="Arial"/>
        </w:rPr>
        <w:t xml:space="preserve"> 2025</w:t>
      </w:r>
      <w:bookmarkEnd w:id="25"/>
      <w:r w:rsidRPr="00F027DD">
        <w:rPr>
          <w:rFonts w:cs="Arial"/>
        </w:rPr>
        <w:t>)</w:t>
      </w:r>
      <w:r w:rsidRPr="00F027DD">
        <w:rPr>
          <w:rFonts w:cs="Arial"/>
          <w:lang w:val="en-GB"/>
        </w:rPr>
        <w:t>. This theory supports analysis of strategies across multiple layers of acknowledgement and influence, but also goes through environmental structuring.</w:t>
      </w:r>
    </w:p>
    <w:p w14:paraId="7F9E70AF" w14:textId="77777777" w:rsidR="00732E6C" w:rsidRPr="00F027DD" w:rsidRDefault="00DF099F">
      <w:pPr>
        <w:rPr>
          <w:rFonts w:cs="Arial"/>
          <w:b/>
          <w:bCs/>
          <w:i/>
          <w:lang w:val="en-GB"/>
        </w:rPr>
      </w:pPr>
      <w:r w:rsidRPr="00F027DD">
        <w:rPr>
          <w:rFonts w:cs="Arial"/>
          <w:b/>
          <w:bCs/>
          <w:i/>
          <w:lang w:val="en-GB"/>
        </w:rPr>
        <w:t>Policy Implementation Theory</w:t>
      </w:r>
    </w:p>
    <w:p w14:paraId="7C55E700" w14:textId="77777777" w:rsidR="00732E6C" w:rsidRPr="00F027DD" w:rsidRDefault="00DF099F">
      <w:pPr>
        <w:rPr>
          <w:rFonts w:cs="Arial"/>
          <w:lang w:val="en-GB"/>
        </w:rPr>
      </w:pPr>
      <w:r w:rsidRPr="00F027DD">
        <w:rPr>
          <w:rFonts w:cs="Arial"/>
          <w:lang w:val="en-GB"/>
        </w:rPr>
        <w:t xml:space="preserve">The policy implementation theory provides a framework through which the assessment of the effectiveness of anticipatory studies is focused. Through this, the role of administrative capacity, resource allocation and stakeholder engagement is highlighted. The variation and the enforcement across the states and cities have a significant impact on the CHD-related risk (Ravaghi </w:t>
      </w:r>
      <w:r w:rsidRPr="00F027DD">
        <w:rPr>
          <w:rFonts w:cs="Arial"/>
          <w:i/>
          <w:iCs/>
          <w:lang w:val="en-GB"/>
        </w:rPr>
        <w:t>et al.,</w:t>
      </w:r>
      <w:r w:rsidRPr="00F027DD">
        <w:rPr>
          <w:rFonts w:cs="Arial"/>
          <w:lang w:val="en-GB"/>
        </w:rPr>
        <w:t xml:space="preserve"> 2021). With the help of strong implementation training of enforcement officers and availability of cessation services, it is possible to ensure that the norms are adhered to and access to tobacco is reduced for the youngsters. The theory also lays emphasis on the bottom-up dynamics, such as local enforcement challenges as well as resistance from tobacco vendors. Due to the high density of unregulated vendors as well as aggressive marketing, the policy effectiveness is not much, and the implementation gaps continue to exist, making it difficult to have a positive effect of uniform National legislation. </w:t>
      </w:r>
    </w:p>
    <w:p w14:paraId="068BEDE7" w14:textId="77777777" w:rsidR="00732E6C" w:rsidRPr="00F027DD" w:rsidRDefault="00DF099F">
      <w:pPr>
        <w:rPr>
          <w:rFonts w:cs="Arial"/>
          <w:lang w:val="en-GB"/>
        </w:rPr>
      </w:pPr>
      <w:r w:rsidRPr="00F027DD">
        <w:rPr>
          <w:rFonts w:cs="Arial"/>
          <w:lang w:val="en-GB"/>
        </w:rPr>
        <w:lastRenderedPageBreak/>
        <w:t xml:space="preserve">The combination of the three frameworks provides a comprehensive understanding of the impact of NTPC. HBM lays emphasis on the explanation of the ways in which individuals respond to the CHD risks. Further, the policy implementation theory takes into account the evaluation of institutional effectiveness. The combination of these perspectives allows for a multi-dimensional assessment of how anticipation leads to the reduction of tobacco-related CHD risk amongst the youngsters. </w:t>
      </w:r>
    </w:p>
    <w:p w14:paraId="413276FB" w14:textId="77777777" w:rsidR="00732E6C" w:rsidRPr="00F027DD" w:rsidRDefault="00DF099F">
      <w:pPr>
        <w:pStyle w:val="Heading2"/>
        <w:rPr>
          <w:rFonts w:cs="Arial"/>
          <w:lang w:val="en-GB"/>
        </w:rPr>
      </w:pPr>
      <w:bookmarkStart w:id="26" w:name="_Toc220668530"/>
      <w:r w:rsidRPr="00F027DD">
        <w:rPr>
          <w:rFonts w:cs="Arial"/>
          <w:lang w:val="en-GB"/>
        </w:rPr>
        <w:t>2.6 Research gap</w:t>
      </w:r>
      <w:bookmarkEnd w:id="26"/>
    </w:p>
    <w:p w14:paraId="480B60A3" w14:textId="77777777" w:rsidR="00732E6C" w:rsidRPr="00F027DD" w:rsidRDefault="00DF099F">
      <w:pPr>
        <w:rPr>
          <w:rFonts w:cs="Arial"/>
          <w:lang w:val="en-GB"/>
        </w:rPr>
      </w:pPr>
      <w:r w:rsidRPr="00F027DD">
        <w:rPr>
          <w:rFonts w:cs="Arial"/>
          <w:lang w:val="en-GB"/>
        </w:rPr>
        <w:t>Even when significant efforts have been made to curb Tobacco consumption, there is a notable gap that exists in the current scenario. The present literature focuses on the analysis of the trends, General Health outcomes, and ancient behaviours, but does not take into account the early cardiovascular risk in the younger population. Various studies focus on cancer-related consequences, but CHD often remains underexplored in terms of youth-focused research. The assessment of NTCP effectiveness at the Macro level is done by overlooking the subgroups that have distinct behavioural patterns and risk exposures. There is limited evidence connecting NTCP policy enforcement to measurable reductions. The research also does not integrate behavioural theories for understanding the policy-driven interventions and their translation into cardiovascular health outcomes. Due to these gaps, there is a need for targeted investigations into the interventions and how they shape the use of tobacco behaviours, as well as a reduction in the cardiovascular vulnerability for the youngsters.</w:t>
      </w:r>
    </w:p>
    <w:p w14:paraId="778724CE" w14:textId="77777777" w:rsidR="00732E6C" w:rsidRPr="00F027DD" w:rsidRDefault="00DF099F">
      <w:pPr>
        <w:spacing w:after="200" w:line="276" w:lineRule="auto"/>
        <w:jc w:val="left"/>
        <w:rPr>
          <w:rFonts w:cs="Arial"/>
          <w:lang w:val="en-GB"/>
        </w:rPr>
      </w:pPr>
      <w:r w:rsidRPr="00F027DD">
        <w:rPr>
          <w:rFonts w:cs="Arial"/>
          <w:lang w:val="en-GB"/>
        </w:rPr>
        <w:br w:type="page"/>
      </w:r>
    </w:p>
    <w:p w14:paraId="169BD9A4" w14:textId="77777777" w:rsidR="00732E6C" w:rsidRPr="00F027DD" w:rsidRDefault="00DF099F">
      <w:pPr>
        <w:pStyle w:val="Heading1"/>
        <w:spacing w:before="200" w:after="200"/>
        <w:ind w:left="12" w:right="4"/>
        <w:rPr>
          <w:rFonts w:cs="Arial"/>
          <w:lang w:val="en-GB"/>
        </w:rPr>
      </w:pPr>
      <w:bookmarkStart w:id="27" w:name="_Toc209887571"/>
      <w:bookmarkStart w:id="28" w:name="_Toc220668531"/>
      <w:r w:rsidRPr="00F027DD">
        <w:rPr>
          <w:rFonts w:cs="Arial"/>
          <w:lang w:val="en-GB"/>
        </w:rPr>
        <w:lastRenderedPageBreak/>
        <w:t>Chapter 3: Research Methodology</w:t>
      </w:r>
      <w:bookmarkEnd w:id="27"/>
      <w:bookmarkEnd w:id="28"/>
    </w:p>
    <w:p w14:paraId="73F92425" w14:textId="77777777" w:rsidR="00732E6C" w:rsidRPr="00F027DD" w:rsidRDefault="00DF099F">
      <w:pPr>
        <w:pStyle w:val="Heading2"/>
        <w:spacing w:before="200" w:after="200"/>
        <w:rPr>
          <w:rFonts w:cs="Arial"/>
          <w:lang w:val="en-GB"/>
        </w:rPr>
      </w:pPr>
      <w:bookmarkStart w:id="29" w:name="_Toc209887572"/>
      <w:bookmarkStart w:id="30" w:name="_Toc220668532"/>
      <w:r w:rsidRPr="00F027DD">
        <w:rPr>
          <w:rFonts w:cs="Arial"/>
          <w:lang w:val="en-GB"/>
        </w:rPr>
        <w:t>3.1 Introduction</w:t>
      </w:r>
      <w:bookmarkEnd w:id="29"/>
      <w:bookmarkEnd w:id="30"/>
    </w:p>
    <w:p w14:paraId="37EC88CB" w14:textId="77777777" w:rsidR="00732E6C" w:rsidRPr="00F027DD" w:rsidRDefault="00DF099F">
      <w:pPr>
        <w:rPr>
          <w:rFonts w:cs="Arial"/>
          <w:lang w:val="en-GB"/>
        </w:rPr>
      </w:pPr>
      <w:r w:rsidRPr="00F027DD">
        <w:rPr>
          <w:rFonts w:cs="Arial"/>
          <w:lang w:val="en-GB"/>
        </w:rPr>
        <w:t xml:space="preserve">This chapter of the study effectively outlines the methodological framework adopted by the researcher to examine the impact of the National Tobacco Control Program on reducing CHD risks among young adults in the urban population of India. Besides, this methodology also provides a transparent and systematic approach for identifying, selecting, and analysing relevant literature. Moreover, a SLR (Systematic Literature Review) design has also been adopted to synthesise numerous evidence related to tobacco use, cardiovascular risk outcomes, and NTCP interventions. This chapter also evaluates data collection methods, research approach, exclusion, inclusion criteria, search strategy, ethical considerations, and more. </w:t>
      </w:r>
    </w:p>
    <w:p w14:paraId="08489636" w14:textId="77777777" w:rsidR="00732E6C" w:rsidRPr="00F027DD" w:rsidRDefault="00DF099F">
      <w:pPr>
        <w:pStyle w:val="Heading2"/>
        <w:rPr>
          <w:rFonts w:cs="Arial"/>
          <w:lang w:val="en-GB"/>
        </w:rPr>
      </w:pPr>
      <w:bookmarkStart w:id="31" w:name="_Toc209887573"/>
      <w:bookmarkStart w:id="32" w:name="_Toc220668533"/>
      <w:r w:rsidRPr="00F027DD">
        <w:rPr>
          <w:rFonts w:cs="Arial"/>
          <w:lang w:val="en-GB"/>
        </w:rPr>
        <w:t>3.2 Research Approach/Study Design</w:t>
      </w:r>
      <w:bookmarkEnd w:id="31"/>
      <w:bookmarkEnd w:id="32"/>
    </w:p>
    <w:p w14:paraId="63B74D83" w14:textId="77777777" w:rsidR="00732E6C" w:rsidRPr="00F027DD" w:rsidRDefault="00DF099F">
      <w:pPr>
        <w:rPr>
          <w:rFonts w:cs="Arial"/>
          <w:lang w:val="en-GB"/>
        </w:rPr>
      </w:pPr>
      <w:r w:rsidRPr="00F027DD">
        <w:rPr>
          <w:rFonts w:cs="Arial"/>
          <w:lang w:val="en-GB"/>
        </w:rPr>
        <w:t>Within this study, SLR has been adopted to effectively evaluate the effectiveness of NTCP interventions to reduce tobacco-related coronary heart disease risks among young urban adults in India. SLR is a transparent and rigorous research method that selects, identifies, synthesizes, and critically appraises all relevant existing studies on a specific topic to provide a comprehensive evidence-based answer (</w:t>
      </w:r>
      <w:r w:rsidRPr="00F027DD">
        <w:rPr>
          <w:rFonts w:cs="Arial"/>
          <w:color w:val="222222"/>
          <w:szCs w:val="24"/>
        </w:rPr>
        <w:t>Mulisa, 2022).</w:t>
      </w:r>
      <w:r w:rsidRPr="00F027DD">
        <w:rPr>
          <w:rFonts w:cs="Arial"/>
          <w:lang w:val="en-GB"/>
        </w:rPr>
        <w:t xml:space="preserve"> Thus, SLR allowed the researcher to synthesise existing empirical evidence in a reproducible and structured manner. Besides, such a design proves appropriate for public health policy evaluation where evidence is dispersed across policy-based and observational results. </w:t>
      </w:r>
    </w:p>
    <w:p w14:paraId="0A2587C4" w14:textId="77777777" w:rsidR="00732E6C" w:rsidRPr="00F027DD" w:rsidRDefault="00DF099F">
      <w:pPr>
        <w:pStyle w:val="Heading6"/>
        <w:spacing w:after="200" w:line="480" w:lineRule="auto"/>
        <w:rPr>
          <w:rFonts w:ascii="Arial" w:hAnsi="Arial" w:cs="Arial"/>
          <w:color w:val="000000"/>
          <w:lang w:val="en-GB"/>
        </w:rPr>
      </w:pPr>
      <w:bookmarkStart w:id="33" w:name="_heading=h.ws9xcuyyl7kx" w:colFirst="0" w:colLast="0"/>
      <w:bookmarkEnd w:id="33"/>
      <w:r w:rsidRPr="00F027DD">
        <w:rPr>
          <w:rFonts w:ascii="Arial" w:hAnsi="Arial" w:cs="Arial"/>
          <w:color w:val="000000"/>
          <w:lang w:val="en-GB"/>
        </w:rPr>
        <w:t>Strengths of SLR</w:t>
      </w:r>
    </w:p>
    <w:p w14:paraId="5CD61044" w14:textId="77777777" w:rsidR="00732E6C" w:rsidRPr="00E04656" w:rsidRDefault="00DF099F">
      <w:r w:rsidRPr="00F027DD">
        <w:rPr>
          <w:rFonts w:cs="Arial"/>
          <w:lang w:val="en-GB"/>
        </w:rPr>
        <w:t>One of the major strengths of SLR is that it ensures methodological transparency, enables comparison across multiple studies, and reduces bias</w:t>
      </w:r>
      <w:r w:rsidR="00E04656">
        <w:rPr>
          <w:rFonts w:cs="Arial"/>
          <w:lang w:val="en-GB"/>
        </w:rPr>
        <w:t xml:space="preserve"> (</w:t>
      </w:r>
      <w:r w:rsidR="00E04656" w:rsidRPr="006B45EE">
        <w:rPr>
          <w:rFonts w:cs="Arial"/>
        </w:rPr>
        <w:t>Karen O’</w:t>
      </w:r>
      <w:r w:rsidR="00E04656">
        <w:rPr>
          <w:rFonts w:cs="Arial"/>
        </w:rPr>
        <w:t xml:space="preserve">, </w:t>
      </w:r>
      <w:r w:rsidR="00E04656" w:rsidRPr="006B45EE">
        <w:rPr>
          <w:rFonts w:cs="Arial"/>
        </w:rPr>
        <w:t>2025</w:t>
      </w:r>
      <w:r w:rsidR="00E04656">
        <w:rPr>
          <w:rFonts w:cs="Arial"/>
          <w:lang w:val="en-GB"/>
        </w:rPr>
        <w:t>)</w:t>
      </w:r>
      <w:r w:rsidRPr="00F027DD">
        <w:rPr>
          <w:rFonts w:cs="Arial"/>
          <w:lang w:val="en-GB"/>
        </w:rPr>
        <w:t>. It also enables evidence-based conclusions by effectively integrating findings from diverse study designs and improves the generalisability of results.</w:t>
      </w:r>
    </w:p>
    <w:p w14:paraId="1B3AE509" w14:textId="77777777" w:rsidR="00732E6C" w:rsidRPr="00F027DD" w:rsidRDefault="00DF099F">
      <w:pPr>
        <w:pStyle w:val="Heading6"/>
        <w:spacing w:after="200" w:line="480" w:lineRule="auto"/>
        <w:rPr>
          <w:rFonts w:ascii="Arial" w:hAnsi="Arial" w:cs="Arial"/>
          <w:color w:val="000000"/>
          <w:lang w:val="en-GB"/>
        </w:rPr>
      </w:pPr>
      <w:bookmarkStart w:id="34" w:name="_heading=h.pcx30mrb98u8" w:colFirst="0" w:colLast="0"/>
      <w:bookmarkEnd w:id="34"/>
      <w:r w:rsidRPr="00F027DD">
        <w:rPr>
          <w:rFonts w:ascii="Arial" w:hAnsi="Arial" w:cs="Arial"/>
          <w:color w:val="000000"/>
          <w:lang w:val="en-GB"/>
        </w:rPr>
        <w:t>Limitations of SLR</w:t>
      </w:r>
    </w:p>
    <w:p w14:paraId="3D714610" w14:textId="77777777" w:rsidR="00732E6C" w:rsidRPr="00F027DD" w:rsidRDefault="00DF099F">
      <w:pPr>
        <w:rPr>
          <w:rFonts w:cs="Arial"/>
          <w:lang w:val="en-GB"/>
        </w:rPr>
      </w:pPr>
      <w:r w:rsidRPr="00F027DD">
        <w:rPr>
          <w:rFonts w:cs="Arial"/>
          <w:lang w:val="en-GB"/>
        </w:rPr>
        <w:t>One of the major limitations includes that it highly depends on quality of available literature and also outcome measures, variability, and reporting standards also affects synthesis (</w:t>
      </w:r>
      <w:r w:rsidRPr="00F027DD">
        <w:rPr>
          <w:rFonts w:cs="Arial"/>
          <w:color w:val="222222"/>
          <w:szCs w:val="24"/>
        </w:rPr>
        <w:t xml:space="preserve">Onwuchekwa </w:t>
      </w:r>
      <w:r w:rsidRPr="00F027DD">
        <w:rPr>
          <w:rFonts w:cs="Arial"/>
          <w:i/>
          <w:iCs/>
          <w:color w:val="222222"/>
          <w:szCs w:val="24"/>
        </w:rPr>
        <w:t xml:space="preserve">et.al </w:t>
      </w:r>
      <w:r w:rsidRPr="00F027DD">
        <w:rPr>
          <w:rFonts w:cs="Arial"/>
          <w:color w:val="222222"/>
          <w:szCs w:val="24"/>
        </w:rPr>
        <w:t>2023).</w:t>
      </w:r>
      <w:r w:rsidRPr="00F027DD">
        <w:rPr>
          <w:rFonts w:cs="Arial"/>
          <w:lang w:val="en-GB"/>
        </w:rPr>
        <w:t xml:space="preserve"> In addition to that, publication bias and limited India-specific data on young Indian adults can also restrict the depth of the study. </w:t>
      </w:r>
    </w:p>
    <w:p w14:paraId="3D99ABB4" w14:textId="77777777" w:rsidR="00732E6C" w:rsidRPr="00F027DD" w:rsidRDefault="00DF099F">
      <w:pPr>
        <w:pStyle w:val="Heading2"/>
        <w:rPr>
          <w:rFonts w:cs="Arial"/>
          <w:lang w:val="en-GB"/>
        </w:rPr>
      </w:pPr>
      <w:bookmarkStart w:id="35" w:name="_Toc209887574"/>
      <w:bookmarkStart w:id="36" w:name="_Toc220668534"/>
      <w:r w:rsidRPr="00F027DD">
        <w:rPr>
          <w:rFonts w:cs="Arial"/>
          <w:lang w:val="en-GB"/>
        </w:rPr>
        <w:lastRenderedPageBreak/>
        <w:t>3.3 Method of Data Collection</w:t>
      </w:r>
      <w:bookmarkEnd w:id="35"/>
      <w:bookmarkEnd w:id="36"/>
    </w:p>
    <w:p w14:paraId="4B5CF4B4" w14:textId="77777777" w:rsidR="00732E6C" w:rsidRPr="00F027DD" w:rsidRDefault="00DF099F">
      <w:pPr>
        <w:rPr>
          <w:rFonts w:cs="Arial"/>
          <w:lang w:val="en-GB"/>
        </w:rPr>
      </w:pPr>
      <w:r w:rsidRPr="00F027DD">
        <w:rPr>
          <w:rFonts w:cs="Arial"/>
          <w:lang w:val="en-GB"/>
        </w:rPr>
        <w:t>Data collection can be referred as a systematic gathering of information from numerous sources to answer the research question or solve a research problem (</w:t>
      </w:r>
      <w:r w:rsidRPr="00F027DD">
        <w:rPr>
          <w:rFonts w:cs="Arial"/>
          <w:color w:val="222222"/>
          <w:szCs w:val="24"/>
        </w:rPr>
        <w:t>Ganesha and Aithal, 2022).</w:t>
      </w:r>
      <w:r w:rsidRPr="00F027DD">
        <w:rPr>
          <w:rFonts w:cs="Arial"/>
          <w:lang w:val="en-GB"/>
        </w:rPr>
        <w:t xml:space="preserve"> In this study, data have been collected through a secondary data collection method through a systematic search of peer-reviewed articles, journals, policy documents, and government reports related to tobacco use, coronary heart disease risks, and NTCP implementation. The process of data collection was also followed by a pre-defined protocol to ensure replicability and consistency. Moreover, multiple electronic databases were also searched to capture a broad range of medical, public health, and policy-focused studies. </w:t>
      </w:r>
    </w:p>
    <w:p w14:paraId="48246ED6" w14:textId="77777777" w:rsidR="00732E6C" w:rsidRPr="00F027DD" w:rsidRDefault="00DF099F">
      <w:pPr>
        <w:pStyle w:val="Heading3"/>
        <w:rPr>
          <w:rFonts w:cs="Arial"/>
          <w:lang w:val="en-GB"/>
        </w:rPr>
      </w:pPr>
      <w:bookmarkStart w:id="37" w:name="_Toc209887575"/>
      <w:bookmarkStart w:id="38" w:name="_Toc220668535"/>
      <w:r w:rsidRPr="00F027DD">
        <w:rPr>
          <w:rFonts w:cs="Arial"/>
          <w:lang w:val="en-GB"/>
        </w:rPr>
        <w:t>3.3.1 Search Strategy</w:t>
      </w:r>
      <w:bookmarkEnd w:id="37"/>
      <w:bookmarkEnd w:id="38"/>
    </w:p>
    <w:p w14:paraId="38BCF297" w14:textId="77777777" w:rsidR="00732E6C" w:rsidRPr="00F027DD" w:rsidRDefault="00DF099F">
      <w:pPr>
        <w:pStyle w:val="Heading2"/>
        <w:spacing w:before="240" w:after="240"/>
        <w:rPr>
          <w:rFonts w:cs="Arial"/>
          <w:lang w:val="en-GB"/>
        </w:rPr>
      </w:pPr>
      <w:bookmarkStart w:id="39" w:name="_heading=h.kidg92aug20j" w:colFirst="0" w:colLast="0"/>
      <w:bookmarkStart w:id="40" w:name="_Toc209887576"/>
      <w:bookmarkStart w:id="41" w:name="_Toc220668536"/>
      <w:bookmarkEnd w:id="39"/>
      <w:r w:rsidRPr="00F027DD">
        <w:rPr>
          <w:rFonts w:cs="Arial"/>
          <w:lang w:val="en-GB"/>
        </w:rPr>
        <w:t>3.4 Framing the Research Question</w:t>
      </w:r>
      <w:bookmarkEnd w:id="40"/>
      <w:bookmarkEnd w:id="41"/>
    </w:p>
    <w:p w14:paraId="43B36572" w14:textId="77777777" w:rsidR="00732E6C" w:rsidRPr="0041639E" w:rsidRDefault="00DF099F">
      <w:r w:rsidRPr="00F027DD">
        <w:rPr>
          <w:rFonts w:cs="Arial"/>
          <w:lang w:val="en-GB"/>
        </w:rPr>
        <w:t xml:space="preserve">The research question has been effectively framed by using the PICO Framework. </w:t>
      </w:r>
      <w:r w:rsidR="0041639E">
        <w:rPr>
          <w:rFonts w:cs="Arial"/>
          <w:lang w:val="en-GB"/>
        </w:rPr>
        <w:t>PICO framework is effectively used for deriving the research questions by providing context of research (</w:t>
      </w:r>
      <w:r w:rsidR="0041639E" w:rsidRPr="008B336E">
        <w:rPr>
          <w:rFonts w:cs="Arial"/>
        </w:rPr>
        <w:t>Rogowski and Le Thi, 2025</w:t>
      </w:r>
      <w:r w:rsidR="0041639E">
        <w:rPr>
          <w:rFonts w:cs="Arial"/>
          <w:lang w:val="en-GB"/>
        </w:rPr>
        <w:t xml:space="preserve">). </w:t>
      </w:r>
      <w:r w:rsidRPr="00F027DD">
        <w:rPr>
          <w:rFonts w:cs="Arial"/>
          <w:lang w:val="en-GB"/>
        </w:rPr>
        <w:t>This framework effectively supports the structured as well as focused evidence retrieval (</w:t>
      </w:r>
      <w:r w:rsidRPr="00F027DD">
        <w:rPr>
          <w:rFonts w:cs="Arial"/>
          <w:color w:val="222222"/>
          <w:szCs w:val="24"/>
        </w:rPr>
        <w:t>Wang</w:t>
      </w:r>
      <w:r w:rsidRPr="00F027DD">
        <w:rPr>
          <w:rFonts w:cs="Arial"/>
          <w:i/>
          <w:iCs/>
          <w:color w:val="222222"/>
          <w:szCs w:val="24"/>
        </w:rPr>
        <w:t xml:space="preserve"> et.al</w:t>
      </w:r>
      <w:r w:rsidRPr="00F027DD">
        <w:rPr>
          <w:rFonts w:cs="Arial"/>
          <w:color w:val="222222"/>
          <w:szCs w:val="24"/>
        </w:rPr>
        <w:t xml:space="preserve"> 2022).</w:t>
      </w:r>
      <w:r w:rsidRPr="00F027DD">
        <w:rPr>
          <w:rFonts w:cs="Arial"/>
          <w:lang w:val="en-GB"/>
        </w:rPr>
        <w:t xml:space="preserve"> Besides, this approach also ensured the alignment between the search strategy, data synthesis process, and research objectives. </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84"/>
        <w:gridCol w:w="3171"/>
        <w:gridCol w:w="4905"/>
      </w:tblGrid>
      <w:tr w:rsidR="00732E6C" w:rsidRPr="00F027DD" w14:paraId="74D58BB5" w14:textId="77777777">
        <w:trPr>
          <w:trHeight w:val="500"/>
        </w:trPr>
        <w:tc>
          <w:tcPr>
            <w:tcW w:w="71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47910B" w14:textId="77777777" w:rsidR="00732E6C" w:rsidRPr="00F027DD" w:rsidRDefault="00DF099F">
            <w:pPr>
              <w:jc w:val="center"/>
              <w:rPr>
                <w:rFonts w:cs="Arial"/>
                <w:b/>
                <w:color w:val="000000"/>
                <w:lang w:val="en-GB"/>
              </w:rPr>
            </w:pPr>
            <w:r w:rsidRPr="00F027DD">
              <w:rPr>
                <w:rFonts w:cs="Arial"/>
                <w:b/>
                <w:color w:val="000000"/>
                <w:lang w:val="en-GB"/>
              </w:rPr>
              <w:t>PICO</w:t>
            </w:r>
          </w:p>
        </w:tc>
        <w:tc>
          <w:tcPr>
            <w:tcW w:w="1687" w:type="pct"/>
            <w:tcBorders>
              <w:top w:val="single" w:sz="8" w:space="0" w:color="000000"/>
              <w:left w:val="single" w:sz="8" w:space="0" w:color="000000"/>
              <w:bottom w:val="single" w:sz="8" w:space="0" w:color="000000"/>
              <w:right w:val="single" w:sz="8" w:space="0" w:color="000000"/>
            </w:tcBorders>
          </w:tcPr>
          <w:p w14:paraId="58942989" w14:textId="77777777" w:rsidR="00732E6C" w:rsidRPr="00F027DD" w:rsidRDefault="00DF099F">
            <w:pPr>
              <w:jc w:val="center"/>
              <w:rPr>
                <w:rFonts w:cs="Arial"/>
                <w:b/>
                <w:color w:val="000000"/>
                <w:lang w:val="en-GB"/>
              </w:rPr>
            </w:pPr>
            <w:r w:rsidRPr="00F027DD">
              <w:rPr>
                <w:rFonts w:cs="Arial"/>
                <w:b/>
                <w:color w:val="000000"/>
                <w:lang w:val="en-GB"/>
              </w:rPr>
              <w:t>Description</w:t>
            </w:r>
          </w:p>
        </w:tc>
        <w:tc>
          <w:tcPr>
            <w:tcW w:w="259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0A651B" w14:textId="77777777" w:rsidR="00732E6C" w:rsidRPr="00F027DD" w:rsidRDefault="00DF099F">
            <w:pPr>
              <w:jc w:val="center"/>
              <w:rPr>
                <w:rFonts w:cs="Arial"/>
                <w:color w:val="000000"/>
                <w:lang w:val="en-GB"/>
              </w:rPr>
            </w:pPr>
            <w:r w:rsidRPr="00F027DD">
              <w:rPr>
                <w:rFonts w:cs="Arial"/>
                <w:b/>
                <w:color w:val="000000"/>
                <w:lang w:val="en-GB"/>
              </w:rPr>
              <w:t>Search Terms</w:t>
            </w:r>
          </w:p>
        </w:tc>
      </w:tr>
      <w:tr w:rsidR="00732E6C" w:rsidRPr="00F027DD" w14:paraId="62564259" w14:textId="77777777">
        <w:trPr>
          <w:trHeight w:val="500"/>
        </w:trPr>
        <w:tc>
          <w:tcPr>
            <w:tcW w:w="71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5D82DC" w14:textId="77777777" w:rsidR="00732E6C" w:rsidRPr="00F027DD" w:rsidRDefault="00DF099F">
            <w:pPr>
              <w:rPr>
                <w:rFonts w:cs="Arial"/>
                <w:b/>
                <w:color w:val="000000"/>
                <w:lang w:val="en-GB"/>
              </w:rPr>
            </w:pPr>
            <w:r w:rsidRPr="00F027DD">
              <w:rPr>
                <w:rFonts w:cs="Arial"/>
                <w:b/>
                <w:color w:val="000000"/>
                <w:lang w:val="en-GB"/>
              </w:rPr>
              <w:t>Population</w:t>
            </w:r>
          </w:p>
        </w:tc>
        <w:tc>
          <w:tcPr>
            <w:tcW w:w="1687" w:type="pct"/>
            <w:tcBorders>
              <w:top w:val="single" w:sz="8" w:space="0" w:color="000000"/>
              <w:left w:val="single" w:sz="8" w:space="0" w:color="000000"/>
              <w:bottom w:val="single" w:sz="8" w:space="0" w:color="000000"/>
              <w:right w:val="single" w:sz="8" w:space="0" w:color="000000"/>
            </w:tcBorders>
          </w:tcPr>
          <w:p w14:paraId="0171FF2D" w14:textId="77777777" w:rsidR="00732E6C" w:rsidRPr="00F027DD" w:rsidRDefault="00DF099F">
            <w:pPr>
              <w:spacing w:line="240" w:lineRule="auto"/>
              <w:rPr>
                <w:rFonts w:cs="Arial"/>
                <w:color w:val="000000"/>
                <w:lang w:val="en-GB"/>
              </w:rPr>
            </w:pPr>
            <w:r w:rsidRPr="00F027DD">
              <w:rPr>
                <w:rFonts w:cs="Arial"/>
                <w:color w:val="000000"/>
                <w:lang w:val="en-GB"/>
              </w:rPr>
              <w:t>Young adults in urban India</w:t>
            </w:r>
          </w:p>
        </w:tc>
        <w:tc>
          <w:tcPr>
            <w:tcW w:w="259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571F3E" w14:textId="77777777" w:rsidR="00732E6C" w:rsidRPr="00F027DD" w:rsidRDefault="00DF099F">
            <w:pPr>
              <w:spacing w:line="240" w:lineRule="auto"/>
              <w:rPr>
                <w:rFonts w:cs="Arial"/>
                <w:color w:val="000000"/>
                <w:lang w:val="en-GB"/>
              </w:rPr>
            </w:pPr>
            <w:r w:rsidRPr="00F027DD">
              <w:rPr>
                <w:rFonts w:cs="Arial"/>
                <w:color w:val="000000"/>
                <w:lang w:val="en-GB"/>
              </w:rPr>
              <w:t>“Urban India”, “Young adults”, “Youth”</w:t>
            </w:r>
          </w:p>
        </w:tc>
      </w:tr>
      <w:tr w:rsidR="00732E6C" w:rsidRPr="00F027DD" w14:paraId="37546698" w14:textId="77777777">
        <w:trPr>
          <w:trHeight w:val="500"/>
        </w:trPr>
        <w:tc>
          <w:tcPr>
            <w:tcW w:w="71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3C37D9" w14:textId="77777777" w:rsidR="00732E6C" w:rsidRPr="00F027DD" w:rsidRDefault="00DF099F">
            <w:pPr>
              <w:rPr>
                <w:rFonts w:cs="Arial"/>
                <w:b/>
                <w:color w:val="000000"/>
                <w:lang w:val="en-GB"/>
              </w:rPr>
            </w:pPr>
            <w:r w:rsidRPr="00F027DD">
              <w:rPr>
                <w:rFonts w:cs="Arial"/>
                <w:b/>
                <w:color w:val="000000"/>
                <w:lang w:val="en-GB"/>
              </w:rPr>
              <w:t>Intervention</w:t>
            </w:r>
          </w:p>
        </w:tc>
        <w:tc>
          <w:tcPr>
            <w:tcW w:w="1687" w:type="pct"/>
            <w:tcBorders>
              <w:top w:val="single" w:sz="8" w:space="0" w:color="000000"/>
              <w:left w:val="single" w:sz="8" w:space="0" w:color="000000"/>
              <w:bottom w:val="single" w:sz="8" w:space="0" w:color="000000"/>
              <w:right w:val="single" w:sz="8" w:space="0" w:color="000000"/>
            </w:tcBorders>
          </w:tcPr>
          <w:p w14:paraId="7B374403" w14:textId="77777777" w:rsidR="00732E6C" w:rsidRPr="00F027DD" w:rsidRDefault="00DF099F">
            <w:pPr>
              <w:spacing w:line="240" w:lineRule="auto"/>
              <w:rPr>
                <w:rFonts w:cs="Arial"/>
                <w:color w:val="000000"/>
                <w:lang w:val="en-GB"/>
              </w:rPr>
            </w:pPr>
            <w:r w:rsidRPr="00F027DD">
              <w:rPr>
                <w:rFonts w:cs="Arial"/>
                <w:color w:val="000000"/>
                <w:lang w:val="en-GB"/>
              </w:rPr>
              <w:t>National Tobacco Control Program</w:t>
            </w:r>
          </w:p>
        </w:tc>
        <w:tc>
          <w:tcPr>
            <w:tcW w:w="259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393289" w14:textId="77777777" w:rsidR="00732E6C" w:rsidRPr="00F027DD" w:rsidRDefault="00DF099F">
            <w:pPr>
              <w:spacing w:line="240" w:lineRule="auto"/>
              <w:rPr>
                <w:rFonts w:cs="Arial"/>
                <w:color w:val="000000"/>
                <w:lang w:val="en-GB"/>
              </w:rPr>
            </w:pPr>
            <w:r w:rsidRPr="00F027DD">
              <w:rPr>
                <w:rFonts w:cs="Arial"/>
                <w:color w:val="000000"/>
                <w:lang w:val="en-GB"/>
              </w:rPr>
              <w:t>“Tobacco Control Policy”, “NTCP”</w:t>
            </w:r>
          </w:p>
        </w:tc>
      </w:tr>
      <w:tr w:rsidR="00732E6C" w:rsidRPr="00F027DD" w14:paraId="67A674C5" w14:textId="77777777">
        <w:trPr>
          <w:trHeight w:val="500"/>
        </w:trPr>
        <w:tc>
          <w:tcPr>
            <w:tcW w:w="71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F0B13B" w14:textId="77777777" w:rsidR="00732E6C" w:rsidRPr="00F027DD" w:rsidRDefault="00DF099F">
            <w:pPr>
              <w:rPr>
                <w:rFonts w:cs="Arial"/>
                <w:b/>
                <w:color w:val="000000"/>
                <w:lang w:val="en-GB"/>
              </w:rPr>
            </w:pPr>
            <w:r w:rsidRPr="00F027DD">
              <w:rPr>
                <w:rFonts w:cs="Arial"/>
                <w:b/>
                <w:color w:val="000000"/>
                <w:lang w:val="en-GB"/>
              </w:rPr>
              <w:t>Comparison</w:t>
            </w:r>
          </w:p>
        </w:tc>
        <w:tc>
          <w:tcPr>
            <w:tcW w:w="1687" w:type="pct"/>
            <w:tcBorders>
              <w:top w:val="single" w:sz="8" w:space="0" w:color="000000"/>
              <w:left w:val="single" w:sz="8" w:space="0" w:color="000000"/>
              <w:bottom w:val="single" w:sz="8" w:space="0" w:color="000000"/>
              <w:right w:val="single" w:sz="8" w:space="0" w:color="000000"/>
            </w:tcBorders>
          </w:tcPr>
          <w:p w14:paraId="1BCC0060" w14:textId="77777777" w:rsidR="00732E6C" w:rsidRPr="00F027DD" w:rsidRDefault="00DF099F">
            <w:pPr>
              <w:spacing w:line="240" w:lineRule="auto"/>
              <w:rPr>
                <w:rFonts w:cs="Arial"/>
                <w:color w:val="000000"/>
                <w:lang w:val="en-GB"/>
              </w:rPr>
            </w:pPr>
            <w:r w:rsidRPr="00F027DD">
              <w:rPr>
                <w:rFonts w:cs="Arial"/>
                <w:color w:val="000000"/>
                <w:lang w:val="en-GB"/>
              </w:rPr>
              <w:t>Pre-NTCP or non-exposed groups</w:t>
            </w:r>
          </w:p>
        </w:tc>
        <w:tc>
          <w:tcPr>
            <w:tcW w:w="259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37117A" w14:textId="77777777" w:rsidR="00732E6C" w:rsidRPr="00F027DD" w:rsidRDefault="00DF099F">
            <w:pPr>
              <w:spacing w:line="240" w:lineRule="auto"/>
              <w:rPr>
                <w:rFonts w:cs="Arial"/>
                <w:color w:val="000000"/>
                <w:lang w:val="en-GB"/>
              </w:rPr>
            </w:pPr>
            <w:r w:rsidRPr="00F027DD">
              <w:rPr>
                <w:rFonts w:cs="Arial"/>
                <w:color w:val="000000"/>
                <w:lang w:val="en-GB"/>
              </w:rPr>
              <w:t>“Pre-policy”, “No intervention”</w:t>
            </w:r>
          </w:p>
        </w:tc>
      </w:tr>
      <w:tr w:rsidR="00732E6C" w:rsidRPr="00F027DD" w14:paraId="7D47119B" w14:textId="77777777">
        <w:trPr>
          <w:trHeight w:val="500"/>
        </w:trPr>
        <w:tc>
          <w:tcPr>
            <w:tcW w:w="71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DAA8B7" w14:textId="77777777" w:rsidR="00732E6C" w:rsidRPr="00F027DD" w:rsidRDefault="00DF099F">
            <w:pPr>
              <w:rPr>
                <w:rFonts w:cs="Arial"/>
                <w:b/>
                <w:color w:val="000000"/>
                <w:lang w:val="en-GB"/>
              </w:rPr>
            </w:pPr>
            <w:r w:rsidRPr="00F027DD">
              <w:rPr>
                <w:rFonts w:cs="Arial"/>
                <w:b/>
                <w:color w:val="000000"/>
                <w:lang w:val="en-GB"/>
              </w:rPr>
              <w:t>Outcome</w:t>
            </w:r>
          </w:p>
        </w:tc>
        <w:tc>
          <w:tcPr>
            <w:tcW w:w="1687" w:type="pct"/>
            <w:tcBorders>
              <w:top w:val="single" w:sz="8" w:space="0" w:color="000000"/>
              <w:left w:val="single" w:sz="8" w:space="0" w:color="000000"/>
              <w:bottom w:val="single" w:sz="8" w:space="0" w:color="000000"/>
              <w:right w:val="single" w:sz="8" w:space="0" w:color="000000"/>
            </w:tcBorders>
          </w:tcPr>
          <w:p w14:paraId="1A877E0D" w14:textId="77777777" w:rsidR="00732E6C" w:rsidRPr="00F027DD" w:rsidRDefault="00DF099F">
            <w:pPr>
              <w:spacing w:line="240" w:lineRule="auto"/>
              <w:rPr>
                <w:rFonts w:cs="Arial"/>
                <w:color w:val="000000"/>
                <w:lang w:val="en-GB"/>
              </w:rPr>
            </w:pPr>
            <w:r w:rsidRPr="00F027DD">
              <w:rPr>
                <w:rFonts w:cs="Arial"/>
                <w:color w:val="000000"/>
                <w:lang w:val="en-GB"/>
              </w:rPr>
              <w:t>Coronary heart disease risk</w:t>
            </w:r>
          </w:p>
        </w:tc>
        <w:tc>
          <w:tcPr>
            <w:tcW w:w="259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FB7F14" w14:textId="77777777" w:rsidR="00732E6C" w:rsidRPr="00F027DD" w:rsidRDefault="00DF099F">
            <w:pPr>
              <w:spacing w:line="240" w:lineRule="auto"/>
              <w:rPr>
                <w:rFonts w:cs="Arial"/>
                <w:color w:val="000000"/>
                <w:lang w:val="en-GB"/>
              </w:rPr>
            </w:pPr>
            <w:r w:rsidRPr="00F027DD">
              <w:rPr>
                <w:rFonts w:cs="Arial"/>
                <w:color w:val="000000"/>
                <w:lang w:val="en-GB"/>
              </w:rPr>
              <w:t>“Cardiovascular risk”, “CHD”</w:t>
            </w:r>
          </w:p>
        </w:tc>
      </w:tr>
      <w:tr w:rsidR="00732E6C" w:rsidRPr="00F027DD" w14:paraId="6C2EDA88" w14:textId="77777777">
        <w:trPr>
          <w:trHeight w:val="500"/>
        </w:trPr>
        <w:tc>
          <w:tcPr>
            <w:tcW w:w="71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7B645E" w14:textId="77777777" w:rsidR="00732E6C" w:rsidRPr="00F027DD" w:rsidRDefault="00DF099F">
            <w:pPr>
              <w:rPr>
                <w:rFonts w:cs="Arial"/>
                <w:b/>
                <w:color w:val="000000"/>
                <w:lang w:val="en-GB"/>
              </w:rPr>
            </w:pPr>
            <w:r w:rsidRPr="00F027DD">
              <w:rPr>
                <w:rFonts w:cs="Arial"/>
                <w:b/>
                <w:color w:val="000000"/>
                <w:lang w:val="en-GB"/>
              </w:rPr>
              <w:t>Setting</w:t>
            </w:r>
          </w:p>
        </w:tc>
        <w:tc>
          <w:tcPr>
            <w:tcW w:w="1687" w:type="pct"/>
            <w:tcBorders>
              <w:top w:val="single" w:sz="8" w:space="0" w:color="000000"/>
              <w:left w:val="single" w:sz="8" w:space="0" w:color="000000"/>
              <w:bottom w:val="single" w:sz="8" w:space="0" w:color="000000"/>
              <w:right w:val="single" w:sz="8" w:space="0" w:color="000000"/>
            </w:tcBorders>
          </w:tcPr>
          <w:p w14:paraId="5AC623C4" w14:textId="77777777" w:rsidR="00732E6C" w:rsidRPr="00F027DD" w:rsidRDefault="00DF099F">
            <w:pPr>
              <w:spacing w:line="240" w:lineRule="auto"/>
              <w:rPr>
                <w:rFonts w:cs="Arial"/>
                <w:color w:val="000000"/>
                <w:lang w:val="en-GB"/>
              </w:rPr>
            </w:pPr>
            <w:r w:rsidRPr="00F027DD">
              <w:rPr>
                <w:rFonts w:cs="Arial"/>
                <w:color w:val="000000"/>
                <w:lang w:val="en-GB"/>
              </w:rPr>
              <w:t>Urban India</w:t>
            </w:r>
          </w:p>
        </w:tc>
        <w:tc>
          <w:tcPr>
            <w:tcW w:w="259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570A30" w14:textId="77777777" w:rsidR="00732E6C" w:rsidRPr="00F027DD" w:rsidRDefault="00DF099F">
            <w:pPr>
              <w:spacing w:line="240" w:lineRule="auto"/>
              <w:rPr>
                <w:rFonts w:cs="Arial"/>
                <w:color w:val="000000"/>
                <w:lang w:val="en-GB"/>
              </w:rPr>
            </w:pPr>
            <w:r w:rsidRPr="00F027DD">
              <w:rPr>
                <w:rFonts w:cs="Arial"/>
                <w:color w:val="000000"/>
                <w:lang w:val="en-GB"/>
              </w:rPr>
              <w:t>“Urban Population”. “India”</w:t>
            </w:r>
          </w:p>
        </w:tc>
      </w:tr>
    </w:tbl>
    <w:p w14:paraId="5C82806D" w14:textId="77777777" w:rsidR="00732E6C" w:rsidRPr="00F027DD" w:rsidRDefault="00DF099F">
      <w:pPr>
        <w:jc w:val="center"/>
        <w:rPr>
          <w:rFonts w:cs="Arial"/>
          <w:lang w:val="en-GB"/>
        </w:rPr>
      </w:pPr>
      <w:bookmarkStart w:id="42" w:name="_heading=h.koua4v8ted6i" w:colFirst="0" w:colLast="0"/>
      <w:bookmarkEnd w:id="42"/>
      <w:r w:rsidRPr="00F027DD">
        <w:rPr>
          <w:rFonts w:cs="Arial"/>
          <w:lang w:val="en-GB"/>
        </w:rPr>
        <w:t>Table 3.1: PICO and Search Terms</w:t>
      </w:r>
    </w:p>
    <w:p w14:paraId="1585BA87" w14:textId="77777777" w:rsidR="00732E6C" w:rsidRPr="00F027DD" w:rsidRDefault="00DF099F">
      <w:pPr>
        <w:spacing w:before="200" w:after="200"/>
        <w:jc w:val="center"/>
        <w:rPr>
          <w:rFonts w:cs="Arial"/>
          <w:color w:val="000000"/>
          <w:lang w:val="en-GB"/>
        </w:rPr>
      </w:pPr>
      <w:r w:rsidRPr="00F027DD">
        <w:rPr>
          <w:rFonts w:cs="Arial"/>
          <w:color w:val="000000"/>
          <w:lang w:val="en-GB"/>
        </w:rPr>
        <w:t>(Source: Self-Developed)</w:t>
      </w:r>
    </w:p>
    <w:p w14:paraId="46519A38" w14:textId="77777777" w:rsidR="00732E6C" w:rsidRPr="00F027DD" w:rsidRDefault="00DF099F">
      <w:pPr>
        <w:pStyle w:val="Heading2"/>
        <w:spacing w:before="240" w:after="240"/>
        <w:jc w:val="left"/>
        <w:rPr>
          <w:rFonts w:cs="Arial"/>
          <w:lang w:val="en-GB"/>
        </w:rPr>
      </w:pPr>
      <w:bookmarkStart w:id="43" w:name="_Toc209887577"/>
      <w:bookmarkStart w:id="44" w:name="_Toc220668537"/>
      <w:r w:rsidRPr="00F027DD">
        <w:rPr>
          <w:rFonts w:cs="Arial"/>
          <w:lang w:val="en-GB"/>
        </w:rPr>
        <w:lastRenderedPageBreak/>
        <w:t>3.5 Database Search Procedure</w:t>
      </w:r>
      <w:bookmarkEnd w:id="43"/>
      <w:bookmarkEnd w:id="44"/>
    </w:p>
    <w:p w14:paraId="439633A1" w14:textId="77777777" w:rsidR="00732E6C" w:rsidRDefault="00DF099F">
      <w:pPr>
        <w:rPr>
          <w:rFonts w:cs="Arial"/>
          <w:lang w:val="en-GB"/>
        </w:rPr>
      </w:pPr>
      <w:r w:rsidRPr="00F027DD">
        <w:rPr>
          <w:rFonts w:cs="Arial"/>
          <w:lang w:val="en-GB"/>
        </w:rPr>
        <w:t>Database search procedure simply involves defining the need for the study, identification of synonyms and keywords, combining them with Boolean operators such “OR”, “AND” and wildcards such as “*”, using filters, executing the query within the database, and finally refining the results by evaluating relevance and adjusting limits and terms to get the desired information (</w:t>
      </w:r>
      <w:r w:rsidRPr="00F027DD">
        <w:rPr>
          <w:rFonts w:cs="Arial"/>
          <w:color w:val="222222"/>
          <w:szCs w:val="24"/>
        </w:rPr>
        <w:t>Wohlin</w:t>
      </w:r>
      <w:r w:rsidRPr="00F027DD">
        <w:rPr>
          <w:rFonts w:cs="Arial"/>
          <w:i/>
          <w:iCs/>
          <w:color w:val="222222"/>
          <w:szCs w:val="24"/>
        </w:rPr>
        <w:t xml:space="preserve"> et.al</w:t>
      </w:r>
      <w:r w:rsidRPr="00F027DD">
        <w:rPr>
          <w:rFonts w:cs="Arial"/>
          <w:color w:val="222222"/>
          <w:szCs w:val="24"/>
        </w:rPr>
        <w:t xml:space="preserve"> 2022).</w:t>
      </w:r>
      <w:r w:rsidRPr="00F027DD">
        <w:rPr>
          <w:rFonts w:cs="Arial"/>
          <w:lang w:val="en-GB"/>
        </w:rPr>
        <w:t xml:space="preserve"> In this study, a systematic search has been conducted across numerous electronic databases to identify the relevant literature that has been published within the inclusion period. Moreover, databases have also been selected based on their relevance to medicine, nursing research, and public health. </w:t>
      </w:r>
    </w:p>
    <w:p w14:paraId="744786CB" w14:textId="77777777" w:rsidR="002542C9" w:rsidRDefault="00BC5372">
      <w:pPr>
        <w:rPr>
          <w:rFonts w:cs="Arial"/>
          <w:color w:val="0A0A0A"/>
        </w:rPr>
      </w:pPr>
      <w:r>
        <w:rPr>
          <w:rFonts w:cs="Arial"/>
          <w:lang w:val="en-GB"/>
        </w:rPr>
        <w:t xml:space="preserve">The </w:t>
      </w:r>
      <w:r w:rsidR="00DC3388">
        <w:rPr>
          <w:rFonts w:cs="Arial"/>
          <w:lang w:val="en-GB"/>
        </w:rPr>
        <w:t>database that was</w:t>
      </w:r>
      <w:r>
        <w:rPr>
          <w:rFonts w:cs="Arial"/>
          <w:lang w:val="en-GB"/>
        </w:rPr>
        <w:t xml:space="preserve"> selected for extracting the meaningful information are </w:t>
      </w:r>
      <w:r>
        <w:rPr>
          <w:rFonts w:cs="Arial"/>
          <w:color w:val="0A0A0A"/>
        </w:rPr>
        <w:t xml:space="preserve">PubMed, Cochrane Library, </w:t>
      </w:r>
      <w:r w:rsidRPr="00BC5372">
        <w:rPr>
          <w:rFonts w:cs="Arial"/>
          <w:color w:val="0A0A0A"/>
        </w:rPr>
        <w:t>Indian Journal of Medical Research (IJMR)</w:t>
      </w:r>
      <w:r>
        <w:rPr>
          <w:rFonts w:cs="Arial"/>
          <w:color w:val="0A0A0A"/>
        </w:rPr>
        <w:t xml:space="preserve"> and SCOPUS etc. However, the exact search strategy typically includes selecting right set and combination of keywords such as ‘NTCP effectiveness in India’, ‘Smoking prevalence in India’, ‘Intervention for smoking and tobacco consumption in India’, ‘impact of NTCP on heart disease in India’ and others.</w:t>
      </w:r>
      <w:r w:rsidR="002542C9">
        <w:rPr>
          <w:rFonts w:cs="Arial"/>
          <w:color w:val="0A0A0A"/>
        </w:rPr>
        <w:t xml:space="preserve"> In addition to this, the Boolean operators were also used for extracting meaningful data and information which is presented in the table below.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40"/>
        <w:gridCol w:w="6000"/>
        <w:gridCol w:w="1530"/>
      </w:tblGrid>
      <w:tr w:rsidR="002542C9" w:rsidRPr="002542C9" w14:paraId="5A6463F9" w14:textId="77777777" w:rsidTr="002542C9">
        <w:trPr>
          <w:tblHeader/>
          <w:tblCellSpacing w:w="15" w:type="dxa"/>
        </w:trPr>
        <w:tc>
          <w:tcPr>
            <w:tcW w:w="0" w:type="auto"/>
            <w:vAlign w:val="center"/>
            <w:hideMark/>
          </w:tcPr>
          <w:p w14:paraId="770B1BBE" w14:textId="77777777" w:rsidR="002542C9" w:rsidRPr="002542C9" w:rsidRDefault="002542C9" w:rsidP="002542C9">
            <w:pPr>
              <w:jc w:val="center"/>
              <w:rPr>
                <w:b/>
                <w:shd w:val="clear" w:color="auto" w:fill="auto"/>
              </w:rPr>
            </w:pPr>
            <w:r w:rsidRPr="002542C9">
              <w:rPr>
                <w:b/>
                <w:shd w:val="clear" w:color="auto" w:fill="auto"/>
              </w:rPr>
              <w:t>Concept</w:t>
            </w:r>
          </w:p>
        </w:tc>
        <w:tc>
          <w:tcPr>
            <w:tcW w:w="0" w:type="auto"/>
            <w:vAlign w:val="center"/>
            <w:hideMark/>
          </w:tcPr>
          <w:p w14:paraId="00344DED" w14:textId="77777777" w:rsidR="002542C9" w:rsidRPr="002542C9" w:rsidRDefault="002542C9" w:rsidP="002542C9">
            <w:pPr>
              <w:jc w:val="center"/>
              <w:rPr>
                <w:b/>
                <w:shd w:val="clear" w:color="auto" w:fill="auto"/>
              </w:rPr>
            </w:pPr>
            <w:r w:rsidRPr="002542C9">
              <w:rPr>
                <w:b/>
                <w:shd w:val="clear" w:color="auto" w:fill="auto"/>
              </w:rPr>
              <w:t>Keywords / Search Terms</w:t>
            </w:r>
          </w:p>
        </w:tc>
        <w:tc>
          <w:tcPr>
            <w:tcW w:w="0" w:type="auto"/>
            <w:vAlign w:val="center"/>
            <w:hideMark/>
          </w:tcPr>
          <w:p w14:paraId="719E20FC" w14:textId="77777777" w:rsidR="002542C9" w:rsidRPr="002542C9" w:rsidRDefault="002542C9" w:rsidP="002542C9">
            <w:pPr>
              <w:jc w:val="center"/>
              <w:rPr>
                <w:b/>
                <w:shd w:val="clear" w:color="auto" w:fill="auto"/>
              </w:rPr>
            </w:pPr>
            <w:r w:rsidRPr="002542C9">
              <w:rPr>
                <w:b/>
                <w:shd w:val="clear" w:color="auto" w:fill="auto"/>
              </w:rPr>
              <w:t>Boolean Operator</w:t>
            </w:r>
          </w:p>
        </w:tc>
      </w:tr>
      <w:tr w:rsidR="002542C9" w:rsidRPr="002542C9" w14:paraId="358AAB7D" w14:textId="77777777" w:rsidTr="002542C9">
        <w:trPr>
          <w:tblCellSpacing w:w="15" w:type="dxa"/>
        </w:trPr>
        <w:tc>
          <w:tcPr>
            <w:tcW w:w="0" w:type="auto"/>
            <w:vAlign w:val="center"/>
            <w:hideMark/>
          </w:tcPr>
          <w:p w14:paraId="585C3C6B" w14:textId="77777777" w:rsidR="002542C9" w:rsidRPr="002542C9" w:rsidRDefault="002542C9" w:rsidP="00DA3CCD">
            <w:pPr>
              <w:jc w:val="center"/>
              <w:rPr>
                <w:shd w:val="clear" w:color="auto" w:fill="auto"/>
              </w:rPr>
            </w:pPr>
            <w:r w:rsidRPr="002542C9">
              <w:rPr>
                <w:shd w:val="clear" w:color="auto" w:fill="auto"/>
              </w:rPr>
              <w:t>Tobacco Control Program</w:t>
            </w:r>
          </w:p>
        </w:tc>
        <w:tc>
          <w:tcPr>
            <w:tcW w:w="0" w:type="auto"/>
            <w:vAlign w:val="center"/>
            <w:hideMark/>
          </w:tcPr>
          <w:p w14:paraId="6586C377" w14:textId="77777777" w:rsidR="002542C9" w:rsidRPr="002542C9" w:rsidRDefault="002542C9" w:rsidP="00DA3CCD">
            <w:pPr>
              <w:jc w:val="center"/>
              <w:rPr>
                <w:shd w:val="clear" w:color="auto" w:fill="auto"/>
              </w:rPr>
            </w:pPr>
            <w:r w:rsidRPr="002542C9">
              <w:rPr>
                <w:shd w:val="clear" w:color="auto" w:fill="auto"/>
              </w:rPr>
              <w:t>"National Tobacco Control Program", NTCP, "tobacco control policy", "tobacco control intervention"</w:t>
            </w:r>
          </w:p>
        </w:tc>
        <w:tc>
          <w:tcPr>
            <w:tcW w:w="0" w:type="auto"/>
            <w:vAlign w:val="center"/>
            <w:hideMark/>
          </w:tcPr>
          <w:p w14:paraId="7E0589F6" w14:textId="77777777" w:rsidR="002542C9" w:rsidRPr="002542C9" w:rsidRDefault="002542C9" w:rsidP="00DA3CCD">
            <w:pPr>
              <w:jc w:val="center"/>
              <w:rPr>
                <w:shd w:val="clear" w:color="auto" w:fill="auto"/>
              </w:rPr>
            </w:pPr>
            <w:r w:rsidRPr="002542C9">
              <w:rPr>
                <w:shd w:val="clear" w:color="auto" w:fill="auto"/>
              </w:rPr>
              <w:t>OR</w:t>
            </w:r>
          </w:p>
        </w:tc>
      </w:tr>
      <w:tr w:rsidR="002542C9" w:rsidRPr="002542C9" w14:paraId="04888337" w14:textId="77777777" w:rsidTr="002542C9">
        <w:trPr>
          <w:tblCellSpacing w:w="15" w:type="dxa"/>
        </w:trPr>
        <w:tc>
          <w:tcPr>
            <w:tcW w:w="0" w:type="auto"/>
            <w:vAlign w:val="center"/>
            <w:hideMark/>
          </w:tcPr>
          <w:p w14:paraId="23E19D79" w14:textId="77777777" w:rsidR="002542C9" w:rsidRPr="002542C9" w:rsidRDefault="002542C9" w:rsidP="00DA3CCD">
            <w:pPr>
              <w:jc w:val="center"/>
              <w:rPr>
                <w:shd w:val="clear" w:color="auto" w:fill="auto"/>
              </w:rPr>
            </w:pPr>
            <w:r w:rsidRPr="002542C9">
              <w:rPr>
                <w:shd w:val="clear" w:color="auto" w:fill="auto"/>
              </w:rPr>
              <w:t>Tobacco Use</w:t>
            </w:r>
          </w:p>
        </w:tc>
        <w:tc>
          <w:tcPr>
            <w:tcW w:w="0" w:type="auto"/>
            <w:vAlign w:val="center"/>
            <w:hideMark/>
          </w:tcPr>
          <w:p w14:paraId="2162F43D" w14:textId="77777777" w:rsidR="002542C9" w:rsidRPr="002542C9" w:rsidRDefault="002542C9" w:rsidP="00DA3CCD">
            <w:pPr>
              <w:jc w:val="center"/>
              <w:rPr>
                <w:shd w:val="clear" w:color="auto" w:fill="auto"/>
              </w:rPr>
            </w:pPr>
            <w:r w:rsidRPr="002542C9">
              <w:rPr>
                <w:shd w:val="clear" w:color="auto" w:fill="auto"/>
              </w:rPr>
              <w:t>tobacco, smok*, cigarette*, bidi*, nicotine</w:t>
            </w:r>
          </w:p>
        </w:tc>
        <w:tc>
          <w:tcPr>
            <w:tcW w:w="0" w:type="auto"/>
            <w:vAlign w:val="center"/>
            <w:hideMark/>
          </w:tcPr>
          <w:p w14:paraId="6C40945C" w14:textId="77777777" w:rsidR="002542C9" w:rsidRPr="002542C9" w:rsidRDefault="002542C9" w:rsidP="00DA3CCD">
            <w:pPr>
              <w:jc w:val="center"/>
              <w:rPr>
                <w:shd w:val="clear" w:color="auto" w:fill="auto"/>
              </w:rPr>
            </w:pPr>
            <w:r w:rsidRPr="002542C9">
              <w:rPr>
                <w:shd w:val="clear" w:color="auto" w:fill="auto"/>
              </w:rPr>
              <w:t>OR</w:t>
            </w:r>
          </w:p>
        </w:tc>
      </w:tr>
      <w:tr w:rsidR="002542C9" w:rsidRPr="002542C9" w14:paraId="2F765E09" w14:textId="77777777" w:rsidTr="002542C9">
        <w:trPr>
          <w:tblCellSpacing w:w="15" w:type="dxa"/>
        </w:trPr>
        <w:tc>
          <w:tcPr>
            <w:tcW w:w="0" w:type="auto"/>
            <w:vAlign w:val="center"/>
            <w:hideMark/>
          </w:tcPr>
          <w:p w14:paraId="041E76C7" w14:textId="77777777" w:rsidR="002542C9" w:rsidRPr="002542C9" w:rsidRDefault="002542C9" w:rsidP="00DA3CCD">
            <w:pPr>
              <w:jc w:val="center"/>
              <w:rPr>
                <w:shd w:val="clear" w:color="auto" w:fill="auto"/>
              </w:rPr>
            </w:pPr>
            <w:r w:rsidRPr="002542C9">
              <w:rPr>
                <w:shd w:val="clear" w:color="auto" w:fill="auto"/>
              </w:rPr>
              <w:t>Coronary Heart Disease</w:t>
            </w:r>
          </w:p>
        </w:tc>
        <w:tc>
          <w:tcPr>
            <w:tcW w:w="0" w:type="auto"/>
            <w:vAlign w:val="center"/>
            <w:hideMark/>
          </w:tcPr>
          <w:p w14:paraId="1FBF60B3" w14:textId="77777777" w:rsidR="002542C9" w:rsidRPr="002542C9" w:rsidRDefault="002542C9" w:rsidP="00DA3CCD">
            <w:pPr>
              <w:jc w:val="center"/>
              <w:rPr>
                <w:shd w:val="clear" w:color="auto" w:fill="auto"/>
              </w:rPr>
            </w:pPr>
            <w:r w:rsidRPr="002542C9">
              <w:rPr>
                <w:shd w:val="clear" w:color="auto" w:fill="auto"/>
              </w:rPr>
              <w:t>"coronary heart disease", CHD, "ischemic heart disease", IHD, "cardiovascular disease"</w:t>
            </w:r>
          </w:p>
        </w:tc>
        <w:tc>
          <w:tcPr>
            <w:tcW w:w="0" w:type="auto"/>
            <w:vAlign w:val="center"/>
            <w:hideMark/>
          </w:tcPr>
          <w:p w14:paraId="0BED738B" w14:textId="77777777" w:rsidR="002542C9" w:rsidRPr="002542C9" w:rsidRDefault="002542C9" w:rsidP="00DA3CCD">
            <w:pPr>
              <w:jc w:val="center"/>
              <w:rPr>
                <w:shd w:val="clear" w:color="auto" w:fill="auto"/>
              </w:rPr>
            </w:pPr>
            <w:r w:rsidRPr="002542C9">
              <w:rPr>
                <w:shd w:val="clear" w:color="auto" w:fill="auto"/>
              </w:rPr>
              <w:t>OR</w:t>
            </w:r>
          </w:p>
        </w:tc>
      </w:tr>
      <w:tr w:rsidR="002542C9" w:rsidRPr="002542C9" w14:paraId="619FCFE4" w14:textId="77777777" w:rsidTr="002542C9">
        <w:trPr>
          <w:tblCellSpacing w:w="15" w:type="dxa"/>
        </w:trPr>
        <w:tc>
          <w:tcPr>
            <w:tcW w:w="0" w:type="auto"/>
            <w:vAlign w:val="center"/>
            <w:hideMark/>
          </w:tcPr>
          <w:p w14:paraId="6B023E22" w14:textId="77777777" w:rsidR="002542C9" w:rsidRPr="002542C9" w:rsidRDefault="002542C9" w:rsidP="00DA3CCD">
            <w:pPr>
              <w:jc w:val="center"/>
              <w:rPr>
                <w:shd w:val="clear" w:color="auto" w:fill="auto"/>
              </w:rPr>
            </w:pPr>
            <w:r w:rsidRPr="002542C9">
              <w:rPr>
                <w:shd w:val="clear" w:color="auto" w:fill="auto"/>
              </w:rPr>
              <w:t>Risk Reduction</w:t>
            </w:r>
          </w:p>
        </w:tc>
        <w:tc>
          <w:tcPr>
            <w:tcW w:w="0" w:type="auto"/>
            <w:vAlign w:val="center"/>
            <w:hideMark/>
          </w:tcPr>
          <w:p w14:paraId="50168766" w14:textId="77777777" w:rsidR="002542C9" w:rsidRPr="002542C9" w:rsidRDefault="002542C9" w:rsidP="00DA3CCD">
            <w:pPr>
              <w:jc w:val="center"/>
              <w:rPr>
                <w:shd w:val="clear" w:color="auto" w:fill="auto"/>
              </w:rPr>
            </w:pPr>
            <w:r w:rsidRPr="002542C9">
              <w:rPr>
                <w:shd w:val="clear" w:color="auto" w:fill="auto"/>
              </w:rPr>
              <w:t>prevention, "risk reduction", control, mitigation</w:t>
            </w:r>
          </w:p>
        </w:tc>
        <w:tc>
          <w:tcPr>
            <w:tcW w:w="0" w:type="auto"/>
            <w:vAlign w:val="center"/>
            <w:hideMark/>
          </w:tcPr>
          <w:p w14:paraId="0B55475F" w14:textId="77777777" w:rsidR="002542C9" w:rsidRPr="002542C9" w:rsidRDefault="002542C9" w:rsidP="00DA3CCD">
            <w:pPr>
              <w:jc w:val="center"/>
              <w:rPr>
                <w:shd w:val="clear" w:color="auto" w:fill="auto"/>
              </w:rPr>
            </w:pPr>
            <w:r w:rsidRPr="002542C9">
              <w:rPr>
                <w:shd w:val="clear" w:color="auto" w:fill="auto"/>
              </w:rPr>
              <w:t>OR</w:t>
            </w:r>
          </w:p>
        </w:tc>
      </w:tr>
      <w:tr w:rsidR="002542C9" w:rsidRPr="002542C9" w14:paraId="67627A32" w14:textId="77777777" w:rsidTr="002542C9">
        <w:trPr>
          <w:tblCellSpacing w:w="15" w:type="dxa"/>
        </w:trPr>
        <w:tc>
          <w:tcPr>
            <w:tcW w:w="0" w:type="auto"/>
            <w:vAlign w:val="center"/>
            <w:hideMark/>
          </w:tcPr>
          <w:p w14:paraId="4AF74980" w14:textId="77777777" w:rsidR="002542C9" w:rsidRPr="002542C9" w:rsidRDefault="002542C9" w:rsidP="00DA3CCD">
            <w:pPr>
              <w:jc w:val="center"/>
              <w:rPr>
                <w:shd w:val="clear" w:color="auto" w:fill="auto"/>
              </w:rPr>
            </w:pPr>
            <w:r w:rsidRPr="002542C9">
              <w:rPr>
                <w:shd w:val="clear" w:color="auto" w:fill="auto"/>
              </w:rPr>
              <w:t>Population (Age)</w:t>
            </w:r>
          </w:p>
        </w:tc>
        <w:tc>
          <w:tcPr>
            <w:tcW w:w="0" w:type="auto"/>
            <w:vAlign w:val="center"/>
            <w:hideMark/>
          </w:tcPr>
          <w:p w14:paraId="0BCB8E04" w14:textId="77777777" w:rsidR="002542C9" w:rsidRPr="002542C9" w:rsidRDefault="002542C9" w:rsidP="00DA3CCD">
            <w:pPr>
              <w:jc w:val="center"/>
              <w:rPr>
                <w:shd w:val="clear" w:color="auto" w:fill="auto"/>
              </w:rPr>
            </w:pPr>
            <w:r w:rsidRPr="002542C9">
              <w:rPr>
                <w:shd w:val="clear" w:color="auto" w:fill="auto"/>
              </w:rPr>
              <w:t>"young adults", youth, adolescent*, college students</w:t>
            </w:r>
          </w:p>
        </w:tc>
        <w:tc>
          <w:tcPr>
            <w:tcW w:w="0" w:type="auto"/>
            <w:vAlign w:val="center"/>
            <w:hideMark/>
          </w:tcPr>
          <w:p w14:paraId="1B13F31E" w14:textId="77777777" w:rsidR="002542C9" w:rsidRPr="002542C9" w:rsidRDefault="002542C9" w:rsidP="00DA3CCD">
            <w:pPr>
              <w:jc w:val="center"/>
              <w:rPr>
                <w:shd w:val="clear" w:color="auto" w:fill="auto"/>
              </w:rPr>
            </w:pPr>
            <w:r w:rsidRPr="002542C9">
              <w:rPr>
                <w:shd w:val="clear" w:color="auto" w:fill="auto"/>
              </w:rPr>
              <w:t>OR</w:t>
            </w:r>
          </w:p>
        </w:tc>
      </w:tr>
      <w:tr w:rsidR="002542C9" w:rsidRPr="002542C9" w14:paraId="4B784722" w14:textId="77777777" w:rsidTr="002542C9">
        <w:trPr>
          <w:tblCellSpacing w:w="15" w:type="dxa"/>
        </w:trPr>
        <w:tc>
          <w:tcPr>
            <w:tcW w:w="0" w:type="auto"/>
            <w:vAlign w:val="center"/>
            <w:hideMark/>
          </w:tcPr>
          <w:p w14:paraId="47F6C820" w14:textId="77777777" w:rsidR="002542C9" w:rsidRPr="002542C9" w:rsidRDefault="002542C9" w:rsidP="00DA3CCD">
            <w:pPr>
              <w:jc w:val="center"/>
              <w:rPr>
                <w:shd w:val="clear" w:color="auto" w:fill="auto"/>
              </w:rPr>
            </w:pPr>
            <w:r w:rsidRPr="002542C9">
              <w:rPr>
                <w:shd w:val="clear" w:color="auto" w:fill="auto"/>
              </w:rPr>
              <w:t>Setting</w:t>
            </w:r>
          </w:p>
        </w:tc>
        <w:tc>
          <w:tcPr>
            <w:tcW w:w="0" w:type="auto"/>
            <w:vAlign w:val="center"/>
            <w:hideMark/>
          </w:tcPr>
          <w:p w14:paraId="6168460B" w14:textId="77777777" w:rsidR="002542C9" w:rsidRPr="002542C9" w:rsidRDefault="002542C9" w:rsidP="00DA3CCD">
            <w:pPr>
              <w:jc w:val="center"/>
              <w:rPr>
                <w:shd w:val="clear" w:color="auto" w:fill="auto"/>
              </w:rPr>
            </w:pPr>
            <w:r w:rsidRPr="002542C9">
              <w:rPr>
                <w:shd w:val="clear" w:color="auto" w:fill="auto"/>
              </w:rPr>
              <w:t>urban, "urban India", cities, metropolitan, "Indian cities"</w:t>
            </w:r>
          </w:p>
        </w:tc>
        <w:tc>
          <w:tcPr>
            <w:tcW w:w="0" w:type="auto"/>
            <w:vAlign w:val="center"/>
            <w:hideMark/>
          </w:tcPr>
          <w:p w14:paraId="78540CB4" w14:textId="77777777" w:rsidR="002542C9" w:rsidRPr="002542C9" w:rsidRDefault="002542C9" w:rsidP="00DA3CCD">
            <w:pPr>
              <w:jc w:val="center"/>
              <w:rPr>
                <w:shd w:val="clear" w:color="auto" w:fill="auto"/>
              </w:rPr>
            </w:pPr>
            <w:r w:rsidRPr="002542C9">
              <w:rPr>
                <w:shd w:val="clear" w:color="auto" w:fill="auto"/>
              </w:rPr>
              <w:t>OR</w:t>
            </w:r>
          </w:p>
        </w:tc>
      </w:tr>
      <w:tr w:rsidR="002542C9" w:rsidRPr="002542C9" w14:paraId="6E5899FA" w14:textId="77777777" w:rsidTr="002542C9">
        <w:trPr>
          <w:tblCellSpacing w:w="15" w:type="dxa"/>
        </w:trPr>
        <w:tc>
          <w:tcPr>
            <w:tcW w:w="0" w:type="auto"/>
            <w:vAlign w:val="center"/>
            <w:hideMark/>
          </w:tcPr>
          <w:p w14:paraId="604DB300" w14:textId="77777777" w:rsidR="002542C9" w:rsidRPr="002542C9" w:rsidRDefault="002542C9" w:rsidP="00DA3CCD">
            <w:pPr>
              <w:jc w:val="center"/>
              <w:rPr>
                <w:shd w:val="clear" w:color="auto" w:fill="auto"/>
              </w:rPr>
            </w:pPr>
            <w:r w:rsidRPr="002542C9">
              <w:rPr>
                <w:shd w:val="clear" w:color="auto" w:fill="auto"/>
              </w:rPr>
              <w:t>Evaluation / Outcome</w:t>
            </w:r>
          </w:p>
        </w:tc>
        <w:tc>
          <w:tcPr>
            <w:tcW w:w="0" w:type="auto"/>
            <w:vAlign w:val="center"/>
            <w:hideMark/>
          </w:tcPr>
          <w:p w14:paraId="1FD8E410" w14:textId="77777777" w:rsidR="002542C9" w:rsidRPr="002542C9" w:rsidRDefault="002542C9" w:rsidP="00DA3CCD">
            <w:pPr>
              <w:jc w:val="center"/>
              <w:rPr>
                <w:shd w:val="clear" w:color="auto" w:fill="auto"/>
              </w:rPr>
            </w:pPr>
            <w:r w:rsidRPr="002542C9">
              <w:rPr>
                <w:shd w:val="clear" w:color="auto" w:fill="auto"/>
              </w:rPr>
              <w:t>impact, effectiveness, evaluation, outcomes</w:t>
            </w:r>
          </w:p>
        </w:tc>
        <w:tc>
          <w:tcPr>
            <w:tcW w:w="0" w:type="auto"/>
            <w:vAlign w:val="center"/>
            <w:hideMark/>
          </w:tcPr>
          <w:p w14:paraId="5EB20437" w14:textId="77777777" w:rsidR="002542C9" w:rsidRPr="002542C9" w:rsidRDefault="002542C9" w:rsidP="00DA3CCD">
            <w:pPr>
              <w:jc w:val="center"/>
              <w:rPr>
                <w:shd w:val="clear" w:color="auto" w:fill="auto"/>
              </w:rPr>
            </w:pPr>
            <w:r w:rsidRPr="002542C9">
              <w:rPr>
                <w:shd w:val="clear" w:color="auto" w:fill="auto"/>
              </w:rPr>
              <w:t>OR</w:t>
            </w:r>
          </w:p>
        </w:tc>
      </w:tr>
      <w:tr w:rsidR="002542C9" w:rsidRPr="002542C9" w14:paraId="3D255DC6" w14:textId="77777777" w:rsidTr="002542C9">
        <w:trPr>
          <w:tblCellSpacing w:w="15" w:type="dxa"/>
        </w:trPr>
        <w:tc>
          <w:tcPr>
            <w:tcW w:w="0" w:type="auto"/>
            <w:vAlign w:val="center"/>
            <w:hideMark/>
          </w:tcPr>
          <w:p w14:paraId="58181084" w14:textId="77777777" w:rsidR="002542C9" w:rsidRPr="002542C9" w:rsidRDefault="002542C9" w:rsidP="00DA3CCD">
            <w:pPr>
              <w:jc w:val="center"/>
              <w:rPr>
                <w:shd w:val="clear" w:color="auto" w:fill="auto"/>
              </w:rPr>
            </w:pPr>
            <w:r w:rsidRPr="002542C9">
              <w:rPr>
                <w:shd w:val="clear" w:color="auto" w:fill="auto"/>
              </w:rPr>
              <w:t>Combine All Concepts</w:t>
            </w:r>
          </w:p>
        </w:tc>
        <w:tc>
          <w:tcPr>
            <w:tcW w:w="0" w:type="auto"/>
            <w:vAlign w:val="center"/>
            <w:hideMark/>
          </w:tcPr>
          <w:p w14:paraId="2E3E8C2B" w14:textId="77777777" w:rsidR="002542C9" w:rsidRPr="002542C9" w:rsidRDefault="002542C9" w:rsidP="00DA3CCD">
            <w:pPr>
              <w:jc w:val="center"/>
              <w:rPr>
                <w:shd w:val="clear" w:color="auto" w:fill="auto"/>
              </w:rPr>
            </w:pPr>
            <w:r w:rsidRPr="002542C9">
              <w:rPr>
                <w:shd w:val="clear" w:color="auto" w:fill="auto"/>
              </w:rPr>
              <w:t>Tobacco control AND CHD AND young adults AND urban India</w:t>
            </w:r>
          </w:p>
        </w:tc>
        <w:tc>
          <w:tcPr>
            <w:tcW w:w="0" w:type="auto"/>
            <w:vAlign w:val="center"/>
            <w:hideMark/>
          </w:tcPr>
          <w:p w14:paraId="30941CE6" w14:textId="77777777" w:rsidR="002542C9" w:rsidRPr="002542C9" w:rsidRDefault="002542C9" w:rsidP="00DA3CCD">
            <w:pPr>
              <w:jc w:val="center"/>
              <w:rPr>
                <w:shd w:val="clear" w:color="auto" w:fill="auto"/>
              </w:rPr>
            </w:pPr>
            <w:r w:rsidRPr="002542C9">
              <w:rPr>
                <w:shd w:val="clear" w:color="auto" w:fill="auto"/>
              </w:rPr>
              <w:t>AND</w:t>
            </w:r>
          </w:p>
        </w:tc>
      </w:tr>
    </w:tbl>
    <w:p w14:paraId="5D8B53F0" w14:textId="77777777" w:rsidR="00BC5372" w:rsidRDefault="00BC5372">
      <w:pPr>
        <w:rPr>
          <w:rFonts w:cs="Arial"/>
          <w:color w:val="0A0A0A"/>
        </w:rPr>
      </w:pPr>
      <w:r>
        <w:rPr>
          <w:rFonts w:cs="Arial"/>
          <w:color w:val="0A0A0A"/>
        </w:rPr>
        <w:t xml:space="preserve"> </w:t>
      </w:r>
    </w:p>
    <w:p w14:paraId="45200451" w14:textId="77777777" w:rsidR="00732E6C" w:rsidRPr="00F027DD" w:rsidRDefault="00DF099F" w:rsidP="00DC3388">
      <w:pPr>
        <w:pStyle w:val="Heading6"/>
        <w:spacing w:before="240" w:after="240"/>
        <w:ind w:right="2"/>
        <w:jc w:val="left"/>
        <w:rPr>
          <w:rFonts w:ascii="Arial" w:hAnsi="Arial" w:cs="Arial"/>
          <w:color w:val="000000"/>
          <w:lang w:val="en-GB"/>
        </w:rPr>
      </w:pPr>
      <w:bookmarkStart w:id="45" w:name="_heading=h.8w14o21kj9pf" w:colFirst="0" w:colLast="0"/>
      <w:bookmarkEnd w:id="45"/>
      <w:r w:rsidRPr="00F027DD">
        <w:rPr>
          <w:rFonts w:ascii="Arial" w:hAnsi="Arial" w:cs="Arial"/>
          <w:color w:val="000000"/>
          <w:lang w:val="en-GB"/>
        </w:rPr>
        <w:lastRenderedPageBreak/>
        <w:t>3.5.1 Hand Search</w:t>
      </w:r>
    </w:p>
    <w:p w14:paraId="78526101" w14:textId="77777777" w:rsidR="00732E6C" w:rsidRPr="00F027DD" w:rsidRDefault="00DF099F">
      <w:pPr>
        <w:rPr>
          <w:rFonts w:cs="Arial"/>
          <w:lang w:val="en-GB"/>
        </w:rPr>
      </w:pPr>
      <w:r w:rsidRPr="00F027DD">
        <w:rPr>
          <w:rFonts w:cs="Arial"/>
          <w:lang w:val="en-GB"/>
        </w:rPr>
        <w:t xml:space="preserve">References lists of the selected articles have been manually reviewed in order to identify additional relevant studies that have not been captured through database searches. In addition to that, numerous reports from NGOs were also consulted to effectively analyse the relevant evidence as well as data related to the topic. </w:t>
      </w:r>
      <w:r w:rsidR="00E83286" w:rsidRPr="00F027DD">
        <w:rPr>
          <w:rFonts w:cs="Arial"/>
          <w:lang w:val="en-GB"/>
        </w:rPr>
        <w:t>Total 15 studies were hand searched.</w:t>
      </w:r>
    </w:p>
    <w:p w14:paraId="0B604B71" w14:textId="77777777" w:rsidR="00732E6C" w:rsidRPr="00F027DD" w:rsidRDefault="00DF099F">
      <w:pPr>
        <w:pStyle w:val="Heading6"/>
        <w:spacing w:before="240" w:after="240"/>
        <w:ind w:left="10" w:right="2"/>
        <w:rPr>
          <w:rFonts w:ascii="Arial" w:hAnsi="Arial" w:cs="Arial"/>
          <w:color w:val="000000"/>
          <w:lang w:val="en-GB"/>
        </w:rPr>
      </w:pPr>
      <w:bookmarkStart w:id="46" w:name="_heading=h.kz50xtfbikbj" w:colFirst="0" w:colLast="0"/>
      <w:bookmarkEnd w:id="46"/>
      <w:r w:rsidRPr="00F027DD">
        <w:rPr>
          <w:rFonts w:ascii="Arial" w:hAnsi="Arial" w:cs="Arial"/>
          <w:color w:val="000000"/>
          <w:lang w:val="en-GB"/>
        </w:rPr>
        <w:t>3.5.2 Grey Literature</w:t>
      </w:r>
    </w:p>
    <w:p w14:paraId="083AED12" w14:textId="77777777" w:rsidR="00732E6C" w:rsidRPr="00F027DD" w:rsidRDefault="00DF099F">
      <w:pPr>
        <w:rPr>
          <w:rFonts w:cs="Arial"/>
          <w:lang w:val="en-GB"/>
        </w:rPr>
      </w:pPr>
      <w:r w:rsidRPr="00F027DD">
        <w:rPr>
          <w:rFonts w:cs="Arial"/>
          <w:lang w:val="en-GB"/>
        </w:rPr>
        <w:t xml:space="preserve">Grey literature, including WHO (World Health Organisation), Ministry of Health and Family Welfare (India), National datasets such as Global Adult Tobacco Survey (GATS) and other related documents related to NTCP, has been effectively reviewed to supplement peer-reviewed findings and also to reduce publication bias. </w:t>
      </w:r>
    </w:p>
    <w:p w14:paraId="57A575CC" w14:textId="77777777" w:rsidR="00732E6C" w:rsidRPr="00F027DD" w:rsidRDefault="00DF099F">
      <w:pPr>
        <w:pStyle w:val="Heading2"/>
        <w:spacing w:before="240" w:after="240"/>
        <w:rPr>
          <w:rFonts w:cs="Arial"/>
          <w:lang w:val="en-GB"/>
        </w:rPr>
      </w:pPr>
      <w:bookmarkStart w:id="47" w:name="_Toc209887578"/>
      <w:bookmarkStart w:id="48" w:name="_Toc220668538"/>
      <w:r w:rsidRPr="00F027DD">
        <w:rPr>
          <w:rFonts w:cs="Arial"/>
          <w:lang w:val="en-GB"/>
        </w:rPr>
        <w:t>3.6 Inclusion / Exclusion Criteria</w:t>
      </w:r>
      <w:bookmarkEnd w:id="47"/>
      <w:bookmarkEnd w:id="48"/>
    </w:p>
    <w:p w14:paraId="01A4FE09" w14:textId="77777777" w:rsidR="00732E6C" w:rsidRPr="0041639E" w:rsidRDefault="00DF099F">
      <w:r w:rsidRPr="00F027DD">
        <w:rPr>
          <w:rFonts w:cs="Arial"/>
          <w:lang w:val="en-GB"/>
        </w:rPr>
        <w:t xml:space="preserve">Inclusion/exclusion criteria related to a systematic literature review can be referred </w:t>
      </w:r>
      <w:r w:rsidR="0041639E" w:rsidRPr="00F027DD">
        <w:rPr>
          <w:rFonts w:cs="Arial"/>
          <w:lang w:val="en-GB"/>
        </w:rPr>
        <w:t>as pre-defined rules</w:t>
      </w:r>
      <w:r w:rsidRPr="00F027DD">
        <w:rPr>
          <w:rFonts w:cs="Arial"/>
          <w:lang w:val="en-GB"/>
        </w:rPr>
        <w:t xml:space="preserve"> that filter the relevant studies and helps in ensuring the quality and focus of the study (</w:t>
      </w:r>
      <w:r w:rsidRPr="00F027DD">
        <w:rPr>
          <w:rFonts w:cs="Arial"/>
          <w:color w:val="222222"/>
          <w:szCs w:val="24"/>
        </w:rPr>
        <w:t>Turnbull</w:t>
      </w:r>
      <w:r w:rsidRPr="00F027DD">
        <w:rPr>
          <w:rFonts w:cs="Arial"/>
          <w:i/>
          <w:iCs/>
          <w:color w:val="222222"/>
          <w:szCs w:val="24"/>
        </w:rPr>
        <w:t xml:space="preserve"> et.al</w:t>
      </w:r>
      <w:r w:rsidRPr="00F027DD">
        <w:rPr>
          <w:rFonts w:cs="Arial"/>
          <w:color w:val="222222"/>
          <w:szCs w:val="24"/>
        </w:rPr>
        <w:t xml:space="preserve"> 2023).</w:t>
      </w:r>
      <w:r w:rsidRPr="00F027DD">
        <w:rPr>
          <w:rFonts w:cs="Arial"/>
          <w:lang w:val="en-GB"/>
        </w:rPr>
        <w:t xml:space="preserve"> For a proper inclusion criterion, </w:t>
      </w:r>
      <w:r w:rsidR="0041639E" w:rsidRPr="00F027DD">
        <w:rPr>
          <w:rFonts w:cs="Arial"/>
          <w:lang w:val="en-GB"/>
        </w:rPr>
        <w:t>a list of characteristics studies needs</w:t>
      </w:r>
      <w:r w:rsidRPr="00F027DD">
        <w:rPr>
          <w:rFonts w:cs="Arial"/>
          <w:lang w:val="en-GB"/>
        </w:rPr>
        <w:t xml:space="preserve"> to have PICO elements (Population, Intervention, Comparison, Outcomes, Timeframe, Study Design, and Language). On the other hand, the exclusion criteria list features those disqualifying studies, such as different populations, irrelevant designs, quantitative methods, and non-English papers. A proper inclusion and exclusion criterion has been established based on the PICO framework to effectively ensure consistency and relevance of the study</w:t>
      </w:r>
      <w:r w:rsidR="0041639E">
        <w:rPr>
          <w:rFonts w:cs="Arial"/>
          <w:lang w:val="en-GB"/>
        </w:rPr>
        <w:t xml:space="preserve"> (</w:t>
      </w:r>
      <w:r w:rsidR="0041639E" w:rsidRPr="00C42A78">
        <w:rPr>
          <w:rFonts w:cs="Arial"/>
        </w:rPr>
        <w:t>Gamage, 2025</w:t>
      </w:r>
      <w:r w:rsidR="0041639E">
        <w:rPr>
          <w:rFonts w:cs="Arial"/>
          <w:lang w:val="en-GB"/>
        </w:rPr>
        <w:t>)</w:t>
      </w:r>
      <w:r w:rsidRPr="00F027DD">
        <w:rPr>
          <w:rFonts w:cs="Arial"/>
          <w:lang w:val="en-GB"/>
        </w:rPr>
        <w:t xml:space="preserve">. So, it can be said that the criteria for this study are set before searching and are tailored to the research question. </w:t>
      </w:r>
    </w:p>
    <w:p w14:paraId="31B25A77" w14:textId="77777777" w:rsidR="00732E6C" w:rsidRPr="0041639E" w:rsidRDefault="0007442D">
      <w:pPr>
        <w:spacing w:before="200" w:after="200"/>
        <w:rPr>
          <w:rFonts w:cs="Arial"/>
          <w:color w:val="000000" w:themeColor="text1"/>
          <w:lang w:val="en-GB"/>
        </w:rPr>
      </w:pPr>
      <w:bookmarkStart w:id="49" w:name="_heading=h.s1jxp1cvmjtz" w:colFirst="0" w:colLast="0"/>
      <w:bookmarkEnd w:id="49"/>
      <w:r w:rsidRPr="00F027DD">
        <w:rPr>
          <w:rFonts w:cs="Arial"/>
          <w:color w:val="000000"/>
          <w:lang w:val="en-GB"/>
        </w:rPr>
        <w:t xml:space="preserve">This table of Inclusion and Exclusion makes no </w:t>
      </w:r>
      <w:r w:rsidRPr="0041639E">
        <w:rPr>
          <w:rFonts w:cs="Arial"/>
          <w:color w:val="000000" w:themeColor="text1"/>
          <w:lang w:val="en-GB"/>
        </w:rPr>
        <w:t>sense – take a look at the one below</w:t>
      </w:r>
    </w:p>
    <w:tbl>
      <w:tblPr>
        <w:tblStyle w:val="TableGrid"/>
        <w:tblW w:w="0" w:type="auto"/>
        <w:tblLook w:val="04A0" w:firstRow="1" w:lastRow="0" w:firstColumn="1" w:lastColumn="0" w:noHBand="0" w:noVBand="1"/>
      </w:tblPr>
      <w:tblGrid>
        <w:gridCol w:w="1668"/>
        <w:gridCol w:w="4252"/>
        <w:gridCol w:w="3656"/>
      </w:tblGrid>
      <w:tr w:rsidR="0007442D" w:rsidRPr="0041639E" w14:paraId="5B83DAE4" w14:textId="77777777" w:rsidTr="0007442D">
        <w:tc>
          <w:tcPr>
            <w:tcW w:w="1668" w:type="dxa"/>
            <w:hideMark/>
          </w:tcPr>
          <w:p w14:paraId="22454DBE" w14:textId="77777777" w:rsidR="0007442D" w:rsidRPr="0041639E" w:rsidRDefault="0007442D" w:rsidP="0007442D">
            <w:pPr>
              <w:spacing w:before="200" w:after="200"/>
              <w:rPr>
                <w:rFonts w:cs="Arial"/>
                <w:b/>
                <w:bCs/>
                <w:color w:val="000000" w:themeColor="text1"/>
                <w:lang w:val="en-GB"/>
              </w:rPr>
            </w:pPr>
            <w:r w:rsidRPr="0041639E">
              <w:rPr>
                <w:rFonts w:cs="Arial"/>
                <w:b/>
                <w:bCs/>
                <w:color w:val="000000" w:themeColor="text1"/>
                <w:lang w:val="en-GB"/>
              </w:rPr>
              <w:t>Category</w:t>
            </w:r>
          </w:p>
        </w:tc>
        <w:tc>
          <w:tcPr>
            <w:tcW w:w="4252" w:type="dxa"/>
            <w:hideMark/>
          </w:tcPr>
          <w:p w14:paraId="57C42E14" w14:textId="77777777" w:rsidR="0007442D" w:rsidRPr="0041639E" w:rsidRDefault="0007442D" w:rsidP="0007442D">
            <w:pPr>
              <w:spacing w:before="200" w:after="200"/>
              <w:rPr>
                <w:rFonts w:cs="Arial"/>
                <w:b/>
                <w:bCs/>
                <w:color w:val="000000" w:themeColor="text1"/>
                <w:lang w:val="en-GB"/>
              </w:rPr>
            </w:pPr>
            <w:r w:rsidRPr="0041639E">
              <w:rPr>
                <w:rFonts w:cs="Arial"/>
                <w:b/>
                <w:bCs/>
                <w:color w:val="000000" w:themeColor="text1"/>
                <w:lang w:val="en-GB"/>
              </w:rPr>
              <w:t>Inclusion Criteria</w:t>
            </w:r>
          </w:p>
        </w:tc>
        <w:tc>
          <w:tcPr>
            <w:tcW w:w="3656" w:type="dxa"/>
            <w:hideMark/>
          </w:tcPr>
          <w:p w14:paraId="1C28925E" w14:textId="77777777" w:rsidR="0007442D" w:rsidRPr="0041639E" w:rsidRDefault="00940400" w:rsidP="0007442D">
            <w:pPr>
              <w:spacing w:before="200" w:after="200"/>
              <w:rPr>
                <w:rFonts w:cs="Arial"/>
                <w:b/>
                <w:bCs/>
                <w:color w:val="000000" w:themeColor="text1"/>
                <w:lang w:val="en-GB"/>
              </w:rPr>
            </w:pPr>
            <w:r w:rsidRPr="0041639E">
              <w:rPr>
                <w:rFonts w:cs="Arial"/>
                <w:b/>
                <w:bCs/>
                <w:color w:val="000000" w:themeColor="text1"/>
                <w:lang w:val="en-GB"/>
              </w:rPr>
              <w:t>Exclusion</w:t>
            </w:r>
          </w:p>
        </w:tc>
      </w:tr>
      <w:tr w:rsidR="008D1117" w:rsidRPr="0041639E" w14:paraId="2810CEDC" w14:textId="77777777" w:rsidTr="00940400">
        <w:tc>
          <w:tcPr>
            <w:tcW w:w="1668" w:type="dxa"/>
            <w:hideMark/>
          </w:tcPr>
          <w:p w14:paraId="6C714640" w14:textId="77777777" w:rsidR="008D1117" w:rsidRPr="0041639E" w:rsidRDefault="008D1117" w:rsidP="0007442D">
            <w:pPr>
              <w:spacing w:before="200" w:after="200"/>
              <w:rPr>
                <w:rFonts w:cs="Arial"/>
                <w:color w:val="000000" w:themeColor="text1"/>
                <w:lang w:val="en-GB"/>
              </w:rPr>
            </w:pPr>
            <w:r w:rsidRPr="0041639E">
              <w:rPr>
                <w:rFonts w:cs="Arial"/>
                <w:b/>
                <w:bCs/>
                <w:color w:val="000000" w:themeColor="text1"/>
                <w:lang w:val="en-GB"/>
              </w:rPr>
              <w:t>Population (P)</w:t>
            </w:r>
          </w:p>
        </w:tc>
        <w:tc>
          <w:tcPr>
            <w:tcW w:w="4252" w:type="dxa"/>
            <w:hideMark/>
          </w:tcPr>
          <w:p w14:paraId="50A0F4E4" w14:textId="77777777" w:rsidR="008D1117" w:rsidRPr="0041639E" w:rsidRDefault="008D1117" w:rsidP="0007442D">
            <w:pPr>
              <w:spacing w:before="200" w:after="200"/>
              <w:rPr>
                <w:rFonts w:cs="Arial"/>
                <w:color w:val="000000" w:themeColor="text1"/>
                <w:lang w:val="en-GB"/>
              </w:rPr>
            </w:pPr>
            <w:r w:rsidRPr="0041639E">
              <w:rPr>
                <w:rFonts w:cs="Arial"/>
                <w:color w:val="000000" w:themeColor="text1"/>
                <w:lang w:val="en-GB"/>
              </w:rPr>
              <w:t>Young adults aged 18–35 years</w:t>
            </w:r>
          </w:p>
        </w:tc>
        <w:tc>
          <w:tcPr>
            <w:tcW w:w="3656" w:type="dxa"/>
          </w:tcPr>
          <w:p w14:paraId="49DFC18B" w14:textId="77777777" w:rsidR="008D1117" w:rsidRPr="0041639E" w:rsidRDefault="008D1117" w:rsidP="0007442D">
            <w:pPr>
              <w:spacing w:before="200" w:after="200"/>
              <w:rPr>
                <w:rFonts w:cs="Arial"/>
                <w:color w:val="000000" w:themeColor="text1"/>
                <w:lang w:val="en-GB"/>
              </w:rPr>
            </w:pPr>
            <w:r w:rsidRPr="0041639E">
              <w:rPr>
                <w:rFonts w:cs="Arial"/>
                <w:color w:val="000000" w:themeColor="text1"/>
                <w:lang w:val="en-GB"/>
              </w:rPr>
              <w:t>Older adults, children</w:t>
            </w:r>
          </w:p>
        </w:tc>
      </w:tr>
      <w:tr w:rsidR="008D1117" w:rsidRPr="0041639E" w14:paraId="75217440" w14:textId="77777777" w:rsidTr="00940400">
        <w:tc>
          <w:tcPr>
            <w:tcW w:w="1668" w:type="dxa"/>
            <w:hideMark/>
          </w:tcPr>
          <w:p w14:paraId="27DC8DD6" w14:textId="77777777" w:rsidR="008D1117" w:rsidRPr="0041639E" w:rsidRDefault="008D1117" w:rsidP="0007442D">
            <w:pPr>
              <w:spacing w:before="200" w:after="200"/>
              <w:rPr>
                <w:rFonts w:cs="Arial"/>
                <w:color w:val="000000" w:themeColor="text1"/>
                <w:lang w:val="en-GB"/>
              </w:rPr>
            </w:pPr>
            <w:r w:rsidRPr="0041639E">
              <w:rPr>
                <w:rFonts w:cs="Arial"/>
                <w:b/>
                <w:bCs/>
                <w:color w:val="000000" w:themeColor="text1"/>
                <w:lang w:val="en-GB"/>
              </w:rPr>
              <w:t xml:space="preserve">Intervention / </w:t>
            </w:r>
            <w:r w:rsidRPr="0041639E">
              <w:rPr>
                <w:rFonts w:cs="Arial"/>
                <w:b/>
                <w:bCs/>
                <w:color w:val="000000" w:themeColor="text1"/>
                <w:lang w:val="en-GB"/>
              </w:rPr>
              <w:lastRenderedPageBreak/>
              <w:t>Exposure (I)</w:t>
            </w:r>
          </w:p>
        </w:tc>
        <w:tc>
          <w:tcPr>
            <w:tcW w:w="4252" w:type="dxa"/>
            <w:hideMark/>
          </w:tcPr>
          <w:p w14:paraId="533A2242" w14:textId="77777777" w:rsidR="008D1117" w:rsidRPr="0041639E" w:rsidRDefault="008D1117" w:rsidP="0007442D">
            <w:pPr>
              <w:spacing w:before="200" w:after="200"/>
              <w:rPr>
                <w:rFonts w:cs="Arial"/>
                <w:color w:val="000000" w:themeColor="text1"/>
                <w:lang w:val="en-GB"/>
              </w:rPr>
            </w:pPr>
            <w:r w:rsidRPr="0041639E">
              <w:rPr>
                <w:rFonts w:cs="Arial"/>
                <w:color w:val="000000" w:themeColor="text1"/>
                <w:lang w:val="en-GB"/>
              </w:rPr>
              <w:lastRenderedPageBreak/>
              <w:t xml:space="preserve">National Tobacco Control Programme (NTCP) policies or policy-level tobacco </w:t>
            </w:r>
            <w:r w:rsidRPr="0041639E">
              <w:rPr>
                <w:rFonts w:cs="Arial"/>
                <w:color w:val="000000" w:themeColor="text1"/>
                <w:lang w:val="en-GB"/>
              </w:rPr>
              <w:lastRenderedPageBreak/>
              <w:t>control interventions</w:t>
            </w:r>
          </w:p>
        </w:tc>
        <w:tc>
          <w:tcPr>
            <w:tcW w:w="3656" w:type="dxa"/>
          </w:tcPr>
          <w:p w14:paraId="78411DCF" w14:textId="77777777" w:rsidR="008D1117" w:rsidRPr="0041639E" w:rsidRDefault="008D1117" w:rsidP="0007442D">
            <w:pPr>
              <w:spacing w:before="200" w:after="200"/>
              <w:rPr>
                <w:rFonts w:cs="Arial"/>
                <w:color w:val="000000" w:themeColor="text1"/>
                <w:lang w:val="en-GB"/>
              </w:rPr>
            </w:pPr>
            <w:r w:rsidRPr="0041639E">
              <w:rPr>
                <w:rFonts w:cs="Arial"/>
                <w:color w:val="000000" w:themeColor="text1"/>
                <w:lang w:val="en-GB"/>
              </w:rPr>
              <w:lastRenderedPageBreak/>
              <w:t>Non-NTCP interventions</w:t>
            </w:r>
          </w:p>
        </w:tc>
      </w:tr>
      <w:tr w:rsidR="008D1117" w:rsidRPr="0041639E" w14:paraId="54FE7074" w14:textId="77777777" w:rsidTr="00940400">
        <w:tc>
          <w:tcPr>
            <w:tcW w:w="1668" w:type="dxa"/>
            <w:hideMark/>
          </w:tcPr>
          <w:p w14:paraId="1F75A460" w14:textId="77777777" w:rsidR="008D1117" w:rsidRPr="0041639E" w:rsidRDefault="008D1117" w:rsidP="0007442D">
            <w:pPr>
              <w:spacing w:before="200" w:after="200"/>
              <w:rPr>
                <w:rFonts w:cs="Arial"/>
                <w:color w:val="000000" w:themeColor="text1"/>
                <w:lang w:val="en-GB"/>
              </w:rPr>
            </w:pPr>
            <w:r w:rsidRPr="0041639E">
              <w:rPr>
                <w:rFonts w:cs="Arial"/>
                <w:b/>
                <w:bCs/>
                <w:color w:val="000000" w:themeColor="text1"/>
                <w:lang w:val="en-GB"/>
              </w:rPr>
              <w:lastRenderedPageBreak/>
              <w:t>Outcomes (O)</w:t>
            </w:r>
          </w:p>
        </w:tc>
        <w:tc>
          <w:tcPr>
            <w:tcW w:w="4252" w:type="dxa"/>
            <w:hideMark/>
          </w:tcPr>
          <w:p w14:paraId="7F2FCAB7" w14:textId="77777777" w:rsidR="008D1117" w:rsidRPr="0041639E" w:rsidRDefault="008D1117" w:rsidP="0007442D">
            <w:pPr>
              <w:spacing w:before="200" w:after="200"/>
              <w:rPr>
                <w:rFonts w:cs="Arial"/>
                <w:color w:val="000000" w:themeColor="text1"/>
                <w:lang w:val="en-GB"/>
              </w:rPr>
            </w:pPr>
            <w:r w:rsidRPr="0041639E">
              <w:rPr>
                <w:rFonts w:cs="Arial"/>
                <w:color w:val="000000" w:themeColor="text1"/>
                <w:lang w:val="en-GB"/>
              </w:rPr>
              <w:t>Cardiovascular outcomes, coronary heart disease (CHD) risk factors, or tobacco-related cardiovascular risk indicators</w:t>
            </w:r>
          </w:p>
        </w:tc>
        <w:tc>
          <w:tcPr>
            <w:tcW w:w="3656" w:type="dxa"/>
          </w:tcPr>
          <w:p w14:paraId="6780D87F" w14:textId="77777777" w:rsidR="008D1117" w:rsidRPr="0041639E" w:rsidRDefault="008D1117" w:rsidP="0007442D">
            <w:pPr>
              <w:spacing w:before="200" w:after="200"/>
              <w:rPr>
                <w:rFonts w:cs="Arial"/>
                <w:color w:val="000000" w:themeColor="text1"/>
                <w:lang w:val="en-GB"/>
              </w:rPr>
            </w:pPr>
            <w:r w:rsidRPr="0041639E">
              <w:rPr>
                <w:rFonts w:cs="Arial"/>
                <w:color w:val="000000" w:themeColor="text1"/>
                <w:lang w:val="en-GB"/>
              </w:rPr>
              <w:t>Non-cardiac outcome</w:t>
            </w:r>
          </w:p>
        </w:tc>
      </w:tr>
      <w:tr w:rsidR="008D1117" w:rsidRPr="0041639E" w14:paraId="4AEBBC7F" w14:textId="77777777" w:rsidTr="00940400">
        <w:tc>
          <w:tcPr>
            <w:tcW w:w="1668" w:type="dxa"/>
            <w:hideMark/>
          </w:tcPr>
          <w:p w14:paraId="402CF6B2" w14:textId="77777777" w:rsidR="008D1117" w:rsidRPr="0041639E" w:rsidRDefault="008D1117" w:rsidP="0007442D">
            <w:pPr>
              <w:spacing w:before="200" w:after="200"/>
              <w:rPr>
                <w:rFonts w:cs="Arial"/>
                <w:color w:val="000000" w:themeColor="text1"/>
                <w:lang w:val="en-GB"/>
              </w:rPr>
            </w:pPr>
            <w:r w:rsidRPr="0041639E">
              <w:rPr>
                <w:rFonts w:cs="Arial"/>
                <w:b/>
                <w:bCs/>
                <w:color w:val="000000" w:themeColor="text1"/>
                <w:lang w:val="en-GB"/>
              </w:rPr>
              <w:t>Study Design</w:t>
            </w:r>
          </w:p>
        </w:tc>
        <w:tc>
          <w:tcPr>
            <w:tcW w:w="4252" w:type="dxa"/>
            <w:hideMark/>
          </w:tcPr>
          <w:p w14:paraId="1800DB5D" w14:textId="77777777" w:rsidR="008D1117" w:rsidRPr="0041639E" w:rsidRDefault="008D1117" w:rsidP="0007442D">
            <w:pPr>
              <w:spacing w:before="200" w:after="200"/>
              <w:rPr>
                <w:rFonts w:cs="Arial"/>
                <w:color w:val="000000" w:themeColor="text1"/>
                <w:lang w:val="en-GB"/>
              </w:rPr>
            </w:pPr>
            <w:r w:rsidRPr="0041639E">
              <w:rPr>
                <w:rFonts w:cs="Arial"/>
                <w:color w:val="000000" w:themeColor="text1"/>
                <w:lang w:val="en-GB"/>
              </w:rPr>
              <w:t>Quantitative empirical studies, including cross-sectional, observational, and policy evaluation studies</w:t>
            </w:r>
          </w:p>
        </w:tc>
        <w:tc>
          <w:tcPr>
            <w:tcW w:w="3656" w:type="dxa"/>
          </w:tcPr>
          <w:p w14:paraId="73EC4A4F" w14:textId="77777777" w:rsidR="008D1117" w:rsidRPr="0041639E" w:rsidRDefault="008D1117" w:rsidP="0007442D">
            <w:pPr>
              <w:spacing w:before="200" w:after="200"/>
              <w:rPr>
                <w:rFonts w:cs="Arial"/>
                <w:color w:val="000000" w:themeColor="text1"/>
                <w:lang w:val="en-GB"/>
              </w:rPr>
            </w:pPr>
            <w:r w:rsidRPr="0041639E">
              <w:rPr>
                <w:rFonts w:cs="Arial"/>
                <w:color w:val="000000" w:themeColor="text1"/>
                <w:lang w:val="en-GB"/>
              </w:rPr>
              <w:t>Opinions, editorials</w:t>
            </w:r>
          </w:p>
        </w:tc>
      </w:tr>
      <w:tr w:rsidR="008D1117" w:rsidRPr="0041639E" w14:paraId="1BFFE634" w14:textId="77777777" w:rsidTr="00940400">
        <w:tc>
          <w:tcPr>
            <w:tcW w:w="1668" w:type="dxa"/>
            <w:hideMark/>
          </w:tcPr>
          <w:p w14:paraId="50AB4175" w14:textId="77777777" w:rsidR="008D1117" w:rsidRPr="0041639E" w:rsidRDefault="008D1117" w:rsidP="0007442D">
            <w:pPr>
              <w:spacing w:before="200" w:after="200"/>
              <w:rPr>
                <w:rFonts w:cs="Arial"/>
                <w:color w:val="000000" w:themeColor="text1"/>
                <w:lang w:val="en-GB"/>
              </w:rPr>
            </w:pPr>
            <w:r w:rsidRPr="0041639E">
              <w:rPr>
                <w:rFonts w:cs="Arial"/>
                <w:b/>
                <w:bCs/>
                <w:color w:val="000000" w:themeColor="text1"/>
                <w:lang w:val="en-GB"/>
              </w:rPr>
              <w:t>Setting/ Geography</w:t>
            </w:r>
          </w:p>
        </w:tc>
        <w:tc>
          <w:tcPr>
            <w:tcW w:w="4252" w:type="dxa"/>
            <w:hideMark/>
          </w:tcPr>
          <w:p w14:paraId="54FAFFDE" w14:textId="77777777" w:rsidR="008D1117" w:rsidRPr="0041639E" w:rsidRDefault="008D1117" w:rsidP="0007442D">
            <w:pPr>
              <w:spacing w:before="200" w:after="200"/>
              <w:rPr>
                <w:rFonts w:cs="Arial"/>
                <w:color w:val="000000" w:themeColor="text1"/>
                <w:lang w:val="en-GB"/>
              </w:rPr>
            </w:pPr>
            <w:r w:rsidRPr="0041639E">
              <w:rPr>
                <w:rFonts w:cs="Arial"/>
                <w:color w:val="000000" w:themeColor="text1"/>
                <w:lang w:val="en-GB"/>
              </w:rPr>
              <w:t>Urban India</w:t>
            </w:r>
          </w:p>
        </w:tc>
        <w:tc>
          <w:tcPr>
            <w:tcW w:w="3656" w:type="dxa"/>
          </w:tcPr>
          <w:p w14:paraId="3C36C3BC" w14:textId="77777777" w:rsidR="008D1117" w:rsidRPr="0041639E" w:rsidRDefault="008D1117" w:rsidP="0007442D">
            <w:pPr>
              <w:spacing w:before="200" w:after="200"/>
              <w:rPr>
                <w:rFonts w:cs="Arial"/>
                <w:color w:val="000000" w:themeColor="text1"/>
                <w:lang w:val="en-GB"/>
              </w:rPr>
            </w:pPr>
            <w:r w:rsidRPr="0041639E">
              <w:rPr>
                <w:rFonts w:cs="Arial"/>
                <w:color w:val="000000" w:themeColor="text1"/>
                <w:lang w:val="en-GB"/>
              </w:rPr>
              <w:t>Non-Indian Settings and Rural</w:t>
            </w:r>
          </w:p>
        </w:tc>
      </w:tr>
      <w:tr w:rsidR="008D1117" w:rsidRPr="0041639E" w14:paraId="0E16B8ED" w14:textId="77777777" w:rsidTr="00940400">
        <w:tc>
          <w:tcPr>
            <w:tcW w:w="1668" w:type="dxa"/>
            <w:hideMark/>
          </w:tcPr>
          <w:p w14:paraId="432F29BD" w14:textId="77777777" w:rsidR="008D1117" w:rsidRPr="0041639E" w:rsidRDefault="008D1117" w:rsidP="0007442D">
            <w:pPr>
              <w:spacing w:before="200" w:after="200"/>
              <w:rPr>
                <w:rFonts w:cs="Arial"/>
                <w:color w:val="000000" w:themeColor="text1"/>
                <w:lang w:val="en-GB"/>
              </w:rPr>
            </w:pPr>
            <w:r w:rsidRPr="0041639E">
              <w:rPr>
                <w:rFonts w:cs="Arial"/>
                <w:b/>
                <w:bCs/>
                <w:color w:val="000000" w:themeColor="text1"/>
                <w:lang w:val="en-GB"/>
              </w:rPr>
              <w:t>Timeframe</w:t>
            </w:r>
          </w:p>
        </w:tc>
        <w:tc>
          <w:tcPr>
            <w:tcW w:w="4252" w:type="dxa"/>
            <w:hideMark/>
          </w:tcPr>
          <w:p w14:paraId="03611121" w14:textId="77777777" w:rsidR="008D1117" w:rsidRPr="0041639E" w:rsidRDefault="00B44579" w:rsidP="00B44579">
            <w:pPr>
              <w:spacing w:before="200" w:after="200"/>
              <w:rPr>
                <w:rFonts w:cs="Arial"/>
                <w:color w:val="000000" w:themeColor="text1"/>
                <w:lang w:val="en-GB"/>
              </w:rPr>
            </w:pPr>
            <w:r w:rsidRPr="0041639E">
              <w:rPr>
                <w:rFonts w:cs="Arial"/>
                <w:color w:val="000000" w:themeColor="text1"/>
                <w:lang w:val="en-GB"/>
              </w:rPr>
              <w:t>Studies published between 2020-2025</w:t>
            </w:r>
          </w:p>
        </w:tc>
        <w:tc>
          <w:tcPr>
            <w:tcW w:w="3656" w:type="dxa"/>
          </w:tcPr>
          <w:p w14:paraId="3DDACDD2" w14:textId="77777777" w:rsidR="008D1117" w:rsidRPr="0041639E" w:rsidRDefault="00DF099F" w:rsidP="0007442D">
            <w:pPr>
              <w:spacing w:before="200" w:after="200"/>
              <w:rPr>
                <w:rFonts w:cs="Arial"/>
                <w:color w:val="000000" w:themeColor="text1"/>
                <w:lang w:val="en-GB"/>
              </w:rPr>
            </w:pPr>
            <w:r w:rsidRPr="0041639E">
              <w:rPr>
                <w:rFonts w:cs="Arial"/>
                <w:color w:val="000000" w:themeColor="text1"/>
                <w:lang w:val="en-GB"/>
              </w:rPr>
              <w:t>Studies outside timeframe</w:t>
            </w:r>
          </w:p>
        </w:tc>
      </w:tr>
      <w:tr w:rsidR="008D1117" w:rsidRPr="0041639E" w14:paraId="0E9DFCFA" w14:textId="77777777" w:rsidTr="00940400">
        <w:tc>
          <w:tcPr>
            <w:tcW w:w="1668" w:type="dxa"/>
            <w:hideMark/>
          </w:tcPr>
          <w:p w14:paraId="18C10217" w14:textId="77777777" w:rsidR="008D1117" w:rsidRPr="0041639E" w:rsidRDefault="008D1117" w:rsidP="0007442D">
            <w:pPr>
              <w:spacing w:before="200" w:after="200"/>
              <w:rPr>
                <w:rFonts w:cs="Arial"/>
                <w:color w:val="000000" w:themeColor="text1"/>
                <w:lang w:val="en-GB"/>
              </w:rPr>
            </w:pPr>
            <w:r w:rsidRPr="0041639E">
              <w:rPr>
                <w:rFonts w:cs="Arial"/>
                <w:b/>
                <w:bCs/>
                <w:color w:val="000000" w:themeColor="text1"/>
                <w:lang w:val="en-GB"/>
              </w:rPr>
              <w:t>Language</w:t>
            </w:r>
          </w:p>
        </w:tc>
        <w:tc>
          <w:tcPr>
            <w:tcW w:w="4252" w:type="dxa"/>
            <w:hideMark/>
          </w:tcPr>
          <w:p w14:paraId="3F79E35A" w14:textId="77777777" w:rsidR="008D1117" w:rsidRPr="0041639E" w:rsidRDefault="008D1117" w:rsidP="0007442D">
            <w:pPr>
              <w:spacing w:before="200" w:after="200"/>
              <w:rPr>
                <w:rFonts w:cs="Arial"/>
                <w:color w:val="000000" w:themeColor="text1"/>
                <w:lang w:val="en-GB"/>
              </w:rPr>
            </w:pPr>
            <w:r w:rsidRPr="0041639E">
              <w:rPr>
                <w:rFonts w:cs="Arial"/>
                <w:color w:val="000000" w:themeColor="text1"/>
                <w:lang w:val="en-GB"/>
              </w:rPr>
              <w:t>English-language studies</w:t>
            </w:r>
          </w:p>
        </w:tc>
        <w:tc>
          <w:tcPr>
            <w:tcW w:w="3656" w:type="dxa"/>
          </w:tcPr>
          <w:p w14:paraId="4213D9F9" w14:textId="77777777" w:rsidR="008D1117" w:rsidRPr="0041639E" w:rsidRDefault="00DF099F" w:rsidP="0007442D">
            <w:pPr>
              <w:spacing w:before="200" w:after="200"/>
              <w:rPr>
                <w:rFonts w:cs="Arial"/>
                <w:color w:val="000000" w:themeColor="text1"/>
                <w:lang w:val="en-GB"/>
              </w:rPr>
            </w:pPr>
            <w:r w:rsidRPr="0041639E">
              <w:rPr>
                <w:rFonts w:cs="Arial"/>
                <w:color w:val="000000" w:themeColor="text1"/>
                <w:lang w:val="en-GB"/>
              </w:rPr>
              <w:t>Non-English Language</w:t>
            </w:r>
          </w:p>
        </w:tc>
      </w:tr>
      <w:tr w:rsidR="008D1117" w:rsidRPr="0041639E" w14:paraId="030F3B4F" w14:textId="77777777" w:rsidTr="00940400">
        <w:tc>
          <w:tcPr>
            <w:tcW w:w="1668" w:type="dxa"/>
            <w:hideMark/>
          </w:tcPr>
          <w:p w14:paraId="5DFEBC4A" w14:textId="77777777" w:rsidR="008D1117" w:rsidRPr="0041639E" w:rsidRDefault="008D1117" w:rsidP="0007442D">
            <w:pPr>
              <w:spacing w:before="200" w:after="200"/>
              <w:rPr>
                <w:rFonts w:cs="Arial"/>
                <w:color w:val="000000" w:themeColor="text1"/>
                <w:lang w:val="en-GB"/>
              </w:rPr>
            </w:pPr>
            <w:r w:rsidRPr="0041639E">
              <w:rPr>
                <w:rFonts w:cs="Arial"/>
                <w:b/>
                <w:bCs/>
                <w:color w:val="000000" w:themeColor="text1"/>
                <w:lang w:val="en-GB"/>
              </w:rPr>
              <w:t>Publication Type</w:t>
            </w:r>
          </w:p>
        </w:tc>
        <w:tc>
          <w:tcPr>
            <w:tcW w:w="4252" w:type="dxa"/>
            <w:hideMark/>
          </w:tcPr>
          <w:p w14:paraId="108A48F0" w14:textId="77777777" w:rsidR="008D1117" w:rsidRPr="0041639E" w:rsidRDefault="008D1117" w:rsidP="0007442D">
            <w:pPr>
              <w:spacing w:before="200" w:after="200"/>
              <w:rPr>
                <w:rFonts w:cs="Arial"/>
                <w:color w:val="000000" w:themeColor="text1"/>
                <w:lang w:val="en-GB"/>
              </w:rPr>
            </w:pPr>
            <w:r w:rsidRPr="0041639E">
              <w:rPr>
                <w:rFonts w:cs="Arial"/>
                <w:color w:val="000000" w:themeColor="text1"/>
                <w:lang w:val="en-GB"/>
              </w:rPr>
              <w:t>Peer-reviewed journal articles, grey literature/reports</w:t>
            </w:r>
          </w:p>
        </w:tc>
        <w:tc>
          <w:tcPr>
            <w:tcW w:w="3656" w:type="dxa"/>
          </w:tcPr>
          <w:p w14:paraId="241CE1CD" w14:textId="77777777" w:rsidR="008D1117" w:rsidRPr="0041639E" w:rsidRDefault="00BE6B8C" w:rsidP="0007442D">
            <w:pPr>
              <w:spacing w:before="200" w:after="200"/>
              <w:rPr>
                <w:rFonts w:cs="Arial"/>
                <w:color w:val="000000" w:themeColor="text1"/>
                <w:lang w:val="en-GB"/>
              </w:rPr>
            </w:pPr>
            <w:r w:rsidRPr="0041639E">
              <w:rPr>
                <w:rFonts w:cs="Arial"/>
                <w:color w:val="000000" w:themeColor="text1"/>
                <w:lang w:val="en-GB"/>
              </w:rPr>
              <w:t>Non-scholarly Sources</w:t>
            </w:r>
          </w:p>
        </w:tc>
      </w:tr>
      <w:tr w:rsidR="008D1117" w:rsidRPr="0041639E" w14:paraId="7471F7A7" w14:textId="77777777" w:rsidTr="00940400">
        <w:tc>
          <w:tcPr>
            <w:tcW w:w="1668" w:type="dxa"/>
            <w:hideMark/>
          </w:tcPr>
          <w:p w14:paraId="7A630443" w14:textId="77777777" w:rsidR="008D1117" w:rsidRPr="0041639E" w:rsidRDefault="008D1117" w:rsidP="0007442D">
            <w:pPr>
              <w:spacing w:before="200" w:after="200"/>
              <w:rPr>
                <w:rFonts w:cs="Arial"/>
                <w:color w:val="000000" w:themeColor="text1"/>
                <w:lang w:val="en-GB"/>
              </w:rPr>
            </w:pPr>
            <w:r w:rsidRPr="0041639E">
              <w:rPr>
                <w:rFonts w:cs="Arial"/>
                <w:b/>
                <w:bCs/>
                <w:color w:val="000000" w:themeColor="text1"/>
                <w:lang w:val="en-GB"/>
              </w:rPr>
              <w:t>Data Type</w:t>
            </w:r>
          </w:p>
        </w:tc>
        <w:tc>
          <w:tcPr>
            <w:tcW w:w="4252" w:type="dxa"/>
            <w:hideMark/>
          </w:tcPr>
          <w:p w14:paraId="43A771E2" w14:textId="77777777" w:rsidR="008D1117" w:rsidRPr="0041639E" w:rsidRDefault="008D1117" w:rsidP="0007442D">
            <w:pPr>
              <w:spacing w:before="200" w:after="200"/>
              <w:rPr>
                <w:rFonts w:cs="Arial"/>
                <w:color w:val="000000" w:themeColor="text1"/>
                <w:lang w:val="en-GB"/>
              </w:rPr>
            </w:pPr>
            <w:r w:rsidRPr="0041639E">
              <w:rPr>
                <w:rFonts w:cs="Arial"/>
                <w:color w:val="000000" w:themeColor="text1"/>
                <w:lang w:val="en-GB"/>
              </w:rPr>
              <w:t>Quantitative outcome data</w:t>
            </w:r>
          </w:p>
        </w:tc>
        <w:tc>
          <w:tcPr>
            <w:tcW w:w="3656" w:type="dxa"/>
          </w:tcPr>
          <w:p w14:paraId="09C8B91B" w14:textId="77777777" w:rsidR="008D1117" w:rsidRPr="0041639E" w:rsidRDefault="00BE6B8C" w:rsidP="0007442D">
            <w:pPr>
              <w:spacing w:before="200" w:after="200"/>
              <w:rPr>
                <w:rFonts w:cs="Arial"/>
                <w:color w:val="000000" w:themeColor="text1"/>
                <w:lang w:val="en-GB"/>
              </w:rPr>
            </w:pPr>
            <w:r w:rsidRPr="0041639E">
              <w:rPr>
                <w:rFonts w:cs="Arial"/>
                <w:color w:val="000000" w:themeColor="text1"/>
                <w:lang w:val="en-GB"/>
              </w:rPr>
              <w:t>Studies without empirical data (Purely narrative or descriptive reviews)</w:t>
            </w:r>
          </w:p>
        </w:tc>
      </w:tr>
      <w:tr w:rsidR="008D1117" w:rsidRPr="0041639E" w14:paraId="28D262F1" w14:textId="77777777" w:rsidTr="00940400">
        <w:tc>
          <w:tcPr>
            <w:tcW w:w="1668" w:type="dxa"/>
            <w:hideMark/>
          </w:tcPr>
          <w:p w14:paraId="5336C05F" w14:textId="77777777" w:rsidR="008D1117" w:rsidRPr="0041639E" w:rsidRDefault="008D1117" w:rsidP="0007442D">
            <w:pPr>
              <w:spacing w:before="200" w:after="200"/>
              <w:rPr>
                <w:rFonts w:cs="Arial"/>
                <w:color w:val="000000" w:themeColor="text1"/>
                <w:lang w:val="en-GB"/>
              </w:rPr>
            </w:pPr>
            <w:r w:rsidRPr="0041639E">
              <w:rPr>
                <w:rFonts w:cs="Arial"/>
                <w:b/>
                <w:bCs/>
                <w:color w:val="000000" w:themeColor="text1"/>
                <w:lang w:val="en-GB"/>
              </w:rPr>
              <w:t>Relevance to Research Question</w:t>
            </w:r>
          </w:p>
        </w:tc>
        <w:tc>
          <w:tcPr>
            <w:tcW w:w="4252" w:type="dxa"/>
            <w:hideMark/>
          </w:tcPr>
          <w:p w14:paraId="767EDC58" w14:textId="77777777" w:rsidR="008D1117" w:rsidRPr="0041639E" w:rsidRDefault="008D1117" w:rsidP="0007442D">
            <w:pPr>
              <w:spacing w:before="200" w:after="200"/>
              <w:rPr>
                <w:rFonts w:cs="Arial"/>
                <w:color w:val="000000" w:themeColor="text1"/>
                <w:lang w:val="en-GB"/>
              </w:rPr>
            </w:pPr>
            <w:r w:rsidRPr="0041639E">
              <w:rPr>
                <w:rFonts w:cs="Arial"/>
                <w:color w:val="000000" w:themeColor="text1"/>
                <w:lang w:val="en-GB"/>
              </w:rPr>
              <w:t>Studies must directly address tobacco control policies and cardiovascular outcomes in the target population</w:t>
            </w:r>
          </w:p>
        </w:tc>
        <w:tc>
          <w:tcPr>
            <w:tcW w:w="3656" w:type="dxa"/>
          </w:tcPr>
          <w:p w14:paraId="7BD80205" w14:textId="77777777" w:rsidR="008D1117" w:rsidRPr="0041639E" w:rsidRDefault="00BE6B8C" w:rsidP="0007442D">
            <w:pPr>
              <w:spacing w:before="200" w:after="200"/>
              <w:rPr>
                <w:rFonts w:cs="Arial"/>
                <w:color w:val="000000" w:themeColor="text1"/>
                <w:lang w:val="en-GB"/>
              </w:rPr>
            </w:pPr>
            <w:r w:rsidRPr="0041639E">
              <w:rPr>
                <w:rFonts w:cs="Arial"/>
                <w:color w:val="000000" w:themeColor="text1"/>
                <w:lang w:val="en-GB"/>
              </w:rPr>
              <w:t>Studies not addressing tobacco policy or not linking to tobacco use to cardiovascular outcomes</w:t>
            </w:r>
          </w:p>
        </w:tc>
      </w:tr>
    </w:tbl>
    <w:p w14:paraId="2A2A8B66" w14:textId="77777777" w:rsidR="00B44579" w:rsidRPr="00F027DD" w:rsidRDefault="00B44579" w:rsidP="00B44579">
      <w:pPr>
        <w:jc w:val="center"/>
        <w:rPr>
          <w:rFonts w:cs="Arial"/>
          <w:lang w:val="en-GB"/>
        </w:rPr>
      </w:pPr>
      <w:r w:rsidRPr="00F027DD">
        <w:rPr>
          <w:rFonts w:cs="Arial"/>
          <w:lang w:val="en-GB"/>
        </w:rPr>
        <w:t>Table 3.2: PICO-Based Inclusion and Exclusion Criteria</w:t>
      </w:r>
    </w:p>
    <w:p w14:paraId="3D328559" w14:textId="77777777" w:rsidR="0007442D" w:rsidRPr="00F027DD" w:rsidRDefault="00B44579" w:rsidP="00B44579">
      <w:pPr>
        <w:spacing w:before="200" w:after="200"/>
        <w:jc w:val="center"/>
        <w:rPr>
          <w:rFonts w:cs="Arial"/>
          <w:color w:val="000000"/>
          <w:lang w:val="en-GB"/>
        </w:rPr>
      </w:pPr>
      <w:r w:rsidRPr="00F027DD">
        <w:rPr>
          <w:rFonts w:cs="Arial"/>
          <w:color w:val="000000"/>
          <w:lang w:val="en-GB"/>
        </w:rPr>
        <w:t>(Source: Self-Developed)</w:t>
      </w:r>
    </w:p>
    <w:p w14:paraId="56327123" w14:textId="77777777" w:rsidR="00732E6C" w:rsidRPr="00F027DD" w:rsidRDefault="00DF099F">
      <w:pPr>
        <w:pStyle w:val="Heading2"/>
        <w:rPr>
          <w:rFonts w:cs="Arial"/>
          <w:lang w:val="en-GB"/>
        </w:rPr>
      </w:pPr>
      <w:bookmarkStart w:id="50" w:name="_heading=h.bc3bdbpofhbk" w:colFirst="0" w:colLast="0"/>
      <w:bookmarkStart w:id="51" w:name="_Toc209887579"/>
      <w:bookmarkStart w:id="52" w:name="_Toc220668539"/>
      <w:bookmarkEnd w:id="50"/>
      <w:r w:rsidRPr="00F027DD">
        <w:rPr>
          <w:rFonts w:cs="Arial"/>
          <w:lang w:val="en-GB"/>
        </w:rPr>
        <w:t>3.7 Study screening and Selection</w:t>
      </w:r>
      <w:bookmarkEnd w:id="51"/>
      <w:bookmarkEnd w:id="52"/>
    </w:p>
    <w:p w14:paraId="682B2254" w14:textId="77777777" w:rsidR="00732E6C" w:rsidRPr="00F027DD" w:rsidRDefault="00732E6C">
      <w:pPr>
        <w:rPr>
          <w:rFonts w:cs="Arial"/>
          <w:lang w:val="en-GB"/>
        </w:rPr>
      </w:pPr>
    </w:p>
    <w:p w14:paraId="59D0EFD1" w14:textId="77777777" w:rsidR="00732E6C" w:rsidRPr="00F027DD" w:rsidRDefault="00DF099F">
      <w:pPr>
        <w:rPr>
          <w:rFonts w:cs="Arial"/>
          <w:lang w:val="en-GB"/>
        </w:rPr>
      </w:pPr>
      <w:r w:rsidRPr="00F027DD">
        <w:rPr>
          <w:rFonts w:cs="Arial"/>
          <w:lang w:val="en-GB"/>
        </w:rPr>
        <w:lastRenderedPageBreak/>
        <w:t>The process of study selection has been conducted systematically and transparently as per the guidelines of PRISMA. This allowed the researcher to ensure the inclusion criteria is relevant as well as high-quality studies (</w:t>
      </w:r>
      <w:r w:rsidRPr="00F027DD">
        <w:rPr>
          <w:rFonts w:cs="Arial"/>
          <w:color w:val="222222"/>
          <w:szCs w:val="24"/>
        </w:rPr>
        <w:t>Zarate</w:t>
      </w:r>
      <w:r w:rsidRPr="00F027DD">
        <w:rPr>
          <w:rFonts w:cs="Arial"/>
          <w:i/>
          <w:iCs/>
          <w:color w:val="222222"/>
          <w:szCs w:val="24"/>
        </w:rPr>
        <w:t xml:space="preserve"> et.al</w:t>
      </w:r>
      <w:r w:rsidRPr="00F027DD">
        <w:rPr>
          <w:rFonts w:cs="Arial"/>
          <w:color w:val="222222"/>
          <w:szCs w:val="24"/>
        </w:rPr>
        <w:t xml:space="preserve"> 2022).</w:t>
      </w:r>
      <w:r w:rsidRPr="00F027DD">
        <w:rPr>
          <w:rFonts w:cs="Arial"/>
          <w:lang w:val="en-GB"/>
        </w:rPr>
        <w:t xml:space="preserve"> In addition to that, initially, all records that have been identified through electronic database searches, including hand searching, are compiled, and duplicate articles are removed. Thus, the remaining studies were subjected to a two-stage screening process. In the first stage, abstracts and titles were screened to assess the relevance to the research objectives, and this allowed the researcher to focus on young adults in urban India, tobacco-related coronary heart disease outcomes, and NTCP. Moreover, numerous studies that did not meet the set inclusion criteria have been excluded in this stage. Within the second stage, full-text articles were retrieved and assessed in detail as per PICO-based exclusion and inclusion criteria. So, such an assessment considered intervention relevance, study population, methodological quality, and outcome measures. Based on the full-text review, 15 studies were deemed to be included and eligible in the final synthesis</w:t>
      </w:r>
      <w:r w:rsidR="0007442D" w:rsidRPr="00F027DD">
        <w:rPr>
          <w:rFonts w:cs="Arial"/>
          <w:lang w:val="en-GB"/>
        </w:rPr>
        <w:t xml:space="preserve"> (see table 3.3 for breakdown)</w:t>
      </w:r>
      <w:r w:rsidRPr="00F027DD">
        <w:rPr>
          <w:rFonts w:cs="Arial"/>
          <w:lang w:val="en-GB"/>
        </w:rPr>
        <w:t>.</w:t>
      </w:r>
    </w:p>
    <w:p w14:paraId="3F8D1611" w14:textId="77777777" w:rsidR="0007442D" w:rsidRPr="00F027DD" w:rsidRDefault="0007442D">
      <w:pPr>
        <w:rPr>
          <w:rFonts w:cs="Arial"/>
          <w:lang w:val="en-GB"/>
        </w:rPr>
      </w:pPr>
    </w:p>
    <w:tbl>
      <w:tblPr>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0"/>
        <w:gridCol w:w="1485"/>
        <w:gridCol w:w="1605"/>
        <w:gridCol w:w="1650"/>
        <w:gridCol w:w="1365"/>
        <w:gridCol w:w="1440"/>
      </w:tblGrid>
      <w:tr w:rsidR="0007442D" w:rsidRPr="00F027DD" w14:paraId="092AA293" w14:textId="77777777" w:rsidTr="00DF099F">
        <w:trPr>
          <w:trHeight w:val="500"/>
        </w:trPr>
        <w:tc>
          <w:tcPr>
            <w:tcW w:w="1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946EA8" w14:textId="77777777" w:rsidR="0007442D" w:rsidRPr="00F027DD" w:rsidRDefault="0007442D" w:rsidP="00DF099F">
            <w:pPr>
              <w:jc w:val="center"/>
              <w:rPr>
                <w:rFonts w:cs="Arial"/>
                <w:b/>
                <w:color w:val="000000"/>
                <w:lang w:val="en-GB"/>
              </w:rPr>
            </w:pPr>
            <w:r w:rsidRPr="00F027DD">
              <w:rPr>
                <w:rFonts w:cs="Arial"/>
                <w:b/>
                <w:color w:val="000000"/>
                <w:lang w:val="en-GB"/>
              </w:rPr>
              <w:t>Database</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65ECC3" w14:textId="77777777" w:rsidR="0007442D" w:rsidRPr="00F027DD" w:rsidRDefault="0007442D" w:rsidP="00DF099F">
            <w:pPr>
              <w:jc w:val="center"/>
              <w:rPr>
                <w:rFonts w:cs="Arial"/>
                <w:b/>
                <w:color w:val="000000"/>
                <w:lang w:val="en-GB"/>
              </w:rPr>
            </w:pPr>
            <w:r w:rsidRPr="00F027DD">
              <w:rPr>
                <w:rFonts w:cs="Arial"/>
                <w:b/>
                <w:color w:val="000000"/>
                <w:lang w:val="en-GB"/>
              </w:rPr>
              <w:t>Search Dates</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38C47D" w14:textId="77777777" w:rsidR="0007442D" w:rsidRPr="00F027DD" w:rsidRDefault="0007442D" w:rsidP="00DF099F">
            <w:pPr>
              <w:jc w:val="center"/>
              <w:rPr>
                <w:rFonts w:cs="Arial"/>
                <w:b/>
                <w:color w:val="000000"/>
                <w:lang w:val="en-GB"/>
              </w:rPr>
            </w:pPr>
            <w:r w:rsidRPr="00F027DD">
              <w:rPr>
                <w:rFonts w:cs="Arial"/>
                <w:b/>
                <w:color w:val="000000"/>
                <w:lang w:val="en-GB"/>
              </w:rPr>
              <w:t>Inclusion Year</w:t>
            </w:r>
          </w:p>
        </w:tc>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D6CC78" w14:textId="77777777" w:rsidR="0007442D" w:rsidRPr="00F027DD" w:rsidRDefault="0007442D" w:rsidP="00DF099F">
            <w:pPr>
              <w:jc w:val="center"/>
              <w:rPr>
                <w:rFonts w:cs="Arial"/>
                <w:b/>
                <w:color w:val="000000"/>
                <w:lang w:val="en-GB"/>
              </w:rPr>
            </w:pPr>
            <w:r w:rsidRPr="00F027DD">
              <w:rPr>
                <w:rFonts w:cs="Arial"/>
                <w:b/>
                <w:color w:val="000000"/>
                <w:lang w:val="en-GB"/>
              </w:rPr>
              <w:t>Search Results</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6F085D" w14:textId="77777777" w:rsidR="0007442D" w:rsidRPr="00F027DD" w:rsidRDefault="0007442D" w:rsidP="00DF099F">
            <w:pPr>
              <w:jc w:val="center"/>
              <w:rPr>
                <w:rFonts w:cs="Arial"/>
                <w:b/>
                <w:color w:val="000000"/>
                <w:lang w:val="en-GB"/>
              </w:rPr>
            </w:pPr>
            <w:r w:rsidRPr="00F027DD">
              <w:rPr>
                <w:rFonts w:cs="Arial"/>
                <w:b/>
                <w:color w:val="000000"/>
                <w:lang w:val="en-GB"/>
              </w:rPr>
              <w:t>Excluded</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A0996D" w14:textId="77777777" w:rsidR="0007442D" w:rsidRPr="00F027DD" w:rsidRDefault="0007442D" w:rsidP="00DF099F">
            <w:pPr>
              <w:jc w:val="center"/>
              <w:rPr>
                <w:rFonts w:cs="Arial"/>
                <w:b/>
                <w:color w:val="000000"/>
                <w:lang w:val="en-GB"/>
              </w:rPr>
            </w:pPr>
            <w:r w:rsidRPr="00F027DD">
              <w:rPr>
                <w:rFonts w:cs="Arial"/>
                <w:b/>
                <w:color w:val="000000"/>
                <w:lang w:val="en-GB"/>
              </w:rPr>
              <w:t>Included</w:t>
            </w:r>
          </w:p>
        </w:tc>
      </w:tr>
      <w:tr w:rsidR="0007442D" w:rsidRPr="00F027DD" w14:paraId="5A052A2D" w14:textId="77777777" w:rsidTr="00DF099F">
        <w:trPr>
          <w:trHeight w:val="500"/>
        </w:trPr>
        <w:tc>
          <w:tcPr>
            <w:tcW w:w="1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AB88D1" w14:textId="77777777" w:rsidR="0007442D" w:rsidRPr="00F027DD" w:rsidRDefault="007D1336" w:rsidP="00DF099F">
            <w:pPr>
              <w:rPr>
                <w:rFonts w:cs="Arial"/>
                <w:color w:val="000000"/>
                <w:lang w:val="en-GB"/>
              </w:rPr>
            </w:pPr>
            <w:r>
              <w:rPr>
                <w:rFonts w:cs="Arial"/>
                <w:color w:val="000000"/>
                <w:lang w:val="en-GB"/>
              </w:rPr>
              <w:t>IJMR</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AC8DBC" w14:textId="77777777" w:rsidR="0007442D" w:rsidRPr="00F027DD" w:rsidRDefault="0007442D" w:rsidP="00DF099F">
            <w:pPr>
              <w:rPr>
                <w:rFonts w:cs="Arial"/>
                <w:color w:val="000000"/>
                <w:lang w:val="en-GB"/>
              </w:rPr>
            </w:pPr>
            <w:r w:rsidRPr="00F027DD">
              <w:rPr>
                <w:rFonts w:cs="Arial"/>
                <w:color w:val="000000"/>
                <w:lang w:val="en-GB"/>
              </w:rPr>
              <w:t>December 2025</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C63253" w14:textId="77777777" w:rsidR="0007442D" w:rsidRPr="00F027DD" w:rsidRDefault="0007442D" w:rsidP="00DF099F">
            <w:pPr>
              <w:rPr>
                <w:rFonts w:cs="Arial"/>
                <w:color w:val="000000"/>
                <w:lang w:val="en-GB"/>
              </w:rPr>
            </w:pPr>
            <w:r w:rsidRPr="00F027DD">
              <w:rPr>
                <w:rFonts w:cs="Arial"/>
                <w:color w:val="000000"/>
                <w:lang w:val="en-GB"/>
              </w:rPr>
              <w:t>2007-2025</w:t>
            </w:r>
          </w:p>
        </w:tc>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856981" w14:textId="77777777" w:rsidR="0007442D" w:rsidRPr="00F027DD" w:rsidRDefault="0007442D" w:rsidP="00DF099F">
            <w:pPr>
              <w:rPr>
                <w:rFonts w:cs="Arial"/>
                <w:color w:val="000000"/>
                <w:lang w:val="en-GB"/>
              </w:rPr>
            </w:pPr>
            <w:r w:rsidRPr="00F027DD">
              <w:rPr>
                <w:rFonts w:cs="Arial"/>
                <w:color w:val="000000"/>
                <w:lang w:val="en-GB"/>
              </w:rPr>
              <w:t>58</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2D3B0D" w14:textId="77777777" w:rsidR="0007442D" w:rsidRPr="00F027DD" w:rsidRDefault="0007442D" w:rsidP="00DF099F">
            <w:pPr>
              <w:rPr>
                <w:rFonts w:cs="Arial"/>
                <w:color w:val="000000"/>
                <w:lang w:val="en-GB"/>
              </w:rPr>
            </w:pPr>
            <w:r w:rsidRPr="00F027DD">
              <w:rPr>
                <w:rFonts w:cs="Arial"/>
                <w:color w:val="000000"/>
                <w:lang w:val="en-GB"/>
              </w:rPr>
              <w:t>52</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3F3C9E" w14:textId="77777777" w:rsidR="0007442D" w:rsidRPr="00F027DD" w:rsidRDefault="0007442D" w:rsidP="00DF099F">
            <w:pPr>
              <w:rPr>
                <w:rFonts w:cs="Arial"/>
                <w:color w:val="000000"/>
                <w:lang w:val="en-GB"/>
              </w:rPr>
            </w:pPr>
            <w:r w:rsidRPr="00F027DD">
              <w:rPr>
                <w:rFonts w:cs="Arial"/>
                <w:color w:val="000000"/>
                <w:lang w:val="en-GB"/>
              </w:rPr>
              <w:t>6</w:t>
            </w:r>
          </w:p>
        </w:tc>
      </w:tr>
      <w:tr w:rsidR="0007442D" w:rsidRPr="00F027DD" w14:paraId="1701AA8D" w14:textId="77777777" w:rsidTr="00DF099F">
        <w:trPr>
          <w:trHeight w:val="500"/>
        </w:trPr>
        <w:tc>
          <w:tcPr>
            <w:tcW w:w="1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2FE3B5" w14:textId="77777777" w:rsidR="0007442D" w:rsidRPr="00F027DD" w:rsidRDefault="00FC765A" w:rsidP="00DF099F">
            <w:pPr>
              <w:rPr>
                <w:rFonts w:cs="Arial"/>
                <w:color w:val="000000"/>
                <w:lang w:val="en-GB"/>
              </w:rPr>
            </w:pPr>
            <w:r>
              <w:rPr>
                <w:rFonts w:cs="Arial"/>
                <w:color w:val="000000"/>
                <w:lang w:val="en-GB"/>
              </w:rPr>
              <w:t>SCOPUS</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3F44B0" w14:textId="77777777" w:rsidR="0007442D" w:rsidRPr="00F027DD" w:rsidRDefault="0007442D" w:rsidP="00DF099F">
            <w:pPr>
              <w:rPr>
                <w:rFonts w:cs="Arial"/>
                <w:color w:val="000000"/>
                <w:lang w:val="en-GB"/>
              </w:rPr>
            </w:pPr>
            <w:r w:rsidRPr="00F027DD">
              <w:rPr>
                <w:rFonts w:cs="Arial"/>
                <w:color w:val="000000"/>
                <w:lang w:val="en-GB"/>
              </w:rPr>
              <w:t>December 2025</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3AD4AD" w14:textId="77777777" w:rsidR="0007442D" w:rsidRPr="00F027DD" w:rsidRDefault="0007442D" w:rsidP="00DF099F">
            <w:pPr>
              <w:rPr>
                <w:rFonts w:cs="Arial"/>
                <w:color w:val="000000"/>
                <w:lang w:val="en-GB"/>
              </w:rPr>
            </w:pPr>
            <w:r w:rsidRPr="00F027DD">
              <w:rPr>
                <w:rFonts w:cs="Arial"/>
                <w:color w:val="000000"/>
                <w:lang w:val="en-GB"/>
              </w:rPr>
              <w:t>2007-2025</w:t>
            </w:r>
          </w:p>
        </w:tc>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FDC84A" w14:textId="77777777" w:rsidR="0007442D" w:rsidRPr="00F027DD" w:rsidRDefault="0007442D" w:rsidP="00DF099F">
            <w:pPr>
              <w:rPr>
                <w:rFonts w:cs="Arial"/>
                <w:color w:val="000000"/>
                <w:lang w:val="en-GB"/>
              </w:rPr>
            </w:pPr>
            <w:r w:rsidRPr="00F027DD">
              <w:rPr>
                <w:rFonts w:cs="Arial"/>
                <w:color w:val="000000"/>
                <w:lang w:val="en-GB"/>
              </w:rPr>
              <w:t>46</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F997C0" w14:textId="77777777" w:rsidR="0007442D" w:rsidRPr="00F027DD" w:rsidRDefault="0007442D" w:rsidP="00DF099F">
            <w:pPr>
              <w:rPr>
                <w:rFonts w:cs="Arial"/>
                <w:color w:val="000000"/>
                <w:lang w:val="en-GB"/>
              </w:rPr>
            </w:pPr>
            <w:r w:rsidRPr="00F027DD">
              <w:rPr>
                <w:rFonts w:cs="Arial"/>
                <w:color w:val="000000"/>
                <w:lang w:val="en-GB"/>
              </w:rPr>
              <w:t>42</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3F6490" w14:textId="77777777" w:rsidR="0007442D" w:rsidRPr="00F027DD" w:rsidRDefault="0007442D" w:rsidP="00DF099F">
            <w:pPr>
              <w:rPr>
                <w:rFonts w:cs="Arial"/>
                <w:color w:val="000000"/>
                <w:lang w:val="en-GB"/>
              </w:rPr>
            </w:pPr>
            <w:r w:rsidRPr="00F027DD">
              <w:rPr>
                <w:rFonts w:cs="Arial"/>
                <w:color w:val="000000"/>
                <w:lang w:val="en-GB"/>
              </w:rPr>
              <w:t>4</w:t>
            </w:r>
          </w:p>
        </w:tc>
      </w:tr>
      <w:tr w:rsidR="0007442D" w:rsidRPr="00F027DD" w14:paraId="3E383CB3" w14:textId="77777777" w:rsidTr="00DF099F">
        <w:trPr>
          <w:trHeight w:val="500"/>
        </w:trPr>
        <w:tc>
          <w:tcPr>
            <w:tcW w:w="1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F8AC94" w14:textId="77777777" w:rsidR="0007442D" w:rsidRPr="00F027DD" w:rsidRDefault="0007442D" w:rsidP="00DF099F">
            <w:pPr>
              <w:rPr>
                <w:rFonts w:cs="Arial"/>
                <w:color w:val="000000"/>
                <w:lang w:val="en-GB"/>
              </w:rPr>
            </w:pPr>
            <w:r w:rsidRPr="00F027DD">
              <w:rPr>
                <w:rFonts w:cs="Arial"/>
                <w:color w:val="000000"/>
                <w:lang w:val="en-GB"/>
              </w:rPr>
              <w:t>PubMed</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017CF0" w14:textId="77777777" w:rsidR="0007442D" w:rsidRPr="00F027DD" w:rsidRDefault="0007442D" w:rsidP="00DF099F">
            <w:pPr>
              <w:rPr>
                <w:rFonts w:cs="Arial"/>
                <w:color w:val="000000"/>
                <w:lang w:val="en-GB"/>
              </w:rPr>
            </w:pPr>
            <w:r w:rsidRPr="00F027DD">
              <w:rPr>
                <w:rFonts w:cs="Arial"/>
                <w:color w:val="000000"/>
                <w:lang w:val="en-GB"/>
              </w:rPr>
              <w:t>December 2024</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22CE7D" w14:textId="77777777" w:rsidR="0007442D" w:rsidRPr="00F027DD" w:rsidRDefault="0007442D" w:rsidP="00DF099F">
            <w:pPr>
              <w:rPr>
                <w:rFonts w:cs="Arial"/>
                <w:color w:val="000000"/>
                <w:lang w:val="en-GB"/>
              </w:rPr>
            </w:pPr>
            <w:r w:rsidRPr="00F027DD">
              <w:rPr>
                <w:rFonts w:cs="Arial"/>
                <w:color w:val="000000"/>
                <w:lang w:val="en-GB"/>
              </w:rPr>
              <w:t>2007-2025</w:t>
            </w:r>
          </w:p>
        </w:tc>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58804D" w14:textId="77777777" w:rsidR="0007442D" w:rsidRPr="00F027DD" w:rsidRDefault="0007442D" w:rsidP="00DF099F">
            <w:pPr>
              <w:rPr>
                <w:rFonts w:cs="Arial"/>
                <w:color w:val="000000"/>
                <w:lang w:val="en-GB"/>
              </w:rPr>
            </w:pPr>
            <w:r w:rsidRPr="00F027DD">
              <w:rPr>
                <w:rFonts w:cs="Arial"/>
                <w:color w:val="000000"/>
                <w:lang w:val="en-GB"/>
              </w:rPr>
              <w:t>62</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3F0395" w14:textId="77777777" w:rsidR="0007442D" w:rsidRPr="00F027DD" w:rsidRDefault="0007442D" w:rsidP="00DF099F">
            <w:pPr>
              <w:rPr>
                <w:rFonts w:cs="Arial"/>
                <w:color w:val="000000"/>
                <w:lang w:val="en-GB"/>
              </w:rPr>
            </w:pPr>
            <w:r w:rsidRPr="00F027DD">
              <w:rPr>
                <w:rFonts w:cs="Arial"/>
                <w:color w:val="000000"/>
                <w:lang w:val="en-GB"/>
              </w:rPr>
              <w:t>56</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793D79" w14:textId="77777777" w:rsidR="0007442D" w:rsidRPr="00F027DD" w:rsidRDefault="0007442D" w:rsidP="00DF099F">
            <w:pPr>
              <w:rPr>
                <w:rFonts w:cs="Arial"/>
                <w:color w:val="000000"/>
                <w:lang w:val="en-GB"/>
              </w:rPr>
            </w:pPr>
            <w:r w:rsidRPr="00F027DD">
              <w:rPr>
                <w:rFonts w:cs="Arial"/>
                <w:color w:val="000000"/>
                <w:lang w:val="en-GB"/>
              </w:rPr>
              <w:t>6</w:t>
            </w:r>
          </w:p>
        </w:tc>
      </w:tr>
      <w:tr w:rsidR="0007442D" w:rsidRPr="00F027DD" w14:paraId="65BAF0D0" w14:textId="77777777" w:rsidTr="00DF099F">
        <w:trPr>
          <w:trHeight w:val="500"/>
        </w:trPr>
        <w:tc>
          <w:tcPr>
            <w:tcW w:w="1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7D6E88" w14:textId="77777777" w:rsidR="0007442D" w:rsidRPr="00F027DD" w:rsidRDefault="0007442D" w:rsidP="00DF099F">
            <w:pPr>
              <w:rPr>
                <w:rFonts w:cs="Arial"/>
                <w:color w:val="000000"/>
                <w:lang w:val="en-GB"/>
              </w:rPr>
            </w:pPr>
            <w:r w:rsidRPr="00F027DD">
              <w:rPr>
                <w:rFonts w:cs="Arial"/>
                <w:color w:val="000000"/>
                <w:lang w:val="en-GB"/>
              </w:rPr>
              <w:t>PubMed Central</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06002A" w14:textId="77777777" w:rsidR="0007442D" w:rsidRPr="00F027DD" w:rsidRDefault="0007442D" w:rsidP="00DF099F">
            <w:pPr>
              <w:rPr>
                <w:rFonts w:cs="Arial"/>
                <w:color w:val="000000"/>
                <w:lang w:val="en-GB"/>
              </w:rPr>
            </w:pPr>
            <w:r w:rsidRPr="00F027DD">
              <w:rPr>
                <w:rFonts w:cs="Arial"/>
                <w:color w:val="000000"/>
                <w:lang w:val="en-GB"/>
              </w:rPr>
              <w:t>December 2025</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414444" w14:textId="77777777" w:rsidR="0007442D" w:rsidRPr="00F027DD" w:rsidRDefault="0007442D" w:rsidP="00DF099F">
            <w:pPr>
              <w:rPr>
                <w:rFonts w:cs="Arial"/>
                <w:color w:val="000000"/>
                <w:lang w:val="en-GB"/>
              </w:rPr>
            </w:pPr>
            <w:r w:rsidRPr="00F027DD">
              <w:rPr>
                <w:rFonts w:cs="Arial"/>
                <w:color w:val="000000"/>
                <w:lang w:val="en-GB"/>
              </w:rPr>
              <w:t>2007-2025</w:t>
            </w:r>
          </w:p>
        </w:tc>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E4CC07" w14:textId="77777777" w:rsidR="0007442D" w:rsidRPr="00F027DD" w:rsidRDefault="0007442D" w:rsidP="00DF099F">
            <w:pPr>
              <w:rPr>
                <w:rFonts w:cs="Arial"/>
                <w:color w:val="000000"/>
                <w:lang w:val="en-GB"/>
              </w:rPr>
            </w:pPr>
            <w:r w:rsidRPr="00F027DD">
              <w:rPr>
                <w:rFonts w:cs="Arial"/>
                <w:color w:val="000000"/>
                <w:lang w:val="en-GB"/>
              </w:rPr>
              <w:t>39</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7414E4" w14:textId="77777777" w:rsidR="0007442D" w:rsidRPr="00F027DD" w:rsidRDefault="0007442D" w:rsidP="00DF099F">
            <w:pPr>
              <w:rPr>
                <w:rFonts w:cs="Arial"/>
                <w:color w:val="000000"/>
                <w:lang w:val="en-GB"/>
              </w:rPr>
            </w:pPr>
            <w:r w:rsidRPr="00F027DD">
              <w:rPr>
                <w:rFonts w:cs="Arial"/>
                <w:color w:val="000000"/>
                <w:lang w:val="en-GB"/>
              </w:rPr>
              <w:t>35</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523B54" w14:textId="77777777" w:rsidR="0007442D" w:rsidRPr="00F027DD" w:rsidRDefault="0007442D" w:rsidP="00DF099F">
            <w:pPr>
              <w:rPr>
                <w:rFonts w:cs="Arial"/>
                <w:color w:val="000000"/>
                <w:lang w:val="en-GB"/>
              </w:rPr>
            </w:pPr>
            <w:r w:rsidRPr="00F027DD">
              <w:rPr>
                <w:rFonts w:cs="Arial"/>
                <w:color w:val="000000"/>
                <w:lang w:val="en-GB"/>
              </w:rPr>
              <w:t>4</w:t>
            </w:r>
          </w:p>
        </w:tc>
      </w:tr>
      <w:tr w:rsidR="0007442D" w:rsidRPr="00F027DD" w14:paraId="72424827" w14:textId="77777777" w:rsidTr="00DF099F">
        <w:trPr>
          <w:trHeight w:val="500"/>
        </w:trPr>
        <w:tc>
          <w:tcPr>
            <w:tcW w:w="1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B53999" w14:textId="77777777" w:rsidR="0007442D" w:rsidRPr="00F027DD" w:rsidRDefault="0007442D" w:rsidP="00DF099F">
            <w:pPr>
              <w:rPr>
                <w:rFonts w:cs="Arial"/>
                <w:color w:val="000000"/>
                <w:lang w:val="en-GB"/>
              </w:rPr>
            </w:pPr>
            <w:r w:rsidRPr="00F027DD">
              <w:rPr>
                <w:rFonts w:cs="Arial"/>
                <w:color w:val="000000"/>
                <w:lang w:val="en-GB"/>
              </w:rPr>
              <w:t>Google Scholar</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6F7AD8" w14:textId="77777777" w:rsidR="0007442D" w:rsidRPr="00F027DD" w:rsidRDefault="0007442D" w:rsidP="00DF099F">
            <w:pPr>
              <w:rPr>
                <w:rFonts w:cs="Arial"/>
                <w:color w:val="000000"/>
                <w:lang w:val="en-GB"/>
              </w:rPr>
            </w:pPr>
            <w:r w:rsidRPr="00F027DD">
              <w:rPr>
                <w:rFonts w:cs="Arial"/>
                <w:color w:val="000000"/>
                <w:lang w:val="en-GB"/>
              </w:rPr>
              <w:t>December 2025</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C8AFA0" w14:textId="77777777" w:rsidR="0007442D" w:rsidRPr="00F027DD" w:rsidRDefault="0007442D" w:rsidP="00DF099F">
            <w:pPr>
              <w:rPr>
                <w:rFonts w:cs="Arial"/>
                <w:color w:val="000000"/>
                <w:lang w:val="en-GB"/>
              </w:rPr>
            </w:pPr>
            <w:r w:rsidRPr="00F027DD">
              <w:rPr>
                <w:rFonts w:cs="Arial"/>
                <w:color w:val="000000"/>
                <w:lang w:val="en-GB"/>
              </w:rPr>
              <w:t>2007-2025</w:t>
            </w:r>
          </w:p>
        </w:tc>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064A0C" w14:textId="77777777" w:rsidR="0007442D" w:rsidRPr="00F027DD" w:rsidRDefault="0007442D" w:rsidP="00DF099F">
            <w:pPr>
              <w:rPr>
                <w:rFonts w:cs="Arial"/>
                <w:color w:val="000000"/>
                <w:lang w:val="en-GB"/>
              </w:rPr>
            </w:pPr>
            <w:r w:rsidRPr="00F027DD">
              <w:rPr>
                <w:rFonts w:cs="Arial"/>
                <w:color w:val="000000"/>
                <w:lang w:val="en-GB"/>
              </w:rPr>
              <w:t>75</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535553" w14:textId="77777777" w:rsidR="0007442D" w:rsidRPr="00F027DD" w:rsidRDefault="0007442D" w:rsidP="00DF099F">
            <w:pPr>
              <w:rPr>
                <w:rFonts w:cs="Arial"/>
                <w:color w:val="000000"/>
                <w:lang w:val="en-GB"/>
              </w:rPr>
            </w:pPr>
            <w:r w:rsidRPr="00F027DD">
              <w:rPr>
                <w:rFonts w:cs="Arial"/>
                <w:color w:val="000000"/>
                <w:lang w:val="en-GB"/>
              </w:rPr>
              <w:t>72</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FD1602" w14:textId="77777777" w:rsidR="0007442D" w:rsidRPr="00F027DD" w:rsidRDefault="0007442D" w:rsidP="00DF099F">
            <w:pPr>
              <w:rPr>
                <w:rFonts w:cs="Arial"/>
                <w:color w:val="000000"/>
                <w:lang w:val="en-GB"/>
              </w:rPr>
            </w:pPr>
            <w:r w:rsidRPr="00F027DD">
              <w:rPr>
                <w:rFonts w:cs="Arial"/>
                <w:color w:val="000000"/>
                <w:lang w:val="en-GB"/>
              </w:rPr>
              <w:t>3</w:t>
            </w:r>
          </w:p>
        </w:tc>
      </w:tr>
      <w:tr w:rsidR="0007442D" w:rsidRPr="00F027DD" w14:paraId="2F6C615C" w14:textId="77777777" w:rsidTr="00DF099F">
        <w:trPr>
          <w:trHeight w:val="500"/>
        </w:trPr>
        <w:tc>
          <w:tcPr>
            <w:tcW w:w="1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D70311" w14:textId="77777777" w:rsidR="0007442D" w:rsidRPr="00F027DD" w:rsidRDefault="0007442D" w:rsidP="00DF099F">
            <w:pPr>
              <w:rPr>
                <w:rFonts w:cs="Arial"/>
                <w:color w:val="000000"/>
                <w:lang w:val="en-GB"/>
              </w:rPr>
            </w:pPr>
            <w:r w:rsidRPr="00F027DD">
              <w:rPr>
                <w:rFonts w:cs="Arial"/>
                <w:color w:val="000000"/>
                <w:lang w:val="en-GB"/>
              </w:rPr>
              <w:t>HAND SEARCH</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9D899B" w14:textId="77777777" w:rsidR="0007442D" w:rsidRPr="00F027DD" w:rsidRDefault="0007442D" w:rsidP="00DF099F">
            <w:pPr>
              <w:rPr>
                <w:rFonts w:cs="Arial"/>
                <w:color w:val="000000"/>
                <w:lang w:val="en-GB"/>
              </w:rPr>
            </w:pPr>
            <w:r w:rsidRPr="00F027DD">
              <w:rPr>
                <w:rFonts w:cs="Arial"/>
                <w:color w:val="000000"/>
                <w:lang w:val="en-GB"/>
              </w:rPr>
              <w:t>January 2026</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B4BE7A" w14:textId="77777777" w:rsidR="0007442D" w:rsidRPr="00F027DD" w:rsidRDefault="0007442D" w:rsidP="00DF099F">
            <w:pPr>
              <w:rPr>
                <w:rFonts w:cs="Arial"/>
                <w:color w:val="000000"/>
                <w:lang w:val="en-GB"/>
              </w:rPr>
            </w:pPr>
            <w:r w:rsidRPr="00F027DD">
              <w:rPr>
                <w:rFonts w:cs="Arial"/>
                <w:color w:val="000000"/>
                <w:lang w:val="en-GB"/>
              </w:rPr>
              <w:t>2007-2025</w:t>
            </w:r>
          </w:p>
        </w:tc>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FC0684" w14:textId="77777777" w:rsidR="0007442D" w:rsidRPr="00F027DD" w:rsidRDefault="0007442D" w:rsidP="00DF099F">
            <w:pPr>
              <w:rPr>
                <w:rFonts w:cs="Arial"/>
                <w:color w:val="000000"/>
                <w:lang w:val="en-GB"/>
              </w:rPr>
            </w:pPr>
            <w:r w:rsidRPr="00F027DD">
              <w:rPr>
                <w:rFonts w:cs="Arial"/>
                <w:color w:val="000000"/>
                <w:lang w:val="en-GB"/>
              </w:rPr>
              <w:t>12</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92D8A2" w14:textId="77777777" w:rsidR="0007442D" w:rsidRPr="00F027DD" w:rsidRDefault="0007442D" w:rsidP="00DF099F">
            <w:pPr>
              <w:rPr>
                <w:rFonts w:cs="Arial"/>
                <w:color w:val="000000"/>
                <w:lang w:val="en-GB"/>
              </w:rPr>
            </w:pPr>
            <w:r w:rsidRPr="00F027DD">
              <w:rPr>
                <w:rFonts w:cs="Arial"/>
                <w:color w:val="000000"/>
                <w:lang w:val="en-GB"/>
              </w:rPr>
              <w:t>10</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8DA129" w14:textId="77777777" w:rsidR="0007442D" w:rsidRPr="00F027DD" w:rsidRDefault="0007442D" w:rsidP="00DF099F">
            <w:pPr>
              <w:rPr>
                <w:rFonts w:cs="Arial"/>
                <w:color w:val="000000"/>
                <w:lang w:val="en-GB"/>
              </w:rPr>
            </w:pPr>
            <w:r w:rsidRPr="00F027DD">
              <w:rPr>
                <w:rFonts w:cs="Arial"/>
                <w:color w:val="000000"/>
                <w:lang w:val="en-GB"/>
              </w:rPr>
              <w:t>2</w:t>
            </w:r>
          </w:p>
        </w:tc>
      </w:tr>
      <w:tr w:rsidR="0007442D" w:rsidRPr="00F027DD" w14:paraId="03186A45" w14:textId="77777777" w:rsidTr="00DF099F">
        <w:trPr>
          <w:trHeight w:val="500"/>
        </w:trPr>
        <w:tc>
          <w:tcPr>
            <w:tcW w:w="1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DFDA7D" w14:textId="77777777" w:rsidR="0007442D" w:rsidRPr="00F027DD" w:rsidRDefault="0007442D" w:rsidP="00DF099F">
            <w:pPr>
              <w:rPr>
                <w:rFonts w:cs="Arial"/>
                <w:color w:val="000000"/>
                <w:lang w:val="en-GB"/>
              </w:rPr>
            </w:pPr>
            <w:r w:rsidRPr="00F027DD">
              <w:rPr>
                <w:rFonts w:cs="Arial"/>
                <w:b/>
                <w:color w:val="000000"/>
                <w:lang w:val="en-GB"/>
              </w:rPr>
              <w:lastRenderedPageBreak/>
              <w:t>Total</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CDE5F9" w14:textId="77777777" w:rsidR="0007442D" w:rsidRPr="00F027DD" w:rsidRDefault="0007442D" w:rsidP="00DF099F">
            <w:pPr>
              <w:rPr>
                <w:rFonts w:cs="Arial"/>
                <w:color w:val="000000"/>
                <w:lang w:val="en-GB"/>
              </w:rPr>
            </w:pPr>
            <w:r w:rsidRPr="00F027DD">
              <w:rPr>
                <w:rFonts w:cs="Arial"/>
                <w:color w:val="000000"/>
                <w:lang w:val="en-GB"/>
              </w:rPr>
              <w:t>January 2026</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FC3EF9" w14:textId="77777777" w:rsidR="0007442D" w:rsidRPr="00F027DD" w:rsidRDefault="0007442D" w:rsidP="00DF099F">
            <w:pPr>
              <w:rPr>
                <w:rFonts w:cs="Arial"/>
                <w:color w:val="000000"/>
                <w:lang w:val="en-GB"/>
              </w:rPr>
            </w:pPr>
          </w:p>
        </w:tc>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08B52A" w14:textId="77777777" w:rsidR="0007442D" w:rsidRPr="00F027DD" w:rsidRDefault="0007442D" w:rsidP="00DF099F">
            <w:pPr>
              <w:rPr>
                <w:rFonts w:cs="Arial"/>
                <w:color w:val="000000"/>
                <w:lang w:val="en-GB"/>
              </w:rPr>
            </w:pPr>
            <w:r w:rsidRPr="00F027DD">
              <w:rPr>
                <w:rFonts w:cs="Arial"/>
                <w:color w:val="000000"/>
                <w:lang w:val="en-GB"/>
              </w:rPr>
              <w:t>292</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1AFCE0" w14:textId="77777777" w:rsidR="0007442D" w:rsidRPr="00F027DD" w:rsidRDefault="0007442D" w:rsidP="00DF099F">
            <w:pPr>
              <w:rPr>
                <w:rFonts w:cs="Arial"/>
                <w:color w:val="000000"/>
                <w:lang w:val="en-GB"/>
              </w:rPr>
            </w:pPr>
            <w:r w:rsidRPr="00F027DD">
              <w:rPr>
                <w:rFonts w:cs="Arial"/>
                <w:color w:val="000000"/>
                <w:lang w:val="en-GB"/>
              </w:rPr>
              <w:t>267</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63F770" w14:textId="77777777" w:rsidR="0007442D" w:rsidRPr="00F027DD" w:rsidRDefault="0007442D" w:rsidP="00DF099F">
            <w:pPr>
              <w:rPr>
                <w:rFonts w:cs="Arial"/>
                <w:color w:val="000000"/>
                <w:lang w:val="en-GB"/>
              </w:rPr>
            </w:pPr>
            <w:r w:rsidRPr="00F027DD">
              <w:rPr>
                <w:rFonts w:cs="Arial"/>
                <w:color w:val="000000"/>
                <w:lang w:val="en-GB"/>
              </w:rPr>
              <w:t>25</w:t>
            </w:r>
          </w:p>
        </w:tc>
      </w:tr>
      <w:tr w:rsidR="0007442D" w:rsidRPr="00F027DD" w14:paraId="4D9A7D8F" w14:textId="77777777" w:rsidTr="00DF099F">
        <w:trPr>
          <w:trHeight w:val="500"/>
        </w:trPr>
        <w:tc>
          <w:tcPr>
            <w:tcW w:w="1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B17FBA" w14:textId="77777777" w:rsidR="0007442D" w:rsidRPr="00F027DD" w:rsidRDefault="0007442D" w:rsidP="00DF099F">
            <w:pPr>
              <w:rPr>
                <w:rFonts w:cs="Arial"/>
                <w:color w:val="000000"/>
                <w:lang w:val="en-GB"/>
              </w:rPr>
            </w:pPr>
            <w:r w:rsidRPr="00F027DD">
              <w:rPr>
                <w:rFonts w:cs="Arial"/>
                <w:b/>
                <w:color w:val="000000"/>
                <w:lang w:val="en-GB"/>
              </w:rPr>
              <w:t>Final Screening</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7DF848" w14:textId="77777777" w:rsidR="0007442D" w:rsidRPr="00F027DD" w:rsidRDefault="0007442D" w:rsidP="00DF099F">
            <w:pPr>
              <w:rPr>
                <w:rFonts w:cs="Arial"/>
                <w:color w:val="000000"/>
                <w:lang w:val="en-GB"/>
              </w:rPr>
            </w:pP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AAE0B7" w14:textId="77777777" w:rsidR="0007442D" w:rsidRPr="00F027DD" w:rsidRDefault="0007442D" w:rsidP="00DF099F">
            <w:pPr>
              <w:rPr>
                <w:rFonts w:cs="Arial"/>
                <w:color w:val="000000"/>
                <w:lang w:val="en-GB"/>
              </w:rPr>
            </w:pPr>
          </w:p>
        </w:tc>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7B77F0" w14:textId="77777777" w:rsidR="0007442D" w:rsidRPr="00F027DD" w:rsidRDefault="0007442D" w:rsidP="00DF099F">
            <w:pPr>
              <w:rPr>
                <w:rFonts w:cs="Arial"/>
                <w:color w:val="000000"/>
                <w:lang w:val="en-GB"/>
              </w:rPr>
            </w:pPr>
            <w:r w:rsidRPr="00F027DD">
              <w:rPr>
                <w:rFonts w:cs="Arial"/>
                <w:color w:val="000000"/>
                <w:lang w:val="en-GB"/>
              </w:rPr>
              <w:t>25</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B51983" w14:textId="77777777" w:rsidR="0007442D" w:rsidRPr="00F027DD" w:rsidRDefault="0007442D" w:rsidP="00DF099F">
            <w:pPr>
              <w:rPr>
                <w:rFonts w:cs="Arial"/>
                <w:color w:val="000000"/>
                <w:lang w:val="en-GB"/>
              </w:rPr>
            </w:pPr>
            <w:r w:rsidRPr="00F027DD">
              <w:rPr>
                <w:rFonts w:cs="Arial"/>
                <w:color w:val="000000"/>
                <w:lang w:val="en-GB"/>
              </w:rPr>
              <w:t>10</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A0A303" w14:textId="77777777" w:rsidR="0007442D" w:rsidRPr="00F027DD" w:rsidRDefault="0007442D" w:rsidP="00DF099F">
            <w:pPr>
              <w:rPr>
                <w:rFonts w:cs="Arial"/>
                <w:color w:val="000000"/>
                <w:lang w:val="en-GB"/>
              </w:rPr>
            </w:pPr>
            <w:r w:rsidRPr="00F027DD">
              <w:rPr>
                <w:rFonts w:cs="Arial"/>
                <w:color w:val="000000"/>
                <w:lang w:val="en-GB"/>
              </w:rPr>
              <w:t>15</w:t>
            </w:r>
          </w:p>
        </w:tc>
      </w:tr>
      <w:tr w:rsidR="0007442D" w:rsidRPr="00F027DD" w14:paraId="0F1F0778" w14:textId="77777777" w:rsidTr="00DF099F">
        <w:trPr>
          <w:trHeight w:val="500"/>
        </w:trPr>
        <w:tc>
          <w:tcPr>
            <w:tcW w:w="1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CFBE20" w14:textId="77777777" w:rsidR="0007442D" w:rsidRPr="00F027DD" w:rsidRDefault="0007442D" w:rsidP="00DF099F">
            <w:pPr>
              <w:rPr>
                <w:rFonts w:cs="Arial"/>
                <w:color w:val="000000"/>
                <w:lang w:val="en-GB"/>
              </w:rPr>
            </w:pPr>
            <w:r w:rsidRPr="00F027DD">
              <w:rPr>
                <w:rFonts w:cs="Arial"/>
                <w:color w:val="000000"/>
                <w:lang w:val="en-GB"/>
              </w:rPr>
              <w:t>Full-text reviewed</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BDB009" w14:textId="77777777" w:rsidR="0007442D" w:rsidRPr="00F027DD" w:rsidRDefault="0007442D" w:rsidP="00DF099F">
            <w:pPr>
              <w:rPr>
                <w:rFonts w:cs="Arial"/>
                <w:color w:val="000000"/>
                <w:lang w:val="en-GB"/>
              </w:rPr>
            </w:pP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171E03" w14:textId="77777777" w:rsidR="0007442D" w:rsidRPr="00F027DD" w:rsidRDefault="0007442D" w:rsidP="00DF099F">
            <w:pPr>
              <w:rPr>
                <w:rFonts w:cs="Arial"/>
                <w:color w:val="000000"/>
                <w:lang w:val="en-GB"/>
              </w:rPr>
            </w:pPr>
          </w:p>
        </w:tc>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E743A4" w14:textId="77777777" w:rsidR="0007442D" w:rsidRPr="00F027DD" w:rsidRDefault="0007442D" w:rsidP="00DF099F">
            <w:pPr>
              <w:rPr>
                <w:rFonts w:cs="Arial"/>
                <w:color w:val="000000"/>
                <w:lang w:val="en-GB"/>
              </w:rPr>
            </w:pPr>
            <w:r w:rsidRPr="00F027DD">
              <w:rPr>
                <w:rFonts w:cs="Arial"/>
                <w:color w:val="000000"/>
                <w:lang w:val="en-GB"/>
              </w:rPr>
              <w:t>15</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1AA94B" w14:textId="77777777" w:rsidR="0007442D" w:rsidRPr="00F027DD" w:rsidRDefault="0007442D" w:rsidP="00DF099F">
            <w:pPr>
              <w:rPr>
                <w:rFonts w:cs="Arial"/>
                <w:color w:val="000000"/>
                <w:lang w:val="en-GB"/>
              </w:rPr>
            </w:pPr>
            <w:r w:rsidRPr="00F027DD">
              <w:rPr>
                <w:rFonts w:cs="Arial"/>
                <w:color w:val="000000"/>
                <w:lang w:val="en-GB"/>
              </w:rPr>
              <w:t>0</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DD7D5C" w14:textId="77777777" w:rsidR="0007442D" w:rsidRPr="00F027DD" w:rsidRDefault="0007442D" w:rsidP="00DF099F">
            <w:pPr>
              <w:rPr>
                <w:rFonts w:cs="Arial"/>
                <w:color w:val="000000"/>
                <w:lang w:val="en-GB"/>
              </w:rPr>
            </w:pPr>
            <w:r w:rsidRPr="00F027DD">
              <w:rPr>
                <w:rFonts w:cs="Arial"/>
                <w:color w:val="000000"/>
                <w:lang w:val="en-GB"/>
              </w:rPr>
              <w:t>15</w:t>
            </w:r>
          </w:p>
        </w:tc>
      </w:tr>
    </w:tbl>
    <w:p w14:paraId="346E404A" w14:textId="77777777" w:rsidR="0007442D" w:rsidRPr="00F027DD" w:rsidRDefault="0007442D" w:rsidP="0041639E">
      <w:pPr>
        <w:pStyle w:val="Caption"/>
        <w:rPr>
          <w:lang w:val="en-GB"/>
        </w:rPr>
      </w:pPr>
      <w:r w:rsidRPr="00F027DD">
        <w:rPr>
          <w:lang w:val="en-GB"/>
        </w:rPr>
        <w:t>Table 3.3: Screening test (Source: Self-Developed)</w:t>
      </w:r>
    </w:p>
    <w:p w14:paraId="04A52B7B" w14:textId="77777777" w:rsidR="00732E6C" w:rsidRPr="00F027DD" w:rsidRDefault="00732E6C">
      <w:pPr>
        <w:rPr>
          <w:rFonts w:cs="Arial"/>
          <w:lang w:val="en-GB"/>
        </w:rPr>
      </w:pPr>
    </w:p>
    <w:p w14:paraId="4F81C3EE" w14:textId="77777777" w:rsidR="00732E6C" w:rsidRPr="00F027DD" w:rsidRDefault="00DF099F">
      <w:pPr>
        <w:rPr>
          <w:rFonts w:cs="Arial"/>
        </w:rPr>
      </w:pPr>
      <w:r w:rsidRPr="00F027DD">
        <w:rPr>
          <w:rFonts w:cs="Arial"/>
        </w:rPr>
        <w:t>The PRISMA flow chart (Figure 3) was then used to systematically present the process of screening, identification, assessment, and inclusion of studies for the review (</w:t>
      </w:r>
      <w:r w:rsidRPr="00F027DD">
        <w:rPr>
          <w:rFonts w:cs="Arial"/>
          <w:color w:val="222222"/>
          <w:szCs w:val="24"/>
        </w:rPr>
        <w:t>Rethlefsen and Page, 2022).</w:t>
      </w:r>
      <w:r w:rsidRPr="00F027DD">
        <w:rPr>
          <w:rFonts w:cs="Arial"/>
        </w:rPr>
        <w:t xml:space="preserve"> A total of 292 records were retrieved, and only 25 articles remained for the screening stage. During the screening stage, 10 records were excluded as they did not meet the inclusion criteria, and the remaining 15 full-text articles were assessed for eligibility. All of these 15 articles satisfied the PICO-based exclusion and inclusion criteria. </w:t>
      </w:r>
      <w:r w:rsidRPr="00F027DD">
        <w:rPr>
          <w:rFonts w:cs="Arial"/>
        </w:rPr>
        <w:br w:type="page"/>
      </w:r>
    </w:p>
    <w:p w14:paraId="40466EC8" w14:textId="77777777" w:rsidR="00732E6C" w:rsidRPr="00F027DD" w:rsidRDefault="00C83F43">
      <w:pPr>
        <w:autoSpaceDE w:val="0"/>
        <w:autoSpaceDN w:val="0"/>
        <w:adjustRightInd w:val="0"/>
        <w:spacing w:line="480" w:lineRule="auto"/>
        <w:ind w:left="720"/>
        <w:rPr>
          <w:rFonts w:cs="Arial"/>
          <w:szCs w:val="24"/>
        </w:rPr>
      </w:pPr>
      <w:r>
        <w:rPr>
          <w:rFonts w:cs="Arial"/>
          <w:noProof/>
          <w:shd w:val="clear" w:color="auto" w:fill="auto"/>
        </w:rPr>
        <w:lastRenderedPageBreak/>
        <w:pict w14:anchorId="55BA1CB5">
          <v:rect id="Rectangle 1929708198" o:spid="_x0000_s1026" style="position:absolute;left:0;text-align:left;margin-left:27.85pt;margin-top:25.15pt;width:175.5pt;height:163.7pt;z-index:2;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">
            <v:path arrowok="t"/>
            <v:textbox style="mso-next-textbox:#Rectangle 1929708198" inset=",7.2pt,,7.2pt">
              <w:txbxContent>
                <w:p w14:paraId="19A7730B" w14:textId="77777777" w:rsidR="008364F7" w:rsidRDefault="008364F7">
                  <w:pPr>
                    <w:jc w:val="center"/>
                    <w:rPr>
                      <w:rFonts w:cs="Times New Roman"/>
                    </w:rPr>
                  </w:pPr>
                  <w:r>
                    <w:rPr>
                      <w:rFonts w:cs="Times New Roman"/>
                    </w:rPr>
                    <w:t xml:space="preserve">Records identified from: </w:t>
                  </w:r>
                </w:p>
                <w:p w14:paraId="47F5238B" w14:textId="77777777" w:rsidR="008364F7" w:rsidRDefault="008364F7">
                  <w:pPr>
                    <w:jc w:val="center"/>
                    <w:rPr>
                      <w:rFonts w:cs="Times New Roman"/>
                    </w:rPr>
                  </w:pPr>
                  <w:r>
                    <w:rPr>
                      <w:rFonts w:cs="Times New Roman"/>
                    </w:rPr>
                    <w:t xml:space="preserve"> EMBASE (n=58)</w:t>
                  </w:r>
                </w:p>
                <w:p w14:paraId="22616E54" w14:textId="77777777" w:rsidR="008364F7" w:rsidRDefault="008364F7">
                  <w:pPr>
                    <w:jc w:val="center"/>
                    <w:rPr>
                      <w:rFonts w:cs="Times New Roman"/>
                    </w:rPr>
                  </w:pPr>
                  <w:r>
                    <w:rPr>
                      <w:rFonts w:cs="Times New Roman"/>
                    </w:rPr>
                    <w:t xml:space="preserve"> Web of Science (n=46)</w:t>
                  </w:r>
                </w:p>
                <w:p w14:paraId="0ED25666" w14:textId="77777777" w:rsidR="008364F7" w:rsidRDefault="008364F7">
                  <w:pPr>
                    <w:jc w:val="center"/>
                    <w:rPr>
                      <w:rFonts w:cs="Times New Roman"/>
                    </w:rPr>
                  </w:pPr>
                  <w:r>
                    <w:rPr>
                      <w:rFonts w:cs="Times New Roman"/>
                    </w:rPr>
                    <w:t xml:space="preserve">PubMed (n=62)           </w:t>
                  </w:r>
                </w:p>
                <w:p w14:paraId="36493E47" w14:textId="77777777" w:rsidR="008364F7" w:rsidRDefault="008364F7">
                  <w:pPr>
                    <w:jc w:val="center"/>
                    <w:rPr>
                      <w:rFonts w:cs="Times New Roman"/>
                    </w:rPr>
                  </w:pPr>
                  <w:r>
                    <w:rPr>
                      <w:rFonts w:cs="Times New Roman"/>
                    </w:rPr>
                    <w:t xml:space="preserve">PubMed Central (n=39) </w:t>
                  </w:r>
                </w:p>
                <w:p w14:paraId="32E6FE9D" w14:textId="77777777" w:rsidR="008364F7" w:rsidRDefault="008364F7">
                  <w:pPr>
                    <w:jc w:val="center"/>
                    <w:rPr>
                      <w:rFonts w:cs="Times New Roman"/>
                    </w:rPr>
                  </w:pPr>
                  <w:r>
                    <w:rPr>
                      <w:rFonts w:cs="Times New Roman"/>
                    </w:rPr>
                    <w:t xml:space="preserve">Google Scholar (n=75) </w:t>
                  </w:r>
                </w:p>
                <w:p w14:paraId="62C29830" w14:textId="77777777" w:rsidR="008364F7" w:rsidRDefault="008364F7">
                  <w:pPr>
                    <w:jc w:val="center"/>
                    <w:rPr>
                      <w:rFonts w:cs="Times New Roman"/>
                    </w:rPr>
                  </w:pPr>
                  <w:r>
                    <w:rPr>
                      <w:rFonts w:cs="Times New Roman"/>
                    </w:rPr>
                    <w:t xml:space="preserve">Hand Search (n=12) </w:t>
                  </w:r>
                </w:p>
                <w:p w14:paraId="5E554A65" w14:textId="77777777" w:rsidR="008364F7" w:rsidRDefault="008364F7">
                  <w:pPr>
                    <w:jc w:val="center"/>
                    <w:rPr>
                      <w:rFonts w:cs="Times New Roman"/>
                    </w:rPr>
                  </w:pPr>
                  <w:r>
                    <w:rPr>
                      <w:rFonts w:cs="Times New Roman"/>
                    </w:rPr>
                    <w:t>Total records (n=292)</w:t>
                  </w:r>
                </w:p>
              </w:txbxContent>
            </v:textbox>
          </v:rect>
        </w:pict>
      </w:r>
    </w:p>
    <w:p w14:paraId="6914C905" w14:textId="77777777" w:rsidR="00732E6C" w:rsidRPr="00F027DD" w:rsidRDefault="00C83F43">
      <w:pPr>
        <w:rPr>
          <w:rFonts w:cs="Arial"/>
        </w:rPr>
      </w:pPr>
      <w:r>
        <w:rPr>
          <w:rFonts w:cs="Arial"/>
          <w:noProof/>
          <w:shd w:val="clear" w:color="auto" w:fill="auto"/>
        </w:rPr>
        <w:pict w14:anchorId="5FEC425D">
          <v:rect id="Rectangle 1929708199" o:spid="_x0000_s1027" style="position:absolute;left:0;text-align:left;margin-left:229.55pt;margin-top:8.6pt;width:175.5pt;height:89.8pt;z-index:7;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">
            <v:path arrowok="t"/>
            <v:textbox style="mso-next-textbox:#Rectangle 1929708199" inset=",7.2pt,,7.2pt">
              <w:txbxContent>
                <w:p w14:paraId="5A8C163B" w14:textId="77777777" w:rsidR="008364F7" w:rsidRDefault="008364F7">
                  <w:pPr>
                    <w:jc w:val="center"/>
                    <w:rPr>
                      <w:rFonts w:cs="Times New Roman"/>
                    </w:rPr>
                  </w:pPr>
                  <w:r>
                    <w:rPr>
                      <w:rFonts w:cs="Times New Roman"/>
                    </w:rPr>
                    <w:t xml:space="preserve">Records removed before screening:                </w:t>
                  </w:r>
                </w:p>
                <w:p w14:paraId="4B3DC740" w14:textId="77777777" w:rsidR="008364F7" w:rsidRDefault="008364F7">
                  <w:pPr>
                    <w:jc w:val="center"/>
                    <w:rPr>
                      <w:rFonts w:cs="Times New Roman"/>
                    </w:rPr>
                  </w:pPr>
                  <w:r>
                    <w:rPr>
                      <w:rFonts w:cs="Times New Roman"/>
                    </w:rPr>
                    <w:t>Duplicate records (n=247)</w:t>
                  </w:r>
                </w:p>
                <w:p w14:paraId="1C11B8B8" w14:textId="77777777" w:rsidR="008364F7" w:rsidRDefault="008364F7">
                  <w:pPr>
                    <w:jc w:val="left"/>
                    <w:rPr>
                      <w:rFonts w:cs="Times New Roman"/>
                    </w:rPr>
                  </w:pPr>
                  <w:r>
                    <w:rPr>
                      <w:rFonts w:cs="Times New Roman"/>
                    </w:rPr>
                    <w:t xml:space="preserve">           Other reasons (n=20)    </w:t>
                  </w:r>
                </w:p>
              </w:txbxContent>
            </v:textbox>
          </v:rect>
        </w:pict>
      </w:r>
      <w:r>
        <w:rPr>
          <w:rFonts w:cs="Arial"/>
          <w:noProof/>
          <w:shd w:val="clear" w:color="auto" w:fill="auto"/>
        </w:rPr>
        <w:pict w14:anchorId="05BAD83C">
          <v:roundrect id="Rounded Rectangle 1929708200" o:spid="_x0000_s1028" style="position:absolute;left:0;text-align:left;margin-left:-102.4pt;margin-top:64.15pt;width:156.15pt;height:23.4pt;rotation:-90;z-index:6;visibility:visible;mso-wrap-distance-left:0;mso-wrap-distance-right:0"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" fillcolor="#ccecff">
            <v:path arrowok="t"/>
            <v:textbox style="layout-flow:vertical;mso-layout-flow-alt:bottom-to-top;mso-next-textbox:#Rounded Rectangle 1929708200" inset="3.6pt,,3.6pt">
              <w:txbxContent>
                <w:p w14:paraId="5D6698DA" w14:textId="77777777" w:rsidR="008364F7" w:rsidRDefault="008364F7">
                  <w:pPr>
                    <w:jc w:val="center"/>
                    <w:rPr>
                      <w:b/>
                      <w:bCs/>
                      <w:shd w:val="clear" w:color="auto" w:fill="auto"/>
                    </w:rPr>
                  </w:pPr>
                  <w:r>
                    <w:rPr>
                      <w:b/>
                      <w:bCs/>
                      <w:shd w:val="clear" w:color="auto" w:fill="auto"/>
                    </w:rPr>
                    <w:t>Identification</w:t>
                  </w:r>
                </w:p>
              </w:txbxContent>
            </v:textbox>
          </v:roundrect>
        </w:pict>
      </w:r>
      <w:r>
        <w:rPr>
          <w:rFonts w:cs="Arial"/>
          <w:noProof/>
          <w:shd w:val="clear" w:color="auto" w:fill="auto"/>
        </w:rPr>
        <w:pict w14:anchorId="6C061F3B">
          <v:roundrect id="Rounded Rectangle 1929708195" o:spid="_x0000_s1029" style="position:absolute;left:0;text-align:left;margin-left:-78.3pt;margin-top:214.2pt;width:108pt;height:23.4pt;rotation:-90;z-index:3;visibility:visible;mso-wrap-distance-left:0;mso-wrap-distance-right:0"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" fillcolor="#ccecff">
            <v:path arrowok="t"/>
            <v:textbox style="layout-flow:vertical;mso-layout-flow-alt:bottom-to-top;mso-next-textbox:#Rounded Rectangle 1929708195" inset="3.6pt,,3.6pt">
              <w:txbxContent>
                <w:p w14:paraId="399642DF" w14:textId="77777777" w:rsidR="008364F7" w:rsidRDefault="008364F7">
                  <w:pPr>
                    <w:jc w:val="center"/>
                    <w:rPr>
                      <w:b/>
                      <w:bCs/>
                      <w:shd w:val="clear" w:color="auto" w:fill="auto"/>
                    </w:rPr>
                  </w:pPr>
                  <w:r>
                    <w:rPr>
                      <w:b/>
                      <w:bCs/>
                      <w:shd w:val="clear" w:color="auto" w:fill="auto"/>
                    </w:rPr>
                    <w:t>Screening</w:t>
                  </w:r>
                </w:p>
              </w:txbxContent>
            </v:textbox>
          </v:roundrect>
        </w:pict>
      </w:r>
    </w:p>
    <w:p w14:paraId="5D70A0E7" w14:textId="77777777" w:rsidR="00732E6C" w:rsidRPr="00F027DD" w:rsidRDefault="00732E6C">
      <w:pPr>
        <w:rPr>
          <w:rFonts w:cs="Arial"/>
        </w:rPr>
      </w:pPr>
    </w:p>
    <w:p w14:paraId="44D9A0D3" w14:textId="77777777" w:rsidR="00732E6C" w:rsidRPr="00F027DD" w:rsidRDefault="00C83F43">
      <w:pPr>
        <w:rPr>
          <w:rFonts w:cs="Arial"/>
        </w:rPr>
      </w:pPr>
      <w:r>
        <w:rPr>
          <w:rFonts w:cs="Arial"/>
          <w:noProof/>
          <w:shd w:val="clear" w:color="auto" w:fill="auto"/>
        </w:rPr>
        <w:pict w14:anchorId="41E9056E">
          <v:shapetype id="_x0000_t32" coordsize="21600,21600" o:spt="32" o:oned="t" path="m,l21600,21600e" filled="f">
            <v:path arrowok="t" fillok="f" o:connecttype="none"/>
            <o:lock v:ext="edit" shapetype="t"/>
          </v:shapetype>
          <v:shape id="Straight Arrow Connector 1929708194" o:spid="_x0000_s1046" type="#_x0000_t32" style="position:absolute;left:0;text-align:left;margin-left:202.5pt;margin-top:14.6pt;width:27pt;height:0;z-index:17;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">
            <v:stroke endarrow="block"/>
            <o:lock v:ext="edit" shapetype="f"/>
          </v:shape>
        </w:pict>
      </w:r>
    </w:p>
    <w:p w14:paraId="6BFB8F7F" w14:textId="77777777" w:rsidR="00732E6C" w:rsidRPr="00F027DD" w:rsidRDefault="00732E6C">
      <w:pPr>
        <w:rPr>
          <w:rFonts w:cs="Arial"/>
        </w:rPr>
      </w:pPr>
    </w:p>
    <w:p w14:paraId="2CBCFAF7" w14:textId="77777777" w:rsidR="00732E6C" w:rsidRPr="00F027DD" w:rsidRDefault="00732E6C">
      <w:pPr>
        <w:rPr>
          <w:rFonts w:cs="Arial"/>
        </w:rPr>
      </w:pPr>
    </w:p>
    <w:p w14:paraId="68F4AB12" w14:textId="77777777" w:rsidR="00732E6C" w:rsidRPr="00F027DD" w:rsidRDefault="00732E6C">
      <w:pPr>
        <w:rPr>
          <w:rFonts w:cs="Arial"/>
        </w:rPr>
      </w:pPr>
    </w:p>
    <w:p w14:paraId="0D53CD79" w14:textId="77777777" w:rsidR="00732E6C" w:rsidRPr="00F027DD" w:rsidRDefault="00732E6C">
      <w:pPr>
        <w:rPr>
          <w:rFonts w:cs="Arial"/>
        </w:rPr>
      </w:pPr>
    </w:p>
    <w:p w14:paraId="62FE5F11" w14:textId="77777777" w:rsidR="00732E6C" w:rsidRPr="00F027DD" w:rsidRDefault="00C83F43">
      <w:pPr>
        <w:rPr>
          <w:rFonts w:cs="Arial"/>
        </w:rPr>
      </w:pPr>
      <w:r>
        <w:rPr>
          <w:rFonts w:cs="Arial"/>
          <w:noProof/>
          <w:shd w:val="clear" w:color="auto" w:fill="auto"/>
        </w:rPr>
        <w:pict w14:anchorId="2382357D">
          <v:shape id="Straight Arrow Connector 1929708193" o:spid="_x0000_s1045" type="#_x0000_t32" style="position:absolute;left:0;text-align:left;margin-left:114.4pt;margin-top:16pt;width:0;height:41.65pt;z-index:22;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">
            <v:stroke endarrow="block"/>
            <o:lock v:ext="edit" shapetype="f"/>
          </v:shape>
        </w:pict>
      </w:r>
    </w:p>
    <w:p w14:paraId="5391ED49" w14:textId="77777777" w:rsidR="00732E6C" w:rsidRPr="00F027DD" w:rsidRDefault="00C83F43">
      <w:pPr>
        <w:rPr>
          <w:rFonts w:cs="Arial"/>
        </w:rPr>
      </w:pPr>
      <w:r>
        <w:rPr>
          <w:rFonts w:cs="Arial"/>
          <w:noProof/>
          <w:shd w:val="clear" w:color="auto" w:fill="auto"/>
        </w:rPr>
        <w:pict w14:anchorId="554ABECC">
          <v:rect id="Rectangle 1929708192" o:spid="_x0000_s1030" style="position:absolute;left:0;text-align:left;margin-left:236pt;margin-top:1.15pt;width:182pt;height:101.2pt;z-index:1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">
            <v:path arrowok="t"/>
            <v:textbox style="mso-next-textbox:#Rectangle 1929708192" inset=",7.2pt,,7.2pt">
              <w:txbxContent>
                <w:p w14:paraId="3BAE4F8B" w14:textId="77777777" w:rsidR="008364F7" w:rsidRDefault="008364F7">
                  <w:pPr>
                    <w:jc w:val="center"/>
                    <w:rPr>
                      <w:rFonts w:cs="Times New Roman"/>
                    </w:rPr>
                  </w:pPr>
                  <w:r>
                    <w:rPr>
                      <w:rFonts w:cs="Times New Roman"/>
                    </w:rPr>
                    <w:t>Records excluded:</w:t>
                  </w:r>
                </w:p>
                <w:p w14:paraId="292E4EC1" w14:textId="77777777" w:rsidR="008364F7" w:rsidRDefault="008364F7">
                  <w:pPr>
                    <w:jc w:val="center"/>
                    <w:rPr>
                      <w:rFonts w:cs="Times New Roman"/>
                    </w:rPr>
                  </w:pPr>
                  <w:r>
                    <w:rPr>
                      <w:rFonts w:cs="Times New Roman"/>
                    </w:rPr>
                    <w:t>Not relevant population (n=6)</w:t>
                  </w:r>
                </w:p>
                <w:p w14:paraId="709011FC" w14:textId="77777777" w:rsidR="008364F7" w:rsidRDefault="008364F7">
                  <w:pPr>
                    <w:jc w:val="center"/>
                    <w:rPr>
                      <w:rFonts w:cs="Times New Roman"/>
                    </w:rPr>
                  </w:pPr>
                  <w:r>
                    <w:rPr>
                      <w:rFonts w:cs="Times New Roman"/>
                    </w:rPr>
                    <w:t>Not NTCP related (n=2)</w:t>
                  </w:r>
                </w:p>
                <w:p w14:paraId="620EE283" w14:textId="77777777" w:rsidR="008364F7" w:rsidRDefault="008364F7">
                  <w:pPr>
                    <w:jc w:val="center"/>
                    <w:rPr>
                      <w:rFonts w:cs="Times New Roman"/>
                    </w:rPr>
                  </w:pPr>
                  <w:r>
                    <w:rPr>
                      <w:rFonts w:cs="Times New Roman"/>
                    </w:rPr>
                    <w:t>Non-cardiovascular outcomes (n=2)</w:t>
                  </w:r>
                </w:p>
              </w:txbxContent>
            </v:textbox>
          </v:rect>
        </w:pict>
      </w:r>
    </w:p>
    <w:p w14:paraId="2048E8C1" w14:textId="77777777" w:rsidR="00732E6C" w:rsidRPr="00F027DD" w:rsidRDefault="00C83F43">
      <w:pPr>
        <w:rPr>
          <w:rFonts w:cs="Arial"/>
        </w:rPr>
      </w:pPr>
      <w:r>
        <w:rPr>
          <w:rFonts w:cs="Arial"/>
          <w:noProof/>
          <w:shd w:val="clear" w:color="auto" w:fill="auto"/>
        </w:rPr>
        <w:pict w14:anchorId="2F866F67">
          <v:rect id="Rectangle 31" o:spid="_x0000_s1031" style="position:absolute;left:0;text-align:left;margin-left:27.65pt;margin-top:15.55pt;width:175.5pt;height:45pt;z-index:8;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">
            <v:path arrowok="t"/>
            <v:textbox style="mso-next-textbox:#Rectangle 31" inset=",7.2pt,,7.2pt">
              <w:txbxContent>
                <w:p w14:paraId="624D9C44" w14:textId="77777777" w:rsidR="008364F7" w:rsidRDefault="008364F7">
                  <w:pPr>
                    <w:jc w:val="center"/>
                    <w:rPr>
                      <w:rFonts w:cs="Times New Roman"/>
                    </w:rPr>
                  </w:pPr>
                  <w:r>
                    <w:rPr>
                      <w:rFonts w:cs="Times New Roman"/>
                    </w:rPr>
                    <w:t xml:space="preserve">Records screened </w:t>
                  </w:r>
                </w:p>
                <w:p w14:paraId="5670D2B7" w14:textId="77777777" w:rsidR="008364F7" w:rsidRDefault="008364F7">
                  <w:pPr>
                    <w:jc w:val="center"/>
                    <w:rPr>
                      <w:rFonts w:cs="Times New Roman"/>
                    </w:rPr>
                  </w:pPr>
                  <w:r>
                    <w:rPr>
                      <w:rFonts w:cs="Times New Roman"/>
                    </w:rPr>
                    <w:t>(n = 25)</w:t>
                  </w:r>
                </w:p>
                <w:p w14:paraId="4150938B" w14:textId="77777777" w:rsidR="008364F7" w:rsidRDefault="008364F7">
                  <w:pPr>
                    <w:jc w:val="center"/>
                    <w:rPr>
                      <w:rFonts w:cs="Times New Roman"/>
                    </w:rPr>
                  </w:pPr>
                </w:p>
              </w:txbxContent>
            </v:textbox>
          </v:rect>
        </w:pict>
      </w:r>
    </w:p>
    <w:p w14:paraId="281608C9" w14:textId="77777777" w:rsidR="00732E6C" w:rsidRPr="00F027DD" w:rsidRDefault="00C83F43">
      <w:pPr>
        <w:rPr>
          <w:rFonts w:cs="Arial"/>
        </w:rPr>
      </w:pPr>
      <w:r>
        <w:rPr>
          <w:rFonts w:cs="Arial"/>
          <w:noProof/>
          <w:shd w:val="clear" w:color="auto" w:fill="auto"/>
        </w:rPr>
        <w:pict w14:anchorId="536C8D58">
          <v:shape id="Straight Arrow Connector 30" o:spid="_x0000_s1044" type="#_x0000_t32" style="position:absolute;left:0;text-align:left;margin-left:202.75pt;margin-top:15.7pt;width:34.8pt;height:0;z-index:18;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">
            <v:stroke endarrow="block"/>
            <o:lock v:ext="edit" shapetype="f"/>
          </v:shape>
        </w:pict>
      </w:r>
    </w:p>
    <w:p w14:paraId="705BC43C" w14:textId="77777777" w:rsidR="00732E6C" w:rsidRPr="00F027DD" w:rsidRDefault="00C83F43">
      <w:pPr>
        <w:rPr>
          <w:rFonts w:cs="Arial"/>
        </w:rPr>
      </w:pPr>
      <w:r>
        <w:rPr>
          <w:rFonts w:cs="Arial"/>
          <w:noProof/>
          <w:shd w:val="clear" w:color="auto" w:fill="auto"/>
        </w:rPr>
        <w:pict w14:anchorId="06775B63">
          <v:shape id="Straight Arrow Connector 29" o:spid="_x0000_s1043" type="#_x0000_t32" style="position:absolute;left:0;text-align:left;margin-left:114.6pt;margin-top:19.65pt;width:0;height:36pt;z-index:14;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">
            <v:stroke endarrow="block"/>
            <o:lock v:ext="edit" shapetype="f"/>
          </v:shape>
        </w:pict>
      </w:r>
    </w:p>
    <w:p w14:paraId="0B841B00" w14:textId="77777777" w:rsidR="00732E6C" w:rsidRPr="00F027DD" w:rsidRDefault="00732E6C">
      <w:pPr>
        <w:rPr>
          <w:rFonts w:cs="Arial"/>
        </w:rPr>
      </w:pPr>
    </w:p>
    <w:p w14:paraId="660C835F" w14:textId="77777777" w:rsidR="00732E6C" w:rsidRPr="00F027DD" w:rsidRDefault="00C83F43">
      <w:pPr>
        <w:rPr>
          <w:rFonts w:cs="Arial"/>
        </w:rPr>
      </w:pPr>
      <w:r>
        <w:rPr>
          <w:rFonts w:cs="Arial"/>
          <w:noProof/>
          <w:shd w:val="clear" w:color="auto" w:fill="auto"/>
        </w:rPr>
        <w:pict w14:anchorId="2BF9A674">
          <v:rect id="Rectangle 28" o:spid="_x0000_s1032" style="position:absolute;left:0;text-align:left;margin-left:238.65pt;margin-top:14.6pt;width:179.8pt;height:54pt;z-index:12;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">
            <v:path arrowok="t"/>
            <v:textbox style="mso-next-textbox:#Rectangle 28" inset=",7.2pt,,7.2pt">
              <w:txbxContent>
                <w:p w14:paraId="65A4308E" w14:textId="77777777" w:rsidR="008364F7" w:rsidRDefault="008364F7">
                  <w:pPr>
                    <w:jc w:val="center"/>
                    <w:rPr>
                      <w:rFonts w:cs="Times New Roman"/>
                    </w:rPr>
                  </w:pPr>
                  <w:r>
                    <w:rPr>
                      <w:rFonts w:cs="Times New Roman"/>
                    </w:rPr>
                    <w:t xml:space="preserve">Reports not retrieved </w:t>
                  </w:r>
                </w:p>
                <w:p w14:paraId="66E795EB" w14:textId="77777777" w:rsidR="008364F7" w:rsidRDefault="008364F7">
                  <w:pPr>
                    <w:jc w:val="center"/>
                    <w:rPr>
                      <w:rFonts w:cs="Times New Roman"/>
                    </w:rPr>
                  </w:pPr>
                  <w:r>
                    <w:rPr>
                      <w:rFonts w:cs="Times New Roman"/>
                    </w:rPr>
                    <w:t>(n = 0)</w:t>
                  </w:r>
                </w:p>
              </w:txbxContent>
            </v:textbox>
          </v:rect>
        </w:pict>
      </w:r>
      <w:r>
        <w:rPr>
          <w:rFonts w:cs="Arial"/>
          <w:noProof/>
          <w:shd w:val="clear" w:color="auto" w:fill="auto"/>
        </w:rPr>
        <w:pict w14:anchorId="2373808A">
          <v:rect id="Rectangle 27" o:spid="_x0000_s1033" style="position:absolute;left:0;text-align:left;margin-left:27.65pt;margin-top:14.25pt;width:175.5pt;height:45pt;z-index:9;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">
            <v:path arrowok="t"/>
            <v:textbox style="mso-next-textbox:#Rectangle 27" inset=",7.2pt,,7.2pt">
              <w:txbxContent>
                <w:p w14:paraId="11D705E6" w14:textId="77777777" w:rsidR="008364F7" w:rsidRDefault="008364F7">
                  <w:pPr>
                    <w:jc w:val="center"/>
                    <w:rPr>
                      <w:rFonts w:cs="Times New Roman"/>
                    </w:rPr>
                  </w:pPr>
                  <w:r>
                    <w:rPr>
                      <w:rFonts w:cs="Times New Roman"/>
                    </w:rPr>
                    <w:t xml:space="preserve">Reports sought for retrieval </w:t>
                  </w:r>
                </w:p>
                <w:p w14:paraId="010A06E6" w14:textId="77777777" w:rsidR="008364F7" w:rsidRDefault="008364F7">
                  <w:pPr>
                    <w:jc w:val="center"/>
                    <w:rPr>
                      <w:rFonts w:cs="Times New Roman"/>
                    </w:rPr>
                  </w:pPr>
                  <w:r>
                    <w:rPr>
                      <w:rFonts w:cs="Times New Roman"/>
                    </w:rPr>
                    <w:t>(n = 15)</w:t>
                  </w:r>
                </w:p>
              </w:txbxContent>
            </v:textbox>
          </v:rect>
        </w:pict>
      </w:r>
    </w:p>
    <w:p w14:paraId="0918D272" w14:textId="77777777" w:rsidR="00732E6C" w:rsidRPr="00F027DD" w:rsidRDefault="00C83F43">
      <w:pPr>
        <w:rPr>
          <w:rFonts w:cs="Arial"/>
        </w:rPr>
      </w:pPr>
      <w:r>
        <w:rPr>
          <w:rFonts w:cs="Arial"/>
          <w:noProof/>
          <w:shd w:val="clear" w:color="auto" w:fill="auto"/>
        </w:rPr>
        <w:pict w14:anchorId="21170427">
          <v:shape id="Straight Arrow Connector 26" o:spid="_x0000_s1042" type="#_x0000_t32" style="position:absolute;left:0;text-align:left;margin-left:203.4pt;margin-top:15.75pt;width:35.75pt;height:0;z-index:19;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">
            <v:stroke endarrow="block"/>
            <o:lock v:ext="edit" shapetype="f"/>
          </v:shape>
        </w:pict>
      </w:r>
    </w:p>
    <w:p w14:paraId="184E075B" w14:textId="77777777" w:rsidR="00732E6C" w:rsidRPr="00F027DD" w:rsidRDefault="00C83F43">
      <w:pPr>
        <w:rPr>
          <w:rFonts w:cs="Arial"/>
        </w:rPr>
      </w:pPr>
      <w:r>
        <w:rPr>
          <w:rFonts w:cs="Arial"/>
          <w:noProof/>
          <w:shd w:val="clear" w:color="auto" w:fill="auto"/>
        </w:rPr>
        <w:pict w14:anchorId="0B0713BA">
          <v:shape id="Straight Arrow Connector 25" o:spid="_x0000_s1041" type="#_x0000_t32" style="position:absolute;left:0;text-align:left;margin-left:115.3pt;margin-top:17.8pt;width:0;height:27pt;z-index:15;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">
            <v:stroke endarrow="block"/>
            <o:lock v:ext="edit" shapetype="f"/>
          </v:shape>
        </w:pict>
      </w:r>
    </w:p>
    <w:p w14:paraId="047CDA6C" w14:textId="77777777" w:rsidR="00732E6C" w:rsidRPr="00F027DD" w:rsidRDefault="00732E6C">
      <w:pPr>
        <w:rPr>
          <w:rFonts w:cs="Arial"/>
        </w:rPr>
      </w:pPr>
    </w:p>
    <w:p w14:paraId="44D402BA" w14:textId="77777777" w:rsidR="00732E6C" w:rsidRPr="00F027DD" w:rsidRDefault="00C83F43">
      <w:pPr>
        <w:rPr>
          <w:rFonts w:cs="Arial"/>
        </w:rPr>
      </w:pPr>
      <w:r>
        <w:rPr>
          <w:rFonts w:cs="Arial"/>
          <w:noProof/>
          <w:shd w:val="clear" w:color="auto" w:fill="auto"/>
        </w:rPr>
        <w:pict w14:anchorId="298C8BF5">
          <v:rect id="Rectangle 23" o:spid="_x0000_s1034" style="position:absolute;left:0;text-align:left;margin-left:25.15pt;margin-top:7.05pt;width:171.65pt;height:77.25pt;z-index:11;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">
            <v:path arrowok="t"/>
            <v:textbox style="mso-next-textbox:#Rectangle 23" inset=",7.2pt,,7.2pt">
              <w:txbxContent>
                <w:p w14:paraId="2D97514E" w14:textId="77777777" w:rsidR="008364F7" w:rsidRDefault="008364F7">
                  <w:pPr>
                    <w:jc w:val="center"/>
                    <w:rPr>
                      <w:rFonts w:cs="Times New Roman"/>
                    </w:rPr>
                  </w:pPr>
                  <w:r>
                    <w:rPr>
                      <w:rFonts w:cs="Times New Roman"/>
                    </w:rPr>
                    <w:t xml:space="preserve">Full-text articles assessed for eligibility </w:t>
                  </w:r>
                </w:p>
                <w:p w14:paraId="2116E0B3" w14:textId="77777777" w:rsidR="008364F7" w:rsidRDefault="008364F7">
                  <w:pPr>
                    <w:jc w:val="center"/>
                    <w:rPr>
                      <w:rFonts w:cs="Times New Roman"/>
                    </w:rPr>
                  </w:pPr>
                  <w:r>
                    <w:rPr>
                      <w:rFonts w:cs="Times New Roman"/>
                    </w:rPr>
                    <w:t>(n =15)</w:t>
                  </w:r>
                </w:p>
              </w:txbxContent>
            </v:textbox>
          </v:rect>
        </w:pict>
      </w:r>
      <w:r>
        <w:rPr>
          <w:rFonts w:cs="Arial"/>
          <w:noProof/>
          <w:shd w:val="clear" w:color="auto" w:fill="auto"/>
        </w:rPr>
        <w:pict w14:anchorId="0FE1F120">
          <v:roundrect id="Rounded Rectangle 1929708197" o:spid="_x0000_s1035" style="position:absolute;left:0;text-align:left;margin-left:-78.3pt;margin-top:18.75pt;width:108pt;height:23.4pt;rotation:-90;z-index:5;visibility:visible;mso-wrap-distance-left:0;mso-wrap-distance-right:0"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" fillcolor="#ccecff">
            <v:path arrowok="t"/>
            <v:textbox style="layout-flow:vertical;mso-layout-flow-alt:bottom-to-top;mso-next-textbox:#Rounded Rectangle 1929708197" inset="3.6pt,,3.6pt">
              <w:txbxContent>
                <w:p w14:paraId="5667C102" w14:textId="77777777" w:rsidR="008364F7" w:rsidRDefault="008364F7">
                  <w:pPr>
                    <w:jc w:val="center"/>
                    <w:rPr>
                      <w:b/>
                      <w:bCs/>
                      <w:shd w:val="clear" w:color="auto" w:fill="auto"/>
                    </w:rPr>
                  </w:pPr>
                  <w:r>
                    <w:rPr>
                      <w:b/>
                      <w:bCs/>
                      <w:shd w:val="clear" w:color="auto" w:fill="auto"/>
                    </w:rPr>
                    <w:t>Eligibility</w:t>
                  </w:r>
                </w:p>
              </w:txbxContent>
            </v:textbox>
          </v:roundrect>
        </w:pict>
      </w:r>
    </w:p>
    <w:p w14:paraId="14797AD5" w14:textId="77777777" w:rsidR="00732E6C" w:rsidRPr="00F027DD" w:rsidRDefault="00C83F43">
      <w:pPr>
        <w:rPr>
          <w:rFonts w:cs="Arial"/>
        </w:rPr>
      </w:pPr>
      <w:r>
        <w:rPr>
          <w:rFonts w:cs="Arial"/>
          <w:noProof/>
          <w:shd w:val="clear" w:color="auto" w:fill="auto"/>
        </w:rPr>
        <w:pict w14:anchorId="69EC1829">
          <v:rect id="Rectangle 24" o:spid="_x0000_s1036" style="position:absolute;left:0;text-align:left;margin-left:236.4pt;margin-top:6.9pt;width:137.45pt;height:49.45pt;z-index:21;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">
            <v:path arrowok="t"/>
            <v:textbox style="mso-next-textbox:#Rectangle 24">
              <w:txbxContent>
                <w:p w14:paraId="512AD2BD" w14:textId="77777777" w:rsidR="008364F7" w:rsidRDefault="008364F7">
                  <w:pPr>
                    <w:jc w:val="center"/>
                  </w:pPr>
                  <w:r>
                    <w:t>Reports excluded</w:t>
                  </w:r>
                </w:p>
                <w:p w14:paraId="72E36DBB" w14:textId="77777777" w:rsidR="008364F7" w:rsidRDefault="008364F7">
                  <w:pPr>
                    <w:jc w:val="center"/>
                  </w:pPr>
                  <w:r>
                    <w:t>(n = 0)</w:t>
                  </w:r>
                </w:p>
                <w:p w14:paraId="19F58D4E" w14:textId="77777777" w:rsidR="008364F7" w:rsidRDefault="008364F7"/>
              </w:txbxContent>
            </v:textbox>
          </v:rect>
        </w:pict>
      </w:r>
    </w:p>
    <w:p w14:paraId="1369E804" w14:textId="77777777" w:rsidR="00732E6C" w:rsidRPr="00F027DD" w:rsidRDefault="00C83F43">
      <w:pPr>
        <w:rPr>
          <w:rFonts w:cs="Arial"/>
        </w:rPr>
      </w:pPr>
      <w:r>
        <w:rPr>
          <w:rFonts w:cs="Arial"/>
          <w:noProof/>
          <w:shd w:val="clear" w:color="auto" w:fill="auto"/>
        </w:rPr>
        <w:pict w14:anchorId="2167DE4C">
          <v:shape id="Straight Arrow Connector 22" o:spid="_x0000_s1040" type="#_x0000_t32" style="position:absolute;left:0;text-align:left;margin-left:196.65pt;margin-top:9.65pt;width:39.6pt;height:0;z-index:2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">
            <v:stroke endarrow="block"/>
            <o:lock v:ext="edit" shapetype="f"/>
          </v:shape>
        </w:pict>
      </w:r>
    </w:p>
    <w:p w14:paraId="60F6A27D" w14:textId="77777777" w:rsidR="00732E6C" w:rsidRPr="00F027DD" w:rsidRDefault="00732E6C">
      <w:pPr>
        <w:rPr>
          <w:rFonts w:cs="Arial"/>
        </w:rPr>
      </w:pPr>
    </w:p>
    <w:p w14:paraId="70C488B9" w14:textId="77777777" w:rsidR="00732E6C" w:rsidRPr="00F027DD" w:rsidRDefault="00C83F43">
      <w:pPr>
        <w:rPr>
          <w:rFonts w:cs="Arial"/>
        </w:rPr>
      </w:pPr>
      <w:r>
        <w:rPr>
          <w:rFonts w:cs="Arial"/>
          <w:noProof/>
          <w:shd w:val="clear" w:color="auto" w:fill="auto"/>
        </w:rPr>
        <w:pict w14:anchorId="28C7D7B0">
          <v:shape id="Straight Arrow Connector 21" o:spid="_x0000_s1039" type="#_x0000_t32" style="position:absolute;left:0;text-align:left;margin-left:114.5pt;margin-top:1.4pt;width:.05pt;height:66pt;z-index:16;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">
            <v:stroke endarrow="block"/>
            <o:lock v:ext="edit" shapetype="f"/>
          </v:shape>
        </w:pict>
      </w:r>
    </w:p>
    <w:p w14:paraId="3EBE0FF4" w14:textId="77777777" w:rsidR="00732E6C" w:rsidRPr="00F027DD" w:rsidRDefault="00732E6C">
      <w:pPr>
        <w:rPr>
          <w:rFonts w:cs="Arial"/>
        </w:rPr>
      </w:pPr>
    </w:p>
    <w:p w14:paraId="1C76C91A" w14:textId="77777777" w:rsidR="00732E6C" w:rsidRPr="00F027DD" w:rsidRDefault="00732E6C">
      <w:pPr>
        <w:rPr>
          <w:rFonts w:cs="Arial"/>
        </w:rPr>
      </w:pPr>
    </w:p>
    <w:p w14:paraId="140DAC89" w14:textId="77777777" w:rsidR="00732E6C" w:rsidRPr="00F027DD" w:rsidRDefault="00C83F43">
      <w:pPr>
        <w:rPr>
          <w:rFonts w:cs="Arial"/>
        </w:rPr>
      </w:pPr>
      <w:r>
        <w:rPr>
          <w:rFonts w:cs="Arial"/>
          <w:noProof/>
          <w:shd w:val="clear" w:color="auto" w:fill="auto"/>
        </w:rPr>
        <w:pict w14:anchorId="15AA38C2">
          <v:rect id="Rectangle 20" o:spid="_x0000_s1037" style="position:absolute;left:0;text-align:left;margin-left:30.35pt;margin-top:5.75pt;width:165.35pt;height:1in;z-index:13;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">
            <v:path arrowok="t"/>
            <v:textbox style="mso-next-textbox:#Rectangle 20" inset=",7.2pt,,7.2pt">
              <w:txbxContent>
                <w:p w14:paraId="72D4C43F" w14:textId="77777777" w:rsidR="008364F7" w:rsidRDefault="008364F7">
                  <w:pPr>
                    <w:jc w:val="center"/>
                    <w:rPr>
                      <w:rFonts w:cs="Times New Roman"/>
                    </w:rPr>
                  </w:pPr>
                </w:p>
                <w:p w14:paraId="677988EA" w14:textId="77777777" w:rsidR="008364F7" w:rsidRDefault="008364F7">
                  <w:pPr>
                    <w:jc w:val="center"/>
                    <w:rPr>
                      <w:rFonts w:cs="Times New Roman"/>
                    </w:rPr>
                  </w:pPr>
                  <w:r>
                    <w:rPr>
                      <w:rFonts w:cs="Times New Roman"/>
                    </w:rPr>
                    <w:t xml:space="preserve">Studies included in the review </w:t>
                  </w:r>
                </w:p>
                <w:p w14:paraId="3C8665BB" w14:textId="77777777" w:rsidR="008364F7" w:rsidRDefault="008364F7">
                  <w:pPr>
                    <w:jc w:val="center"/>
                    <w:rPr>
                      <w:rFonts w:cs="Times New Roman"/>
                    </w:rPr>
                  </w:pPr>
                  <w:r>
                    <w:rPr>
                      <w:rFonts w:cs="Times New Roman"/>
                    </w:rPr>
                    <w:t>(n = 15)</w:t>
                  </w:r>
                </w:p>
              </w:txbxContent>
            </v:textbox>
          </v:rect>
        </w:pict>
      </w:r>
    </w:p>
    <w:p w14:paraId="6BA0BF2F" w14:textId="77777777" w:rsidR="00732E6C" w:rsidRPr="00F027DD" w:rsidRDefault="00C83F43">
      <w:pPr>
        <w:rPr>
          <w:rFonts w:cs="Arial"/>
        </w:rPr>
      </w:pPr>
      <w:r>
        <w:rPr>
          <w:rFonts w:cs="Arial"/>
          <w:noProof/>
          <w:shd w:val="clear" w:color="auto" w:fill="auto"/>
        </w:rPr>
        <w:pict w14:anchorId="3E501855">
          <v:roundrect id="Rounded Rectangle 1929708196" o:spid="_x0000_s1038" style="position:absolute;left:0;text-align:left;margin-left:-82.35pt;margin-top:5.6pt;width:108pt;height:23.4pt;rotation:-90;z-index:4;visibility:visible;mso-wrap-distance-left:0;mso-wrap-distance-right:0"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" fillcolor="#ccecff">
            <v:path arrowok="t"/>
            <v:textbox style="layout-flow:vertical;mso-layout-flow-alt:bottom-to-top;mso-next-textbox:#Rounded Rectangle 1929708196" inset="3.6pt,,3.6pt">
              <w:txbxContent>
                <w:p w14:paraId="20AD0AB4" w14:textId="77777777" w:rsidR="008364F7" w:rsidRDefault="008364F7">
                  <w:pPr>
                    <w:jc w:val="center"/>
                    <w:rPr>
                      <w:b/>
                      <w:bCs/>
                      <w:shd w:val="clear" w:color="auto" w:fill="auto"/>
                    </w:rPr>
                  </w:pPr>
                  <w:r>
                    <w:rPr>
                      <w:b/>
                      <w:bCs/>
                      <w:shd w:val="clear" w:color="auto" w:fill="auto"/>
                    </w:rPr>
                    <w:t>Included</w:t>
                  </w:r>
                </w:p>
              </w:txbxContent>
            </v:textbox>
          </v:roundrect>
        </w:pict>
      </w:r>
    </w:p>
    <w:p w14:paraId="10D36FDA" w14:textId="77777777" w:rsidR="00732E6C" w:rsidRPr="00F027DD" w:rsidRDefault="00732E6C">
      <w:pPr>
        <w:rPr>
          <w:rFonts w:cs="Arial"/>
        </w:rPr>
      </w:pPr>
    </w:p>
    <w:p w14:paraId="1A76C8C0" w14:textId="77777777" w:rsidR="00732E6C" w:rsidRPr="00F027DD" w:rsidRDefault="00732E6C">
      <w:pPr>
        <w:rPr>
          <w:rFonts w:cs="Arial"/>
        </w:rPr>
      </w:pPr>
    </w:p>
    <w:p w14:paraId="5A003D53" w14:textId="77777777" w:rsidR="00732E6C" w:rsidRPr="00F027DD" w:rsidRDefault="00732E6C">
      <w:pPr>
        <w:rPr>
          <w:rFonts w:cs="Arial"/>
        </w:rPr>
      </w:pPr>
    </w:p>
    <w:p w14:paraId="563D6F3E" w14:textId="77777777" w:rsidR="00732E6C" w:rsidRPr="00F027DD" w:rsidRDefault="00DF099F">
      <w:pPr>
        <w:autoSpaceDE w:val="0"/>
        <w:autoSpaceDN w:val="0"/>
        <w:adjustRightInd w:val="0"/>
        <w:spacing w:line="480" w:lineRule="auto"/>
        <w:ind w:left="720"/>
        <w:jc w:val="center"/>
        <w:rPr>
          <w:rFonts w:cs="Arial"/>
          <w:b/>
          <w:bCs/>
          <w:szCs w:val="24"/>
        </w:rPr>
      </w:pPr>
      <w:r w:rsidRPr="00F027DD">
        <w:rPr>
          <w:rFonts w:cs="Arial"/>
          <w:b/>
          <w:bCs/>
          <w:szCs w:val="24"/>
        </w:rPr>
        <w:t>Figure 3: PRISMA flowchart</w:t>
      </w:r>
    </w:p>
    <w:p w14:paraId="0DE1926A" w14:textId="77777777" w:rsidR="00732E6C" w:rsidRPr="00F027DD" w:rsidRDefault="00DF099F">
      <w:pPr>
        <w:autoSpaceDE w:val="0"/>
        <w:autoSpaceDN w:val="0"/>
        <w:adjustRightInd w:val="0"/>
        <w:spacing w:line="480" w:lineRule="auto"/>
        <w:ind w:left="720"/>
        <w:jc w:val="center"/>
        <w:rPr>
          <w:rFonts w:cs="Arial"/>
          <w:szCs w:val="24"/>
        </w:rPr>
      </w:pPr>
      <w:r w:rsidRPr="00F027DD">
        <w:rPr>
          <w:rFonts w:cs="Arial"/>
          <w:szCs w:val="24"/>
        </w:rPr>
        <w:t>(Source: Created by the researcher)</w:t>
      </w:r>
    </w:p>
    <w:p w14:paraId="21BAADC6" w14:textId="77777777" w:rsidR="00732E6C" w:rsidRPr="00F027DD" w:rsidRDefault="00DF099F">
      <w:pPr>
        <w:pStyle w:val="Heading2"/>
        <w:rPr>
          <w:rFonts w:cs="Arial"/>
          <w:lang w:val="en-GB"/>
        </w:rPr>
      </w:pPr>
      <w:bookmarkStart w:id="53" w:name="_Toc209887582"/>
      <w:bookmarkStart w:id="54" w:name="_Toc220668540"/>
      <w:r w:rsidRPr="00F027DD">
        <w:rPr>
          <w:rFonts w:cs="Arial"/>
          <w:lang w:val="en-GB"/>
        </w:rPr>
        <w:lastRenderedPageBreak/>
        <w:t>3.10 Quality Assessment (QA)</w:t>
      </w:r>
      <w:bookmarkEnd w:id="53"/>
      <w:bookmarkEnd w:id="54"/>
    </w:p>
    <w:p w14:paraId="11A9406D" w14:textId="77777777" w:rsidR="00E04656" w:rsidRDefault="00DF099F">
      <w:pPr>
        <w:rPr>
          <w:rFonts w:cs="Arial"/>
          <w:lang w:val="en-GB"/>
        </w:rPr>
      </w:pPr>
      <w:r w:rsidRPr="00F027DD">
        <w:rPr>
          <w:rFonts w:cs="Arial"/>
          <w:lang w:val="en-GB"/>
        </w:rPr>
        <w:t>QA has been conducted to evaluate the reliability and methodological rigour of the selected 15 studies, which were included in the present systematic review. Standardised appraisal tools for policy evaluation and observational studies were also used to ensure consistency</w:t>
      </w:r>
      <w:r w:rsidR="00E04656">
        <w:rPr>
          <w:rFonts w:cs="Arial"/>
          <w:lang w:val="en-GB"/>
        </w:rPr>
        <w:t xml:space="preserve"> (</w:t>
      </w:r>
      <w:r w:rsidR="00E04656" w:rsidRPr="00775263">
        <w:rPr>
          <w:rFonts w:cs="Arial"/>
        </w:rPr>
        <w:t>Alston</w:t>
      </w:r>
      <w:r w:rsidR="00E04656">
        <w:rPr>
          <w:rFonts w:cs="Arial"/>
        </w:rPr>
        <w:t xml:space="preserve"> </w:t>
      </w:r>
      <w:r w:rsidR="00E04656" w:rsidRPr="00E04656">
        <w:rPr>
          <w:rFonts w:cs="Arial"/>
          <w:i/>
        </w:rPr>
        <w:t>et.al</w:t>
      </w:r>
      <w:r w:rsidR="00E04656" w:rsidRPr="00775263">
        <w:rPr>
          <w:rFonts w:cs="Arial"/>
        </w:rPr>
        <w:t xml:space="preserve"> 2025</w:t>
      </w:r>
      <w:r w:rsidR="00E04656">
        <w:rPr>
          <w:rFonts w:cs="Arial"/>
          <w:lang w:val="en-GB"/>
        </w:rPr>
        <w:t>)</w:t>
      </w:r>
      <w:r w:rsidRPr="00F027DD">
        <w:rPr>
          <w:rFonts w:cs="Arial"/>
          <w:lang w:val="en-GB"/>
        </w:rPr>
        <w:t xml:space="preserve">. The standardised appraisal tool that has been used data extraction and thematic coding as mentioned in the appendix. Moreover, the key assessment criteria included clarity of the study objectives, sample size, appropriateness of the study design, outcome measurement validity, and control for confounding factors. </w:t>
      </w:r>
    </w:p>
    <w:p w14:paraId="2519519E" w14:textId="77777777" w:rsidR="00EA7EBB" w:rsidRPr="00DA12EC" w:rsidRDefault="00DF099F">
      <w:r w:rsidRPr="00F027DD">
        <w:rPr>
          <w:rFonts w:cs="Arial"/>
          <w:lang w:val="en-GB"/>
        </w:rPr>
        <w:t>The researcher independently assessed each study, and discrepancies were also resolved through discussion to achieve consensus. In addition to that, the assessment also effectively categorised studies as low, moderate, and high quality based on the overall adherence to different methodological standards. However, high-quality studies illustrated well-defined population, clear reporting of results, and effective and appropriate data collection methods (</w:t>
      </w:r>
      <w:r w:rsidRPr="00F027DD">
        <w:rPr>
          <w:rFonts w:cs="Arial"/>
          <w:color w:val="222222"/>
          <w:szCs w:val="24"/>
        </w:rPr>
        <w:t>Kaul</w:t>
      </w:r>
      <w:r w:rsidRPr="00F027DD">
        <w:rPr>
          <w:rFonts w:cs="Arial"/>
          <w:i/>
          <w:iCs/>
          <w:color w:val="222222"/>
          <w:szCs w:val="24"/>
        </w:rPr>
        <w:t xml:space="preserve"> et.al</w:t>
      </w:r>
      <w:r w:rsidRPr="00F027DD">
        <w:rPr>
          <w:rFonts w:cs="Arial"/>
          <w:color w:val="222222"/>
          <w:szCs w:val="24"/>
        </w:rPr>
        <w:t xml:space="preserve"> 2025).</w:t>
      </w:r>
      <w:r w:rsidRPr="00F027DD">
        <w:rPr>
          <w:rFonts w:cs="Arial"/>
          <w:lang w:val="en-GB"/>
        </w:rPr>
        <w:t xml:space="preserve"> Thus, the overall quality assessment of selected studies ensured that the synthesised findings were based on proper evidence, which helped in minimising the risk of bias and resulted in proper conclusions. Moreover, this process also strengthened the reliability and validity of the review by effectively highlighting the relative trustworthiness of different individual studies while offering a transparent basis for interpreting the impact of NTCP on coronary heart disease risk among young people in urban India. </w:t>
      </w:r>
    </w:p>
    <w:p w14:paraId="575CE0D4" w14:textId="77777777" w:rsidR="00732E6C" w:rsidRPr="00F027DD" w:rsidRDefault="00DF099F">
      <w:pPr>
        <w:pStyle w:val="Heading2"/>
        <w:spacing w:before="240" w:after="240"/>
        <w:rPr>
          <w:rFonts w:cs="Arial"/>
          <w:lang w:val="en-GB"/>
        </w:rPr>
      </w:pPr>
      <w:bookmarkStart w:id="55" w:name="_Toc209887583"/>
      <w:bookmarkStart w:id="56" w:name="_Toc220668541"/>
      <w:r w:rsidRPr="00F027DD">
        <w:rPr>
          <w:rFonts w:cs="Arial"/>
          <w:lang w:val="en-GB"/>
        </w:rPr>
        <w:t>3.11 Data Characteristics / Extraction</w:t>
      </w:r>
      <w:bookmarkEnd w:id="55"/>
      <w:bookmarkEnd w:id="56"/>
    </w:p>
    <w:p w14:paraId="212A1B54" w14:textId="77777777" w:rsidR="00732E6C" w:rsidRPr="0041639E" w:rsidRDefault="00DF099F">
      <w:r w:rsidRPr="00F027DD">
        <w:rPr>
          <w:rFonts w:cs="Arial"/>
          <w:lang w:val="en-GB"/>
        </w:rPr>
        <w:t>The process of data extraction has been conducted by using a standardised data extraction form to effectively ensure accuracy and consistency across the studies that are included</w:t>
      </w:r>
      <w:r w:rsidR="0041639E">
        <w:rPr>
          <w:rFonts w:cs="Arial"/>
          <w:lang w:val="en-GB"/>
        </w:rPr>
        <w:t xml:space="preserve"> (</w:t>
      </w:r>
      <w:r w:rsidR="0041639E" w:rsidRPr="0011257B">
        <w:rPr>
          <w:rFonts w:cs="Arial"/>
        </w:rPr>
        <w:t>Marra and Nielsen, 2025</w:t>
      </w:r>
      <w:r w:rsidR="0041639E">
        <w:rPr>
          <w:rFonts w:cs="Arial"/>
          <w:lang w:val="en-GB"/>
        </w:rPr>
        <w:t>)</w:t>
      </w:r>
      <w:r w:rsidRPr="00F027DD">
        <w:rPr>
          <w:rFonts w:cs="Arial"/>
          <w:lang w:val="en-GB"/>
        </w:rPr>
        <w:t xml:space="preserve">. Some of the major data characteristics extracted included publication year, author, sample size, population, NTCP intervention details, urban setting, and outcome measures related to coronary heart disease risk and tobacco use. Moreover, the additional information on limitations and key findings has also been recorded. Thus, this extraction process proved to be effective in evaluating the impact of NTCP on tobacco-related coronary heart disease risks among young urban adults in India.   </w:t>
      </w:r>
    </w:p>
    <w:p w14:paraId="67673816" w14:textId="77777777" w:rsidR="00732E6C" w:rsidRPr="00F027DD" w:rsidRDefault="00DF099F">
      <w:pPr>
        <w:pStyle w:val="Heading3"/>
        <w:rPr>
          <w:rFonts w:cs="Arial"/>
          <w:i w:val="0"/>
          <w:iCs/>
          <w:lang w:val="en-GB"/>
        </w:rPr>
      </w:pPr>
      <w:bookmarkStart w:id="57" w:name="_heading=h.xoi91q1ovg02" w:colFirst="0" w:colLast="0"/>
      <w:bookmarkStart w:id="58" w:name="_Toc220668542"/>
      <w:bookmarkEnd w:id="57"/>
      <w:r w:rsidRPr="00F027DD">
        <w:rPr>
          <w:rFonts w:cs="Arial"/>
          <w:i w:val="0"/>
          <w:iCs/>
          <w:lang w:val="en-GB"/>
        </w:rPr>
        <w:t>Thematic data analysis</w:t>
      </w:r>
      <w:bookmarkEnd w:id="58"/>
    </w:p>
    <w:p w14:paraId="7DDF8446" w14:textId="77777777" w:rsidR="00602F85" w:rsidRPr="00902245" w:rsidRDefault="00DF099F">
      <w:r w:rsidRPr="00F027DD">
        <w:rPr>
          <w:rFonts w:cs="Arial"/>
          <w:lang w:val="en-GB"/>
        </w:rPr>
        <w:t>Thematic analysis can be referred as a method of identifying, analysing, and reporting patterns or themes within the data. It the most common method for analysing the qualitative data and also offers a proper structured but flexible approach to report themes or patterns within the dataset</w:t>
      </w:r>
      <w:r w:rsidR="00602F85">
        <w:rPr>
          <w:rFonts w:cs="Arial"/>
          <w:lang w:val="en-GB"/>
        </w:rPr>
        <w:t xml:space="preserve"> (</w:t>
      </w:r>
      <w:r w:rsidR="00602F85" w:rsidRPr="00602F85">
        <w:rPr>
          <w:rFonts w:cs="Arial"/>
        </w:rPr>
        <w:t>Braun and Clarke, 2006</w:t>
      </w:r>
      <w:r w:rsidR="00602F85">
        <w:rPr>
          <w:rFonts w:cs="Arial"/>
          <w:lang w:val="en-GB"/>
        </w:rPr>
        <w:t>)</w:t>
      </w:r>
      <w:r w:rsidRPr="00F027DD">
        <w:rPr>
          <w:rFonts w:cs="Arial"/>
          <w:lang w:val="en-GB"/>
        </w:rPr>
        <w:t xml:space="preserve">. The researcher adopted thematic data analysis as it is </w:t>
      </w:r>
      <w:r w:rsidRPr="00F027DD">
        <w:rPr>
          <w:rFonts w:cs="Arial"/>
          <w:lang w:val="en-GB"/>
        </w:rPr>
        <w:lastRenderedPageBreak/>
        <w:t>flexible and is tailored to different research questions. Besides this approach allows the researcher to develop a proper understanding of the topic and also helps in developing new theoretical frameworks and also help in connecting empirical findings with existing theories</w:t>
      </w:r>
      <w:r w:rsidR="00902245">
        <w:rPr>
          <w:rFonts w:cs="Arial"/>
          <w:lang w:val="en-GB"/>
        </w:rPr>
        <w:t xml:space="preserve"> (</w:t>
      </w:r>
      <w:r w:rsidR="00902245">
        <w:rPr>
          <w:rFonts w:cs="Arial"/>
        </w:rPr>
        <w:t>Christou,</w:t>
      </w:r>
      <w:r w:rsidR="00902245" w:rsidRPr="00902245">
        <w:rPr>
          <w:rFonts w:cs="Arial"/>
        </w:rPr>
        <w:t xml:space="preserve"> 2022</w:t>
      </w:r>
      <w:r w:rsidR="00902245">
        <w:rPr>
          <w:rFonts w:cs="Arial"/>
          <w:lang w:val="en-GB"/>
        </w:rPr>
        <w:t>)</w:t>
      </w:r>
      <w:r w:rsidRPr="00F027DD">
        <w:rPr>
          <w:rFonts w:cs="Arial"/>
          <w:lang w:val="en-GB"/>
        </w:rPr>
        <w:t>. For thematic analysis, the researcher followed a proper structured process. The researcher firstly extracted data and reviewed repeatedly to achieve familiarisation. The second step involved key findings related to CHD risks and NTCP interventions, which were coded systematically. In the third step, similar codes were grouped to develop themes such as behavioural changes, reduction in cardiovascular risk factors, and policy effectiveness. In the fourth step, themes were refined and reviewed to ensure relevance and coherence. The last step involved interpretation in relation to the research objectives as well as existing literature to derive valid conclusions</w:t>
      </w:r>
      <w:r w:rsidR="0041639E">
        <w:rPr>
          <w:rFonts w:cs="Arial"/>
          <w:lang w:val="en-GB"/>
        </w:rPr>
        <w:t xml:space="preserve"> (</w:t>
      </w:r>
      <w:r w:rsidR="0041639E" w:rsidRPr="005420B7">
        <w:rPr>
          <w:rFonts w:cs="Arial"/>
        </w:rPr>
        <w:t>Susilawati</w:t>
      </w:r>
      <w:r w:rsidR="0041639E">
        <w:rPr>
          <w:rFonts w:cs="Arial"/>
        </w:rPr>
        <w:t xml:space="preserve"> </w:t>
      </w:r>
      <w:r w:rsidR="0041639E" w:rsidRPr="0041639E">
        <w:rPr>
          <w:rFonts w:cs="Arial"/>
          <w:i/>
        </w:rPr>
        <w:t>et.al</w:t>
      </w:r>
      <w:r w:rsidR="0041639E" w:rsidRPr="005420B7">
        <w:rPr>
          <w:rFonts w:cs="Arial"/>
        </w:rPr>
        <w:t xml:space="preserve"> 2025</w:t>
      </w:r>
      <w:r w:rsidR="0041639E">
        <w:rPr>
          <w:rFonts w:cs="Arial"/>
          <w:lang w:val="en-GB"/>
        </w:rPr>
        <w:t>)</w:t>
      </w:r>
      <w:r w:rsidRPr="00F027DD">
        <w:rPr>
          <w:rFonts w:cs="Arial"/>
          <w:lang w:val="en-GB"/>
        </w:rPr>
        <w:t xml:space="preserve">. </w:t>
      </w:r>
    </w:p>
    <w:p w14:paraId="02E25AEF" w14:textId="77777777" w:rsidR="00EA7EBB" w:rsidRPr="00602F85" w:rsidRDefault="00DF099F">
      <w:pPr>
        <w:rPr>
          <w:rFonts w:cs="Arial"/>
        </w:rPr>
      </w:pPr>
      <w:r w:rsidRPr="00F027DD">
        <w:rPr>
          <w:rFonts w:cs="Arial"/>
          <w:lang w:val="en-GB"/>
        </w:rPr>
        <w:t xml:space="preserve">Themes that has been found are related to smoking prevalence in young adult in India are very high, family history and peer pressure are key determinants of tobacco use among young adults in India, Nicotine and toxins from tobacco causes early coronary heart disease risk in young adults in India, National Tobacco Control Programme (NTCP) is effective in providing cessation support in India, NTCP policies are highly effective in promoting behaviour and awareness of young adults. Another theme that has been found is NTCP intervention promote smoking cessation in schools that positively reduces early risk factor for coronary heart disease including NTCP interventions informs youths regarding negative health impact of tobacco use which positively impact reducing early risk factors. Other important themes that has been found are </w:t>
      </w:r>
      <w:r w:rsidRPr="00F027DD">
        <w:rPr>
          <w:rFonts w:cs="Arial"/>
        </w:rPr>
        <w:t xml:space="preserve">High cost of implementation of NTCP policies is one of key barrier in India and Supportive governance in India is one of key enabler of NTCP policies implementation in India. All these themes has been linked with the objectives of the study. </w:t>
      </w:r>
    </w:p>
    <w:p w14:paraId="40C72CB6" w14:textId="77777777" w:rsidR="00732E6C" w:rsidRPr="00F027DD" w:rsidRDefault="00732E6C">
      <w:pPr>
        <w:rPr>
          <w:rFonts w:cs="Arial"/>
          <w:lang w:val="en-GB"/>
        </w:rPr>
      </w:pPr>
    </w:p>
    <w:p w14:paraId="340B0A34" w14:textId="77777777" w:rsidR="00732E6C" w:rsidRPr="00F027DD" w:rsidRDefault="00DF099F">
      <w:pPr>
        <w:pStyle w:val="Heading3"/>
        <w:rPr>
          <w:rFonts w:cs="Arial"/>
          <w:lang w:val="en-GB"/>
        </w:rPr>
      </w:pPr>
      <w:bookmarkStart w:id="59" w:name="_heading=h.40a2uftsoayr" w:colFirst="0" w:colLast="0"/>
      <w:bookmarkStart w:id="60" w:name="_Toc220668543"/>
      <w:bookmarkEnd w:id="59"/>
      <w:r w:rsidRPr="00F027DD">
        <w:rPr>
          <w:rFonts w:cs="Arial"/>
          <w:lang w:val="en-GB"/>
        </w:rPr>
        <w:t>3.12.2 Limitations of the Research/Risk of Bias:</w:t>
      </w:r>
      <w:bookmarkEnd w:id="60"/>
    </w:p>
    <w:p w14:paraId="26932D55" w14:textId="77777777" w:rsidR="00732E6C" w:rsidRPr="00F027DD" w:rsidRDefault="00DF099F">
      <w:pPr>
        <w:rPr>
          <w:rFonts w:cs="Arial"/>
          <w:lang w:val="en-GB"/>
        </w:rPr>
      </w:pPr>
      <w:r w:rsidRPr="00F027DD">
        <w:rPr>
          <w:rFonts w:cs="Arial"/>
          <w:lang w:val="en-GB"/>
        </w:rPr>
        <w:t>Some of the major limitations included reliance on self-reported tobacco use, publication bias, and variability in outcomes measurement across selected studies. These limitations can decrease the validity of the study (</w:t>
      </w:r>
      <w:r w:rsidRPr="00F027DD">
        <w:rPr>
          <w:rFonts w:cs="Arial"/>
          <w:color w:val="222222"/>
          <w:szCs w:val="24"/>
        </w:rPr>
        <w:t>Konno</w:t>
      </w:r>
      <w:r w:rsidRPr="00F027DD">
        <w:rPr>
          <w:rFonts w:cs="Arial"/>
          <w:i/>
          <w:iCs/>
          <w:color w:val="222222"/>
          <w:szCs w:val="24"/>
        </w:rPr>
        <w:t xml:space="preserve"> et.al</w:t>
      </w:r>
      <w:r w:rsidRPr="00F027DD">
        <w:rPr>
          <w:rFonts w:cs="Arial"/>
          <w:color w:val="222222"/>
          <w:szCs w:val="24"/>
        </w:rPr>
        <w:t xml:space="preserve"> 2024).</w:t>
      </w:r>
      <w:r w:rsidRPr="00F027DD">
        <w:rPr>
          <w:rFonts w:cs="Arial"/>
          <w:lang w:val="en-GB"/>
        </w:rPr>
        <w:t xml:space="preserve"> However, such limitations were considered while interpreting the findings to reduce bias and improve research credibility. </w:t>
      </w:r>
    </w:p>
    <w:p w14:paraId="773ED172" w14:textId="77777777" w:rsidR="00732E6C" w:rsidRPr="00F027DD" w:rsidRDefault="00DF099F">
      <w:pPr>
        <w:pStyle w:val="Heading2"/>
        <w:spacing w:before="200" w:after="200" w:line="480" w:lineRule="auto"/>
        <w:rPr>
          <w:rFonts w:cs="Arial"/>
          <w:lang w:val="en-GB"/>
        </w:rPr>
      </w:pPr>
      <w:bookmarkStart w:id="61" w:name="_Toc209887585"/>
      <w:bookmarkStart w:id="62" w:name="_Toc220668544"/>
      <w:r w:rsidRPr="00F027DD">
        <w:rPr>
          <w:rFonts w:cs="Arial"/>
          <w:lang w:val="en-GB"/>
        </w:rPr>
        <w:t>3.13 Ethical Considerations</w:t>
      </w:r>
      <w:bookmarkStart w:id="63" w:name="_Toc209887586"/>
      <w:bookmarkEnd w:id="61"/>
      <w:bookmarkEnd w:id="62"/>
    </w:p>
    <w:p w14:paraId="3FF5EBC3" w14:textId="77777777" w:rsidR="00732E6C" w:rsidRPr="00F027DD" w:rsidRDefault="00DF099F">
      <w:pPr>
        <w:rPr>
          <w:rFonts w:cs="Arial"/>
          <w:lang w:val="en-GB"/>
        </w:rPr>
      </w:pPr>
      <w:r w:rsidRPr="00F027DD">
        <w:rPr>
          <w:rFonts w:cs="Arial"/>
          <w:lang w:val="en-GB"/>
        </w:rPr>
        <w:t>Ethical considerations are essential for a study as it can help in enhancing the reliability and validity of the study (</w:t>
      </w:r>
      <w:r w:rsidRPr="00F027DD">
        <w:rPr>
          <w:rFonts w:cs="Arial"/>
          <w:color w:val="222222"/>
          <w:szCs w:val="24"/>
        </w:rPr>
        <w:t>Nii Laryeafio and Ogbewe, 2023).</w:t>
      </w:r>
      <w:r w:rsidRPr="00F027DD">
        <w:rPr>
          <w:rFonts w:cs="Arial"/>
          <w:lang w:val="en-GB"/>
        </w:rPr>
        <w:t xml:space="preserve"> This study is secondary research, and data have been gathered from secondary sources; thus, there is no direct contact with human </w:t>
      </w:r>
      <w:r w:rsidRPr="00F027DD">
        <w:rPr>
          <w:rFonts w:cs="Arial"/>
          <w:lang w:val="en-GB"/>
        </w:rPr>
        <w:lastRenderedPageBreak/>
        <w:t xml:space="preserve">participants, so formal ethical approval is not required. However, ethical principles were strictly adhered to, and all sources of data were properly cited to effectively acknowledge authors and avoid plagiarism. In addition to that, care is also taken to make sure that an accurate representation of findings and any form of unbiased interpretation has been avoided. This study also complied with academic integrity standards and paid respect to intellectual property rights. Moreover, privacy concerns and confidentiality were minimal, and the data is well password-protected to avoid data breaches and manipulation. The researcher also ensured transparency is maintained during appraisal, selection, and synthesis of studies and also ensured that ethical considerations were considered to ensure that the research is conducted responsibly and as per professional guidelines. </w:t>
      </w:r>
    </w:p>
    <w:p w14:paraId="586280AA" w14:textId="77777777" w:rsidR="00732E6C" w:rsidRPr="00F027DD" w:rsidRDefault="00DF099F">
      <w:pPr>
        <w:pStyle w:val="Heading2"/>
        <w:spacing w:before="200" w:after="200" w:line="480" w:lineRule="auto"/>
        <w:rPr>
          <w:rFonts w:cs="Arial"/>
          <w:lang w:val="en-GB"/>
        </w:rPr>
      </w:pPr>
      <w:bookmarkStart w:id="64" w:name="_Toc220668545"/>
      <w:r w:rsidRPr="00F027DD">
        <w:rPr>
          <w:rFonts w:cs="Arial"/>
          <w:lang w:val="en-GB"/>
        </w:rPr>
        <w:t>3.14 Chapter Summary</w:t>
      </w:r>
      <w:bookmarkEnd w:id="63"/>
      <w:bookmarkEnd w:id="64"/>
    </w:p>
    <w:p w14:paraId="55EED804" w14:textId="77777777" w:rsidR="00732E6C" w:rsidRPr="00F027DD" w:rsidRDefault="00DF099F">
      <w:pPr>
        <w:rPr>
          <w:rFonts w:cs="Arial"/>
          <w:lang w:val="en-GB"/>
        </w:rPr>
      </w:pPr>
      <w:r w:rsidRPr="00F027DD">
        <w:rPr>
          <w:rFonts w:cs="Arial"/>
          <w:lang w:val="en-GB"/>
        </w:rPr>
        <w:t xml:space="preserve">This research methodology chapter effectively outlines the methodological framework which has been used to examine the impact of NTCP on reducing CHD risks among young urban Indian adults. The researcher adopted the SLR approach, which is supported by clearly defined inclusion and exclusion criteria, search strategy, and the study selection process, which is effectively guided by PRISMA principles. In addition to that, data extraction, thematic synthesis, and quality assessment methods were applied to ensure the validity and reliability of the findings. Furthermore, ethical considerations were also properly addressed to enhance the validity and reliability of the study. Thus, the methodology adopted in the study provided a robust foundation for interpreting the results and helped in drawing meaningful outcomes. </w:t>
      </w:r>
    </w:p>
    <w:p w14:paraId="46E1FEA0" w14:textId="77777777" w:rsidR="00732E6C" w:rsidRPr="00F027DD" w:rsidRDefault="00732E6C">
      <w:pPr>
        <w:rPr>
          <w:rFonts w:cs="Arial"/>
          <w:lang w:val="en-GB"/>
        </w:rPr>
      </w:pPr>
    </w:p>
    <w:p w14:paraId="66F20C8D" w14:textId="77777777" w:rsidR="00732E6C" w:rsidRPr="00F027DD" w:rsidRDefault="00732E6C">
      <w:pPr>
        <w:rPr>
          <w:rFonts w:cs="Arial"/>
          <w:lang w:val="en-GB"/>
        </w:rPr>
      </w:pPr>
    </w:p>
    <w:p w14:paraId="6ED8618D" w14:textId="77777777" w:rsidR="00732E6C" w:rsidRPr="00F027DD" w:rsidRDefault="00732E6C">
      <w:pPr>
        <w:rPr>
          <w:rFonts w:cs="Arial"/>
          <w:lang w:val="en-GB"/>
        </w:rPr>
      </w:pPr>
    </w:p>
    <w:p w14:paraId="7E234060" w14:textId="77777777" w:rsidR="00EA7EBB" w:rsidRPr="00F027DD" w:rsidRDefault="00EA7EBB">
      <w:pPr>
        <w:spacing w:after="200" w:line="276" w:lineRule="auto"/>
        <w:jc w:val="left"/>
        <w:rPr>
          <w:rFonts w:eastAsia="SimSun" w:cs="Arial"/>
          <w:b/>
          <w:bCs/>
          <w:color w:val="000000"/>
          <w:sz w:val="28"/>
          <w:szCs w:val="28"/>
        </w:rPr>
      </w:pPr>
      <w:r w:rsidRPr="00F027DD">
        <w:rPr>
          <w:rFonts w:cs="Arial"/>
        </w:rPr>
        <w:br w:type="page"/>
      </w:r>
    </w:p>
    <w:p w14:paraId="2969A148" w14:textId="77777777" w:rsidR="00732E6C" w:rsidRPr="00750B9A" w:rsidRDefault="00DF099F">
      <w:pPr>
        <w:pStyle w:val="Heading1"/>
        <w:rPr>
          <w:rFonts w:cs="Arial"/>
          <w:color w:val="auto"/>
        </w:rPr>
      </w:pPr>
      <w:bookmarkStart w:id="65" w:name="_Toc220668546"/>
      <w:r w:rsidRPr="00750B9A">
        <w:rPr>
          <w:rFonts w:cs="Arial"/>
          <w:color w:val="auto"/>
        </w:rPr>
        <w:lastRenderedPageBreak/>
        <w:t>Chapter 4 Results</w:t>
      </w:r>
      <w:bookmarkEnd w:id="65"/>
    </w:p>
    <w:p w14:paraId="545D0B1E" w14:textId="77777777" w:rsidR="00732E6C" w:rsidRPr="00750B9A" w:rsidRDefault="00DF099F">
      <w:pPr>
        <w:pStyle w:val="Heading2"/>
        <w:rPr>
          <w:rFonts w:cs="Arial"/>
          <w:color w:val="auto"/>
        </w:rPr>
      </w:pPr>
      <w:bookmarkStart w:id="66" w:name="_Toc220668547"/>
      <w:r w:rsidRPr="00750B9A">
        <w:rPr>
          <w:rFonts w:cs="Arial"/>
          <w:color w:val="auto"/>
        </w:rPr>
        <w:t>4.1 Introduction</w:t>
      </w:r>
      <w:bookmarkEnd w:id="66"/>
    </w:p>
    <w:p w14:paraId="10804E13" w14:textId="77777777" w:rsidR="00DF099F" w:rsidRPr="00750B9A" w:rsidRDefault="00DF099F" w:rsidP="00DF099F">
      <w:pPr>
        <w:rPr>
          <w:rFonts w:cs="Arial"/>
        </w:rPr>
      </w:pPr>
      <w:r w:rsidRPr="00750B9A">
        <w:rPr>
          <w:rFonts w:cs="Arial"/>
        </w:rPr>
        <w:t xml:space="preserve">This chapter of the study presents the findings of the systematic literature review, which has been conducted to effectively examine the effectiveness of NTCP in reducing tobacco-related CHD risks among the young urban population in India. Results were derived from the 15 selected studies that effectively met the inclusion criteria following quality appraisal and PRISMA-guided screening. This chapter outlines the research outcomes, provides an overview of thematic coding, and describes the characteristics of data extraction. Moreover, this chapter also presents the thematic findings synthesised from the selected literature review, which is followed by a summary of key results and a brief conclusion as well. </w:t>
      </w:r>
    </w:p>
    <w:p w14:paraId="253FF004" w14:textId="77777777" w:rsidR="00732E6C" w:rsidRPr="00750B9A" w:rsidRDefault="00DF099F" w:rsidP="00DF099F">
      <w:pPr>
        <w:pStyle w:val="Heading2"/>
        <w:rPr>
          <w:rFonts w:cs="Arial"/>
          <w:color w:val="auto"/>
        </w:rPr>
      </w:pPr>
      <w:bookmarkStart w:id="67" w:name="_Toc220668548"/>
      <w:r w:rsidRPr="00750B9A">
        <w:rPr>
          <w:rFonts w:cs="Arial"/>
          <w:color w:val="auto"/>
        </w:rPr>
        <w:t>4</w:t>
      </w:r>
      <w:r w:rsidR="00250983" w:rsidRPr="00750B9A">
        <w:rPr>
          <w:rFonts w:cs="Arial"/>
          <w:color w:val="auto"/>
        </w:rPr>
        <w:t>.2</w:t>
      </w:r>
      <w:r w:rsidRPr="00750B9A">
        <w:rPr>
          <w:rFonts w:cs="Arial"/>
          <w:color w:val="auto"/>
        </w:rPr>
        <w:t xml:space="preserve"> Data extraction</w:t>
      </w:r>
      <w:bookmarkEnd w:id="67"/>
    </w:p>
    <w:p w14:paraId="20E79D60" w14:textId="77777777" w:rsidR="00732E6C" w:rsidRPr="00750B9A" w:rsidRDefault="00DF099F">
      <w:pPr>
        <w:rPr>
          <w:rFonts w:cs="Arial"/>
        </w:rPr>
      </w:pPr>
      <w:r w:rsidRPr="00750B9A">
        <w:rPr>
          <w:rFonts w:cs="Arial"/>
        </w:rPr>
        <w:t xml:space="preserve">Data extraction especially in systematic reviews can prove to be crucial process of systematically collecting, organising, and recording of the key information from the selected studies into a structured format (Schmidt </w:t>
      </w:r>
      <w:r w:rsidRPr="00750B9A">
        <w:rPr>
          <w:rFonts w:cs="Arial"/>
          <w:i/>
          <w:iCs/>
        </w:rPr>
        <w:t>et.al</w:t>
      </w:r>
      <w:r w:rsidRPr="00750B9A">
        <w:rPr>
          <w:rFonts w:cs="Arial"/>
        </w:rPr>
        <w:t xml:space="preserve"> 2025). Within the study, data extraction is conducted by using a standardised and structured extraction form to effectively ensure consistency across studies. Some of the important characteristics extracted included authorship, geographical setting, year of publication, sample characteristics, study design, tobacco use outcomes, NTCP intervention, and coronary heart disease risk indicators. In addition to that, data is also collected on determinants of tobacco use, cardiovascular biomarkers, implementation challenges, and cessation outcomes. The publication years of those studies that were included in the study ranged from 2011 to 2025, and most of the studies that were selected generally focused on the urban populations in metropolitan cities of the country, such as Kolkata, Bangalore, Mumbai, Chandigarh, and Delhi. The majority examined the behavioural outcomes such as cessation attempts, awareness levels, smoking prevalence, and more. </w:t>
      </w:r>
    </w:p>
    <w:p w14:paraId="708D3022" w14:textId="77777777" w:rsidR="00732E6C" w:rsidRPr="00750B9A" w:rsidRDefault="00DF099F">
      <w:pPr>
        <w:pStyle w:val="Heading2"/>
        <w:rPr>
          <w:rFonts w:cs="Arial"/>
          <w:color w:val="auto"/>
        </w:rPr>
      </w:pPr>
      <w:bookmarkStart w:id="68" w:name="_Toc220668549"/>
      <w:r w:rsidRPr="00750B9A">
        <w:rPr>
          <w:rFonts w:cs="Arial"/>
          <w:color w:val="auto"/>
        </w:rPr>
        <w:t>4.</w:t>
      </w:r>
      <w:r w:rsidR="00250983" w:rsidRPr="00750B9A">
        <w:rPr>
          <w:rFonts w:cs="Arial"/>
          <w:color w:val="auto"/>
        </w:rPr>
        <w:t>3</w:t>
      </w:r>
      <w:r w:rsidRPr="00750B9A">
        <w:rPr>
          <w:rFonts w:cs="Arial"/>
          <w:color w:val="auto"/>
        </w:rPr>
        <w:t xml:space="preserve"> Thematic coding overview</w:t>
      </w:r>
      <w:bookmarkEnd w:id="68"/>
    </w:p>
    <w:p w14:paraId="737C7465" w14:textId="77777777" w:rsidR="00732E6C" w:rsidRPr="00902245" w:rsidRDefault="00DF099F">
      <w:r w:rsidRPr="00750B9A">
        <w:rPr>
          <w:rFonts w:cs="Arial"/>
        </w:rPr>
        <w:t xml:space="preserve">Thematic analysis and the following data extraction are applied to </w:t>
      </w:r>
      <w:r w:rsidR="00902245" w:rsidRPr="00750B9A">
        <w:rPr>
          <w:rFonts w:cs="Arial"/>
        </w:rPr>
        <w:t>synthesize</w:t>
      </w:r>
      <w:r w:rsidRPr="00750B9A">
        <w:rPr>
          <w:rFonts w:cs="Arial"/>
        </w:rPr>
        <w:t xml:space="preserve"> the findings across heterogeneous studies</w:t>
      </w:r>
      <w:r w:rsidR="00902245">
        <w:rPr>
          <w:rFonts w:cs="Arial"/>
        </w:rPr>
        <w:t xml:space="preserve"> (</w:t>
      </w:r>
      <w:r w:rsidR="00902245" w:rsidRPr="009B36AD">
        <w:rPr>
          <w:rFonts w:cs="Arial"/>
        </w:rPr>
        <w:t>Bowman</w:t>
      </w:r>
      <w:r w:rsidR="00902245">
        <w:rPr>
          <w:rFonts w:cs="Arial"/>
        </w:rPr>
        <w:t xml:space="preserve"> </w:t>
      </w:r>
      <w:r w:rsidR="00902245" w:rsidRPr="00902245">
        <w:rPr>
          <w:rFonts w:cs="Arial"/>
          <w:i/>
        </w:rPr>
        <w:t>et.al</w:t>
      </w:r>
      <w:r w:rsidR="00902245" w:rsidRPr="009B36AD">
        <w:rPr>
          <w:rFonts w:cs="Arial"/>
        </w:rPr>
        <w:t xml:space="preserve"> 2023</w:t>
      </w:r>
      <w:r w:rsidR="00902245">
        <w:rPr>
          <w:rFonts w:cs="Arial"/>
        </w:rPr>
        <w:t>)</w:t>
      </w:r>
      <w:r w:rsidRPr="00750B9A">
        <w:rPr>
          <w:rFonts w:cs="Arial"/>
        </w:rPr>
        <w:t xml:space="preserve">. In this case, an inductive coding approach has been adopted where concepts and repeated patterns were identified across the literature. At the initial stage, open coding generated different codes related to the tobacco behaviour, CHD risk factors, policy outcomes, and NTCP implementation. Thus, these codes were grouped into broader analytical themes as mentioned below. </w:t>
      </w:r>
    </w:p>
    <w:p w14:paraId="088A4433" w14:textId="77777777" w:rsidR="00181470" w:rsidRPr="00750B9A" w:rsidRDefault="00181470" w:rsidP="00181470">
      <w:pPr>
        <w:pStyle w:val="ListParagraph"/>
        <w:numPr>
          <w:ilvl w:val="0"/>
          <w:numId w:val="44"/>
        </w:numPr>
        <w:rPr>
          <w:rFonts w:cs="Arial"/>
        </w:rPr>
      </w:pPr>
      <w:r w:rsidRPr="00750B9A">
        <w:rPr>
          <w:rFonts w:cs="Arial"/>
        </w:rPr>
        <w:t>Patterns and prevalence of tobacco use among young adults in urban India</w:t>
      </w:r>
    </w:p>
    <w:p w14:paraId="3B671598" w14:textId="77777777" w:rsidR="00181470" w:rsidRPr="00750B9A" w:rsidRDefault="00181470" w:rsidP="00181470">
      <w:pPr>
        <w:pStyle w:val="ListParagraph"/>
        <w:numPr>
          <w:ilvl w:val="0"/>
          <w:numId w:val="44"/>
        </w:numPr>
        <w:rPr>
          <w:rFonts w:cs="Arial"/>
        </w:rPr>
      </w:pPr>
      <w:r w:rsidRPr="00750B9A">
        <w:rPr>
          <w:rFonts w:cs="Arial"/>
        </w:rPr>
        <w:t>Socio-behavioural determinants of tobacco use</w:t>
      </w:r>
    </w:p>
    <w:p w14:paraId="7CB4437A" w14:textId="77777777" w:rsidR="00181470" w:rsidRPr="00750B9A" w:rsidRDefault="00181470" w:rsidP="00181470">
      <w:pPr>
        <w:pStyle w:val="ListParagraph"/>
        <w:numPr>
          <w:ilvl w:val="0"/>
          <w:numId w:val="44"/>
        </w:numPr>
        <w:rPr>
          <w:rFonts w:cs="Arial"/>
        </w:rPr>
      </w:pPr>
      <w:r w:rsidRPr="00750B9A">
        <w:rPr>
          <w:rFonts w:cs="Arial"/>
        </w:rPr>
        <w:lastRenderedPageBreak/>
        <w:t>Association between tobacco use and early coronary heart disease risk</w:t>
      </w:r>
    </w:p>
    <w:p w14:paraId="2A8DA8AA" w14:textId="77777777" w:rsidR="00181470" w:rsidRPr="00750B9A" w:rsidRDefault="00181470" w:rsidP="00181470">
      <w:pPr>
        <w:pStyle w:val="ListParagraph"/>
        <w:numPr>
          <w:ilvl w:val="0"/>
          <w:numId w:val="44"/>
        </w:numPr>
        <w:rPr>
          <w:rFonts w:cs="Arial"/>
        </w:rPr>
      </w:pPr>
      <w:r w:rsidRPr="00750B9A">
        <w:rPr>
          <w:rFonts w:cs="Arial"/>
        </w:rPr>
        <w:t>Effectiveness of NTCP interventions in promoting awareness and smoking cessation</w:t>
      </w:r>
    </w:p>
    <w:p w14:paraId="178C59A7" w14:textId="77777777" w:rsidR="00181470" w:rsidRPr="00750B9A" w:rsidRDefault="00181470" w:rsidP="00F027DD">
      <w:pPr>
        <w:pStyle w:val="ListParagraph"/>
        <w:numPr>
          <w:ilvl w:val="0"/>
          <w:numId w:val="44"/>
        </w:numPr>
        <w:rPr>
          <w:rFonts w:cs="Arial"/>
        </w:rPr>
      </w:pPr>
      <w:r w:rsidRPr="00750B9A">
        <w:rPr>
          <w:rFonts w:cs="Arial"/>
        </w:rPr>
        <w:t>Implementation barriers and enablers of NTCP policies</w:t>
      </w:r>
    </w:p>
    <w:p w14:paraId="7E58119D" w14:textId="77777777" w:rsidR="00732E6C" w:rsidRPr="00750B9A" w:rsidRDefault="00250983">
      <w:pPr>
        <w:pStyle w:val="Heading2"/>
        <w:rPr>
          <w:rFonts w:cs="Arial"/>
          <w:color w:val="auto"/>
        </w:rPr>
      </w:pPr>
      <w:bookmarkStart w:id="69" w:name="_Toc220668550"/>
      <w:r w:rsidRPr="00750B9A">
        <w:rPr>
          <w:rFonts w:cs="Arial"/>
          <w:color w:val="auto"/>
        </w:rPr>
        <w:t>4.4</w:t>
      </w:r>
      <w:r w:rsidR="00DF099F" w:rsidRPr="00750B9A">
        <w:rPr>
          <w:rFonts w:cs="Arial"/>
          <w:color w:val="auto"/>
        </w:rPr>
        <w:t xml:space="preserve"> Thematic findings</w:t>
      </w:r>
      <w:bookmarkEnd w:id="69"/>
    </w:p>
    <w:p w14:paraId="13A8ABD9" w14:textId="77777777" w:rsidR="00732E6C" w:rsidRPr="00750B9A" w:rsidRDefault="00DF099F">
      <w:pPr>
        <w:pStyle w:val="Heading3"/>
        <w:rPr>
          <w:rFonts w:cs="Arial"/>
          <w:color w:val="auto"/>
        </w:rPr>
      </w:pPr>
      <w:bookmarkStart w:id="70" w:name="_Toc220668551"/>
      <w:r w:rsidRPr="00750B9A">
        <w:rPr>
          <w:rFonts w:cs="Arial"/>
          <w:color w:val="auto"/>
        </w:rPr>
        <w:t>Research objective 1</w:t>
      </w:r>
      <w:bookmarkEnd w:id="70"/>
    </w:p>
    <w:p w14:paraId="48D56864" w14:textId="77777777" w:rsidR="00732E6C" w:rsidRPr="00750B9A" w:rsidRDefault="00DF099F">
      <w:pPr>
        <w:rPr>
          <w:rFonts w:cs="Arial"/>
          <w:lang w:val="en-GB"/>
        </w:rPr>
      </w:pPr>
      <w:r w:rsidRPr="00750B9A">
        <w:rPr>
          <w:rFonts w:cs="Arial"/>
          <w:lang w:val="en-GB"/>
        </w:rPr>
        <w:t>To explore the determinants of tobacco, use among young adults in urban India and how these factors contribute to early coronary heart disease risk.</w:t>
      </w:r>
    </w:p>
    <w:p w14:paraId="3E12A5E3" w14:textId="77777777" w:rsidR="00732E6C" w:rsidRPr="00750B9A" w:rsidRDefault="00DF099F">
      <w:pPr>
        <w:pStyle w:val="Heading3"/>
        <w:rPr>
          <w:rFonts w:cs="Arial"/>
          <w:color w:val="auto"/>
          <w:lang w:val="en-GB"/>
        </w:rPr>
      </w:pPr>
      <w:bookmarkStart w:id="71" w:name="_Toc220668552"/>
      <w:r w:rsidRPr="00750B9A">
        <w:rPr>
          <w:rFonts w:cs="Arial"/>
          <w:color w:val="auto"/>
          <w:lang w:val="en-GB"/>
        </w:rPr>
        <w:t>Theme 1: Smoking prevalence in young adult in India is very high</w:t>
      </w:r>
      <w:bookmarkEnd w:id="71"/>
    </w:p>
    <w:p w14:paraId="6C72BBF8" w14:textId="77777777" w:rsidR="00732E6C" w:rsidRPr="00750B9A" w:rsidRDefault="00DF099F">
      <w:pPr>
        <w:rPr>
          <w:rFonts w:cs="Arial"/>
          <w:lang w:val="en-GB"/>
        </w:rPr>
      </w:pPr>
      <w:r w:rsidRPr="00750B9A">
        <w:rPr>
          <w:rFonts w:cs="Arial"/>
          <w:lang w:val="en-GB"/>
        </w:rPr>
        <w:t>The use of tobacco is a significant public health issue in India and it is still one of the primary causes of early death, especially in low- and middle-income countries where the health burden associated with tobacco use is the greatest (</w:t>
      </w:r>
      <w:r w:rsidRPr="00750B9A">
        <w:rPr>
          <w:rFonts w:cs="Arial"/>
        </w:rPr>
        <w:t xml:space="preserve">Verma </w:t>
      </w:r>
      <w:r w:rsidRPr="00750B9A">
        <w:rPr>
          <w:rFonts w:cs="Arial"/>
          <w:i/>
          <w:iCs/>
        </w:rPr>
        <w:t>et al</w:t>
      </w:r>
      <w:r w:rsidRPr="00750B9A">
        <w:rPr>
          <w:rFonts w:cs="Arial"/>
        </w:rPr>
        <w:t>., 2023</w:t>
      </w:r>
      <w:r w:rsidRPr="00750B9A">
        <w:rPr>
          <w:rFonts w:cs="Arial"/>
          <w:lang w:val="en-GB"/>
        </w:rPr>
        <w:t>).Globally, one million deaths are attributed to tobacco use in India alone, which is about 9.5 percent of all deaths. The magnitude of this burden underscores the prevalence and chronicity of the phenomenon of tobacco use among the general population and among young adults who are getting more and more exposed to smoking and smokeless tobacco products (</w:t>
      </w:r>
      <w:r w:rsidRPr="00750B9A">
        <w:rPr>
          <w:rFonts w:cs="Arial"/>
        </w:rPr>
        <w:t>Bharati, Sahu and Pati, 2023</w:t>
      </w:r>
      <w:r w:rsidRPr="00750B9A">
        <w:rPr>
          <w:rFonts w:cs="Arial"/>
          <w:lang w:val="en-GB"/>
        </w:rPr>
        <w:t>).</w:t>
      </w:r>
    </w:p>
    <w:p w14:paraId="08A21661" w14:textId="77777777" w:rsidR="00732E6C" w:rsidRPr="00750B9A" w:rsidRDefault="00DF099F">
      <w:pPr>
        <w:rPr>
          <w:rFonts w:cs="Arial"/>
          <w:lang w:val="en-GB"/>
        </w:rPr>
      </w:pPr>
      <w:r w:rsidRPr="00750B9A">
        <w:rPr>
          <w:rFonts w:cs="Arial"/>
          <w:lang w:val="en-GB"/>
        </w:rPr>
        <w:t>According to nationally representative data of the Global Adult Tobacco Survey (GATS) 2016-17, 28.6 percent of Indian adults are currently tobacco smokers, with 10.38 percent of the population reporting smoking, and 21.38 percent of the population reporting smokeless tobacco use. There are significant gender differences with 42.4 percent of men and 14.2 percent of women reporting to be current tobacco users (</w:t>
      </w:r>
      <w:r w:rsidRPr="00750B9A">
        <w:rPr>
          <w:rFonts w:cs="Arial"/>
          <w:szCs w:val="24"/>
        </w:rPr>
        <w:t>Rai and Bramhankar, 2021</w:t>
      </w:r>
      <w:r w:rsidRPr="00750B9A">
        <w:rPr>
          <w:rFonts w:cs="Arial"/>
          <w:lang w:val="en-GB"/>
        </w:rPr>
        <w:t>). National Family Health Survey (NFHS-5, 2019-20), which is one of the largest and most credible health data in India, also supports the high prevalence of tobacco use among states, although there are general decreases.</w:t>
      </w:r>
    </w:p>
    <w:p w14:paraId="4D412F53" w14:textId="77777777" w:rsidR="00732E6C" w:rsidRPr="00750B9A" w:rsidRDefault="00DF099F">
      <w:pPr>
        <w:rPr>
          <w:rFonts w:cs="Arial"/>
          <w:lang w:val="en-GB"/>
        </w:rPr>
      </w:pPr>
      <w:r w:rsidRPr="00750B9A">
        <w:rPr>
          <w:rFonts w:cs="Arial"/>
          <w:lang w:val="en-GB"/>
        </w:rPr>
        <w:t>The comparison of NFHS-5 and GATS data indicates that most states have reduced tobacco use in men; however, there are some states with an upward or a stagnating trend, including Bihar, Gujarat, Himachal Pradesh, Sikkim, Goa, and Mizoram. In women, the decreases are noted in most areas, but in Mizoram and Sikkim, the prevalence is still rising. The north-eastern states are especially worrying, as male and female tobacco consumption are very high (</w:t>
      </w:r>
      <w:r w:rsidRPr="00750B9A">
        <w:rPr>
          <w:rFonts w:cs="Arial"/>
        </w:rPr>
        <w:t xml:space="preserve">Murmu </w:t>
      </w:r>
      <w:r w:rsidRPr="00750B9A">
        <w:rPr>
          <w:rFonts w:cs="Arial"/>
          <w:i/>
          <w:iCs/>
        </w:rPr>
        <w:t>et al</w:t>
      </w:r>
      <w:r w:rsidRPr="00750B9A">
        <w:rPr>
          <w:rFonts w:cs="Arial"/>
        </w:rPr>
        <w:t>., 2023</w:t>
      </w:r>
      <w:r w:rsidRPr="00750B9A">
        <w:rPr>
          <w:rFonts w:cs="Arial"/>
          <w:lang w:val="en-GB"/>
        </w:rPr>
        <w:t>).</w:t>
      </w:r>
    </w:p>
    <w:p w14:paraId="58C163CF" w14:textId="77777777" w:rsidR="00732E6C" w:rsidRPr="00750B9A" w:rsidRDefault="00DF099F">
      <w:pPr>
        <w:pStyle w:val="Heading3"/>
        <w:rPr>
          <w:rFonts w:cs="Arial"/>
          <w:color w:val="auto"/>
          <w:lang w:val="en-GB"/>
        </w:rPr>
      </w:pPr>
      <w:bookmarkStart w:id="72" w:name="_Toc220668553"/>
      <w:r w:rsidRPr="00750B9A">
        <w:rPr>
          <w:rFonts w:cs="Arial"/>
          <w:color w:val="auto"/>
          <w:lang w:val="en-GB"/>
        </w:rPr>
        <w:t>Theme 2 Family history and peer pressure are key determinants of tobacco use in young adults in India</w:t>
      </w:r>
      <w:bookmarkEnd w:id="72"/>
    </w:p>
    <w:p w14:paraId="0E1EE22E" w14:textId="77777777" w:rsidR="00732E6C" w:rsidRPr="00750B9A" w:rsidRDefault="00DF099F">
      <w:pPr>
        <w:rPr>
          <w:rFonts w:cs="Arial"/>
          <w:lang w:val="en-GB"/>
        </w:rPr>
      </w:pPr>
      <w:r w:rsidRPr="00750B9A">
        <w:rPr>
          <w:rFonts w:cs="Arial"/>
        </w:rPr>
        <w:t xml:space="preserve">The role of family history and peer influence in influencing tobacco use behaviours among young adults in India is critical especially at the transitional stage between adolescence and early adulthood. It has been proved time and again that young adults tend to try tobacco more </w:t>
      </w:r>
      <w:r w:rsidRPr="00750B9A">
        <w:rPr>
          <w:rFonts w:cs="Arial"/>
        </w:rPr>
        <w:lastRenderedPageBreak/>
        <w:t xml:space="preserve">when they observe its usage in their immediate social and family circles (Khambayat </w:t>
      </w:r>
      <w:r w:rsidRPr="00750B9A">
        <w:rPr>
          <w:rFonts w:cs="Arial"/>
          <w:i/>
          <w:iCs/>
        </w:rPr>
        <w:t>et al</w:t>
      </w:r>
      <w:r w:rsidRPr="00750B9A">
        <w:rPr>
          <w:rFonts w:cs="Arial"/>
        </w:rPr>
        <w:t>., 2023).</w:t>
      </w:r>
    </w:p>
    <w:p w14:paraId="51D7BA5A" w14:textId="77777777" w:rsidR="00732E6C" w:rsidRPr="00750B9A" w:rsidRDefault="00732E6C">
      <w:pPr>
        <w:rPr>
          <w:rFonts w:cs="Arial"/>
          <w:lang w:val="en-GB"/>
        </w:rPr>
      </w:pPr>
    </w:p>
    <w:p w14:paraId="5C14FF03" w14:textId="45F9910F" w:rsidR="00732E6C" w:rsidRPr="00750B9A" w:rsidRDefault="00DF099F">
      <w:pPr>
        <w:rPr>
          <w:rFonts w:cs="Arial"/>
          <w:lang w:val="en-GB"/>
        </w:rPr>
      </w:pPr>
      <w:r w:rsidRPr="00750B9A">
        <w:rPr>
          <w:rFonts w:cs="Arial"/>
          <w:lang w:val="en-GB"/>
        </w:rPr>
        <w:t>Peer pressure comes out as the most powerful factor of tobacco initiation amongst young users. The chart above indicates that over fifty percent of the respondents (53.19) claimed that they began using tobacco due to the influence of friends. Peer pressure, the need to belong to the peer groups, and the mimicking of the behaviours of friends are the strongest motivational factors that encourage young adults to experiment with tobacco. Also, interest and fascination with tobacco products were reported by 45.74 percent of participants, which means that peer settings tend to normalise experimentation and minimise perceived risk. A lower proportion-initiated tobacco uses as a fun or pleasure activity (7.44%), indicating that the social contexts tend to present tobacco use as a recreational or casual activity, but not as a health-threatening behaviour</w:t>
      </w:r>
      <w:r w:rsidR="002974A9">
        <w:rPr>
          <w:rFonts w:cs="Arial"/>
          <w:lang w:val="en-GB"/>
        </w:rPr>
        <w:t xml:space="preserve"> (NIH, 2025)</w:t>
      </w:r>
      <w:r w:rsidRPr="00750B9A">
        <w:rPr>
          <w:rFonts w:cs="Arial"/>
          <w:lang w:val="en-GB"/>
        </w:rPr>
        <w:t>.</w:t>
      </w:r>
    </w:p>
    <w:p w14:paraId="2C87FAA5" w14:textId="77777777" w:rsidR="00732E6C" w:rsidRPr="00750B9A" w:rsidRDefault="00DF099F">
      <w:pPr>
        <w:rPr>
          <w:rFonts w:cs="Arial"/>
          <w:lang w:val="en-GB"/>
        </w:rPr>
      </w:pPr>
      <w:r w:rsidRPr="00750B9A">
        <w:rPr>
          <w:rFonts w:cs="Arial"/>
          <w:lang w:val="en-GB"/>
        </w:rPr>
        <w:t>The family history is also a reinforcing factor in the initiation and continuation of tobacco use (</w:t>
      </w:r>
      <w:r w:rsidRPr="00750B9A">
        <w:rPr>
          <w:rFonts w:cs="Arial"/>
        </w:rPr>
        <w:t xml:space="preserve">Murmu </w:t>
      </w:r>
      <w:r w:rsidRPr="00750B9A">
        <w:rPr>
          <w:rFonts w:cs="Arial"/>
          <w:i/>
          <w:iCs/>
        </w:rPr>
        <w:t>et al.,</w:t>
      </w:r>
      <w:r w:rsidRPr="00750B9A">
        <w:rPr>
          <w:rFonts w:cs="Arial"/>
        </w:rPr>
        <w:t xml:space="preserve"> 2023</w:t>
      </w:r>
      <w:r w:rsidRPr="00750B9A">
        <w:rPr>
          <w:rFonts w:cs="Arial"/>
          <w:lang w:val="en-GB"/>
        </w:rPr>
        <w:t>). Adolescents growing up in families where tobacco use is practised by their parents or other close relatives have a higher probability of viewing this behaviour as normal or socially appropriate. Exposure in the family not only facilitates the availability of tobacco products but also minimises the psychological barriers to initiation. In other situations, the practises and beliefs like using tobacco as a mouthwash, as reported by 3.19% of respondents, are transmitted across generations, further ingraining the use of tobacco into everyday life (</w:t>
      </w:r>
      <w:r w:rsidRPr="00750B9A">
        <w:rPr>
          <w:rFonts w:cs="Arial"/>
          <w:szCs w:val="24"/>
        </w:rPr>
        <w:t xml:space="preserve">Gangurde </w:t>
      </w:r>
      <w:r w:rsidRPr="00750B9A">
        <w:rPr>
          <w:rFonts w:cs="Arial"/>
          <w:i/>
          <w:iCs/>
          <w:szCs w:val="24"/>
        </w:rPr>
        <w:t>et al.</w:t>
      </w:r>
      <w:r w:rsidRPr="00750B9A">
        <w:rPr>
          <w:rFonts w:cs="Arial"/>
          <w:szCs w:val="24"/>
        </w:rPr>
        <w:t>, 2024</w:t>
      </w:r>
      <w:r w:rsidRPr="00750B9A">
        <w:rPr>
          <w:rFonts w:cs="Arial"/>
          <w:lang w:val="en-GB"/>
        </w:rPr>
        <w:t>). These social determinants in particular need to be tackled to implement successful tobacco prevention and cardiovascular risk reduction in urban India.</w:t>
      </w:r>
    </w:p>
    <w:p w14:paraId="77A75CA3" w14:textId="77777777" w:rsidR="00732E6C" w:rsidRPr="00750B9A" w:rsidRDefault="00DF099F">
      <w:pPr>
        <w:pStyle w:val="Heading3"/>
        <w:rPr>
          <w:rFonts w:cs="Arial"/>
          <w:color w:val="auto"/>
          <w:lang w:val="en-GB"/>
        </w:rPr>
      </w:pPr>
      <w:bookmarkStart w:id="73" w:name="_Toc220668554"/>
      <w:r w:rsidRPr="00750B9A">
        <w:rPr>
          <w:rFonts w:cs="Arial"/>
          <w:color w:val="auto"/>
          <w:lang w:val="en-GB"/>
        </w:rPr>
        <w:t>Theme 3 Nicotine and toxins from tobacco causes early coronary heart disease risk in young adults in India</w:t>
      </w:r>
      <w:bookmarkEnd w:id="73"/>
    </w:p>
    <w:p w14:paraId="6A99CB1B" w14:textId="77777777" w:rsidR="00732E6C" w:rsidRPr="00750B9A" w:rsidRDefault="00DF099F">
      <w:pPr>
        <w:rPr>
          <w:rFonts w:cs="Arial"/>
          <w:lang w:val="en-GB"/>
        </w:rPr>
      </w:pPr>
      <w:r w:rsidRPr="00750B9A">
        <w:rPr>
          <w:rFonts w:cs="Arial"/>
          <w:lang w:val="en-GB"/>
        </w:rPr>
        <w:t>Nicotine and other toxic components of tobacco are the key factors which contribute to the risk of early coronary heart disease (CHD) in young adults in India (</w:t>
      </w:r>
      <w:r w:rsidRPr="00750B9A">
        <w:rPr>
          <w:rFonts w:cs="Arial"/>
        </w:rPr>
        <w:t>Bharati, Sahu and Pati, 2023</w:t>
      </w:r>
      <w:r w:rsidRPr="00750B9A">
        <w:rPr>
          <w:rFonts w:cs="Arial"/>
          <w:lang w:val="en-GB"/>
        </w:rPr>
        <w:t>). Nicotine has strong sympathomimetic effects, which cause both immediate and prolonged physiological changes, which directly load the heart and blood vessels.</w:t>
      </w:r>
    </w:p>
    <w:p w14:paraId="2911A83F" w14:textId="77777777" w:rsidR="00732E6C" w:rsidRPr="00750B9A" w:rsidRDefault="00732E6C">
      <w:pPr>
        <w:keepNext/>
        <w:jc w:val="center"/>
        <w:rPr>
          <w:rFonts w:cs="Arial"/>
        </w:rPr>
      </w:pPr>
    </w:p>
    <w:p w14:paraId="25703FC5" w14:textId="77777777" w:rsidR="00732E6C" w:rsidRPr="00602F85" w:rsidRDefault="00DF099F">
      <w:r w:rsidRPr="00750B9A">
        <w:rPr>
          <w:rFonts w:cs="Arial"/>
          <w:lang w:val="en-GB"/>
        </w:rPr>
        <w:t xml:space="preserve">Nicotine causes a significant increase in blood pressure and heart rate leading to acute tachycardia and hypertension. The sustained stress on the cardiovascular system caused by repeated exposure adds to the myocardial oxygen demand. At the same time nicotine decreases coronary vasodilator reserve, </w:t>
      </w:r>
      <w:r w:rsidR="00602F85" w:rsidRPr="00750B9A">
        <w:rPr>
          <w:rFonts w:cs="Arial"/>
          <w:lang w:val="en-GB"/>
        </w:rPr>
        <w:t>this is the capacity of the heart to augment blood flow in response to stress or exertion</w:t>
      </w:r>
      <w:r w:rsidR="00602F85">
        <w:rPr>
          <w:rFonts w:cs="Arial"/>
          <w:lang w:val="en-GB"/>
        </w:rPr>
        <w:t xml:space="preserve"> (</w:t>
      </w:r>
      <w:r w:rsidR="00602F85" w:rsidRPr="00A24B4E">
        <w:rPr>
          <w:rFonts w:cs="Arial"/>
        </w:rPr>
        <w:t>Gupta and Gupta, 2025</w:t>
      </w:r>
      <w:r w:rsidR="00602F85">
        <w:rPr>
          <w:rFonts w:cs="Arial"/>
          <w:lang w:val="en-GB"/>
        </w:rPr>
        <w:t>)</w:t>
      </w:r>
      <w:r w:rsidR="00602F85" w:rsidRPr="00750B9A">
        <w:rPr>
          <w:rFonts w:cs="Arial"/>
          <w:lang w:val="en-GB"/>
        </w:rPr>
        <w:t>.</w:t>
      </w:r>
      <w:r w:rsidRPr="00750B9A">
        <w:rPr>
          <w:rFonts w:cs="Arial"/>
          <w:lang w:val="en-GB"/>
        </w:rPr>
        <w:t xml:space="preserve"> The resulting imbalance of oxygen </w:t>
      </w:r>
      <w:r w:rsidRPr="00750B9A">
        <w:rPr>
          <w:rFonts w:cs="Arial"/>
          <w:lang w:val="en-GB"/>
        </w:rPr>
        <w:lastRenderedPageBreak/>
        <w:t>needs and supply may trigger myocardial ischaemia, in even young people with no known coronary artery disease.</w:t>
      </w:r>
    </w:p>
    <w:p w14:paraId="5E4B3BF6" w14:textId="77777777" w:rsidR="00732E6C" w:rsidRPr="00750B9A" w:rsidRDefault="00DF099F">
      <w:pPr>
        <w:rPr>
          <w:rFonts w:cs="Arial"/>
          <w:lang w:val="en-GB"/>
        </w:rPr>
      </w:pPr>
      <w:r w:rsidRPr="00750B9A">
        <w:rPr>
          <w:rFonts w:cs="Arial"/>
          <w:lang w:val="en-GB"/>
        </w:rPr>
        <w:t>Nicotine also has a negative influence on vascular activity by raising peripheral vascular resistance and causing vasoconstriction in the cutaneous vessels. Further depleted production and release of nitric oxide, a major mediator of vascular relaxation, further enhances endothelial dysfunction- an early sign of atherosclerosis (</w:t>
      </w:r>
      <w:r w:rsidRPr="00750B9A">
        <w:rPr>
          <w:rFonts w:cs="Arial"/>
        </w:rPr>
        <w:t xml:space="preserve">Khambayat </w:t>
      </w:r>
      <w:r w:rsidRPr="00750B9A">
        <w:rPr>
          <w:rFonts w:cs="Arial"/>
          <w:i/>
          <w:iCs/>
        </w:rPr>
        <w:t>et al</w:t>
      </w:r>
      <w:r w:rsidRPr="00750B9A">
        <w:rPr>
          <w:rFonts w:cs="Arial"/>
        </w:rPr>
        <w:t>., 2023</w:t>
      </w:r>
      <w:r w:rsidRPr="00750B9A">
        <w:rPr>
          <w:rFonts w:cs="Arial"/>
          <w:lang w:val="en-GB"/>
        </w:rPr>
        <w:t xml:space="preserve">). </w:t>
      </w:r>
    </w:p>
    <w:p w14:paraId="07482C94" w14:textId="77777777" w:rsidR="00D3497C" w:rsidRPr="00750B9A" w:rsidRDefault="00DF099F" w:rsidP="00602F85">
      <w:pPr>
        <w:rPr>
          <w:lang w:val="en-GB"/>
        </w:rPr>
      </w:pPr>
      <w:r w:rsidRPr="00750B9A">
        <w:rPr>
          <w:lang w:val="en-GB"/>
        </w:rPr>
        <w:t>Tobacco-related metabolic derangements also increase cardiovascular risk. Nicotine elevates both the total and low-density lipoprotein (LDL) cholesterol, which hastens atherosclerotic plaque formation. Another reported effect is increased insulin resistance, which leads to metabolic dysregulation and macrovascular complications. In India, CHD risk in young adults is greatly increased by a long-term exposure to these mechanisms.</w:t>
      </w:r>
    </w:p>
    <w:p w14:paraId="76E2E5EE" w14:textId="77777777" w:rsidR="00D3497C" w:rsidRPr="00750B9A" w:rsidRDefault="00D3497C" w:rsidP="00602F85">
      <w:pPr>
        <w:rPr>
          <w:b/>
          <w:bCs/>
          <w:lang w:val="en-GB"/>
        </w:rPr>
      </w:pPr>
      <w:r w:rsidRPr="00750B9A">
        <w:rPr>
          <w:b/>
          <w:bCs/>
          <w:lang w:val="en-GB"/>
        </w:rPr>
        <w:t>Theme 1: Persistent high tobacco use among urban young adults in India</w:t>
      </w:r>
    </w:p>
    <w:p w14:paraId="799BD631" w14:textId="77777777" w:rsidR="00D3497C" w:rsidRPr="00750B9A" w:rsidRDefault="00D3497C" w:rsidP="00602F85">
      <w:pPr>
        <w:rPr>
          <w:lang w:val="en-GB"/>
        </w:rPr>
      </w:pPr>
      <w:r w:rsidRPr="00750B9A">
        <w:rPr>
          <w:lang w:val="en-GB"/>
        </w:rPr>
        <w:t>Across the included studies, tobacco use among young adults in urban India was consistently identified as prevalent, indicating that tobacco consumption remains a significant behavioural risk factor despite the presence of national tobacco control policies. Analyses drawing on large nationally representative datasets, including the Global Adult Tobacco Survey (GATS 2016–17) and the National Family Health Survey (NFHS-5, 2019–20), reported substantial levels of both smoked and smokeless tobacco use among adults, with young adults forming a notable proportion of current users (Rai and Bramhankar, 2021; Murmu et al., 2023).</w:t>
      </w:r>
    </w:p>
    <w:p w14:paraId="6A750405" w14:textId="77777777" w:rsidR="00D3497C" w:rsidRPr="00750B9A" w:rsidRDefault="00D3497C" w:rsidP="00D3497C">
      <w:pPr>
        <w:rPr>
          <w:rFonts w:cs="Arial"/>
          <w:lang w:val="en-GB"/>
        </w:rPr>
      </w:pPr>
    </w:p>
    <w:p w14:paraId="26281526" w14:textId="77777777" w:rsidR="00D3497C" w:rsidRPr="00750B9A" w:rsidRDefault="00D3497C" w:rsidP="00D3497C">
      <w:pPr>
        <w:rPr>
          <w:rFonts w:cs="Arial"/>
          <w:lang w:val="en-GB"/>
        </w:rPr>
      </w:pPr>
      <w:r w:rsidRPr="00750B9A">
        <w:rPr>
          <w:rFonts w:cs="Arial"/>
          <w:lang w:val="en-GB"/>
        </w:rPr>
        <w:t>Several studies highlighted important regional and gender-based variations in prevalence. Rai and Bramhankar (2021), using GATS data, reported markedly higher tobacco use among men compared with women, a pattern consistently observed across the included studies. Murmu et al. (2023) further identified that while overall national prevalence has declined, urban areas in certain states—particularly in the north-eastern region—continue to demonstrate stagnating or rising tobacco use. These findings suggest that national-level reductions may mask persistent sub-national and urban inequalities.</w:t>
      </w:r>
    </w:p>
    <w:p w14:paraId="6AC02AC5" w14:textId="77777777" w:rsidR="00D3497C" w:rsidRPr="00750B9A" w:rsidRDefault="00D3497C" w:rsidP="00D3497C">
      <w:pPr>
        <w:rPr>
          <w:rFonts w:cs="Arial"/>
          <w:lang w:val="en-GB"/>
        </w:rPr>
      </w:pPr>
    </w:p>
    <w:p w14:paraId="6935AAD8" w14:textId="1A323AB4" w:rsidR="00D3497C" w:rsidRPr="00750B9A" w:rsidRDefault="00D3497C" w:rsidP="00D3497C">
      <w:pPr>
        <w:rPr>
          <w:rFonts w:cs="Arial"/>
          <w:lang w:val="en-GB"/>
        </w:rPr>
      </w:pPr>
      <w:r w:rsidRPr="00750B9A">
        <w:rPr>
          <w:rFonts w:cs="Arial"/>
          <w:lang w:val="en-GB"/>
        </w:rPr>
        <w:t>However, the strength of this evidence is moderated by methodological limitations common across the included studies. First, most prevalence estimates were derived from cross-sectional survey data, limiting the ability to infer trends over time or establish causal relationships between policy implementation and changes in tobacco use</w:t>
      </w:r>
      <w:r w:rsidR="008B652E">
        <w:rPr>
          <w:rFonts w:cs="Arial"/>
          <w:lang w:val="en-GB"/>
        </w:rPr>
        <w:t xml:space="preserve"> (Bann </w:t>
      </w:r>
      <w:r w:rsidR="008B652E">
        <w:rPr>
          <w:rFonts w:cs="Arial"/>
          <w:i/>
          <w:lang w:val="en-GB"/>
        </w:rPr>
        <w:t>et</w:t>
      </w:r>
      <w:r w:rsidR="00751F3F">
        <w:rPr>
          <w:rFonts w:cs="Arial"/>
          <w:i/>
          <w:lang w:val="en-GB"/>
        </w:rPr>
        <w:t xml:space="preserve"> al.</w:t>
      </w:r>
      <w:r w:rsidR="008B652E">
        <w:rPr>
          <w:rFonts w:cs="Arial"/>
          <w:i/>
          <w:lang w:val="en-GB"/>
        </w:rPr>
        <w:t xml:space="preserve"> </w:t>
      </w:r>
      <w:r w:rsidR="008B652E">
        <w:rPr>
          <w:rFonts w:cs="Arial"/>
          <w:lang w:val="en-GB"/>
        </w:rPr>
        <w:t>2022)</w:t>
      </w:r>
      <w:r w:rsidRPr="00750B9A">
        <w:rPr>
          <w:rFonts w:cs="Arial"/>
          <w:lang w:val="en-GB"/>
        </w:rPr>
        <w:t xml:space="preserve">. Second, reliance on self-reported tobacco consumption introduces the risk of reporting bias, particularly among young adults and women, where social desirability may lead to under-reporting. Third, </w:t>
      </w:r>
      <w:r w:rsidRPr="00750B9A">
        <w:rPr>
          <w:rFonts w:cs="Arial"/>
          <w:lang w:val="en-GB"/>
        </w:rPr>
        <w:lastRenderedPageBreak/>
        <w:t>while the surveys included urban samples, several studies did not disaggregate findings specifically for the 18–35 age group, potentially obscuring age-specific patterns of tobacco use relevant to early coronary heart disease (CHD) risk.</w:t>
      </w:r>
    </w:p>
    <w:p w14:paraId="4AE81428" w14:textId="77777777" w:rsidR="00D3497C" w:rsidRPr="00750B9A" w:rsidRDefault="00D3497C" w:rsidP="00D3497C">
      <w:pPr>
        <w:rPr>
          <w:rFonts w:cs="Arial"/>
          <w:lang w:val="en-GB"/>
        </w:rPr>
      </w:pPr>
      <w:r w:rsidRPr="00750B9A">
        <w:rPr>
          <w:rFonts w:cs="Arial"/>
          <w:lang w:val="en-GB"/>
        </w:rPr>
        <w:t>Despite these limitations, the consistency of findings across multiple large-scale datasets strengthens the overall conclusion that tobacco use among young adults in urban India remains a persistent public health concern. The included studies collectively indicate that continued exposure to tobacco during early adulthood may contribute to the accumulation of cardiovascular risk over the life course. Importantly, the evidence suggests that existing tobacco control measures, including those under the National Tobacco Control Programme (NTCP), may not be sufficiently effective in reducing tobacco use within specific urban and demographic subgroups, highlighting the need for more targeted, age-specific interventions.</w:t>
      </w:r>
    </w:p>
    <w:p w14:paraId="445A2DC1" w14:textId="77777777" w:rsidR="00D3497C" w:rsidRPr="00750B9A" w:rsidRDefault="00D3497C" w:rsidP="00940400">
      <w:pPr>
        <w:rPr>
          <w:rFonts w:cs="Arial"/>
          <w:lang w:val="en-GB"/>
        </w:rPr>
      </w:pPr>
    </w:p>
    <w:p w14:paraId="529A1C2E" w14:textId="77777777" w:rsidR="00D3497C" w:rsidRPr="00750B9A" w:rsidRDefault="00D3497C" w:rsidP="00D3497C">
      <w:pPr>
        <w:rPr>
          <w:rFonts w:cs="Arial"/>
          <w:b/>
          <w:bCs/>
          <w:lang w:val="en-GB"/>
        </w:rPr>
      </w:pPr>
      <w:r w:rsidRPr="00750B9A">
        <w:rPr>
          <w:rFonts w:cs="Arial"/>
          <w:b/>
          <w:bCs/>
          <w:lang w:val="en-GB"/>
        </w:rPr>
        <w:t>Theme 2: Social and familial influences as key determinants of tobacco use among young adults</w:t>
      </w:r>
    </w:p>
    <w:p w14:paraId="7D37ED18" w14:textId="77777777" w:rsidR="00D3497C" w:rsidRPr="00750B9A" w:rsidRDefault="00D3497C" w:rsidP="00D3497C">
      <w:pPr>
        <w:rPr>
          <w:rFonts w:cs="Arial"/>
          <w:lang w:val="en-GB"/>
        </w:rPr>
      </w:pPr>
      <w:r w:rsidRPr="00750B9A">
        <w:rPr>
          <w:rFonts w:cs="Arial"/>
          <w:lang w:val="en-GB"/>
        </w:rPr>
        <w:t>Evidence from several included studies demonstrates that peer influence and family tobacco use are significant determinants of tobacco initiation and continuation among young adults in urban India. Khambayat et al. (2023), analysing urban youth samples, reported that peer influence was one of the most frequently cited reasons for tobacco initiation, with over half of young users attributing their first use to friends or social networks. This finding was consistent across multiple urban settings, suggesting that peer normalisation plays a central role in shaping tobacco-related behaviours during early adulthood.</w:t>
      </w:r>
    </w:p>
    <w:p w14:paraId="658FB07F" w14:textId="77777777" w:rsidR="00D3497C" w:rsidRPr="00750B9A" w:rsidRDefault="00D3497C" w:rsidP="00D3497C">
      <w:pPr>
        <w:rPr>
          <w:rFonts w:cs="Arial"/>
          <w:lang w:val="en-GB"/>
        </w:rPr>
      </w:pPr>
    </w:p>
    <w:p w14:paraId="5472DEDD" w14:textId="77777777" w:rsidR="00D3497C" w:rsidRPr="00750B9A" w:rsidRDefault="00D3497C" w:rsidP="00D3497C">
      <w:pPr>
        <w:rPr>
          <w:rFonts w:cs="Arial"/>
          <w:lang w:val="en-GB"/>
        </w:rPr>
      </w:pPr>
      <w:r w:rsidRPr="00750B9A">
        <w:rPr>
          <w:rFonts w:cs="Arial"/>
          <w:lang w:val="en-GB"/>
        </w:rPr>
        <w:t>Family history of tobacco use was also consistently associated with increased likelihood of tobacco consumption. Murmu et al. (2023), using data derived from national surveys, found that young adults exposed to parental or household tobacco use had significantly higher odds of current tobacco use compared with those from non-using households. Similarly, Gangurde et al. (2024) reported that familial practices involving smokeless tobacco contributed to early initiation and sustained use, particularly where such practices were culturally embedded and perceived as low-risk.</w:t>
      </w:r>
    </w:p>
    <w:p w14:paraId="55DC9F3F" w14:textId="623B1422" w:rsidR="00D3497C" w:rsidRPr="00750B9A" w:rsidRDefault="00D3497C" w:rsidP="00D3497C">
      <w:pPr>
        <w:rPr>
          <w:rFonts w:cs="Arial"/>
          <w:lang w:val="en-GB"/>
        </w:rPr>
      </w:pPr>
      <w:r w:rsidRPr="00750B9A">
        <w:rPr>
          <w:rFonts w:cs="Arial"/>
          <w:lang w:val="en-GB"/>
        </w:rPr>
        <w:t>However, interpretation of this evidence is constrained by several methodological limitations. Most studies relied on self-reported exposure to peer and family tobacco use, which may underestimate socially undesirable behaviours</w:t>
      </w:r>
      <w:r w:rsidR="00B34DF0">
        <w:rPr>
          <w:rFonts w:cs="Arial"/>
          <w:lang w:val="en-GB"/>
        </w:rPr>
        <w:t xml:space="preserve"> (Kurdi, 2025)</w:t>
      </w:r>
      <w:r w:rsidRPr="00750B9A">
        <w:rPr>
          <w:rFonts w:cs="Arial"/>
          <w:lang w:val="en-GB"/>
        </w:rPr>
        <w:t xml:space="preserve">. Additionally, the predominance of cross-sectional designs limits the ability to determine whether peer and family influences precede initiation or merely reinforce existing behaviours. Few studies adjusted for broader </w:t>
      </w:r>
      <w:r w:rsidRPr="00750B9A">
        <w:rPr>
          <w:rFonts w:cs="Arial"/>
          <w:lang w:val="en-GB"/>
        </w:rPr>
        <w:lastRenderedPageBreak/>
        <w:t>socio-economic factors, such as education or urban deprivation, which may confound observed associations.</w:t>
      </w:r>
    </w:p>
    <w:p w14:paraId="0BD6215C" w14:textId="77777777" w:rsidR="00D3497C" w:rsidRPr="00750B9A" w:rsidRDefault="00D3497C" w:rsidP="00D3497C">
      <w:pPr>
        <w:rPr>
          <w:rFonts w:cs="Arial"/>
          <w:lang w:val="en-GB"/>
        </w:rPr>
      </w:pPr>
      <w:r w:rsidRPr="00750B9A">
        <w:rPr>
          <w:rFonts w:cs="Arial"/>
          <w:lang w:val="en-GB"/>
        </w:rPr>
        <w:t>Despite these limitations, the consistency of findings across multiple studies strengthens confidence that social and familial contexts are key drivers of tobacco use among young adults. Given that early initiation is associated with longer duration of exposure, these determinants indirectly contribute to increased lifetime coronary heart disease (CHD) risk, reinforcing the need for NTCP interventions that address social norms and family-level influences alongside individual behaviour change.</w:t>
      </w:r>
    </w:p>
    <w:p w14:paraId="30CA885C" w14:textId="77777777" w:rsidR="00D3497C" w:rsidRPr="00750B9A" w:rsidRDefault="00D3497C" w:rsidP="00D3497C">
      <w:pPr>
        <w:rPr>
          <w:rFonts w:cs="Arial"/>
          <w:lang w:val="en-GB"/>
        </w:rPr>
      </w:pPr>
    </w:p>
    <w:p w14:paraId="64DE0544" w14:textId="77777777" w:rsidR="00D3497C" w:rsidRPr="00750B9A" w:rsidRDefault="00D3497C" w:rsidP="00D3497C">
      <w:pPr>
        <w:rPr>
          <w:rFonts w:cs="Arial"/>
          <w:b/>
          <w:bCs/>
          <w:lang w:val="en-GB"/>
        </w:rPr>
      </w:pPr>
      <w:r w:rsidRPr="00750B9A">
        <w:rPr>
          <w:rFonts w:cs="Arial"/>
          <w:b/>
          <w:bCs/>
          <w:lang w:val="en-GB"/>
        </w:rPr>
        <w:t>Theme 3: Association between tobacco use and early indicators of coronary heart disease risk</w:t>
      </w:r>
    </w:p>
    <w:p w14:paraId="347CE55C" w14:textId="77777777" w:rsidR="00D3497C" w:rsidRPr="00750B9A" w:rsidRDefault="00D3497C" w:rsidP="00D3497C">
      <w:pPr>
        <w:rPr>
          <w:rFonts w:cs="Arial"/>
          <w:lang w:val="en-GB"/>
        </w:rPr>
      </w:pPr>
      <w:r w:rsidRPr="00750B9A">
        <w:rPr>
          <w:rFonts w:cs="Arial"/>
          <w:lang w:val="en-GB"/>
        </w:rPr>
        <w:t>Several included studies provided empirical evidence linking tobacco use among young adults to early indicators of coronary heart disease (CHD) risk. Bharati, Sahu and Pati (2023) reported that young adults who used tobacco exhibited higher prevalence of established cardiovascular risk markers, including elevated blood pressure and adverse lipid profiles, compared with non-users. These findings suggest that tobacco exposure in early adulthood is associated with measurable physiological changes linked to CHD risk.</w:t>
      </w:r>
    </w:p>
    <w:p w14:paraId="3677C43A" w14:textId="77777777" w:rsidR="00D3497C" w:rsidRPr="00750B9A" w:rsidRDefault="00D3497C" w:rsidP="00D3497C">
      <w:pPr>
        <w:rPr>
          <w:rFonts w:cs="Arial"/>
          <w:lang w:val="en-GB"/>
        </w:rPr>
      </w:pPr>
    </w:p>
    <w:p w14:paraId="2BAFBBB0" w14:textId="77777777" w:rsidR="00D3497C" w:rsidRPr="00750B9A" w:rsidRDefault="00D3497C" w:rsidP="00D3497C">
      <w:pPr>
        <w:rPr>
          <w:rFonts w:cs="Arial"/>
          <w:lang w:val="en-GB"/>
        </w:rPr>
      </w:pPr>
      <w:r w:rsidRPr="00750B9A">
        <w:rPr>
          <w:rFonts w:cs="Arial"/>
          <w:lang w:val="en-GB"/>
        </w:rPr>
        <w:t>Khambayat et al. (2023) further observed that regular tobacco use was associated with increased likelihood of metabolic risk factors, such as insulin resistance, which are known contributors to cardiovascular disease. Although clinical CHD outcomes were not assessed, the presence of these intermediate risk factors indicates early progression along the cardiovascular disease pathway. Evidence from multiple studies suggested that both smoked and smokeless tobacco products contributed to these risks, highlighting the relevance of tobacco exposure beyond smoking alone.</w:t>
      </w:r>
    </w:p>
    <w:p w14:paraId="0FC027E1" w14:textId="77777777" w:rsidR="00D3497C" w:rsidRPr="00750B9A" w:rsidRDefault="00D3497C" w:rsidP="00D3497C">
      <w:pPr>
        <w:rPr>
          <w:rFonts w:cs="Arial"/>
          <w:lang w:val="en-GB"/>
        </w:rPr>
      </w:pPr>
    </w:p>
    <w:p w14:paraId="59C6AD84" w14:textId="5608D8DE" w:rsidR="00D3497C" w:rsidRPr="00390CCF" w:rsidRDefault="00D3497C" w:rsidP="00D3497C">
      <w:pPr>
        <w:rPr>
          <w:rFonts w:cs="Arial"/>
          <w:lang w:val="en-GB"/>
        </w:rPr>
      </w:pPr>
      <w:r w:rsidRPr="00750B9A">
        <w:rPr>
          <w:rFonts w:cs="Arial"/>
          <w:lang w:val="en-GB"/>
        </w:rPr>
        <w:t xml:space="preserve">The evidence base, however, is limited by its reliance on proxy outcomes rather than diagnosed CHD events. Most studies used observational designs and did not consistently adjust for behavioural confounders such as diet, physical activity, or alcohol use, which may independently influence cardiovascular risk. In addition, the lack of longitudinal follow-up prevents assessment of how early risk factor accumulation translates into long-term CHD </w:t>
      </w:r>
      <w:r w:rsidRPr="00390CCF">
        <w:rPr>
          <w:rFonts w:cs="Arial"/>
          <w:lang w:val="en-GB"/>
        </w:rPr>
        <w:t>outcomes</w:t>
      </w:r>
      <w:r w:rsidR="00390CCF" w:rsidRPr="00390CCF">
        <w:rPr>
          <w:rFonts w:cs="Arial"/>
          <w:lang w:val="en-GB"/>
        </w:rPr>
        <w:t xml:space="preserve"> (</w:t>
      </w:r>
      <w:r w:rsidR="00390CCF" w:rsidRPr="00390CCF">
        <w:rPr>
          <w:rFonts w:cs="Arial"/>
          <w:color w:val="222222"/>
        </w:rPr>
        <w:t>Domanski</w:t>
      </w:r>
      <w:r w:rsidR="00390CCF" w:rsidRPr="00390CCF">
        <w:rPr>
          <w:rFonts w:cs="Arial"/>
          <w:lang w:val="en-GB"/>
        </w:rPr>
        <w:t xml:space="preserve"> </w:t>
      </w:r>
      <w:r w:rsidR="00390CCF" w:rsidRPr="00390CCF">
        <w:rPr>
          <w:rFonts w:cs="Arial"/>
          <w:i/>
          <w:lang w:val="en-GB"/>
        </w:rPr>
        <w:t>et al</w:t>
      </w:r>
      <w:r w:rsidR="00390CCF">
        <w:rPr>
          <w:rFonts w:cs="Arial"/>
          <w:i/>
          <w:lang w:val="en-GB"/>
        </w:rPr>
        <w:t xml:space="preserve">. </w:t>
      </w:r>
      <w:r w:rsidR="00390CCF" w:rsidRPr="00390CCF">
        <w:rPr>
          <w:rFonts w:cs="Arial"/>
          <w:lang w:val="en-GB"/>
        </w:rPr>
        <w:t>2023</w:t>
      </w:r>
      <w:r w:rsidR="00390CCF">
        <w:rPr>
          <w:rFonts w:cs="Arial"/>
          <w:lang w:val="en-GB"/>
        </w:rPr>
        <w:t>)</w:t>
      </w:r>
    </w:p>
    <w:p w14:paraId="35FB856F" w14:textId="77777777" w:rsidR="00D3497C" w:rsidRPr="00750B9A" w:rsidRDefault="00D3497C" w:rsidP="00D3497C">
      <w:pPr>
        <w:rPr>
          <w:rFonts w:cs="Arial"/>
          <w:lang w:val="en-GB"/>
        </w:rPr>
      </w:pPr>
      <w:r w:rsidRPr="00750B9A">
        <w:rPr>
          <w:rFonts w:cs="Arial"/>
          <w:lang w:val="en-GB"/>
        </w:rPr>
        <w:t xml:space="preserve">Nevertheless, the convergence of findings across studies supports the conclusion that tobacco use among young adults is associated with early cardiovascular risk in the Indian context. When </w:t>
      </w:r>
      <w:r w:rsidRPr="00750B9A">
        <w:rPr>
          <w:rFonts w:cs="Arial"/>
          <w:lang w:val="en-GB"/>
        </w:rPr>
        <w:lastRenderedPageBreak/>
        <w:t>considered alongside evidence of persistent tobacco use driven by social determinants, these findings reinforce the importance of early prevention and cessation strategies within NTCP frameworks to reduce future CHD burden.</w:t>
      </w:r>
    </w:p>
    <w:p w14:paraId="0D3ABD0F" w14:textId="77777777" w:rsidR="00D3497C" w:rsidRPr="00750B9A" w:rsidRDefault="00D3497C" w:rsidP="00940400">
      <w:pPr>
        <w:rPr>
          <w:rFonts w:cs="Arial"/>
          <w:lang w:val="en-GB"/>
        </w:rPr>
      </w:pPr>
    </w:p>
    <w:p w14:paraId="217391BD" w14:textId="77777777" w:rsidR="004D6792" w:rsidRPr="00750B9A" w:rsidRDefault="004D6792" w:rsidP="00602F85">
      <w:pPr>
        <w:pStyle w:val="Heading3"/>
        <w:rPr>
          <w:lang w:val="en-GB"/>
        </w:rPr>
      </w:pPr>
      <w:bookmarkStart w:id="74" w:name="_Toc220668555"/>
      <w:r w:rsidRPr="00750B9A">
        <w:rPr>
          <w:lang w:val="en-GB"/>
        </w:rPr>
        <w:t>Research Objective 2</w:t>
      </w:r>
      <w:bookmarkEnd w:id="74"/>
    </w:p>
    <w:p w14:paraId="69AAB65B" w14:textId="77777777" w:rsidR="004D6792" w:rsidRPr="00750B9A" w:rsidRDefault="004D6792" w:rsidP="004D6792">
      <w:pPr>
        <w:spacing w:after="200" w:line="276" w:lineRule="auto"/>
        <w:jc w:val="left"/>
        <w:rPr>
          <w:rFonts w:cs="Arial"/>
          <w:lang w:val="en-GB"/>
        </w:rPr>
      </w:pPr>
      <w:r w:rsidRPr="00750B9A">
        <w:rPr>
          <w:rFonts w:cs="Arial"/>
          <w:i/>
          <w:iCs/>
          <w:lang w:val="en-GB"/>
        </w:rPr>
        <w:t>To evaluate the effectiveness of NTCP policies and strategies in reducing tobacco use among young adults in urban India</w:t>
      </w:r>
    </w:p>
    <w:p w14:paraId="5522B1D3" w14:textId="77777777" w:rsidR="004D6792" w:rsidRPr="00750B9A" w:rsidRDefault="004D6792" w:rsidP="00602F85">
      <w:pPr>
        <w:pStyle w:val="Heading3"/>
        <w:rPr>
          <w:lang w:val="en-GB"/>
        </w:rPr>
      </w:pPr>
      <w:bookmarkStart w:id="75" w:name="_Toc220668556"/>
      <w:r w:rsidRPr="00750B9A">
        <w:rPr>
          <w:lang w:val="en-GB"/>
        </w:rPr>
        <w:t>Theme 1: National Tobacco Control Programme (NTCP) provides structured cessation support</w:t>
      </w:r>
      <w:bookmarkEnd w:id="75"/>
    </w:p>
    <w:p w14:paraId="2F0CD3A7" w14:textId="77777777" w:rsidR="004D6792" w:rsidRPr="00750B9A" w:rsidRDefault="004D6792" w:rsidP="00250983">
      <w:pPr>
        <w:spacing w:after="200"/>
        <w:rPr>
          <w:rFonts w:cs="Arial"/>
          <w:lang w:val="en-GB"/>
        </w:rPr>
      </w:pPr>
      <w:r w:rsidRPr="00750B9A">
        <w:rPr>
          <w:rFonts w:cs="Arial"/>
          <w:lang w:val="en-GB"/>
        </w:rPr>
        <w:t>The included studies and reports consistently indicated that the National Tobacco Control Programme (NTCP) has established a structured framework to support tobacco cessation across India. The programme’s three-tier implementation structure, comprising the National Tobacco Control Cell (NTCC), State Tobacco Control Cells (STCCs), and District Tobacco Control Cells (DTCCs), allows policy initiatives and cessation interventions to reach both state and district levels (Shankar et al., 2022). Several studies emphasised that this decentralised approach facilitates the operationalisation of tobacco control policies and ensures that interventions are contextually adapted to local populations.</w:t>
      </w:r>
    </w:p>
    <w:p w14:paraId="1A208C01" w14:textId="77777777" w:rsidR="004D6792" w:rsidRPr="00750B9A" w:rsidRDefault="004D6792" w:rsidP="00250983">
      <w:pPr>
        <w:spacing w:after="200"/>
        <w:rPr>
          <w:rFonts w:cs="Arial"/>
          <w:lang w:val="en-GB"/>
        </w:rPr>
      </w:pPr>
      <w:r w:rsidRPr="00750B9A">
        <w:rPr>
          <w:rFonts w:cs="Arial"/>
          <w:lang w:val="en-GB"/>
        </w:rPr>
        <w:t>Evidence suggests that NTCP’s cessation initiatives have produced measurable outcomes. Comparative analyses of GATS 1 (2009–10) and GATS 2 (2016–17) data indicate a national decline in tobacco use prevalence from 34.6% to 28.6%, representing approximately 8.1 million fewer tobacco users (Goel et al., 2025; NTCP, 2026). Additionally, studies highlighted the role of policy mechanisms such as pictorial health warnings on 85% of tobacco packs and restrictions on tobacco promotion, which provide continuous visual reinforcement of the harms of tobacco (Hebbar et al., 2022). These interventions, alongside counselling services and cessation support, are reported to encourage young adults to attempt quitting and maintain behaviour change.</w:t>
      </w:r>
    </w:p>
    <w:p w14:paraId="6DA7D023" w14:textId="2EAF226C" w:rsidR="004D6792" w:rsidRPr="00750B9A" w:rsidRDefault="004D6792" w:rsidP="00250983">
      <w:pPr>
        <w:spacing w:after="200"/>
        <w:rPr>
          <w:rFonts w:cs="Arial"/>
          <w:lang w:val="en-GB"/>
        </w:rPr>
      </w:pPr>
      <w:r w:rsidRPr="00750B9A">
        <w:rPr>
          <w:rFonts w:cs="Arial"/>
          <w:lang w:val="en-GB"/>
        </w:rPr>
        <w:t xml:space="preserve">However, several limitations of the evidence must be acknowledged. First, most data rely on self-reported tobacco use, which may underestimate actual prevalence due to social desirability bias. Second, while GATS surveys capture population-level reductions, they do not provide age-disaggregated analyses that isolate young adults, making it difficult to directly quantify NTCP’s impact on this subgroup. Third, the evidence does not consistently account for regional variability or socioeconomic confounders, which may influence both tobacco use and </w:t>
      </w:r>
      <w:r w:rsidRPr="00750B9A">
        <w:rPr>
          <w:rFonts w:cs="Arial"/>
          <w:lang w:val="en-GB"/>
        </w:rPr>
        <w:lastRenderedPageBreak/>
        <w:t>programme effectiveness</w:t>
      </w:r>
      <w:r w:rsidR="00893D8B">
        <w:rPr>
          <w:rFonts w:cs="Arial"/>
          <w:lang w:val="en-GB"/>
        </w:rPr>
        <w:t xml:space="preserve"> (Bannon </w:t>
      </w:r>
      <w:r w:rsidR="00893D8B">
        <w:rPr>
          <w:rFonts w:cs="Arial"/>
          <w:i/>
          <w:lang w:val="en-GB"/>
        </w:rPr>
        <w:t xml:space="preserve">et al. </w:t>
      </w:r>
      <w:r w:rsidR="00893D8B">
        <w:rPr>
          <w:rFonts w:cs="Arial"/>
          <w:lang w:val="en-GB"/>
        </w:rPr>
        <w:t>2025)</w:t>
      </w:r>
      <w:r w:rsidRPr="00750B9A">
        <w:rPr>
          <w:rFonts w:cs="Arial"/>
          <w:lang w:val="en-GB"/>
        </w:rPr>
        <w:t>. Finally, the observational nature of the surveys precludes establishing a causal link between NTCP interventions and changes in behaviour.</w:t>
      </w:r>
    </w:p>
    <w:p w14:paraId="59E8BD62" w14:textId="77777777" w:rsidR="004D6792" w:rsidRPr="00750B9A" w:rsidRDefault="004D6792" w:rsidP="00250983">
      <w:pPr>
        <w:spacing w:after="200"/>
        <w:rPr>
          <w:rFonts w:cs="Arial"/>
          <w:lang w:val="en-GB"/>
        </w:rPr>
      </w:pPr>
      <w:r w:rsidRPr="00750B9A">
        <w:rPr>
          <w:rFonts w:cs="Arial"/>
          <w:lang w:val="en-GB"/>
        </w:rPr>
        <w:t>Despite these limitations, the convergence of findings across national datasets and programme evaluations suggests that NTCP provides an organised and evidence-informed framework for cessation support. The structured implementation and integration of multiple policy levers likely contribute to observed reductions in tobacco use, including among urban young adults, though further research with age-specific analyses would strengthen these conclusions.</w:t>
      </w:r>
    </w:p>
    <w:p w14:paraId="50B63D61" w14:textId="77777777" w:rsidR="004D6792" w:rsidRPr="00750B9A" w:rsidRDefault="004D6792" w:rsidP="00602F85">
      <w:pPr>
        <w:pStyle w:val="Heading3"/>
        <w:rPr>
          <w:lang w:val="en-GB"/>
        </w:rPr>
      </w:pPr>
      <w:bookmarkStart w:id="76" w:name="_Toc220668557"/>
      <w:r w:rsidRPr="00750B9A">
        <w:rPr>
          <w:lang w:val="en-GB"/>
        </w:rPr>
        <w:t>Theme 2: NTCP policies promote behaviour change and awareness among young adults</w:t>
      </w:r>
      <w:bookmarkEnd w:id="76"/>
    </w:p>
    <w:p w14:paraId="7A5D97D6" w14:textId="77777777" w:rsidR="004D6792" w:rsidRPr="00750B9A" w:rsidRDefault="004D6792" w:rsidP="00250983">
      <w:pPr>
        <w:spacing w:after="200"/>
        <w:rPr>
          <w:rFonts w:cs="Arial"/>
          <w:lang w:val="en-GB"/>
        </w:rPr>
      </w:pPr>
      <w:r w:rsidRPr="00750B9A">
        <w:rPr>
          <w:rFonts w:cs="Arial"/>
          <w:lang w:val="en-GB"/>
        </w:rPr>
        <w:t>The included evidence indicates that NTCP has contributed to increased awareness of tobacco harms and promoted behavioural change among young adults through multi-pronged strategies. Studies emphasised that NTCP’s behaviour-change approach integrates policy enforcement, mass-media campaigns, cessation counselling, and digital interventions, which collectively aim to reduce tobacco initiation and encourage quitting (Goel et al., 2025; Hebbar et al., 2022).</w:t>
      </w:r>
    </w:p>
    <w:p w14:paraId="7396F8A1" w14:textId="77777777" w:rsidR="004D6792" w:rsidRPr="00750B9A" w:rsidRDefault="004D6792" w:rsidP="00250983">
      <w:pPr>
        <w:spacing w:after="200"/>
        <w:rPr>
          <w:rFonts w:cs="Arial"/>
          <w:lang w:val="en-GB"/>
        </w:rPr>
      </w:pPr>
      <w:r w:rsidRPr="00750B9A">
        <w:rPr>
          <w:rFonts w:cs="Arial"/>
          <w:lang w:val="en-GB"/>
        </w:rPr>
        <w:t>Evidence from GATS 1 and 2 shows a reduction in overall adult tobacco prevalence from 34.6% to 28.6%, representing a six-percentage-point decrease over seven years (NTCP, 2026). While these figures reflect the adult population overall, they are frequently cited as indicative of broader shifts in awareness and readiness to change, including among young adults. Key interventions supporting these changes include mandatory pictorial health warnings covering 85% of tobacco packaging and inclusion of the national Quitline number, which have been shown to enhance risk perception and provide access to cessation services (Hebbar et al., 2022).</w:t>
      </w:r>
    </w:p>
    <w:p w14:paraId="01CD3D7D" w14:textId="77777777" w:rsidR="004D6792" w:rsidRPr="00750B9A" w:rsidRDefault="004D6792" w:rsidP="00250983">
      <w:pPr>
        <w:spacing w:after="200"/>
        <w:rPr>
          <w:rFonts w:cs="Arial"/>
          <w:lang w:val="en-GB"/>
        </w:rPr>
      </w:pPr>
      <w:r w:rsidRPr="00750B9A">
        <w:rPr>
          <w:rFonts w:cs="Arial"/>
          <w:lang w:val="en-GB"/>
        </w:rPr>
        <w:t>Digital interventions, particularly mCessation programmes, have also been highlighted as innovative tools targeting young adults, leveraging mobile communication to deliver cessation prompts, motivational messages, and ongoing behavioural support (Shankar et al., 2022). The included studies report that such digital programmes are well-suited to young adults’ communication habits and may reinforce the effectiveness of traditional policy measures.</w:t>
      </w:r>
    </w:p>
    <w:p w14:paraId="39BCA7C5" w14:textId="77777777" w:rsidR="004D6792" w:rsidRPr="00750B9A" w:rsidRDefault="004D6792" w:rsidP="00250983">
      <w:pPr>
        <w:spacing w:after="200"/>
        <w:rPr>
          <w:rFonts w:cs="Arial"/>
          <w:lang w:val="en-GB"/>
        </w:rPr>
      </w:pPr>
      <w:r w:rsidRPr="00750B9A">
        <w:rPr>
          <w:rFonts w:cs="Arial"/>
          <w:lang w:val="en-GB"/>
        </w:rPr>
        <w:t xml:space="preserve">Nevertheless, critical evaluation of the evidence highlights some constraints. The observed reductions in tobacco prevalence cannot be exclusively attributed to NTCP interventions due to the observational nature of GATS data and the influence of broader socio-cultural changes. Evidence is limited regarding the differential effectiveness of NTCP initiatives specifically among urban young adults, as many studies aggregate results across age groups. Additionally, most </w:t>
      </w:r>
      <w:r w:rsidRPr="00750B9A">
        <w:rPr>
          <w:rFonts w:cs="Arial"/>
          <w:lang w:val="en-GB"/>
        </w:rPr>
        <w:lastRenderedPageBreak/>
        <w:t>evaluations focus on short-term behavioural indicators (e.g., quit attempts or awareness) rather than long-term sustained cessation or cardiovascular outcomes, limiting conclusions about the lasting impact of NTCP policies.</w:t>
      </w:r>
    </w:p>
    <w:p w14:paraId="157D15BA" w14:textId="77777777" w:rsidR="00AB0F98" w:rsidRPr="00750B9A" w:rsidRDefault="004D6792" w:rsidP="00250983">
      <w:pPr>
        <w:spacing w:after="200"/>
        <w:rPr>
          <w:rFonts w:cs="Arial"/>
          <w:lang w:val="en-GB"/>
        </w:rPr>
      </w:pPr>
      <w:r w:rsidRPr="00750B9A">
        <w:rPr>
          <w:rFonts w:cs="Arial"/>
          <w:lang w:val="en-GB"/>
        </w:rPr>
        <w:t>Overall, despite these limitations, the studies suggest that NTCP interventions have contributed to increased awareness and behaviour change at the population level, with particular relevance for young adults who may be more responsive to visual, digital, and counselling-based approaches. This aligns with the programme’s strategic focus on early cessation to reduce lifetime cardiovascular risk, reinforcing the rationale for continued age-targeted implementation and evaluation.</w:t>
      </w:r>
    </w:p>
    <w:p w14:paraId="7AB72CED" w14:textId="77777777" w:rsidR="00732E6C" w:rsidRPr="00750B9A" w:rsidRDefault="00DF099F">
      <w:pPr>
        <w:pStyle w:val="Heading3"/>
        <w:rPr>
          <w:rFonts w:cs="Arial"/>
          <w:color w:val="auto"/>
        </w:rPr>
      </w:pPr>
      <w:bookmarkStart w:id="77" w:name="_Toc220668558"/>
      <w:r w:rsidRPr="00750B9A">
        <w:rPr>
          <w:rFonts w:cs="Arial"/>
          <w:color w:val="auto"/>
        </w:rPr>
        <w:t>Research objective 3</w:t>
      </w:r>
      <w:bookmarkEnd w:id="77"/>
    </w:p>
    <w:p w14:paraId="60436E51" w14:textId="77777777" w:rsidR="00732E6C" w:rsidRPr="00750B9A" w:rsidRDefault="00DF099F">
      <w:pPr>
        <w:rPr>
          <w:rFonts w:cs="Arial"/>
          <w:lang w:val="en-GB"/>
        </w:rPr>
      </w:pPr>
      <w:r w:rsidRPr="00750B9A">
        <w:rPr>
          <w:rFonts w:cs="Arial"/>
          <w:lang w:val="en-GB"/>
        </w:rPr>
        <w:t>To assess the impact of NTCP interventions on early risk factors and overall risk of coronary heart disease in young urban adults</w:t>
      </w:r>
    </w:p>
    <w:p w14:paraId="15EBFAC3" w14:textId="77777777" w:rsidR="00732E6C" w:rsidRPr="00750B9A" w:rsidRDefault="00DF099F">
      <w:pPr>
        <w:pStyle w:val="Heading3"/>
        <w:rPr>
          <w:rFonts w:cs="Arial"/>
          <w:color w:val="auto"/>
          <w:lang w:val="en-GB"/>
        </w:rPr>
      </w:pPr>
      <w:bookmarkStart w:id="78" w:name="_Toc220668559"/>
      <w:r w:rsidRPr="00750B9A">
        <w:rPr>
          <w:rFonts w:cs="Arial"/>
          <w:color w:val="auto"/>
          <w:lang w:val="en-GB"/>
        </w:rPr>
        <w:t>Theme 1: NTCP intervention promote smoking cessation in schools that positively reduces early risk factor for coronary heart disease</w:t>
      </w:r>
      <w:bookmarkEnd w:id="78"/>
    </w:p>
    <w:p w14:paraId="18FFBC72" w14:textId="77777777" w:rsidR="00732E6C" w:rsidRPr="00750B9A" w:rsidRDefault="00DF099F" w:rsidP="00750B9A">
      <w:pPr>
        <w:rPr>
          <w:rFonts w:cs="Arial"/>
          <w:lang w:val="en-GB"/>
        </w:rPr>
      </w:pPr>
      <w:r w:rsidRPr="00750B9A">
        <w:rPr>
          <w:rFonts w:cs="Arial"/>
          <w:lang w:val="en-GB"/>
        </w:rPr>
        <w:t>The school-based measures of the National Tobacco Control Programme (NTCP) are significant in addressing early risk factors of coronary heart disease (CHD) in young adults in urban areas, through targeting tobacco consumption at a preventable and early stage (</w:t>
      </w:r>
      <w:r w:rsidRPr="00750B9A">
        <w:rPr>
          <w:rFonts w:cs="Arial"/>
        </w:rPr>
        <w:t>Bhargava and Paul, 2022</w:t>
      </w:r>
      <w:r w:rsidRPr="00750B9A">
        <w:rPr>
          <w:rFonts w:cs="Arial"/>
          <w:lang w:val="en-GB"/>
        </w:rPr>
        <w:t>). Adolescence and early adulthood are the phases when smoking behaviours are frequently initiated. The emphasis of NTCP on organised, educational and participatory interventions in schools will prevent early nicotine dependence and will promote smoking cessation before long-term cardiovascular harm is sustained (</w:t>
      </w:r>
      <w:r w:rsidRPr="00750B9A">
        <w:rPr>
          <w:rFonts w:cs="Arial"/>
        </w:rPr>
        <w:t xml:space="preserve">Di Cesare </w:t>
      </w:r>
      <w:r w:rsidRPr="00750B9A">
        <w:rPr>
          <w:rFonts w:cs="Arial"/>
          <w:i/>
          <w:iCs/>
        </w:rPr>
        <w:t>et al</w:t>
      </w:r>
      <w:r w:rsidRPr="00750B9A">
        <w:rPr>
          <w:rFonts w:cs="Arial"/>
        </w:rPr>
        <w:t>., 2024</w:t>
      </w:r>
      <w:r w:rsidRPr="00750B9A">
        <w:rPr>
          <w:rFonts w:cs="Arial"/>
          <w:lang w:val="en-GB"/>
        </w:rPr>
        <w:t>).</w:t>
      </w:r>
    </w:p>
    <w:p w14:paraId="25ED1E55" w14:textId="77777777" w:rsidR="00732E6C" w:rsidRPr="00750B9A" w:rsidRDefault="00DF099F">
      <w:pPr>
        <w:rPr>
          <w:rFonts w:cs="Arial"/>
          <w:szCs w:val="24"/>
          <w:lang w:val="en-GB"/>
        </w:rPr>
      </w:pPr>
      <w:r w:rsidRPr="00750B9A">
        <w:rPr>
          <w:rFonts w:cs="Arial"/>
          <w:szCs w:val="24"/>
          <w:lang w:val="en-GB"/>
        </w:rPr>
        <w:t>The discussion in the whole classes that follows reinforces common learning and normalises the tobacco-free behaviours, whereas the worksheet tasks in small groups encourage critical thinking and self-reflection. Follow up sessions with group presentations and interactive discussions also reinforce the knowledge retention and behavioural intent. These participatory approaches are better when compared to passive learning because they involve students actively and enable them to resist peer influence (</w:t>
      </w:r>
      <w:r w:rsidRPr="00750B9A">
        <w:rPr>
          <w:rFonts w:cs="Arial"/>
          <w:szCs w:val="24"/>
        </w:rPr>
        <w:t xml:space="preserve">Chugh </w:t>
      </w:r>
      <w:r w:rsidRPr="00750B9A">
        <w:rPr>
          <w:rFonts w:cs="Arial"/>
          <w:i/>
          <w:iCs/>
          <w:szCs w:val="24"/>
        </w:rPr>
        <w:t>et al</w:t>
      </w:r>
      <w:r w:rsidRPr="00750B9A">
        <w:rPr>
          <w:rFonts w:cs="Arial"/>
          <w:szCs w:val="24"/>
        </w:rPr>
        <w:t>., 2023</w:t>
      </w:r>
      <w:r w:rsidRPr="00750B9A">
        <w:rPr>
          <w:rFonts w:cs="Arial"/>
          <w:szCs w:val="24"/>
          <w:lang w:val="en-GB"/>
        </w:rPr>
        <w:t>).</w:t>
      </w:r>
    </w:p>
    <w:p w14:paraId="14B17035" w14:textId="77777777" w:rsidR="00732E6C" w:rsidRPr="00750B9A" w:rsidRDefault="00DF099F">
      <w:pPr>
        <w:pStyle w:val="Heading3"/>
        <w:rPr>
          <w:rFonts w:cs="Arial"/>
          <w:color w:val="auto"/>
          <w:lang w:val="en-GB"/>
        </w:rPr>
      </w:pPr>
      <w:bookmarkStart w:id="79" w:name="_Toc220668560"/>
      <w:r w:rsidRPr="00750B9A">
        <w:rPr>
          <w:rFonts w:cs="Arial"/>
          <w:color w:val="auto"/>
          <w:lang w:val="en-GB"/>
        </w:rPr>
        <w:t>Theme 2: NTCP interventions informs youths regarding negative health impact of tobacco use which positively impact reducing early risk factors</w:t>
      </w:r>
      <w:bookmarkEnd w:id="79"/>
    </w:p>
    <w:p w14:paraId="762A661C" w14:textId="77777777" w:rsidR="00732E6C" w:rsidRPr="00750B9A" w:rsidRDefault="00DF099F">
      <w:pPr>
        <w:rPr>
          <w:rFonts w:cs="Arial"/>
          <w:lang w:val="en-GB"/>
        </w:rPr>
      </w:pPr>
      <w:r w:rsidRPr="00750B9A">
        <w:rPr>
          <w:rFonts w:cs="Arial"/>
          <w:lang w:val="en-GB"/>
        </w:rPr>
        <w:t xml:space="preserve">One of the core pillars of NTCP is awareness generation with informed youths having a higher likelihood of adopting healthy behaviours and preventing tobacco initiation. By focusing on schools, colleges, the public and online platforms, NTCP ensures that young populations are </w:t>
      </w:r>
      <w:r w:rsidRPr="00750B9A">
        <w:rPr>
          <w:rFonts w:cs="Arial"/>
          <w:lang w:val="en-GB"/>
        </w:rPr>
        <w:lastRenderedPageBreak/>
        <w:t>exposed to anti-tobacco messages at early years of behavioural formation (</w:t>
      </w:r>
      <w:r w:rsidRPr="00750B9A">
        <w:rPr>
          <w:rFonts w:cs="Arial"/>
          <w:szCs w:val="24"/>
        </w:rPr>
        <w:t>Kodali, Maniyara and Palle, 2025</w:t>
      </w:r>
      <w:r w:rsidRPr="00750B9A">
        <w:rPr>
          <w:rFonts w:cs="Arial"/>
          <w:lang w:val="en-GB"/>
        </w:rPr>
        <w:t>).</w:t>
      </w:r>
    </w:p>
    <w:p w14:paraId="539C3D9A" w14:textId="77777777" w:rsidR="00732E6C" w:rsidRPr="00750B9A" w:rsidRDefault="00DF099F">
      <w:pPr>
        <w:rPr>
          <w:rFonts w:cs="Arial"/>
          <w:szCs w:val="24"/>
          <w:lang w:val="en-GB"/>
        </w:rPr>
      </w:pPr>
      <w:r w:rsidRPr="00750B9A">
        <w:rPr>
          <w:rFonts w:cs="Arial"/>
          <w:szCs w:val="24"/>
          <w:lang w:val="en-GB"/>
        </w:rPr>
        <w:t>The number of people living in jurisdictions declared or attaining smoke-free status grew exponentially between 2007 and 2022 to almost 200 million people. This continued increase is an indicator of effectiveness of NTCP-led awareness campaigns, policy enforcement and community engagement programmes. Smoke-free areas are effective teaching tools, and they support the message that tobacco smoking is not only unhealthy to users but also to second-hand smokers.</w:t>
      </w:r>
    </w:p>
    <w:p w14:paraId="2BF4197C" w14:textId="77777777" w:rsidR="00732E6C" w:rsidRPr="00750B9A" w:rsidRDefault="00DF099F">
      <w:pPr>
        <w:rPr>
          <w:rFonts w:cs="Arial"/>
          <w:szCs w:val="24"/>
          <w:lang w:val="en-GB"/>
        </w:rPr>
      </w:pPr>
      <w:r w:rsidRPr="00750B9A">
        <w:rPr>
          <w:rFonts w:cs="Arial"/>
          <w:szCs w:val="24"/>
          <w:lang w:val="en-GB"/>
        </w:rPr>
        <w:t>In youths, a history of exposure to smoke-free outdoor environments and health education programmes leads to improved knowledge on the adverse cardiovascular outcomes of tobacco, such as hypertension, endothelial dysfunction, and atherosclerotic developmental changes (</w:t>
      </w:r>
      <w:r w:rsidRPr="00750B9A">
        <w:rPr>
          <w:rFonts w:cs="Arial"/>
          <w:szCs w:val="24"/>
        </w:rPr>
        <w:t xml:space="preserve">Chugh </w:t>
      </w:r>
      <w:r w:rsidRPr="00750B9A">
        <w:rPr>
          <w:rFonts w:cs="Arial"/>
          <w:i/>
          <w:iCs/>
          <w:szCs w:val="24"/>
        </w:rPr>
        <w:t>et al</w:t>
      </w:r>
      <w:r w:rsidRPr="00750B9A">
        <w:rPr>
          <w:rFonts w:cs="Arial"/>
          <w:szCs w:val="24"/>
        </w:rPr>
        <w:t>., 2023</w:t>
      </w:r>
      <w:r w:rsidRPr="00750B9A">
        <w:rPr>
          <w:rFonts w:cs="Arial"/>
          <w:szCs w:val="24"/>
          <w:lang w:val="en-GB"/>
        </w:rPr>
        <w:t xml:space="preserve">). NTCP messaging stresses that tobacco-related harm starts at an early stage, even before the clinical manifestation, and it works especially well in risk perception among young adults. </w:t>
      </w:r>
    </w:p>
    <w:p w14:paraId="4E826A09" w14:textId="77777777" w:rsidR="00732E6C" w:rsidRPr="00750B9A" w:rsidRDefault="00DF099F">
      <w:pPr>
        <w:rPr>
          <w:rFonts w:cs="Arial"/>
          <w:szCs w:val="24"/>
          <w:lang w:val="en-GB"/>
        </w:rPr>
      </w:pPr>
      <w:r w:rsidRPr="00750B9A">
        <w:rPr>
          <w:rFonts w:cs="Arial"/>
          <w:szCs w:val="24"/>
          <w:lang w:val="en-GB"/>
        </w:rPr>
        <w:t>Moreover, smoke-free policies have an indirect influence on behaviour change by decreasing the prominence and social acceptability of smoking. This tobacco uses denormalization reinforced prevention attitudes and reduced the risks of becoming a habitual smoker (</w:t>
      </w:r>
      <w:r w:rsidRPr="00750B9A">
        <w:rPr>
          <w:rFonts w:cs="Arial"/>
        </w:rPr>
        <w:t>Bhargava and Paul, 2022</w:t>
      </w:r>
      <w:r w:rsidRPr="00750B9A">
        <w:rPr>
          <w:rFonts w:cs="Arial"/>
          <w:szCs w:val="24"/>
          <w:lang w:val="en-GB"/>
        </w:rPr>
        <w:t xml:space="preserve">). Minimal contact with tobacco smoke also reduces early cardiovascular stress, including increased heart rate and blood pressure, in non-smoking young people. </w:t>
      </w:r>
    </w:p>
    <w:p w14:paraId="7C2AB9C0" w14:textId="77777777" w:rsidR="00732E6C" w:rsidRPr="00750B9A" w:rsidRDefault="00DF099F">
      <w:pPr>
        <w:pStyle w:val="Heading3"/>
        <w:rPr>
          <w:rFonts w:cs="Arial"/>
          <w:color w:val="auto"/>
        </w:rPr>
      </w:pPr>
      <w:bookmarkStart w:id="80" w:name="_Toc220668561"/>
      <w:r w:rsidRPr="00750B9A">
        <w:rPr>
          <w:rFonts w:cs="Arial"/>
          <w:color w:val="auto"/>
        </w:rPr>
        <w:t>Research objective 4</w:t>
      </w:r>
      <w:bookmarkEnd w:id="80"/>
    </w:p>
    <w:p w14:paraId="0E24FCD4" w14:textId="77777777" w:rsidR="00732E6C" w:rsidRPr="00750B9A" w:rsidRDefault="00DF099F">
      <w:pPr>
        <w:rPr>
          <w:rFonts w:cs="Arial"/>
        </w:rPr>
      </w:pPr>
      <w:r w:rsidRPr="00750B9A">
        <w:rPr>
          <w:rFonts w:cs="Arial"/>
          <w:lang w:val="en-GB"/>
        </w:rPr>
        <w:t>To identify barriers and enablers influencing NTCP implementation and propose recommendations to enhance policy effectiveness and reduce cardiovascular risk</w:t>
      </w:r>
    </w:p>
    <w:p w14:paraId="3C041114" w14:textId="77777777" w:rsidR="00732E6C" w:rsidRPr="00750B9A" w:rsidRDefault="00DF099F">
      <w:pPr>
        <w:pStyle w:val="Heading3"/>
        <w:rPr>
          <w:rFonts w:cs="Arial"/>
          <w:color w:val="auto"/>
        </w:rPr>
      </w:pPr>
      <w:bookmarkStart w:id="81" w:name="_Toc220668562"/>
      <w:r w:rsidRPr="00750B9A">
        <w:rPr>
          <w:rFonts w:cs="Arial"/>
          <w:color w:val="auto"/>
        </w:rPr>
        <w:t>Theme 1: High cost of implementation of NTCP policies is one of key barrier in India</w:t>
      </w:r>
      <w:bookmarkEnd w:id="81"/>
    </w:p>
    <w:p w14:paraId="031011B9" w14:textId="77777777" w:rsidR="00732E6C" w:rsidRPr="00750B9A" w:rsidRDefault="00DF099F">
      <w:pPr>
        <w:rPr>
          <w:rFonts w:cs="Arial"/>
        </w:rPr>
      </w:pPr>
      <w:r w:rsidRPr="00750B9A">
        <w:rPr>
          <w:rFonts w:cs="Arial"/>
        </w:rPr>
        <w:t>The prohibitive price of tobacco-related diseases is a major obstacle to the successful delivery and growth of the National Tobacco Control Programme (NTCP) in India. Figure below shows the economic cost that can be attributed to tobacco use, and it is estimated to be INR 1,044,816 million (</w:t>
      </w:r>
      <w:r w:rsidRPr="00750B9A">
        <w:rPr>
          <w:rFonts w:cs="Arial"/>
          <w:szCs w:val="24"/>
        </w:rPr>
        <w:t>NTCP, 2024</w:t>
      </w:r>
      <w:r w:rsidRPr="00750B9A">
        <w:rPr>
          <w:rFonts w:cs="Arial"/>
        </w:rPr>
        <w:t xml:space="preserve">). This huge fiscal burden imposes significant pressure on state and local health programmers’ and redirects resources that would otherwise be used in preventive and cessation-based tobacco control programs (Pai </w:t>
      </w:r>
      <w:r w:rsidRPr="00750B9A">
        <w:rPr>
          <w:rFonts w:cs="Arial"/>
          <w:i/>
          <w:iCs/>
        </w:rPr>
        <w:t>et al</w:t>
      </w:r>
      <w:r w:rsidRPr="00750B9A">
        <w:rPr>
          <w:rFonts w:cs="Arial"/>
        </w:rPr>
        <w:t>., 2025).</w:t>
      </w:r>
    </w:p>
    <w:p w14:paraId="1A849770" w14:textId="77777777" w:rsidR="00732E6C" w:rsidRPr="00750B9A" w:rsidRDefault="00DF099F">
      <w:pPr>
        <w:rPr>
          <w:rFonts w:cs="Arial"/>
        </w:rPr>
      </w:pPr>
      <w:r w:rsidRPr="00750B9A">
        <w:rPr>
          <w:rFonts w:cs="Arial"/>
        </w:rPr>
        <w:t xml:space="preserve">The significant share of this burden is caused by the indirect costs, which contribute to 83.92 percent of overall economic impact. The price of untimely death itself comprises almost 69.87 percent of total spending, which is the productivity loss in early deaths caused by tobacco-related diseases. Morbidity-related costs also add 14.04 which </w:t>
      </w:r>
      <w:r w:rsidR="00E0446F" w:rsidRPr="00750B9A">
        <w:rPr>
          <w:rFonts w:cs="Arial"/>
        </w:rPr>
        <w:t>include</w:t>
      </w:r>
      <w:r w:rsidRPr="00750B9A">
        <w:rPr>
          <w:rFonts w:cs="Arial"/>
        </w:rPr>
        <w:t xml:space="preserve"> long-term treatment, </w:t>
      </w:r>
      <w:r w:rsidRPr="00750B9A">
        <w:rPr>
          <w:rFonts w:cs="Arial"/>
        </w:rPr>
        <w:lastRenderedPageBreak/>
        <w:t xml:space="preserve">disability, and reduced working capacity. By contrast, direct healthcare expenditure, such as diagnosis, treatment and hospitalisation constitutes 16.08% of the overall burden. </w:t>
      </w:r>
    </w:p>
    <w:p w14:paraId="6BB26420" w14:textId="77777777" w:rsidR="00732E6C" w:rsidRPr="00750B9A" w:rsidRDefault="00DF099F">
      <w:pPr>
        <w:rPr>
          <w:rFonts w:cs="Arial"/>
        </w:rPr>
      </w:pPr>
      <w:r w:rsidRPr="00750B9A">
        <w:rPr>
          <w:rFonts w:cs="Arial"/>
        </w:rPr>
        <w:t xml:space="preserve">In the case of NTCP, this is a two-fold problem due to the high economic burden. Although it takes heavy investment to introduce and maintain thorough tobacco control strategies including enforcement, cessation services, awareness efforts, and surveillance, the increasing cost of treating tobacco-related diseases constrains the fiscal capacity of preventive programmes (Hebbar </w:t>
      </w:r>
      <w:r w:rsidRPr="00750B9A">
        <w:rPr>
          <w:rFonts w:cs="Arial"/>
          <w:i/>
          <w:iCs/>
        </w:rPr>
        <w:t>et al</w:t>
      </w:r>
      <w:r w:rsidRPr="00750B9A">
        <w:rPr>
          <w:rFonts w:cs="Arial"/>
        </w:rPr>
        <w:t>., 2025). The NTCP activities can also be affected by the scale-up because of the resource constraints at the state and district levels, especially in metropolitan regions with the vast and varied population.</w:t>
      </w:r>
    </w:p>
    <w:p w14:paraId="35B8188F" w14:textId="77777777" w:rsidR="00732E6C" w:rsidRPr="00750B9A" w:rsidRDefault="00DF099F">
      <w:pPr>
        <w:pStyle w:val="Heading3"/>
        <w:rPr>
          <w:rFonts w:cs="Arial"/>
          <w:color w:val="auto"/>
        </w:rPr>
      </w:pPr>
      <w:bookmarkStart w:id="82" w:name="_Toc220668563"/>
      <w:r w:rsidRPr="00750B9A">
        <w:rPr>
          <w:rFonts w:cs="Arial"/>
          <w:color w:val="auto"/>
        </w:rPr>
        <w:t>Theme 2: Supportive governance in India is one of key enabler of NTCP policies implementation in India</w:t>
      </w:r>
      <w:bookmarkEnd w:id="82"/>
    </w:p>
    <w:p w14:paraId="72930661" w14:textId="77777777" w:rsidR="00732E6C" w:rsidRPr="00750B9A" w:rsidRDefault="00DF099F">
      <w:pPr>
        <w:rPr>
          <w:rFonts w:cs="Arial"/>
        </w:rPr>
      </w:pPr>
      <w:r w:rsidRPr="00750B9A">
        <w:rPr>
          <w:rFonts w:cs="Arial"/>
        </w:rPr>
        <w:t xml:space="preserve">The role of supportive governance has played an important facilitating role in making the National Tobacco Control Programme (NTCP) in India successful. Good political will, intersectoral coordination and international alignment have all contributed towards enhancing the tobacco control response in the country (Pai </w:t>
      </w:r>
      <w:r w:rsidRPr="00750B9A">
        <w:rPr>
          <w:rFonts w:cs="Arial"/>
          <w:i/>
          <w:iCs/>
        </w:rPr>
        <w:t>et al</w:t>
      </w:r>
      <w:r w:rsidRPr="00750B9A">
        <w:rPr>
          <w:rFonts w:cs="Arial"/>
        </w:rPr>
        <w:t xml:space="preserve">., 2025). </w:t>
      </w:r>
    </w:p>
    <w:p w14:paraId="0D68AEAD" w14:textId="77777777" w:rsidR="00732E6C" w:rsidRPr="00750B9A" w:rsidRDefault="00DF099F">
      <w:pPr>
        <w:rPr>
          <w:rFonts w:cs="Arial"/>
        </w:rPr>
      </w:pPr>
      <w:r w:rsidRPr="00750B9A">
        <w:rPr>
          <w:rFonts w:cs="Arial"/>
        </w:rPr>
        <w:t xml:space="preserve">One of the major governance strengths is the adoption and implementation of the Cigarettes and Other Tobacco Products Act (COTPA) in India and the programmatic nature of NTCP (Chengappa </w:t>
      </w:r>
      <w:r w:rsidRPr="00750B9A">
        <w:rPr>
          <w:rFonts w:cs="Arial"/>
          <w:i/>
          <w:iCs/>
        </w:rPr>
        <w:t>et al.</w:t>
      </w:r>
      <w:r w:rsidRPr="00750B9A">
        <w:rPr>
          <w:rFonts w:cs="Arial"/>
        </w:rPr>
        <w:t>, 2024). Decentralised implementation, monitoring and enforcement of tobacco control measures is supported by the creation of a special three tier administrative structure at national, state, and district levels. The mechanism of this institutional organisation helps states and districts tailor national policies to local situations to enhance accessibility and efficacy, especially in cities where populations are diverse.</w:t>
      </w:r>
    </w:p>
    <w:p w14:paraId="0401EB02" w14:textId="77777777" w:rsidR="00732E6C" w:rsidRPr="00750B9A" w:rsidRDefault="00DF099F">
      <w:pPr>
        <w:rPr>
          <w:rFonts w:cs="Arial"/>
        </w:rPr>
      </w:pPr>
      <w:r w:rsidRPr="00750B9A">
        <w:rPr>
          <w:rFonts w:cs="Arial"/>
        </w:rPr>
        <w:t xml:space="preserve">India has demonstrated its interest in global health governance which has also strengthened NTCP. Legislative support on tobacco regulation, taxation and supply chain monitoring has been enhanced by accession to the World Health Organisation Framework Convention on Tobacco Control (WHO FCTC) and the Protocol to Eliminate Illicit Trade in Tobacco Products. Other precautionary and youth-protective policies that have been facilitated by supportive governance include the national prohibition of electronic nicotine delivery systems (ENDS) and the enforcement of large pictorial health warnings, which reflect a precautionary strategy (Bhatt </w:t>
      </w:r>
      <w:r w:rsidRPr="00750B9A">
        <w:rPr>
          <w:rFonts w:cs="Arial"/>
          <w:i/>
          <w:iCs/>
        </w:rPr>
        <w:t>et al</w:t>
      </w:r>
      <w:r w:rsidRPr="00750B9A">
        <w:rPr>
          <w:rFonts w:cs="Arial"/>
        </w:rPr>
        <w:t>., 2023).</w:t>
      </w:r>
    </w:p>
    <w:p w14:paraId="58A15C21" w14:textId="77777777" w:rsidR="00732E6C" w:rsidRPr="00750B9A" w:rsidRDefault="00DF099F">
      <w:pPr>
        <w:rPr>
          <w:rFonts w:cs="Arial"/>
        </w:rPr>
      </w:pPr>
      <w:r w:rsidRPr="00750B9A">
        <w:rPr>
          <w:rFonts w:cs="Arial"/>
        </w:rPr>
        <w:t xml:space="preserve">The cooperation among ministers has made NTCP more comprehensive than the health departments. Liaison with education, information and broadcasting, law enforcement, and local bodies in urban areas has helped in creating smoke-free places, school-based awareness campaigns, and control of media depiction of tobacco (Bhatt </w:t>
      </w:r>
      <w:r w:rsidRPr="00750B9A">
        <w:rPr>
          <w:rFonts w:cs="Arial"/>
          <w:i/>
          <w:iCs/>
        </w:rPr>
        <w:t>et al</w:t>
      </w:r>
      <w:r w:rsidRPr="00750B9A">
        <w:rPr>
          <w:rFonts w:cs="Arial"/>
        </w:rPr>
        <w:t xml:space="preserve">., 2023). Moreover, a higher </w:t>
      </w:r>
      <w:r w:rsidRPr="00750B9A">
        <w:rPr>
          <w:rFonts w:cs="Arial"/>
        </w:rPr>
        <w:lastRenderedPageBreak/>
        <w:t>rate of using digital means of governance, including national Quitline and mobile-based cessation services, will evidence administrative flexibility and attentiveness to the needs of the population.</w:t>
      </w:r>
    </w:p>
    <w:p w14:paraId="3A1E7619" w14:textId="37BF5959" w:rsidR="00732E6C" w:rsidRPr="00750B9A" w:rsidRDefault="001E00DB">
      <w:pPr>
        <w:pStyle w:val="Heading2"/>
        <w:rPr>
          <w:rFonts w:cs="Arial"/>
          <w:color w:val="auto"/>
        </w:rPr>
      </w:pPr>
      <w:bookmarkStart w:id="83" w:name="_Toc220668564"/>
      <w:r>
        <w:rPr>
          <w:rFonts w:cs="Arial"/>
          <w:color w:val="auto"/>
        </w:rPr>
        <w:t>4.5</w:t>
      </w:r>
      <w:r w:rsidR="00DF099F" w:rsidRPr="00750B9A">
        <w:rPr>
          <w:rFonts w:cs="Arial"/>
          <w:color w:val="auto"/>
        </w:rPr>
        <w:t xml:space="preserve"> Conclusion</w:t>
      </w:r>
      <w:bookmarkEnd w:id="83"/>
    </w:p>
    <w:p w14:paraId="3DA570DA" w14:textId="77777777" w:rsidR="00732E6C" w:rsidRPr="00750B9A" w:rsidRDefault="00DF099F" w:rsidP="004D6792">
      <w:pPr>
        <w:rPr>
          <w:rFonts w:cs="Arial"/>
        </w:rPr>
      </w:pPr>
      <w:r w:rsidRPr="00750B9A">
        <w:rPr>
          <w:rFonts w:cs="Arial"/>
        </w:rPr>
        <w:t xml:space="preserve">It can be concluded from this chapter that there are both achievements and limitations of NTCP in addressing the tobacco-related CHD risk among the young urban population in India. It can also be concluded from the chapter that evidence also demonstrates measurable progress in cessation support, awareness, and early risk reduction. On the other hand, evolving tobacco trends, persistent prevalence, and enforcement challenges also indicate the need to strengthen the programme. This chapter also concludes that results provide a proper and stern empirical foundation for the discussion in the following chapter, where findings will be critically interpreted in relation to theories, research objectives, and literature. </w:t>
      </w:r>
      <w:r w:rsidRPr="00750B9A">
        <w:rPr>
          <w:rFonts w:cs="Arial"/>
          <w:highlight w:val="yellow"/>
        </w:rPr>
        <w:br w:type="page"/>
      </w:r>
    </w:p>
    <w:p w14:paraId="0EE737E3" w14:textId="77777777" w:rsidR="00732E6C" w:rsidRPr="00750B9A" w:rsidRDefault="00DF099F">
      <w:pPr>
        <w:pStyle w:val="Heading1"/>
        <w:rPr>
          <w:rFonts w:cs="Arial"/>
          <w:color w:val="auto"/>
        </w:rPr>
      </w:pPr>
      <w:bookmarkStart w:id="84" w:name="_Toc220668565"/>
      <w:r w:rsidRPr="00750B9A">
        <w:rPr>
          <w:rFonts w:cs="Arial"/>
          <w:color w:val="auto"/>
        </w:rPr>
        <w:lastRenderedPageBreak/>
        <w:t>Chapter 5 Discussion</w:t>
      </w:r>
      <w:bookmarkEnd w:id="84"/>
    </w:p>
    <w:p w14:paraId="5757A707" w14:textId="77777777" w:rsidR="00732E6C" w:rsidRPr="00750B9A" w:rsidRDefault="00DF099F">
      <w:pPr>
        <w:pStyle w:val="Heading2"/>
        <w:rPr>
          <w:rFonts w:cs="Arial"/>
          <w:color w:val="auto"/>
        </w:rPr>
      </w:pPr>
      <w:bookmarkStart w:id="85" w:name="_Toc220668566"/>
      <w:r w:rsidRPr="00750B9A">
        <w:rPr>
          <w:rFonts w:cs="Arial"/>
          <w:color w:val="auto"/>
        </w:rPr>
        <w:t>5.1 Introduction</w:t>
      </w:r>
      <w:bookmarkEnd w:id="85"/>
    </w:p>
    <w:p w14:paraId="58AF8DC9" w14:textId="77777777" w:rsidR="00732E6C" w:rsidRPr="00750B9A" w:rsidRDefault="00DF099F">
      <w:pPr>
        <w:rPr>
          <w:rFonts w:cs="Arial"/>
        </w:rPr>
      </w:pPr>
      <w:r w:rsidRPr="00750B9A">
        <w:rPr>
          <w:rFonts w:cs="Arial"/>
        </w:rPr>
        <w:t xml:space="preserve">This chapter of the study critically discusses the findings of the SLR by examining the effectiveness of NTCP in the process of reducing tobacco-related CHD risks among young Indian urban adults. Based on the thematic results that have been presented in Chapter 4, this discussion chapter interprets the evidence in relation to the literature reviewed, research objectives, and theoretical frameworks applied. Moreover, this chapter also effectively highlights the implications of findings of public health policies and practices, acknowledges the limitations and strengths of the study and concludes by summarising the total contribution of the research. </w:t>
      </w:r>
    </w:p>
    <w:p w14:paraId="61DF347B" w14:textId="77777777" w:rsidR="00732E6C" w:rsidRPr="00750B9A" w:rsidRDefault="00DF099F">
      <w:pPr>
        <w:pStyle w:val="Heading2"/>
        <w:rPr>
          <w:rFonts w:cs="Arial"/>
          <w:color w:val="auto"/>
        </w:rPr>
      </w:pPr>
      <w:bookmarkStart w:id="86" w:name="_Toc220668567"/>
      <w:r w:rsidRPr="00750B9A">
        <w:rPr>
          <w:rFonts w:cs="Arial"/>
          <w:color w:val="auto"/>
        </w:rPr>
        <w:t>5.2 Discussion</w:t>
      </w:r>
      <w:bookmarkEnd w:id="86"/>
    </w:p>
    <w:p w14:paraId="4AED3211" w14:textId="77777777" w:rsidR="00732E6C" w:rsidRPr="00750B9A" w:rsidRDefault="00DF099F">
      <w:pPr>
        <w:rPr>
          <w:rFonts w:cs="Arial"/>
        </w:rPr>
      </w:pPr>
      <w:r w:rsidRPr="00750B9A">
        <w:rPr>
          <w:rFonts w:cs="Arial"/>
        </w:rPr>
        <w:t>It can be discussed that findings of the SLR reveal a complex but highly consistent picture that the use of tobacco still remains the most prevalent among young adults in urban India. Besides, it has proven to be one of the major contributory factors towards early CHD risk (Verma</w:t>
      </w:r>
      <w:r w:rsidRPr="00750B9A">
        <w:rPr>
          <w:rFonts w:cs="Arial"/>
          <w:i/>
          <w:iCs/>
        </w:rPr>
        <w:t xml:space="preserve"> et.al</w:t>
      </w:r>
      <w:r w:rsidRPr="00750B9A">
        <w:rPr>
          <w:rFonts w:cs="Arial"/>
        </w:rPr>
        <w:t xml:space="preserve"> 2023). At the same time, the NTCP has offered measurable success in awareness generation, cessation support, and behavioural change; its impact is moderated by social, persistent structural, and implementation challenges. </w:t>
      </w:r>
    </w:p>
    <w:p w14:paraId="08A698C9" w14:textId="77777777" w:rsidR="00732E6C" w:rsidRPr="00750B9A" w:rsidRDefault="00DF099F">
      <w:pPr>
        <w:pStyle w:val="Heading3"/>
        <w:rPr>
          <w:rFonts w:cs="Arial"/>
          <w:color w:val="auto"/>
        </w:rPr>
      </w:pPr>
      <w:bookmarkStart w:id="87" w:name="_Toc220668568"/>
      <w:r w:rsidRPr="00750B9A">
        <w:rPr>
          <w:rFonts w:cs="Arial"/>
          <w:color w:val="auto"/>
        </w:rPr>
        <w:t>Findings link with LR.</w:t>
      </w:r>
      <w:bookmarkEnd w:id="87"/>
    </w:p>
    <w:p w14:paraId="7A400BFE" w14:textId="77777777" w:rsidR="00732E6C" w:rsidRPr="00750B9A" w:rsidRDefault="00DF099F">
      <w:pPr>
        <w:rPr>
          <w:rFonts w:cs="Arial"/>
        </w:rPr>
      </w:pPr>
      <w:r w:rsidRPr="00750B9A">
        <w:rPr>
          <w:rFonts w:cs="Arial"/>
        </w:rPr>
        <w:t>It can be discussed that the literature review highlighted that the use of tobacco among young adults in urban areas of India is diversified, with increasing hookah use, polytobacco consumption, and cigarette smoking. Thus, the results of the study reinforce such observation and demonstrate that the young urban population remain at high risk despite numerous regulatory progresses (Murmu</w:t>
      </w:r>
      <w:r w:rsidRPr="00750B9A">
        <w:rPr>
          <w:rFonts w:cs="Arial"/>
          <w:i/>
          <w:iCs/>
        </w:rPr>
        <w:t xml:space="preserve"> et.al</w:t>
      </w:r>
      <w:r w:rsidRPr="00750B9A">
        <w:rPr>
          <w:rFonts w:cs="Arial"/>
        </w:rPr>
        <w:t xml:space="preserve"> 2023). So, this consistency suggests that the environmental and socio-cultural determinants identified within the literature, such as stress, peer influence, and urban lifestyle transition, continue to shape tobacco behaviour. In the same case, the strong linkage between early CHD risk and tobacco use found within this review supports the cardiovascular literature already discussed in chapter two. In addition to that, previous studies also focused on the fact that tobacco use accelerates oxidative stress, endothelial dysfunction, and plaque formation among young adults (Bharati</w:t>
      </w:r>
      <w:r w:rsidRPr="00750B9A">
        <w:rPr>
          <w:rFonts w:cs="Arial"/>
          <w:i/>
          <w:iCs/>
        </w:rPr>
        <w:t xml:space="preserve"> et.al</w:t>
      </w:r>
      <w:r w:rsidRPr="00750B9A">
        <w:rPr>
          <w:rFonts w:cs="Arial"/>
        </w:rPr>
        <w:t xml:space="preserve"> 2023). So, thematic findings confirm that these mechanisms are observable, not theoretical, within the urban context of the country where a young population presents with cardiovascular risk markers that can be measured and, increasingly, premature coronary events. </w:t>
      </w:r>
    </w:p>
    <w:p w14:paraId="0618F93A" w14:textId="77777777" w:rsidR="00732E6C" w:rsidRPr="00750B9A" w:rsidRDefault="00DF099F">
      <w:pPr>
        <w:rPr>
          <w:rFonts w:cs="Arial"/>
        </w:rPr>
      </w:pPr>
      <w:r w:rsidRPr="00750B9A">
        <w:rPr>
          <w:rFonts w:cs="Arial"/>
        </w:rPr>
        <w:t xml:space="preserve">In addition to that, the findings of the review on NTCP effectiveness also mirror the literature. Previous research documented suggested improvements in social norms, smoke-free compliance, and awareness following NTCP implementation. This study validates those </w:t>
      </w:r>
      <w:r w:rsidRPr="00750B9A">
        <w:rPr>
          <w:rFonts w:cs="Arial"/>
        </w:rPr>
        <w:lastRenderedPageBreak/>
        <w:t>outcomes. Especially with respect to educational initiatives, mass media campaigns, and cessation infrastructure (Khambayat</w:t>
      </w:r>
      <w:r w:rsidRPr="00750B9A">
        <w:rPr>
          <w:rFonts w:cs="Arial"/>
          <w:i/>
          <w:iCs/>
        </w:rPr>
        <w:t xml:space="preserve"> et.al</w:t>
      </w:r>
      <w:r w:rsidRPr="00750B9A">
        <w:rPr>
          <w:rFonts w:cs="Arial"/>
        </w:rPr>
        <w:t xml:space="preserve"> 2023). At the same time, the identified gaps, limited youth targeting, uneven enforcement, and inadequate attention to emerging marketing channels echo the concerns raised in past evaluations of NTCP. It can also be discussed that this study also extends the literature by synthesising such standards, especially through a cardiovascular lens. However, most of the reviewed literature focused on cancer outcomes or general tobacco prevalence. This type of integration directly responds to the research gap that has been identified in Chapter 2. This is achieved by providing evidence that tobacco control policies generally have implications for risks related to cardiovascular disease among young urban adults in India (Goel</w:t>
      </w:r>
      <w:r w:rsidRPr="00750B9A">
        <w:rPr>
          <w:rFonts w:cs="Arial"/>
          <w:i/>
          <w:iCs/>
        </w:rPr>
        <w:t xml:space="preserve"> et.al</w:t>
      </w:r>
      <w:r w:rsidRPr="00750B9A">
        <w:rPr>
          <w:rFonts w:cs="Arial"/>
        </w:rPr>
        <w:t xml:space="preserve"> 2025). It can also be discussed that such findings also strongly resonate with different theoretical frameworks. The observable impact of pictorial warnings and awareness campaigns reflects the Health Belief model, especially in the context of enhancing perceived susceptibility and severity (Bhatt</w:t>
      </w:r>
      <w:r w:rsidRPr="00750B9A">
        <w:rPr>
          <w:rFonts w:cs="Arial"/>
          <w:i/>
          <w:iCs/>
        </w:rPr>
        <w:t xml:space="preserve"> et.al</w:t>
      </w:r>
      <w:r w:rsidRPr="00750B9A">
        <w:rPr>
          <w:rFonts w:cs="Arial"/>
        </w:rPr>
        <w:t xml:space="preserve"> 2023). The influence of urban environments, peer norms, and policy enforcement effectively aligns with the Social Ecological Model, which demonstrates that tobacco behaviour can be shaped by multiple interactive levels (Shankar</w:t>
      </w:r>
      <w:r w:rsidRPr="00750B9A">
        <w:rPr>
          <w:rFonts w:cs="Arial"/>
          <w:i/>
          <w:iCs/>
        </w:rPr>
        <w:t xml:space="preserve"> et.al</w:t>
      </w:r>
      <w:r w:rsidRPr="00750B9A">
        <w:rPr>
          <w:rFonts w:cs="Arial"/>
        </w:rPr>
        <w:t xml:space="preserve"> 2022). In addition to that, the variability of different NTCP outcomes across cities supports Policy Implementation Theory that effectively highlights the essence of governance, stakeholder engagement, and administrative capacity. </w:t>
      </w:r>
    </w:p>
    <w:p w14:paraId="071DD38E" w14:textId="77777777" w:rsidR="00732E6C" w:rsidRPr="00750B9A" w:rsidRDefault="00DF099F">
      <w:pPr>
        <w:pStyle w:val="Heading3"/>
        <w:rPr>
          <w:rFonts w:cs="Arial"/>
          <w:color w:val="auto"/>
        </w:rPr>
      </w:pPr>
      <w:bookmarkStart w:id="88" w:name="_Toc220668569"/>
      <w:r w:rsidRPr="00750B9A">
        <w:rPr>
          <w:rFonts w:cs="Arial"/>
          <w:color w:val="auto"/>
        </w:rPr>
        <w:t>Findings link with research questions and objectives.</w:t>
      </w:r>
      <w:bookmarkEnd w:id="88"/>
    </w:p>
    <w:p w14:paraId="1E49ABE1" w14:textId="77777777" w:rsidR="00732E6C" w:rsidRPr="00750B9A" w:rsidRDefault="00DF099F">
      <w:pPr>
        <w:rPr>
          <w:rFonts w:cs="Arial"/>
        </w:rPr>
      </w:pPr>
      <w:r w:rsidRPr="00750B9A">
        <w:rPr>
          <w:rFonts w:cs="Arial"/>
        </w:rPr>
        <w:t>The primary research question that has been asked is how effective NTCP intervention has been in reducing tobacco-related risk factors and preventing CHD among the young urban population in India. In addition to that, findings of the study indicate that NTCP has not proven entirely effective. It has enhanced awareness, reduced exposure to second-hand smoke, and contributed to early risk education (Pai</w:t>
      </w:r>
      <w:r w:rsidRPr="00750B9A">
        <w:rPr>
          <w:rFonts w:cs="Arial"/>
          <w:i/>
          <w:iCs/>
        </w:rPr>
        <w:t xml:space="preserve"> et.al</w:t>
      </w:r>
      <w:r w:rsidRPr="00750B9A">
        <w:rPr>
          <w:rFonts w:cs="Arial"/>
        </w:rPr>
        <w:t xml:space="preserve"> 2025). On the other hand, the effectiveness of such a program is constrained by persistent tobacco use, inconsistent urban enforcement, and evolving market practices. So, it can be said that NTCP is generally considered impactful but still not highly sufficient to achieve optimal cardiovascular protection for young Indian adults (Hebbar</w:t>
      </w:r>
      <w:r w:rsidRPr="00750B9A">
        <w:rPr>
          <w:rFonts w:cs="Arial"/>
          <w:i/>
          <w:iCs/>
        </w:rPr>
        <w:t xml:space="preserve"> et.al</w:t>
      </w:r>
      <w:r w:rsidRPr="00750B9A">
        <w:rPr>
          <w:rFonts w:cs="Arial"/>
        </w:rPr>
        <w:t xml:space="preserve"> 2022).  It can also be discussed that the first objective of the study explored determinants of tobacco use as well as their contribution to CHD risks. It has been identified from the review that family history, peer pressure, urban environmental factors, and stress are major determinants; all of these factors contribute to sustained use and early initiation (Bhargava and Paul, 2022). Thus, it can also be said that these determinants are directly linked to biological pathways of early CHD risks identified within findings, fulfilling the first objective.</w:t>
      </w:r>
    </w:p>
    <w:p w14:paraId="0B53A08C" w14:textId="77777777" w:rsidR="00732E6C" w:rsidRPr="00750B9A" w:rsidRDefault="00DF099F">
      <w:pPr>
        <w:rPr>
          <w:rFonts w:cs="Arial"/>
        </w:rPr>
      </w:pPr>
      <w:r w:rsidRPr="00750B9A">
        <w:rPr>
          <w:rFonts w:cs="Arial"/>
        </w:rPr>
        <w:lastRenderedPageBreak/>
        <w:t>The second objective of the study simply evaluated the NTCP strategies and policies. However, the evidence demonstrated that advertising restrictions, smoke-free laws, educational campaigns, and health warnings have had perceptual effects and positive behavioural effects. So, these outcomes confirm that NTCP strategies are functioning in line with the intended design; however, their consistency and reach vary (Hebbar</w:t>
      </w:r>
      <w:r w:rsidRPr="00750B9A">
        <w:rPr>
          <w:rFonts w:cs="Arial"/>
          <w:i/>
          <w:iCs/>
        </w:rPr>
        <w:t xml:space="preserve"> et.al</w:t>
      </w:r>
      <w:r w:rsidRPr="00750B9A">
        <w:rPr>
          <w:rFonts w:cs="Arial"/>
        </w:rPr>
        <w:t xml:space="preserve"> 2025). In addition to that, the third objective of the study assessed the impact of NTCP on early risk factors as well as overall CHD risk (Di Cesare</w:t>
      </w:r>
      <w:r w:rsidRPr="00750B9A">
        <w:rPr>
          <w:rFonts w:cs="Arial"/>
          <w:i/>
          <w:iCs/>
        </w:rPr>
        <w:t xml:space="preserve"> et.al</w:t>
      </w:r>
      <w:r w:rsidRPr="00750B9A">
        <w:rPr>
          <w:rFonts w:cs="Arial"/>
        </w:rPr>
        <w:t xml:space="preserve"> 2024). In this case, findings showed that </w:t>
      </w:r>
      <w:r w:rsidR="00A95A9C" w:rsidRPr="00750B9A">
        <w:rPr>
          <w:rFonts w:cs="Arial"/>
        </w:rPr>
        <w:t>an NTCP-support cessation as well as awareness initiative is</w:t>
      </w:r>
      <w:r w:rsidRPr="00750B9A">
        <w:rPr>
          <w:rFonts w:cs="Arial"/>
        </w:rPr>
        <w:t xml:space="preserve"> linked with improvements in early cardiovascular indicators and reduced tobacco exposure. However, direct causal evidence remains limited, and the consistent association between NTCP engagement as well as reduced risk factors allowed the researcher to meet the third objective. </w:t>
      </w:r>
    </w:p>
    <w:p w14:paraId="2242CB1E" w14:textId="77777777" w:rsidR="00732E6C" w:rsidRPr="00750B9A" w:rsidRDefault="00DF099F">
      <w:pPr>
        <w:rPr>
          <w:rFonts w:cs="Arial"/>
        </w:rPr>
      </w:pPr>
      <w:r w:rsidRPr="00750B9A">
        <w:rPr>
          <w:rFonts w:cs="Arial"/>
        </w:rPr>
        <w:t>Moreover, the final objective of the study sought to identify enablers and barriers and, in this case, the review clearly delineated barriers such as weak enforcement, high implementation costs, and digital marketing challenges, along with the enablers such as intersectoral collaboration, political commitments, and supportive governance. These insights provide a practical foundation for the policy refinement, thus directly addressing the final objective of the study (Kodali</w:t>
      </w:r>
      <w:r w:rsidRPr="00750B9A">
        <w:rPr>
          <w:rFonts w:cs="Arial"/>
          <w:i/>
          <w:iCs/>
        </w:rPr>
        <w:t xml:space="preserve"> et.al</w:t>
      </w:r>
      <w:r w:rsidRPr="00750B9A">
        <w:rPr>
          <w:rFonts w:cs="Arial"/>
        </w:rPr>
        <w:t xml:space="preserve"> 2025). </w:t>
      </w:r>
    </w:p>
    <w:p w14:paraId="7776F079" w14:textId="77777777" w:rsidR="00732E6C" w:rsidRPr="00750B9A" w:rsidRDefault="00DF099F">
      <w:pPr>
        <w:rPr>
          <w:rFonts w:cs="Arial"/>
        </w:rPr>
      </w:pPr>
      <w:r w:rsidRPr="00750B9A">
        <w:rPr>
          <w:rFonts w:cs="Arial"/>
        </w:rPr>
        <w:t xml:space="preserve">Thus, the overall discussion of the findings effectively suggests that NTCP is generally effective as a foundational tobacco control procedure or framework, and this program has also meaningfully contributed to early CHD risk reduction. On the other hand, NTCP's existing </w:t>
      </w:r>
      <w:r w:rsidR="00A95A9C" w:rsidRPr="00750B9A">
        <w:rPr>
          <w:rFonts w:cs="Arial"/>
        </w:rPr>
        <w:t>design as well as implementation is</w:t>
      </w:r>
      <w:r w:rsidRPr="00750B9A">
        <w:rPr>
          <w:rFonts w:cs="Arial"/>
        </w:rPr>
        <w:t xml:space="preserve"> not entirely sufficient to counter the evolving drivers of tobacco consumption among young urban adults in India (Chugh</w:t>
      </w:r>
      <w:r w:rsidRPr="00750B9A">
        <w:rPr>
          <w:rFonts w:cs="Arial"/>
          <w:i/>
          <w:iCs/>
        </w:rPr>
        <w:t xml:space="preserve"> et.al</w:t>
      </w:r>
      <w:r w:rsidRPr="00750B9A">
        <w:rPr>
          <w:rFonts w:cs="Arial"/>
        </w:rPr>
        <w:t xml:space="preserve"> 2023). In this case, modernising the process of communication strategies, strengthening enforcement, expanding youth-centred cessation services, and integrating cardiovascular-specific messaging can prove essential for maximising the impact of the program. </w:t>
      </w:r>
    </w:p>
    <w:p w14:paraId="28F4431A" w14:textId="77777777" w:rsidR="00145A4B" w:rsidRPr="00750B9A" w:rsidRDefault="00441B34">
      <w:pPr>
        <w:rPr>
          <w:rFonts w:cs="Arial"/>
        </w:rPr>
      </w:pPr>
      <w:r w:rsidRPr="00750B9A">
        <w:rPr>
          <w:rFonts w:cs="Arial"/>
        </w:rPr>
        <w:t>It can be discussed that the findings of SLR indicated that the NTCP has effectively contributed to improved awareness, access to cessation services, and smoke-free compliance, thus, the strength of this supporting evidence is mixed. Various studies relied on cross-sectional designs as well as self-reported tobacco use which limited the causal inference and also increased the likelihood of reporting bias</w:t>
      </w:r>
      <w:r w:rsidR="00FE5839" w:rsidRPr="00750B9A">
        <w:rPr>
          <w:rFonts w:cs="Arial"/>
        </w:rPr>
        <w:t xml:space="preserve"> (</w:t>
      </w:r>
      <w:r w:rsidR="00FE5839" w:rsidRPr="00750B9A">
        <w:rPr>
          <w:rFonts w:cs="Arial"/>
          <w:szCs w:val="24"/>
        </w:rPr>
        <w:t>Kokane and Mitra, 2020)</w:t>
      </w:r>
      <w:r w:rsidRPr="00750B9A">
        <w:rPr>
          <w:rFonts w:cs="Arial"/>
        </w:rPr>
        <w:t xml:space="preserve">. Most importantly, an important gap that has been identified in the chapter 2 such as lack of age-specific and cardiovascular-focused evaluations still remains evident. In addition to that numerous NTCP </w:t>
      </w:r>
      <w:r w:rsidR="00CF0643" w:rsidRPr="00750B9A">
        <w:rPr>
          <w:rFonts w:cs="Arial"/>
        </w:rPr>
        <w:t>assessments</w:t>
      </w:r>
      <w:r w:rsidRPr="00750B9A">
        <w:rPr>
          <w:rFonts w:cs="Arial"/>
        </w:rPr>
        <w:t xml:space="preserve"> did not disaggregate outcomes for young urban adults thus constraining the ability to effectively determine effectiveness of programme within in this high-risk group.</w:t>
      </w:r>
    </w:p>
    <w:p w14:paraId="3DBEFAB6" w14:textId="77777777" w:rsidR="006A006F" w:rsidRPr="00750B9A" w:rsidRDefault="00441B34">
      <w:pPr>
        <w:rPr>
          <w:rFonts w:cs="Arial"/>
        </w:rPr>
      </w:pPr>
      <w:r w:rsidRPr="00750B9A">
        <w:rPr>
          <w:rFonts w:cs="Arial"/>
        </w:rPr>
        <w:lastRenderedPageBreak/>
        <w:t xml:space="preserve">Based on the theoretical viewpoint, the findings partially support the Health Belief Model, as a pictorial warnings as well as mass media campaigns appear to increase perceived susceptibility and severity. </w:t>
      </w:r>
      <w:r w:rsidR="00061BB7" w:rsidRPr="00750B9A">
        <w:rPr>
          <w:rFonts w:cs="Arial"/>
        </w:rPr>
        <w:t xml:space="preserve">On the other hand, the continued prevalence of tobacco use among informed young urban people highlights the limitations of individual-level risk perception when broader commercial and social drivers persist. </w:t>
      </w:r>
      <w:r w:rsidR="007E3220" w:rsidRPr="00750B9A">
        <w:rPr>
          <w:rFonts w:cs="Arial"/>
        </w:rPr>
        <w:t>Moreover, the Social Ecological Model offers a stronger explanatory power and the reason behind this is that the tobacco use is shaped by interacting influences across urban stress environments, peer networks, enforcement practices, and availability</w:t>
      </w:r>
      <w:r w:rsidR="00E8181B" w:rsidRPr="00750B9A">
        <w:rPr>
          <w:rFonts w:cs="Arial"/>
        </w:rPr>
        <w:t xml:space="preserve"> (</w:t>
      </w:r>
      <w:r w:rsidR="00E8181B" w:rsidRPr="00750B9A">
        <w:rPr>
          <w:rFonts w:cs="Arial"/>
          <w:szCs w:val="24"/>
        </w:rPr>
        <w:t>Joshi</w:t>
      </w:r>
      <w:r w:rsidR="00E8181B" w:rsidRPr="00750B9A">
        <w:rPr>
          <w:rFonts w:cs="Arial"/>
          <w:i/>
          <w:szCs w:val="24"/>
        </w:rPr>
        <w:t xml:space="preserve"> et.al</w:t>
      </w:r>
      <w:r w:rsidR="00E8181B" w:rsidRPr="00750B9A">
        <w:rPr>
          <w:rFonts w:cs="Arial"/>
          <w:szCs w:val="24"/>
        </w:rPr>
        <w:t xml:space="preserve"> 2025)</w:t>
      </w:r>
      <w:r w:rsidR="007E3220" w:rsidRPr="00750B9A">
        <w:rPr>
          <w:rFonts w:cs="Arial"/>
        </w:rPr>
        <w:t xml:space="preserve">. </w:t>
      </w:r>
      <w:r w:rsidR="00DF384F" w:rsidRPr="00750B9A">
        <w:rPr>
          <w:rFonts w:cs="Arial"/>
        </w:rPr>
        <w:t xml:space="preserve">Moreover, the variability within the NTCP outcomes across cities effectively reflects Policy Implementation Theory which focused on how administrative capacity, local governance, and intersectoral coordination mediate policy impact, an implementation gap which is highlighted in Chapter second. </w:t>
      </w:r>
    </w:p>
    <w:p w14:paraId="62A4EFC8" w14:textId="77777777" w:rsidR="00441B34" w:rsidRPr="00750B9A" w:rsidRDefault="006A006F">
      <w:pPr>
        <w:rPr>
          <w:rFonts w:cs="Arial"/>
        </w:rPr>
      </w:pPr>
      <w:r w:rsidRPr="00750B9A">
        <w:rPr>
          <w:rFonts w:cs="Arial"/>
        </w:rPr>
        <w:t xml:space="preserve">In the context of Objective 3, as NTCP-support cessation and reduced exposure are biologically plausible pathways for reducing early CHD </w:t>
      </w:r>
      <w:r w:rsidR="00CF0643" w:rsidRPr="00750B9A">
        <w:rPr>
          <w:rFonts w:cs="Arial"/>
        </w:rPr>
        <w:t>risks;</w:t>
      </w:r>
      <w:r w:rsidRPr="00750B9A">
        <w:rPr>
          <w:rFonts w:cs="Arial"/>
        </w:rPr>
        <w:t xml:space="preserve"> direct longitudinal evidence linking NTCP intervention to cardiovascular biomarkers or clinical outcomes is also limited. Thus, this reinforces the literature gap that has been identified previously and also suggests that existing evidence is more associative than causal. </w:t>
      </w:r>
      <w:r w:rsidR="00B65BF6" w:rsidRPr="00750B9A">
        <w:rPr>
          <w:rFonts w:cs="Arial"/>
        </w:rPr>
        <w:t>This, it can be analysed that overall NTCP functions can prove to be an important foundational framework but still remain insufficient to effectively counter evolving urban tobacco determinants including youth-targeted consumption patterns and digital marketing</w:t>
      </w:r>
      <w:r w:rsidR="00E8181B" w:rsidRPr="00750B9A">
        <w:rPr>
          <w:rFonts w:cs="Arial"/>
        </w:rPr>
        <w:t xml:space="preserve"> (</w:t>
      </w:r>
      <w:r w:rsidR="00E8181B" w:rsidRPr="00750B9A">
        <w:rPr>
          <w:rFonts w:cs="Arial"/>
          <w:szCs w:val="24"/>
        </w:rPr>
        <w:t>Sundaresan</w:t>
      </w:r>
      <w:r w:rsidR="00E8181B" w:rsidRPr="00750B9A">
        <w:rPr>
          <w:rFonts w:cs="Arial"/>
          <w:i/>
          <w:szCs w:val="24"/>
        </w:rPr>
        <w:t xml:space="preserve"> et.al</w:t>
      </w:r>
      <w:r w:rsidR="00E8181B" w:rsidRPr="00750B9A">
        <w:rPr>
          <w:rFonts w:cs="Arial"/>
          <w:szCs w:val="24"/>
        </w:rPr>
        <w:t xml:space="preserve"> 2025)</w:t>
      </w:r>
      <w:r w:rsidR="00B65BF6" w:rsidRPr="00750B9A">
        <w:rPr>
          <w:rFonts w:cs="Arial"/>
        </w:rPr>
        <w:t xml:space="preserve">. Thus, effectively addressing these gaps can strengthen the evidence base and policy effectiveness. </w:t>
      </w:r>
    </w:p>
    <w:p w14:paraId="6C8FB96C" w14:textId="77777777" w:rsidR="00732E6C" w:rsidRPr="00750B9A" w:rsidRDefault="00DF099F">
      <w:pPr>
        <w:pStyle w:val="Heading2"/>
        <w:rPr>
          <w:rFonts w:cs="Arial"/>
          <w:color w:val="auto"/>
        </w:rPr>
      </w:pPr>
      <w:bookmarkStart w:id="89" w:name="_Toc220668570"/>
      <w:r w:rsidRPr="00750B9A">
        <w:rPr>
          <w:rFonts w:cs="Arial"/>
          <w:color w:val="auto"/>
        </w:rPr>
        <w:t>5.3 Implication of findings</w:t>
      </w:r>
      <w:bookmarkEnd w:id="89"/>
    </w:p>
    <w:p w14:paraId="60C96868" w14:textId="77777777" w:rsidR="008A570F" w:rsidRPr="00750B9A" w:rsidRDefault="00B91AB9">
      <w:pPr>
        <w:rPr>
          <w:rFonts w:cs="Arial"/>
        </w:rPr>
      </w:pPr>
      <w:r w:rsidRPr="00750B9A">
        <w:rPr>
          <w:rFonts w:cs="Arial"/>
        </w:rPr>
        <w:t xml:space="preserve">The </w:t>
      </w:r>
      <w:r w:rsidR="00380414" w:rsidRPr="00750B9A">
        <w:rPr>
          <w:rFonts w:cs="Arial"/>
        </w:rPr>
        <w:t>findings of the SLR have</w:t>
      </w:r>
      <w:r w:rsidRPr="00750B9A">
        <w:rPr>
          <w:rFonts w:cs="Arial"/>
        </w:rPr>
        <w:t xml:space="preserve"> got various important implications for tobacco control policy, implementation, and future research in India. </w:t>
      </w:r>
      <w:r w:rsidR="003E5C57" w:rsidRPr="00750B9A">
        <w:rPr>
          <w:rFonts w:cs="Arial"/>
        </w:rPr>
        <w:t>First, it can be analysed that the consistent evidence linking to tobacco use among young urban adults with early CHD risks markers has directly supported the repositioning of the NTCP beyond its traditional cancer-prevention process</w:t>
      </w:r>
      <w:r w:rsidR="00202E8D" w:rsidRPr="00750B9A">
        <w:rPr>
          <w:rFonts w:cs="Arial"/>
        </w:rPr>
        <w:t>(</w:t>
      </w:r>
      <w:r w:rsidR="00202E8D" w:rsidRPr="00750B9A">
        <w:rPr>
          <w:rFonts w:cs="Arial"/>
          <w:szCs w:val="24"/>
        </w:rPr>
        <w:t>Goel</w:t>
      </w:r>
      <w:r w:rsidR="00202E8D" w:rsidRPr="00750B9A">
        <w:rPr>
          <w:rFonts w:cs="Arial"/>
          <w:i/>
          <w:szCs w:val="24"/>
        </w:rPr>
        <w:t xml:space="preserve"> et.al</w:t>
      </w:r>
      <w:r w:rsidR="00202E8D" w:rsidRPr="00750B9A">
        <w:rPr>
          <w:rFonts w:cs="Arial"/>
          <w:szCs w:val="24"/>
        </w:rPr>
        <w:t xml:space="preserve"> 2024).</w:t>
      </w:r>
      <w:r w:rsidR="00944526" w:rsidRPr="00750B9A">
        <w:rPr>
          <w:rFonts w:cs="Arial"/>
        </w:rPr>
        <w:t>As it has been identified in findings that cardiovascular risks generally emerge early in tobacco users which indicate that NTCO can be strengthened by explicitly incorpo</w:t>
      </w:r>
      <w:r w:rsidR="000D0F2B" w:rsidRPr="00750B9A">
        <w:rPr>
          <w:rFonts w:cs="Arial"/>
        </w:rPr>
        <w:t>r</w:t>
      </w:r>
      <w:r w:rsidR="00944526" w:rsidRPr="00750B9A">
        <w:rPr>
          <w:rFonts w:cs="Arial"/>
        </w:rPr>
        <w:t xml:space="preserve">ating CHD prevention indicators into programme objectives, evaluation metrics, and monitoring frameworks. </w:t>
      </w:r>
      <w:r w:rsidR="000D0F2B" w:rsidRPr="00750B9A">
        <w:rPr>
          <w:rFonts w:cs="Arial"/>
        </w:rPr>
        <w:t xml:space="preserve">Second, it can also be analysed that the findings showed that while awareness of tobacco harms has effectively improved, tobacco use persists among urban youth in India. So, this suggests that the current message lacks salience for this demographic. Integrating explicit CHD-focused messaging, such as reduced functional capacity and premature heart disease, could improve perceived severity as well as relevance, thus improving </w:t>
      </w:r>
      <w:r w:rsidR="000D0F2B" w:rsidRPr="00750B9A">
        <w:rPr>
          <w:rFonts w:cs="Arial"/>
        </w:rPr>
        <w:lastRenderedPageBreak/>
        <w:t xml:space="preserve">the behavioural impact </w:t>
      </w:r>
      <w:r w:rsidR="00087A65" w:rsidRPr="00750B9A">
        <w:rPr>
          <w:rFonts w:cs="Arial"/>
        </w:rPr>
        <w:t>(</w:t>
      </w:r>
      <w:r w:rsidR="00087A65" w:rsidRPr="00750B9A">
        <w:rPr>
          <w:rFonts w:cs="Arial"/>
          <w:szCs w:val="24"/>
        </w:rPr>
        <w:t>Pahwa</w:t>
      </w:r>
      <w:r w:rsidR="00087A65" w:rsidRPr="00750B9A">
        <w:rPr>
          <w:rFonts w:cs="Arial"/>
          <w:i/>
          <w:szCs w:val="24"/>
        </w:rPr>
        <w:t xml:space="preserve"> et.al</w:t>
      </w:r>
      <w:r w:rsidR="00087A65" w:rsidRPr="00750B9A">
        <w:rPr>
          <w:rFonts w:cs="Arial"/>
          <w:szCs w:val="24"/>
        </w:rPr>
        <w:t xml:space="preserve"> 2023).</w:t>
      </w:r>
      <w:r w:rsidR="000D3F6F" w:rsidRPr="00750B9A">
        <w:rPr>
          <w:rFonts w:cs="Arial"/>
        </w:rPr>
        <w:t xml:space="preserve">This could have a direct implication from revising mass media campaigns as well as pictorial health warnings. </w:t>
      </w:r>
    </w:p>
    <w:p w14:paraId="29B74782" w14:textId="77777777" w:rsidR="004E1A8C" w:rsidRPr="00750B9A" w:rsidRDefault="004E1A8C">
      <w:pPr>
        <w:rPr>
          <w:rFonts w:cs="Arial"/>
        </w:rPr>
      </w:pPr>
      <w:r w:rsidRPr="00750B9A">
        <w:rPr>
          <w:rFonts w:cs="Arial"/>
        </w:rPr>
        <w:t xml:space="preserve">Third, it can also be analysed that the uneven effectiveness of NTCP across urban settings in India, as identified in the review has highlighted implementations and enforcement gaps. Strengthening municipal-level enforcement through better monitoring mechanisms, resourcing, and intersectoral coordination is therefore a priority recommendation as local governance capacity was shown to influence outcomes. </w:t>
      </w:r>
      <w:r w:rsidR="00983F45" w:rsidRPr="00750B9A">
        <w:rPr>
          <w:rFonts w:cs="Arial"/>
        </w:rPr>
        <w:t xml:space="preserve">In addition to that, it can also be analysed that the identification of digital as well as surrogate tobacco marketing as emerging challenge necessitates policy adaptation. Deploying youth-oriented digital cessation campaigns and regulating online promotion channels could effectively address contemporary drivers of tobacco use not adequately covered by current NTCP strategies </w:t>
      </w:r>
      <w:r w:rsidR="00F876A3" w:rsidRPr="00750B9A">
        <w:rPr>
          <w:rFonts w:cs="Arial"/>
        </w:rPr>
        <w:t>(</w:t>
      </w:r>
      <w:r w:rsidR="00F876A3" w:rsidRPr="00750B9A">
        <w:rPr>
          <w:rFonts w:cs="Arial"/>
          <w:szCs w:val="24"/>
        </w:rPr>
        <w:t>Bantwal</w:t>
      </w:r>
      <w:r w:rsidR="00F876A3" w:rsidRPr="00750B9A">
        <w:rPr>
          <w:rFonts w:cs="Arial"/>
          <w:i/>
          <w:szCs w:val="24"/>
        </w:rPr>
        <w:t xml:space="preserve"> et.al</w:t>
      </w:r>
      <w:r w:rsidR="00F876A3" w:rsidRPr="00750B9A">
        <w:rPr>
          <w:rFonts w:cs="Arial"/>
          <w:szCs w:val="24"/>
        </w:rPr>
        <w:t xml:space="preserve"> 2024).</w:t>
      </w:r>
      <w:r w:rsidR="00FC1452" w:rsidRPr="00750B9A">
        <w:rPr>
          <w:rFonts w:cs="Arial"/>
        </w:rPr>
        <w:t xml:space="preserve">Finally, evidence linking NTCP-support cessation initiatives to enhance early cardiovascular risk indicators has supported the expansion of youth-friendly cessation services in universities, workplaces, and primary care settings </w:t>
      </w:r>
      <w:r w:rsidR="00776F92" w:rsidRPr="00750B9A">
        <w:rPr>
          <w:rFonts w:cs="Arial"/>
        </w:rPr>
        <w:t>(</w:t>
      </w:r>
      <w:r w:rsidR="00776F92" w:rsidRPr="00750B9A">
        <w:rPr>
          <w:rFonts w:cs="Arial"/>
          <w:szCs w:val="24"/>
        </w:rPr>
        <w:t>Mamgai</w:t>
      </w:r>
      <w:r w:rsidR="00776F92" w:rsidRPr="00750B9A">
        <w:rPr>
          <w:rFonts w:cs="Arial"/>
          <w:i/>
          <w:szCs w:val="24"/>
        </w:rPr>
        <w:t xml:space="preserve"> et.al</w:t>
      </w:r>
      <w:r w:rsidR="00776F92" w:rsidRPr="00750B9A">
        <w:rPr>
          <w:rFonts w:cs="Arial"/>
          <w:szCs w:val="24"/>
        </w:rPr>
        <w:t xml:space="preserve"> 2024).</w:t>
      </w:r>
      <w:r w:rsidR="00FC1452" w:rsidRPr="00750B9A">
        <w:rPr>
          <w:rFonts w:cs="Arial"/>
        </w:rPr>
        <w:t xml:space="preserve"> However, future research should effectively prioritise longitudinal studies thus, addressing cardiovascular outcomes to strengthen policy-relevant evidence. </w:t>
      </w:r>
    </w:p>
    <w:p w14:paraId="773F0503" w14:textId="77777777" w:rsidR="00732E6C" w:rsidRPr="00750B9A" w:rsidRDefault="00DF099F">
      <w:pPr>
        <w:pStyle w:val="Heading2"/>
        <w:rPr>
          <w:rFonts w:cs="Arial"/>
          <w:color w:val="auto"/>
        </w:rPr>
      </w:pPr>
      <w:bookmarkStart w:id="90" w:name="_Toc220668571"/>
      <w:r w:rsidRPr="00750B9A">
        <w:rPr>
          <w:rFonts w:cs="Arial"/>
          <w:color w:val="auto"/>
        </w:rPr>
        <w:t>5.4 Strengths and limitations</w:t>
      </w:r>
      <w:bookmarkEnd w:id="90"/>
    </w:p>
    <w:p w14:paraId="47B04C89" w14:textId="77777777" w:rsidR="00732E6C" w:rsidRPr="00750B9A" w:rsidRDefault="00DF099F">
      <w:pPr>
        <w:rPr>
          <w:rFonts w:cs="Arial"/>
        </w:rPr>
      </w:pPr>
      <w:r w:rsidRPr="00750B9A">
        <w:rPr>
          <w:rFonts w:cs="Arial"/>
        </w:rPr>
        <w:t xml:space="preserve">One of the major strengths of this study is its use of the SLR design, which is effectively guided by PRISM principles. This has helped in increasing the transparency, methodological rigour, and replicability. </w:t>
      </w:r>
      <w:r w:rsidR="00F22F40" w:rsidRPr="00750B9A">
        <w:rPr>
          <w:rFonts w:cs="Arial"/>
        </w:rPr>
        <w:t xml:space="preserve">Focusing especially on young urban adults and CHD risk, and areas explored in previous literature, addressed a critical gap identified in Chapter 2 and effectively contributed novel cardiovascular insights to tobacco control research. </w:t>
      </w:r>
      <w:r w:rsidRPr="00750B9A">
        <w:rPr>
          <w:rFonts w:cs="Arial"/>
        </w:rPr>
        <w:t>In addition to that, the integration of multiple theoretical frameworks, such as Policy Implementation Theory, Social Ecological Model, and Health Belief Model, thus strengthened the analytical depth by enabling the interpretation of different findings across social, individual, and policy levels. Another major strength of this study is that it focused primarily on the urban young population as well as the CHD risk addressed as a clear research gap, which helped in contributing novel insights into the cardiovascular relevance of NTCP.</w:t>
      </w:r>
    </w:p>
    <w:p w14:paraId="5174F4C4" w14:textId="77777777" w:rsidR="00732E6C" w:rsidRPr="00750B9A" w:rsidRDefault="00DF099F">
      <w:pPr>
        <w:rPr>
          <w:rFonts w:cs="Arial"/>
        </w:rPr>
      </w:pPr>
      <w:r w:rsidRPr="00750B9A">
        <w:rPr>
          <w:rFonts w:cs="Arial"/>
        </w:rPr>
        <w:t xml:space="preserve">On the other hand, one of the major limitations of this study is that it relied completely on secondary data, which limited its ability to establish a causal relationship between CHD outcomes and NTCP interventions. </w:t>
      </w:r>
      <w:r w:rsidR="00F22F40" w:rsidRPr="00750B9A">
        <w:rPr>
          <w:rFonts w:cs="Arial"/>
        </w:rPr>
        <w:t xml:space="preserve">Thus, it can be analysed that reliance on secondary data much of which was cross-sectional and based on self-reported tobacco use, limited the causal inference between NTCP interventions as well as CHD risk reduction. Thus, these methodological constraints are majorly significant when assessing early cardiovascular </w:t>
      </w:r>
      <w:r w:rsidR="00F22F40" w:rsidRPr="00750B9A">
        <w:rPr>
          <w:rFonts w:cs="Arial"/>
        </w:rPr>
        <w:lastRenderedPageBreak/>
        <w:t xml:space="preserve">outcomes. The reason behind this is that CHD develops over time and also requires longitudinal evidence </w:t>
      </w:r>
      <w:r w:rsidR="00BD0D98" w:rsidRPr="00750B9A">
        <w:rPr>
          <w:rFonts w:cs="Arial"/>
        </w:rPr>
        <w:t>(</w:t>
      </w:r>
      <w:r w:rsidR="00BD0D98" w:rsidRPr="00750B9A">
        <w:rPr>
          <w:rFonts w:cs="Arial"/>
          <w:szCs w:val="24"/>
        </w:rPr>
        <w:t>Arora</w:t>
      </w:r>
      <w:r w:rsidR="00BD0D98" w:rsidRPr="00750B9A">
        <w:rPr>
          <w:rFonts w:cs="Arial"/>
          <w:i/>
          <w:szCs w:val="24"/>
        </w:rPr>
        <w:t xml:space="preserve"> et.al </w:t>
      </w:r>
      <w:r w:rsidR="00BD0D98" w:rsidRPr="00750B9A">
        <w:rPr>
          <w:rFonts w:cs="Arial"/>
          <w:szCs w:val="24"/>
        </w:rPr>
        <w:t>2025).</w:t>
      </w:r>
      <w:r w:rsidR="003835E2" w:rsidRPr="00750B9A">
        <w:rPr>
          <w:rFonts w:cs="Arial"/>
        </w:rPr>
        <w:t>Furthermore,</w:t>
      </w:r>
      <w:r w:rsidRPr="00750B9A">
        <w:rPr>
          <w:rFonts w:cs="Arial"/>
        </w:rPr>
        <w:t xml:space="preserve"> many included studies adopted cross-sectional designs as well as self-reported tobacco behaviours, increasing the risk of social desirability bias and risk of recall. </w:t>
      </w:r>
      <w:r w:rsidR="003835E2" w:rsidRPr="00750B9A">
        <w:rPr>
          <w:rFonts w:cs="Arial"/>
        </w:rPr>
        <w:t xml:space="preserve">Another major limitation is that thematic synthesis approach is subjected to selection and interpretation bias, and also many included in the study lacked cardiovascular-specific data and age-disaggregated data thus, restricting the precision of conclusion for young research to strengthen the future evaluation of NTCP effectiveness. </w:t>
      </w:r>
    </w:p>
    <w:p w14:paraId="0EDEEA9C" w14:textId="77777777" w:rsidR="00732E6C" w:rsidRPr="00750B9A" w:rsidRDefault="00DF099F">
      <w:pPr>
        <w:pStyle w:val="Heading2"/>
        <w:rPr>
          <w:rFonts w:cs="Arial"/>
          <w:color w:val="auto"/>
        </w:rPr>
      </w:pPr>
      <w:bookmarkStart w:id="91" w:name="_Toc220668572"/>
      <w:r w:rsidRPr="00750B9A">
        <w:rPr>
          <w:rFonts w:cs="Arial"/>
          <w:color w:val="auto"/>
        </w:rPr>
        <w:t>5.5 Conclusion</w:t>
      </w:r>
      <w:bookmarkEnd w:id="91"/>
    </w:p>
    <w:p w14:paraId="18DB0943" w14:textId="77777777" w:rsidR="00732E6C" w:rsidRPr="00750B9A" w:rsidRDefault="004D70E4">
      <w:pPr>
        <w:rPr>
          <w:rFonts w:cs="Arial"/>
        </w:rPr>
      </w:pPr>
      <w:r w:rsidRPr="00750B9A">
        <w:rPr>
          <w:rFonts w:cs="Arial"/>
        </w:rPr>
        <w:t xml:space="preserve">This chapter effectively synthesized evidence from the SLR to critically evaluate the effectiveness of the NTCP while addressing tobacco use as well as early CHD risk among young urban adults in India. The discussion also demonstrated that while NTCP has established a necessary policy foundation, especially in cessation support and awareness generation, its impact on sustained behavioural change as well as cardiovascular risk reduction still remains constrained by the implementation of variability, limited youth-specific focus, and evolving commercial influences. </w:t>
      </w:r>
      <w:r w:rsidR="00242287" w:rsidRPr="00750B9A">
        <w:rPr>
          <w:rFonts w:cs="Arial"/>
        </w:rPr>
        <w:t xml:space="preserve">It can also be concluded that the key contribution of this study lies in reframing tobacco control through cardiovascular risk lens, thus effectively addressing the gap in the existing literature that has predominantly focused on cancer outcomes. </w:t>
      </w:r>
      <w:r w:rsidR="007E4A0C" w:rsidRPr="00750B9A">
        <w:rPr>
          <w:rFonts w:cs="Arial"/>
        </w:rPr>
        <w:t>Thus, by integrating theoretical perspectives as well as policy analysis, this discussion chapter has highlighted the need for targeted communication, cardiovascular-oriented evaluation metrics, and strengthened enforcement.</w:t>
      </w:r>
    </w:p>
    <w:p w14:paraId="25FF17B9" w14:textId="77777777" w:rsidR="006B487D" w:rsidRPr="00F027DD" w:rsidRDefault="006B487D">
      <w:pPr>
        <w:spacing w:after="200" w:line="276" w:lineRule="auto"/>
        <w:jc w:val="left"/>
        <w:rPr>
          <w:rFonts w:cs="Arial"/>
          <w:lang w:val="en-GB"/>
        </w:rPr>
      </w:pPr>
      <w:r w:rsidRPr="00F027DD">
        <w:rPr>
          <w:rFonts w:cs="Arial"/>
          <w:lang w:val="en-GB"/>
        </w:rPr>
        <w:br w:type="page"/>
      </w:r>
    </w:p>
    <w:p w14:paraId="463DD984" w14:textId="77777777" w:rsidR="00732E6C" w:rsidRPr="00F027DD" w:rsidRDefault="006B487D" w:rsidP="006B487D">
      <w:pPr>
        <w:pStyle w:val="Heading1"/>
        <w:rPr>
          <w:rFonts w:cs="Arial"/>
          <w:lang w:val="en-GB"/>
        </w:rPr>
      </w:pPr>
      <w:bookmarkStart w:id="92" w:name="_Toc220668573"/>
      <w:r w:rsidRPr="00F027DD">
        <w:rPr>
          <w:rFonts w:cs="Arial"/>
          <w:lang w:val="en-GB"/>
        </w:rPr>
        <w:lastRenderedPageBreak/>
        <w:t>Chapter 6 Conclusion and recommendations</w:t>
      </w:r>
      <w:bookmarkEnd w:id="92"/>
    </w:p>
    <w:p w14:paraId="4DCE7777" w14:textId="77777777" w:rsidR="00F027DD" w:rsidRDefault="00E0446F" w:rsidP="00F027DD">
      <w:pPr>
        <w:pStyle w:val="Heading2"/>
        <w:rPr>
          <w:lang w:val="en-GB"/>
        </w:rPr>
      </w:pPr>
      <w:bookmarkStart w:id="93" w:name="_Toc220668574"/>
      <w:r>
        <w:rPr>
          <w:lang w:val="en-GB"/>
        </w:rPr>
        <w:t xml:space="preserve">6.1 </w:t>
      </w:r>
      <w:r w:rsidR="00F027DD">
        <w:rPr>
          <w:lang w:val="en-GB"/>
        </w:rPr>
        <w:t>Answering research question</w:t>
      </w:r>
      <w:bookmarkEnd w:id="93"/>
    </w:p>
    <w:p w14:paraId="04C9FA42" w14:textId="77777777" w:rsidR="00E0446F" w:rsidRDefault="006D3F78" w:rsidP="00F027DD">
      <w:pPr>
        <w:rPr>
          <w:rFonts w:cs="Arial"/>
          <w:szCs w:val="24"/>
          <w:lang w:val="en-GB"/>
        </w:rPr>
      </w:pPr>
      <w:r>
        <w:rPr>
          <w:rFonts w:cs="Arial"/>
          <w:lang w:val="en-GB"/>
        </w:rPr>
        <w:t>It is concluded that a</w:t>
      </w:r>
      <w:r w:rsidR="00750B9A" w:rsidRPr="00750B9A">
        <w:rPr>
          <w:rFonts w:cs="Arial"/>
          <w:lang w:val="en-GB"/>
        </w:rPr>
        <w:t>ccessibility, social acceptability, and delayed perception of health risks are the factors that cause high prevalence of tobacco among young adults in urban India. However, the data shows clearly that, although a certain amount of progress has been achieved, the tobacco use in India remains considerably out of control, requiring more age-specific and focused interventions.</w:t>
      </w:r>
      <w:r w:rsidR="00750B9A">
        <w:rPr>
          <w:rFonts w:cs="Arial"/>
          <w:lang w:val="en-GB"/>
        </w:rPr>
        <w:t xml:space="preserve"> This mainly implies that research question has been answered effectively. </w:t>
      </w:r>
      <w:r>
        <w:rPr>
          <w:rFonts w:cs="Arial"/>
          <w:lang w:val="en-GB"/>
        </w:rPr>
        <w:t xml:space="preserve">Further, it is concluded that </w:t>
      </w:r>
      <w:r>
        <w:rPr>
          <w:rFonts w:cs="Arial"/>
          <w:szCs w:val="24"/>
          <w:lang w:val="en-GB"/>
        </w:rPr>
        <w:t>t</w:t>
      </w:r>
      <w:r w:rsidR="00750B9A" w:rsidRPr="00750B9A">
        <w:rPr>
          <w:rFonts w:cs="Arial"/>
          <w:szCs w:val="24"/>
          <w:lang w:val="en-GB"/>
        </w:rPr>
        <w:t xml:space="preserve">he school interventions that are supported by NTCP are usually step-by-step and interactive. The programmes start with an introduction to the topic and students are made aware of the health hazards of tobacco use, including its association with heart disease. </w:t>
      </w:r>
    </w:p>
    <w:p w14:paraId="53926A47" w14:textId="77777777" w:rsidR="00F027DD" w:rsidRPr="00E0446F" w:rsidRDefault="00750B9A" w:rsidP="00F027DD">
      <w:pPr>
        <w:rPr>
          <w:rFonts w:cs="Arial"/>
        </w:rPr>
      </w:pPr>
      <w:r w:rsidRPr="00750B9A">
        <w:rPr>
          <w:rFonts w:cs="Arial"/>
          <w:szCs w:val="24"/>
          <w:lang w:val="en-GB"/>
        </w:rPr>
        <w:t>This is succeeded by small peer group discussions based on teaching materials that enable students to freely express perceptions, influence by peers, and misconceptions of smoking. The effectiveness of peer-based learning is especially high because it lowers the levels of stigma and enhances the willingness t</w:t>
      </w:r>
      <w:r w:rsidR="004A2537">
        <w:rPr>
          <w:rFonts w:cs="Arial"/>
          <w:szCs w:val="24"/>
          <w:lang w:val="en-GB"/>
        </w:rPr>
        <w:t>o accept anti-tobacco messages</w:t>
      </w:r>
      <w:r>
        <w:rPr>
          <w:rFonts w:cs="Arial"/>
          <w:szCs w:val="24"/>
        </w:rPr>
        <w:t>. This also entails that the research question is answered effectively.</w:t>
      </w:r>
      <w:r w:rsidR="00E0446F">
        <w:rPr>
          <w:rFonts w:cs="Arial"/>
          <w:szCs w:val="24"/>
        </w:rPr>
        <w:t xml:space="preserve"> </w:t>
      </w:r>
      <w:r w:rsidR="00E0446F" w:rsidRPr="00750B9A">
        <w:rPr>
          <w:rFonts w:cs="Arial"/>
          <w:szCs w:val="24"/>
          <w:lang w:val="en-GB"/>
        </w:rPr>
        <w:t xml:space="preserve">These school-based NTCP interventions directly lower early cardiovascular risk factors including high blood pressure, endothelial dysfunction, and early atherosclerotic changes that are related to nicotine exposure by preventing smoking initiation and promoting early cessation. </w:t>
      </w:r>
      <w:r w:rsidR="00E0446F" w:rsidRPr="00750B9A">
        <w:rPr>
          <w:rFonts w:cs="Arial"/>
        </w:rPr>
        <w:t>Thus, even the economic cost of tobacco consumption itself becomes an obstacle to the policy implementation, which supports the need to implement cost-effective policies, more stringent taxation policies, and reinvestments of tobacco tax funds to reinforce NTCP and diminish the long-term cardiovascular risk.</w:t>
      </w:r>
    </w:p>
    <w:p w14:paraId="3303F764" w14:textId="77777777" w:rsidR="00F027DD" w:rsidRDefault="00E0446F" w:rsidP="00F027DD">
      <w:pPr>
        <w:pStyle w:val="Heading2"/>
        <w:rPr>
          <w:lang w:val="en-GB"/>
        </w:rPr>
      </w:pPr>
      <w:bookmarkStart w:id="94" w:name="_Toc220668575"/>
      <w:r>
        <w:rPr>
          <w:lang w:val="en-GB"/>
        </w:rPr>
        <w:t xml:space="preserve">6.2 </w:t>
      </w:r>
      <w:r w:rsidR="00F027DD">
        <w:rPr>
          <w:lang w:val="en-GB"/>
        </w:rPr>
        <w:t>Reflection on research</w:t>
      </w:r>
      <w:bookmarkEnd w:id="94"/>
    </w:p>
    <w:p w14:paraId="3A3689C0" w14:textId="77777777" w:rsidR="00217F53" w:rsidRPr="00E04656" w:rsidRDefault="00A55B18" w:rsidP="00750B9A">
      <w:r>
        <w:rPr>
          <w:lang w:val="en-GB"/>
        </w:rPr>
        <w:t>I can reflect that the process adopted for conducting this research was very effective as it involved gathering the data from various reputed journals and articles to answer the research questions. Secondary data collection method mainly implies that relying on trusted sources where the information is readily available</w:t>
      </w:r>
      <w:r w:rsidR="00217F53">
        <w:rPr>
          <w:lang w:val="en-GB"/>
        </w:rPr>
        <w:t xml:space="preserve"> </w:t>
      </w:r>
      <w:r w:rsidR="00217F53" w:rsidRPr="00217F53">
        <w:rPr>
          <w:highlight w:val="yellow"/>
          <w:lang w:val="en-GB"/>
        </w:rPr>
        <w:t>(</w:t>
      </w:r>
      <w:r w:rsidR="00E04656" w:rsidRPr="00C74CF3">
        <w:rPr>
          <w:rFonts w:cs="Arial"/>
        </w:rPr>
        <w:t>Paul and Kaurav, 2025</w:t>
      </w:r>
      <w:r w:rsidR="00217F53" w:rsidRPr="00217F53">
        <w:rPr>
          <w:highlight w:val="yellow"/>
          <w:lang w:val="en-GB"/>
        </w:rPr>
        <w:t>)</w:t>
      </w:r>
      <w:r>
        <w:rPr>
          <w:lang w:val="en-GB"/>
        </w:rPr>
        <w:t xml:space="preserve">. </w:t>
      </w:r>
      <w:r w:rsidR="00B71709">
        <w:rPr>
          <w:lang w:val="en-GB"/>
        </w:rPr>
        <w:t xml:space="preserve">The entire process of gathering the required information and data from different sources was very time-consuming, since accessing the different databases, and extracting the information was lengthy task, but was done effectively to aid in answering the research questions. </w:t>
      </w:r>
    </w:p>
    <w:p w14:paraId="594F5D18" w14:textId="77777777" w:rsidR="00750B9A" w:rsidRPr="00750B9A" w:rsidRDefault="00D51B11" w:rsidP="00750B9A">
      <w:pPr>
        <w:rPr>
          <w:lang w:val="en-GB"/>
        </w:rPr>
      </w:pPr>
      <w:r>
        <w:rPr>
          <w:lang w:val="en-GB"/>
        </w:rPr>
        <w:t xml:space="preserve">Conducting the research and working on the research question also raised a new question that relates to identifying and carrying out research on other action and interventions to prevent tobacco consumptions among the youths in India. Thus, the research question arises that how effective are other measures for promoting smoking cessation and reducing tobacco </w:t>
      </w:r>
      <w:r>
        <w:rPr>
          <w:lang w:val="en-GB"/>
        </w:rPr>
        <w:lastRenderedPageBreak/>
        <w:t xml:space="preserve">consumptions among the youths in the country. </w:t>
      </w:r>
      <w:r w:rsidR="00F051BD">
        <w:rPr>
          <w:lang w:val="en-GB"/>
        </w:rPr>
        <w:t>Smoking and tobacco consumption is recognised as serious healthcare concern for the youths, due to which, the risk of serious heart related disease increases among the public</w:t>
      </w:r>
      <w:r w:rsidR="00217F53">
        <w:rPr>
          <w:lang w:val="en-GB"/>
        </w:rPr>
        <w:t xml:space="preserve"> </w:t>
      </w:r>
      <w:r w:rsidR="00217F53" w:rsidRPr="00217F53">
        <w:rPr>
          <w:highlight w:val="yellow"/>
          <w:lang w:val="en-GB"/>
        </w:rPr>
        <w:t>()</w:t>
      </w:r>
      <w:r w:rsidR="00F051BD">
        <w:rPr>
          <w:lang w:val="en-GB"/>
        </w:rPr>
        <w:t xml:space="preserve">. Overall, the entire research process was very insightful for me as I was able to extract meaningful information from various different sources and was able to make use of right information for answering the research question. </w:t>
      </w:r>
    </w:p>
    <w:p w14:paraId="54B35375" w14:textId="77777777" w:rsidR="00F027DD" w:rsidRDefault="00E0446F" w:rsidP="00F027DD">
      <w:pPr>
        <w:pStyle w:val="Heading2"/>
        <w:rPr>
          <w:lang w:val="en-GB"/>
        </w:rPr>
      </w:pPr>
      <w:bookmarkStart w:id="95" w:name="_Toc220668576"/>
      <w:r>
        <w:rPr>
          <w:lang w:val="en-GB"/>
        </w:rPr>
        <w:t xml:space="preserve">6.3 </w:t>
      </w:r>
      <w:r w:rsidR="00F027DD">
        <w:rPr>
          <w:lang w:val="en-GB"/>
        </w:rPr>
        <w:t>Recommendations</w:t>
      </w:r>
      <w:bookmarkEnd w:id="95"/>
    </w:p>
    <w:p w14:paraId="7E95A55D" w14:textId="77777777" w:rsidR="00217F53" w:rsidRPr="008F7A11" w:rsidRDefault="00A72C7F" w:rsidP="008F7A11">
      <w:pPr>
        <w:pStyle w:val="ListParagraph"/>
        <w:numPr>
          <w:ilvl w:val="0"/>
          <w:numId w:val="47"/>
        </w:numPr>
        <w:rPr>
          <w:lang w:val="en-GB"/>
        </w:rPr>
      </w:pPr>
      <w:r w:rsidRPr="008F7A11">
        <w:rPr>
          <w:lang w:val="en-GB"/>
        </w:rPr>
        <w:t xml:space="preserve">It is recommended that effectiveness of various other interventions can be compared against each other in the future research to develop better understanding regarding the most suitable intervention and policies mandated by the government to promote smoking cessation and reduce tobacco consumption among the youths. There are several government policies and interventions that are commonly adopted for dealing with this healthcare concern and health promotion. </w:t>
      </w:r>
    </w:p>
    <w:p w14:paraId="4DF5D646" w14:textId="77777777" w:rsidR="00A72C7F" w:rsidRDefault="00A72C7F" w:rsidP="008F7A11">
      <w:pPr>
        <w:pStyle w:val="ListParagraph"/>
        <w:numPr>
          <w:ilvl w:val="0"/>
          <w:numId w:val="47"/>
        </w:numPr>
        <w:rPr>
          <w:lang w:val="en-GB"/>
        </w:rPr>
      </w:pPr>
      <w:r w:rsidRPr="008F7A11">
        <w:rPr>
          <w:lang w:val="en-GB"/>
        </w:rPr>
        <w:t xml:space="preserve">It is suggested that policy makers can look forward to scale up the youth prevention campaign and raise awareness through this to better deal with this challenge in the future. This can be done by improving the collaboration with the various organisations and institute to include and attract more youths towards the campaign in order to improve the efficiency and effectiveness of the health promotion campaign. </w:t>
      </w:r>
    </w:p>
    <w:p w14:paraId="6B2A0E13" w14:textId="77777777" w:rsidR="00750B9A" w:rsidRPr="00E0446F" w:rsidRDefault="008F7A11" w:rsidP="00750B9A">
      <w:pPr>
        <w:pStyle w:val="ListParagraph"/>
        <w:numPr>
          <w:ilvl w:val="0"/>
          <w:numId w:val="47"/>
        </w:numPr>
        <w:rPr>
          <w:lang w:val="en-GB"/>
        </w:rPr>
      </w:pPr>
      <w:r>
        <w:rPr>
          <w:lang w:val="en-GB"/>
        </w:rPr>
        <w:t xml:space="preserve">It is recommended that cost-effectiveness of various smoking cessation policies, interventions and campaigns within the specific country context can be compared in the future research in order to develop strong findings. </w:t>
      </w:r>
      <w:r w:rsidR="008364F7">
        <w:rPr>
          <w:lang w:val="en-GB"/>
        </w:rPr>
        <w:t xml:space="preserve">The implementation of the various smoking and tobacco prevention campaigns is highly costly which is identified as key challenge in the recent times. Therefore, comparative evaluation of the </w:t>
      </w:r>
      <w:r w:rsidR="00A003AB">
        <w:rPr>
          <w:lang w:val="en-GB"/>
        </w:rPr>
        <w:t xml:space="preserve">different </w:t>
      </w:r>
      <w:r w:rsidR="00E0446F">
        <w:rPr>
          <w:lang w:val="en-GB"/>
        </w:rPr>
        <w:t>policies</w:t>
      </w:r>
      <w:r w:rsidR="00A003AB">
        <w:rPr>
          <w:lang w:val="en-GB"/>
        </w:rPr>
        <w:t xml:space="preserve"> and campaigns can be done to develop better idea and knowledge about the same. </w:t>
      </w:r>
    </w:p>
    <w:p w14:paraId="476AD627" w14:textId="77777777" w:rsidR="00F027DD" w:rsidRDefault="00E0446F" w:rsidP="00F027DD">
      <w:pPr>
        <w:pStyle w:val="Heading2"/>
        <w:rPr>
          <w:lang w:val="en-GB"/>
        </w:rPr>
      </w:pPr>
      <w:bookmarkStart w:id="96" w:name="_Toc220668577"/>
      <w:r>
        <w:rPr>
          <w:lang w:val="en-GB"/>
        </w:rPr>
        <w:t xml:space="preserve">6.4 </w:t>
      </w:r>
      <w:r w:rsidR="00F027DD">
        <w:rPr>
          <w:lang w:val="en-GB"/>
        </w:rPr>
        <w:t>Contribution</w:t>
      </w:r>
      <w:bookmarkEnd w:id="96"/>
      <w:r w:rsidR="00F027DD">
        <w:rPr>
          <w:lang w:val="en-GB"/>
        </w:rPr>
        <w:t xml:space="preserve"> </w:t>
      </w:r>
    </w:p>
    <w:p w14:paraId="68A67BB2" w14:textId="77777777" w:rsidR="00E0446F" w:rsidRPr="00E0446F" w:rsidRDefault="001C3F47" w:rsidP="00E0446F">
      <w:pPr>
        <w:rPr>
          <w:lang w:val="en-GB"/>
        </w:rPr>
      </w:pPr>
      <w:r>
        <w:rPr>
          <w:lang w:val="en-GB"/>
        </w:rPr>
        <w:t xml:space="preserve">The findings of the study mainly contribute towards the existing knowledge and literature in relation to the effectiveness of the government-enabled policy to reduce the tobacco consumption among the youths in India. The findings also contribute towards development of new knowledge regarding the common barriers that are faced while implementation of the policy and campaign within the selected context. In addition to this, another major contribution of the research is associated with educating the youths regarding the negative impact of smoking and tobacco consumptions on serious heart related diseases. The study is also highly useful in terms of sharing knowledge and information to the policy makers to consider various aspects to deal with the challenges, and consider the impact of the smoking prevention program on the youths. </w:t>
      </w:r>
    </w:p>
    <w:p w14:paraId="55E43A39" w14:textId="77777777" w:rsidR="00732E6C" w:rsidRPr="00F027DD" w:rsidRDefault="00732E6C">
      <w:pPr>
        <w:rPr>
          <w:rFonts w:cs="Arial"/>
          <w:lang w:val="en-GB"/>
        </w:rPr>
      </w:pPr>
    </w:p>
    <w:p w14:paraId="2F9A7F64" w14:textId="77777777" w:rsidR="00732E6C" w:rsidRPr="00F027DD" w:rsidRDefault="00732E6C">
      <w:pPr>
        <w:rPr>
          <w:rFonts w:cs="Arial"/>
          <w:lang w:val="en-GB"/>
        </w:rPr>
      </w:pPr>
    </w:p>
    <w:p w14:paraId="5515DB45" w14:textId="77777777" w:rsidR="00732E6C" w:rsidRPr="00F027DD" w:rsidRDefault="00732E6C">
      <w:pPr>
        <w:rPr>
          <w:rFonts w:cs="Arial"/>
          <w:lang w:val="en-GB"/>
        </w:rPr>
      </w:pPr>
    </w:p>
    <w:p w14:paraId="4289CBE5" w14:textId="77777777" w:rsidR="00732E6C" w:rsidRPr="00F027DD" w:rsidRDefault="00732E6C">
      <w:pPr>
        <w:rPr>
          <w:rFonts w:cs="Arial"/>
          <w:lang w:val="en-GB"/>
        </w:rPr>
      </w:pPr>
    </w:p>
    <w:p w14:paraId="3B5FE443" w14:textId="77777777" w:rsidR="00732E6C" w:rsidRPr="00F027DD" w:rsidRDefault="00732E6C">
      <w:pPr>
        <w:rPr>
          <w:rFonts w:cs="Arial"/>
          <w:lang w:val="en-GB"/>
        </w:rPr>
      </w:pPr>
    </w:p>
    <w:p w14:paraId="68C4B089" w14:textId="77777777" w:rsidR="00732E6C" w:rsidRPr="00F027DD" w:rsidRDefault="00DF099F">
      <w:pPr>
        <w:rPr>
          <w:rFonts w:eastAsia="SimSun" w:cs="Arial"/>
          <w:color w:val="000000"/>
          <w:sz w:val="28"/>
          <w:szCs w:val="28"/>
          <w:lang w:val="en-GB"/>
        </w:rPr>
      </w:pPr>
      <w:r w:rsidRPr="00F027DD">
        <w:rPr>
          <w:rFonts w:cs="Arial"/>
          <w:lang w:val="en-GB"/>
        </w:rPr>
        <w:br w:type="page"/>
      </w:r>
    </w:p>
    <w:p w14:paraId="5CB55B93" w14:textId="77777777" w:rsidR="001F0603" w:rsidRDefault="00DF099F" w:rsidP="001F0603">
      <w:pPr>
        <w:pStyle w:val="Heading1"/>
        <w:rPr>
          <w:rFonts w:cs="Arial"/>
          <w:lang w:val="en-GB"/>
        </w:rPr>
      </w:pPr>
      <w:bookmarkStart w:id="97" w:name="_Toc220668578"/>
      <w:r w:rsidRPr="00F027DD">
        <w:rPr>
          <w:rFonts w:cs="Arial"/>
          <w:lang w:val="en-GB"/>
        </w:rPr>
        <w:lastRenderedPageBreak/>
        <w:t>R</w:t>
      </w:r>
      <w:bookmarkEnd w:id="3"/>
      <w:r w:rsidRPr="00F027DD">
        <w:rPr>
          <w:rFonts w:cs="Arial"/>
          <w:lang w:val="en-GB"/>
        </w:rPr>
        <w:t>eferences</w:t>
      </w:r>
      <w:bookmarkEnd w:id="0"/>
      <w:bookmarkEnd w:id="4"/>
      <w:bookmarkEnd w:id="5"/>
      <w:bookmarkEnd w:id="97"/>
    </w:p>
    <w:p w14:paraId="314C544D" w14:textId="77777777" w:rsidR="00F67CEA" w:rsidRPr="001F0603" w:rsidRDefault="00F67CEA" w:rsidP="00F67CEA">
      <w:pPr>
        <w:rPr>
          <w:lang w:val="en-GB"/>
        </w:rPr>
      </w:pPr>
      <w:r w:rsidRPr="001F0603">
        <w:rPr>
          <w:lang w:val="en-GB"/>
        </w:rPr>
        <w:t xml:space="preserve">Addissouky, T.A., El Sayed, I.E.T., Ali, M.M., Wang, Y., El Baz, A., Elarabany, N., and Khalil, A.A., (2024). Oxidative stress and inflammation: elucidating mechanisms of smoking-attributable pathology for therapeutic targeting. </w:t>
      </w:r>
      <w:r w:rsidRPr="001F0603">
        <w:rPr>
          <w:i/>
          <w:iCs/>
          <w:lang w:val="en-GB"/>
        </w:rPr>
        <w:t>Bulletin of the National Research Centre</w:t>
      </w:r>
      <w:r w:rsidRPr="001F0603">
        <w:rPr>
          <w:lang w:val="en-GB"/>
        </w:rPr>
        <w:t>, </w:t>
      </w:r>
      <w:r w:rsidRPr="001F0603">
        <w:rPr>
          <w:i/>
          <w:iCs/>
          <w:lang w:val="en-GB"/>
        </w:rPr>
        <w:t>48</w:t>
      </w:r>
      <w:r w:rsidRPr="001F0603">
        <w:rPr>
          <w:lang w:val="en-GB"/>
        </w:rPr>
        <w:t>(1), p.16.</w:t>
      </w:r>
    </w:p>
    <w:p w14:paraId="584AD3A8" w14:textId="77777777" w:rsidR="00F67CEA" w:rsidRPr="001F0603" w:rsidRDefault="00F67CEA" w:rsidP="00F67CEA">
      <w:r w:rsidRPr="001F0603">
        <w:t>Agrawal, S., Panneerselvam, S. and Ramasamy, S., (2025). Strengthening primary health care: A key strategy in reducing the rising burden of oral cancer. </w:t>
      </w:r>
      <w:r w:rsidRPr="001F0603">
        <w:rPr>
          <w:i/>
          <w:iCs/>
        </w:rPr>
        <w:t>Journal of Family Medicine and Primary Care</w:t>
      </w:r>
      <w:r w:rsidRPr="001F0603">
        <w:t>, </w:t>
      </w:r>
      <w:r w:rsidRPr="001F0603">
        <w:rPr>
          <w:i/>
          <w:iCs/>
        </w:rPr>
        <w:t>14</w:t>
      </w:r>
      <w:r w:rsidRPr="001F0603">
        <w:t>(5), pp.2085-2086.</w:t>
      </w:r>
    </w:p>
    <w:p w14:paraId="49A6B686" w14:textId="77777777" w:rsidR="00F67CEA" w:rsidRPr="001F0603" w:rsidRDefault="00F67CEA" w:rsidP="00F67CEA">
      <w:r w:rsidRPr="001F0603">
        <w:t>Ahmed, W., Muhammad, T., Maurya, C. and Akhtar, S.N., (2023). Prevalence and factors associated with undiagnosed and uncontrolled heart disease: A study based on self-reported chronic heart disease and symptom-based angina pectoris among middle-aged and older Indian adults. </w:t>
      </w:r>
      <w:r w:rsidRPr="001F0603">
        <w:rPr>
          <w:i/>
          <w:iCs/>
        </w:rPr>
        <w:t>PLoS One</w:t>
      </w:r>
      <w:r w:rsidRPr="001F0603">
        <w:t>, </w:t>
      </w:r>
      <w:r w:rsidRPr="001F0603">
        <w:rPr>
          <w:i/>
          <w:iCs/>
        </w:rPr>
        <w:t>18</w:t>
      </w:r>
      <w:r w:rsidRPr="001F0603">
        <w:t>(6), p.e0287455.</w:t>
      </w:r>
    </w:p>
    <w:p w14:paraId="1BB516C9" w14:textId="77777777" w:rsidR="00F67CEA" w:rsidRPr="001F0603" w:rsidRDefault="00F67CEA" w:rsidP="00F67CEA">
      <w:r w:rsidRPr="001F0603">
        <w:t>Alpert, J. S. (2023). New coronary heart disease risk factors. </w:t>
      </w:r>
      <w:r w:rsidRPr="001F0603">
        <w:rPr>
          <w:i/>
          <w:iCs/>
        </w:rPr>
        <w:t>The American journal of medicine</w:t>
      </w:r>
      <w:r w:rsidRPr="001F0603">
        <w:t>, </w:t>
      </w:r>
      <w:r w:rsidRPr="001F0603">
        <w:rPr>
          <w:i/>
          <w:iCs/>
        </w:rPr>
        <w:t>136</w:t>
      </w:r>
      <w:r w:rsidRPr="001F0603">
        <w:t>(4), 331-332.</w:t>
      </w:r>
    </w:p>
    <w:p w14:paraId="0D37EA46" w14:textId="77777777" w:rsidR="00F67CEA" w:rsidRPr="001F0603" w:rsidRDefault="00F67CEA" w:rsidP="00F67CEA">
      <w:r w:rsidRPr="001F0603">
        <w:t>Alston, M., Buykx, P., Foote, W. and Betts, D. eds., (2025). </w:t>
      </w:r>
      <w:r w:rsidRPr="001F0603">
        <w:rPr>
          <w:i/>
          <w:iCs/>
        </w:rPr>
        <w:t>Handbook of Research Methods in Social Work</w:t>
      </w:r>
      <w:r w:rsidRPr="001F0603">
        <w:t>. Edward Elgar Publishing.</w:t>
      </w:r>
    </w:p>
    <w:p w14:paraId="35233D52" w14:textId="77777777" w:rsidR="00F67CEA" w:rsidRPr="001F0603" w:rsidRDefault="00F67CEA" w:rsidP="00F67CEA">
      <w:pPr>
        <w:rPr>
          <w:color w:val="222222"/>
          <w:szCs w:val="24"/>
        </w:rPr>
      </w:pPr>
      <w:r w:rsidRPr="001F0603">
        <w:rPr>
          <w:color w:val="222222"/>
          <w:szCs w:val="24"/>
        </w:rPr>
        <w:t>Arora, M., Bassi, S., and Sharan, A. (2025). Addressing Commercial Determinants of Health to Promote Health for All. In </w:t>
      </w:r>
      <w:r w:rsidRPr="001F0603">
        <w:rPr>
          <w:i/>
          <w:iCs/>
          <w:color w:val="222222"/>
          <w:szCs w:val="24"/>
        </w:rPr>
        <w:t>Healthcare for All</w:t>
      </w:r>
      <w:r w:rsidRPr="001F0603">
        <w:rPr>
          <w:color w:val="222222"/>
          <w:szCs w:val="24"/>
        </w:rPr>
        <w:t> (pp. 356-382). Routledge.</w:t>
      </w:r>
    </w:p>
    <w:p w14:paraId="23F44DFB" w14:textId="77777777" w:rsidR="00F67CEA" w:rsidRPr="001F0603" w:rsidRDefault="00F67CEA" w:rsidP="00F67CEA">
      <w:pPr>
        <w:rPr>
          <w:lang w:val="en-GB"/>
        </w:rPr>
      </w:pPr>
      <w:r w:rsidRPr="001F0603">
        <w:t>Asmare Wedi, S., Abate, B. B., Anmut Asres, T., Abera, M. A., Bekele, S. O., and Sendekie, A. K. (2024). Exploring prevention and control mechanisms of youth substance use: a case of North Wollo and Waghimra, Northeast Ethiopia. </w:t>
      </w:r>
      <w:r w:rsidRPr="001F0603">
        <w:rPr>
          <w:i/>
          <w:iCs/>
        </w:rPr>
        <w:t>Frontiers in Public Health</w:t>
      </w:r>
      <w:r w:rsidRPr="001F0603">
        <w:t>, </w:t>
      </w:r>
      <w:r w:rsidRPr="001F0603">
        <w:rPr>
          <w:i/>
          <w:iCs/>
        </w:rPr>
        <w:t>12</w:t>
      </w:r>
      <w:r w:rsidRPr="001F0603">
        <w:t>, 1487772.</w:t>
      </w:r>
    </w:p>
    <w:p w14:paraId="6E604BD4" w14:textId="77777777" w:rsidR="00F67CEA" w:rsidRPr="009238C8" w:rsidRDefault="00F67CEA" w:rsidP="00F67CEA">
      <w:pPr>
        <w:rPr>
          <w:rFonts w:cs="Arial"/>
          <w:color w:val="222222"/>
          <w:szCs w:val="20"/>
        </w:rPr>
      </w:pPr>
      <w:r w:rsidRPr="009238C8">
        <w:rPr>
          <w:rFonts w:cs="Arial"/>
          <w:color w:val="222222"/>
          <w:szCs w:val="20"/>
        </w:rPr>
        <w:t xml:space="preserve">Bann, D., Wright, L., Goisis, A., Hardy, R., Johnson, W., Maddock, J., ... </w:t>
      </w:r>
      <w:r>
        <w:rPr>
          <w:rFonts w:cs="Arial"/>
          <w:color w:val="222222"/>
          <w:szCs w:val="20"/>
        </w:rPr>
        <w:t>and</w:t>
      </w:r>
      <w:r w:rsidRPr="009238C8">
        <w:rPr>
          <w:rFonts w:cs="Arial"/>
          <w:color w:val="222222"/>
          <w:szCs w:val="20"/>
        </w:rPr>
        <w:t xml:space="preserve"> O’Neill, D. (2022). Investigating change across time in prevalence or association: the challenges of cross-study comparative research and possible solutions. </w:t>
      </w:r>
      <w:r w:rsidRPr="009238C8">
        <w:rPr>
          <w:rFonts w:cs="Arial"/>
          <w:i/>
          <w:iCs/>
          <w:color w:val="222222"/>
          <w:szCs w:val="20"/>
        </w:rPr>
        <w:t>Discover Social Science and Health</w:t>
      </w:r>
      <w:r w:rsidRPr="009238C8">
        <w:rPr>
          <w:rFonts w:cs="Arial"/>
          <w:color w:val="222222"/>
          <w:szCs w:val="20"/>
        </w:rPr>
        <w:t>, </w:t>
      </w:r>
      <w:r w:rsidRPr="009238C8">
        <w:rPr>
          <w:rFonts w:cs="Arial"/>
          <w:i/>
          <w:iCs/>
          <w:color w:val="222222"/>
          <w:szCs w:val="20"/>
        </w:rPr>
        <w:t>2</w:t>
      </w:r>
      <w:r w:rsidRPr="009238C8">
        <w:rPr>
          <w:rFonts w:cs="Arial"/>
          <w:color w:val="222222"/>
          <w:szCs w:val="20"/>
        </w:rPr>
        <w:t>(1), 18.</w:t>
      </w:r>
    </w:p>
    <w:p w14:paraId="7F4A0650" w14:textId="77777777" w:rsidR="00F67CEA" w:rsidRPr="009238C8" w:rsidRDefault="00F67CEA" w:rsidP="00F67CEA">
      <w:pPr>
        <w:rPr>
          <w:rFonts w:cs="Times New Roman"/>
          <w:color w:val="222222"/>
          <w:sz w:val="28"/>
          <w:szCs w:val="24"/>
        </w:rPr>
      </w:pPr>
      <w:r w:rsidRPr="009238C8">
        <w:rPr>
          <w:rFonts w:cs="Arial"/>
          <w:color w:val="222222"/>
          <w:szCs w:val="20"/>
        </w:rPr>
        <w:t xml:space="preserve">Bannon, O. S., Been, J. V., Harper, S., Laverty, A. A., Millett, C., van Lenthe, F. J., ... </w:t>
      </w:r>
      <w:r>
        <w:rPr>
          <w:rFonts w:cs="Arial"/>
          <w:color w:val="222222"/>
          <w:szCs w:val="20"/>
        </w:rPr>
        <w:t>and</w:t>
      </w:r>
      <w:r w:rsidRPr="009238C8">
        <w:rPr>
          <w:rFonts w:cs="Arial"/>
          <w:color w:val="222222"/>
          <w:szCs w:val="20"/>
        </w:rPr>
        <w:t xml:space="preserve"> Radó, M. K. (2025). Cigarette taxation and socioeconomic inequalities in under-5 mortality across 94 low-income and middle-income countries: a longitudinal ecological study. </w:t>
      </w:r>
      <w:r w:rsidRPr="009238C8">
        <w:rPr>
          <w:rFonts w:cs="Arial"/>
          <w:i/>
          <w:iCs/>
          <w:color w:val="222222"/>
          <w:szCs w:val="20"/>
        </w:rPr>
        <w:t>The Lancet Public Health</w:t>
      </w:r>
      <w:r w:rsidRPr="009238C8">
        <w:rPr>
          <w:rFonts w:cs="Arial"/>
          <w:color w:val="222222"/>
          <w:szCs w:val="20"/>
        </w:rPr>
        <w:t>, </w:t>
      </w:r>
      <w:r w:rsidRPr="009238C8">
        <w:rPr>
          <w:rFonts w:cs="Arial"/>
          <w:i/>
          <w:iCs/>
          <w:color w:val="222222"/>
          <w:szCs w:val="20"/>
        </w:rPr>
        <w:t>10</w:t>
      </w:r>
      <w:r w:rsidRPr="009238C8">
        <w:rPr>
          <w:rFonts w:cs="Arial"/>
          <w:color w:val="222222"/>
          <w:szCs w:val="20"/>
        </w:rPr>
        <w:t>(5), e380-e390.</w:t>
      </w:r>
    </w:p>
    <w:p w14:paraId="55E12678" w14:textId="77777777" w:rsidR="00F67CEA" w:rsidRPr="001F0603" w:rsidRDefault="00F67CEA" w:rsidP="00F67CEA">
      <w:pPr>
        <w:rPr>
          <w:color w:val="222222"/>
          <w:szCs w:val="24"/>
        </w:rPr>
      </w:pPr>
      <w:r w:rsidRPr="001F0603">
        <w:rPr>
          <w:color w:val="222222"/>
          <w:szCs w:val="24"/>
        </w:rPr>
        <w:t>Bantwal, P., Kulkarni, M. M., Kamath, V. G., Naik, A. K., Fogarty, A. W., Dhar, M., and Ahankari, A. S. (2024). Prevalence, regional patterns and socio-demographic factors associated with poly-tobacco use in India: A secondary data analysis. </w:t>
      </w:r>
      <w:r w:rsidRPr="001F0603">
        <w:rPr>
          <w:i/>
          <w:iCs/>
          <w:color w:val="222222"/>
          <w:szCs w:val="24"/>
        </w:rPr>
        <w:t>PLOS Global Public Health</w:t>
      </w:r>
      <w:r w:rsidRPr="001F0603">
        <w:rPr>
          <w:color w:val="222222"/>
          <w:szCs w:val="24"/>
        </w:rPr>
        <w:t>, </w:t>
      </w:r>
      <w:r w:rsidRPr="001F0603">
        <w:rPr>
          <w:i/>
          <w:iCs/>
          <w:color w:val="222222"/>
          <w:szCs w:val="24"/>
        </w:rPr>
        <w:t>4</w:t>
      </w:r>
      <w:r w:rsidRPr="001F0603">
        <w:rPr>
          <w:color w:val="222222"/>
          <w:szCs w:val="24"/>
        </w:rPr>
        <w:t>(3), e0002999.</w:t>
      </w:r>
    </w:p>
    <w:p w14:paraId="398DA9BA" w14:textId="77777777" w:rsidR="00F67CEA" w:rsidRPr="001F0603" w:rsidRDefault="00F67CEA" w:rsidP="00F67CEA">
      <w:r w:rsidRPr="001F0603">
        <w:t>Bharati, B., Sahu, K.S. and Pati, S., (2023). Prevalence of smokeless tobacco use in India and its association with various occupations: a LASI study. </w:t>
      </w:r>
      <w:r w:rsidRPr="001F0603">
        <w:rPr>
          <w:i/>
          <w:iCs/>
        </w:rPr>
        <w:t>Frontiers in public health</w:t>
      </w:r>
      <w:r w:rsidRPr="001F0603">
        <w:t>, </w:t>
      </w:r>
      <w:r w:rsidRPr="001F0603">
        <w:rPr>
          <w:i/>
          <w:iCs/>
        </w:rPr>
        <w:t>11</w:t>
      </w:r>
      <w:r w:rsidRPr="001F0603">
        <w:t>, p.1005103.</w:t>
      </w:r>
    </w:p>
    <w:p w14:paraId="0AB52023" w14:textId="77777777" w:rsidR="00F67CEA" w:rsidRPr="001F0603" w:rsidRDefault="00F67CEA" w:rsidP="00F67CEA">
      <w:r w:rsidRPr="001F0603">
        <w:t>Bhargava, B. and Paul, V.K., (2022). Informing NCD control efforts in India on the eve of Ayushman Bharat. </w:t>
      </w:r>
      <w:r w:rsidRPr="001F0603">
        <w:rPr>
          <w:i/>
          <w:iCs/>
        </w:rPr>
        <w:t>The Lancet</w:t>
      </w:r>
      <w:r w:rsidRPr="001F0603">
        <w:t>, </w:t>
      </w:r>
      <w:r w:rsidRPr="001F0603">
        <w:rPr>
          <w:i/>
          <w:iCs/>
        </w:rPr>
        <w:t>399</w:t>
      </w:r>
      <w:r w:rsidRPr="001F0603">
        <w:t>(10331), pp.e17-e19.</w:t>
      </w:r>
    </w:p>
    <w:p w14:paraId="619E90D7" w14:textId="77777777" w:rsidR="00F67CEA" w:rsidRPr="001F0603" w:rsidRDefault="00F67CEA" w:rsidP="00F67CEA">
      <w:r w:rsidRPr="001F0603">
        <w:lastRenderedPageBreak/>
        <w:t>Bhatt, G., Goel, S., Kiran, T., Grover, S., Medhi, B., Singh, G. and Singh Gill, S., (2023). Estimating the cost of delivering tobacco cessation intervention package at noncommunicable disease clinics in two districts of North India. </w:t>
      </w:r>
      <w:r w:rsidRPr="001F0603">
        <w:rPr>
          <w:i/>
          <w:iCs/>
        </w:rPr>
        <w:t>Nicotine and Tobacco Research</w:t>
      </w:r>
      <w:r w:rsidRPr="001F0603">
        <w:t>, </w:t>
      </w:r>
      <w:r w:rsidRPr="001F0603">
        <w:rPr>
          <w:i/>
          <w:iCs/>
        </w:rPr>
        <w:t>25</w:t>
      </w:r>
      <w:r w:rsidRPr="001F0603">
        <w:t>(11), pp.1727-1735.</w:t>
      </w:r>
    </w:p>
    <w:p w14:paraId="1B2775CE" w14:textId="77777777" w:rsidR="00F67CEA" w:rsidRPr="001F0603" w:rsidRDefault="00F67CEA" w:rsidP="00F67CEA">
      <w:pPr>
        <w:rPr>
          <w:lang w:val="en-GB"/>
        </w:rPr>
      </w:pPr>
      <w:r w:rsidRPr="001F0603">
        <w:t>Bhojani, U. and Hebbar, P.B., (2025). Tobacco-Related Harms and Gender: An Overview with Perspectives from India. </w:t>
      </w:r>
      <w:r w:rsidRPr="001F0603">
        <w:rPr>
          <w:i/>
          <w:iCs/>
        </w:rPr>
        <w:t>Harmful Practices and Human Rights: An International Perspective</w:t>
      </w:r>
      <w:r w:rsidRPr="001F0603">
        <w:t>, pp.161-187.</w:t>
      </w:r>
    </w:p>
    <w:p w14:paraId="53DF1050" w14:textId="77777777" w:rsidR="00F67CEA" w:rsidRPr="001F0603" w:rsidRDefault="00F67CEA" w:rsidP="00F67CEA">
      <w:pPr>
        <w:rPr>
          <w:color w:val="222222"/>
          <w:szCs w:val="24"/>
        </w:rPr>
      </w:pPr>
      <w:r w:rsidRPr="0038729C">
        <w:rPr>
          <w:color w:val="222222"/>
          <w:szCs w:val="24"/>
        </w:rPr>
        <w:t xml:space="preserve">Biswas, B., Varshney, S., Jahnavi, G., Narasimha, V.L., Nath, S., Venugopal, V., Bhattacharya, S., Ayub, A., Alam, B., Kumar, U. and Jha, N., </w:t>
      </w:r>
      <w:r>
        <w:rPr>
          <w:color w:val="222222"/>
          <w:szCs w:val="24"/>
        </w:rPr>
        <w:t>(</w:t>
      </w:r>
      <w:r w:rsidRPr="0038729C">
        <w:rPr>
          <w:color w:val="222222"/>
          <w:szCs w:val="24"/>
        </w:rPr>
        <w:t>2025</w:t>
      </w:r>
      <w:r>
        <w:rPr>
          <w:color w:val="222222"/>
          <w:szCs w:val="24"/>
        </w:rPr>
        <w:t>)</w:t>
      </w:r>
      <w:r w:rsidRPr="0038729C">
        <w:rPr>
          <w:color w:val="222222"/>
          <w:szCs w:val="24"/>
        </w:rPr>
        <w:t>. Prevalence of tobacco use, legal awareness and control attitudes among healthcare students, professionals and staff: a multicentric study in India. </w:t>
      </w:r>
      <w:r w:rsidRPr="0038729C">
        <w:rPr>
          <w:i/>
          <w:iCs/>
          <w:color w:val="222222"/>
          <w:szCs w:val="24"/>
        </w:rPr>
        <w:t>Journal of Public Health</w:t>
      </w:r>
      <w:r w:rsidRPr="0038729C">
        <w:rPr>
          <w:color w:val="222222"/>
          <w:szCs w:val="24"/>
        </w:rPr>
        <w:t>, p.fdaf041.</w:t>
      </w:r>
    </w:p>
    <w:p w14:paraId="2F81BAE9" w14:textId="77777777" w:rsidR="00F67CEA" w:rsidRPr="001F0603" w:rsidRDefault="00F67CEA" w:rsidP="00F67CEA">
      <w:r w:rsidRPr="001F0603">
        <w:t>Bowman, R., Nadal, C., Morrissey, K., Thieme, A. and Doherty, G., (2023). Using thematic analysis in healthcare HCI at CHI: A scoping review. In </w:t>
      </w:r>
      <w:r w:rsidRPr="001F0603">
        <w:rPr>
          <w:i/>
          <w:iCs/>
        </w:rPr>
        <w:t>Proceedings of the 2023 CHI Conference on Human Factors in Computing Systems</w:t>
      </w:r>
      <w:r w:rsidRPr="001F0603">
        <w:t> (pp. 1-18).</w:t>
      </w:r>
    </w:p>
    <w:p w14:paraId="1EEC3B10" w14:textId="77777777" w:rsidR="00F67CEA" w:rsidRPr="001F0603" w:rsidRDefault="00F67CEA" w:rsidP="00F67CEA">
      <w:r w:rsidRPr="001F0603">
        <w:t>Braun, V. and Clarke, V., (2006). Using thematic analysis in psychology. </w:t>
      </w:r>
      <w:r w:rsidRPr="001F0603">
        <w:rPr>
          <w:i/>
          <w:iCs/>
        </w:rPr>
        <w:t>Qualitative research in psychology</w:t>
      </w:r>
      <w:r w:rsidRPr="001F0603">
        <w:t>, </w:t>
      </w:r>
      <w:r w:rsidRPr="001F0603">
        <w:rPr>
          <w:i/>
          <w:iCs/>
        </w:rPr>
        <w:t>3</w:t>
      </w:r>
      <w:r w:rsidRPr="001F0603">
        <w:t>(2), pp.77-101.</w:t>
      </w:r>
    </w:p>
    <w:p w14:paraId="67A2940D" w14:textId="77777777" w:rsidR="00F67CEA" w:rsidRPr="001F0603" w:rsidRDefault="00F67CEA" w:rsidP="00F67CEA">
      <w:pPr>
        <w:rPr>
          <w:lang w:val="en-GB"/>
        </w:rPr>
      </w:pPr>
      <w:r w:rsidRPr="001F0603">
        <w:rPr>
          <w:lang w:val="en-GB"/>
        </w:rPr>
        <w:t>Chen, D.T.H., (2023). Dual and poly-use of novel and conventional nicotine and tobacco product use in Europe: challenges for population health, regulatory policies, and the ways ahead. </w:t>
      </w:r>
      <w:r w:rsidRPr="001F0603">
        <w:rPr>
          <w:i/>
          <w:iCs/>
          <w:lang w:val="en-GB"/>
        </w:rPr>
        <w:t>Frontiers in Public Health</w:t>
      </w:r>
      <w:r w:rsidRPr="001F0603">
        <w:rPr>
          <w:lang w:val="en-GB"/>
        </w:rPr>
        <w:t>, </w:t>
      </w:r>
      <w:r w:rsidRPr="001F0603">
        <w:rPr>
          <w:i/>
          <w:iCs/>
          <w:lang w:val="en-GB"/>
        </w:rPr>
        <w:t>11</w:t>
      </w:r>
      <w:r w:rsidRPr="001F0603">
        <w:rPr>
          <w:lang w:val="en-GB"/>
        </w:rPr>
        <w:t>, p.1093771.</w:t>
      </w:r>
    </w:p>
    <w:p w14:paraId="63169C40" w14:textId="77777777" w:rsidR="00F67CEA" w:rsidRPr="001F0603" w:rsidRDefault="00F67CEA" w:rsidP="00F67CEA">
      <w:r w:rsidRPr="001F0603">
        <w:t>Chengappa, K.S., Rao, A., Shenoy, R., Pai, M.B., Jodalli, P. and Br, A., (2024). Tobacco Control policy in India: progress and challenges quantified using the tobacco control scale. </w:t>
      </w:r>
      <w:r w:rsidRPr="001F0603">
        <w:rPr>
          <w:i/>
          <w:iCs/>
        </w:rPr>
        <w:t>Asian Pacific Journal of Cancer Prevention: APJCP</w:t>
      </w:r>
      <w:r w:rsidRPr="001F0603">
        <w:t>, </w:t>
      </w:r>
      <w:r w:rsidRPr="001F0603">
        <w:rPr>
          <w:i/>
          <w:iCs/>
        </w:rPr>
        <w:t>25</w:t>
      </w:r>
      <w:r w:rsidRPr="001F0603">
        <w:t>(9), p.3209.</w:t>
      </w:r>
    </w:p>
    <w:p w14:paraId="757521CE" w14:textId="77777777" w:rsidR="00F67CEA" w:rsidRPr="001F0603" w:rsidRDefault="00F67CEA" w:rsidP="00F67CEA">
      <w:pPr>
        <w:rPr>
          <w:color w:val="222222"/>
          <w:szCs w:val="20"/>
          <w:lang w:val="en-GB"/>
        </w:rPr>
      </w:pPr>
      <w:r w:rsidRPr="001F0603">
        <w:rPr>
          <w:color w:val="222222"/>
          <w:szCs w:val="20"/>
          <w:lang w:val="en-GB"/>
        </w:rPr>
        <w:t>Chitlange, P., Reche, A., Madhu, P. P., Chhabra, K. G., Sheikh, T. B., and Kewelramani, M. (2024). An interventional study evaluating the NTCP (NATIONAL TOBACCO CONTROL PROGRAM) guidelines-based education model in semi-urban school population. </w:t>
      </w:r>
      <w:r w:rsidRPr="001F0603">
        <w:rPr>
          <w:i/>
          <w:iCs/>
          <w:color w:val="222222"/>
          <w:szCs w:val="20"/>
          <w:lang w:val="en-GB"/>
        </w:rPr>
        <w:t>Journal of Family Medicine and Primary Care</w:t>
      </w:r>
      <w:r w:rsidRPr="001F0603">
        <w:rPr>
          <w:color w:val="222222"/>
          <w:szCs w:val="20"/>
          <w:lang w:val="en-GB"/>
        </w:rPr>
        <w:t>, </w:t>
      </w:r>
      <w:r w:rsidRPr="001F0603">
        <w:rPr>
          <w:i/>
          <w:iCs/>
          <w:color w:val="222222"/>
          <w:szCs w:val="20"/>
          <w:lang w:val="en-GB"/>
        </w:rPr>
        <w:t>13</w:t>
      </w:r>
      <w:r w:rsidRPr="001F0603">
        <w:rPr>
          <w:color w:val="222222"/>
          <w:szCs w:val="20"/>
          <w:lang w:val="en-GB"/>
        </w:rPr>
        <w:t>(1), 157-162.</w:t>
      </w:r>
    </w:p>
    <w:p w14:paraId="299EE4E2" w14:textId="77777777" w:rsidR="00F67CEA" w:rsidRPr="001F0603" w:rsidRDefault="00F67CEA" w:rsidP="00F67CEA">
      <w:r w:rsidRPr="001F0603">
        <w:t>Chowdhary, G.S., Singh, A., Chowdhary, S., Gulati, R., Ahuja, M.S., Bhasin, A. and Padmini, H.S., (2025). An Observational Study of the Incidence and Risk Factors of Multivessel Coronary Artery Disease in Patients with Acute Coronary Syndrome Presenting at a Tertiary Care Hospital India. </w:t>
      </w:r>
      <w:r w:rsidRPr="001F0603">
        <w:rPr>
          <w:i/>
          <w:iCs/>
        </w:rPr>
        <w:t>The Journal of the Association of Physicians of India</w:t>
      </w:r>
      <w:r w:rsidRPr="001F0603">
        <w:t>, </w:t>
      </w:r>
      <w:r w:rsidRPr="001F0603">
        <w:rPr>
          <w:i/>
          <w:iCs/>
        </w:rPr>
        <w:t>73</w:t>
      </w:r>
      <w:r w:rsidRPr="001F0603">
        <w:t>(1), pp.23-28.</w:t>
      </w:r>
    </w:p>
    <w:p w14:paraId="4FBF6E1E" w14:textId="77777777" w:rsidR="00F67CEA" w:rsidRPr="001F0603" w:rsidRDefault="00F67CEA" w:rsidP="00F67CEA">
      <w:r w:rsidRPr="001F0603">
        <w:t>Christou, P.A., (2022). How to use thematic analysis in qualitative research. </w:t>
      </w:r>
      <w:r w:rsidRPr="001F0603">
        <w:rPr>
          <w:i/>
          <w:iCs/>
        </w:rPr>
        <w:t>Journal of Qualitative Research in Tourism</w:t>
      </w:r>
      <w:r w:rsidRPr="001F0603">
        <w:t>, </w:t>
      </w:r>
      <w:r w:rsidRPr="001F0603">
        <w:rPr>
          <w:i/>
          <w:iCs/>
        </w:rPr>
        <w:t>3</w:t>
      </w:r>
      <w:r w:rsidRPr="001F0603">
        <w:t>(2), pp.79-95.</w:t>
      </w:r>
    </w:p>
    <w:p w14:paraId="7DF061B1" w14:textId="77777777" w:rsidR="00F67CEA" w:rsidRPr="001F0603" w:rsidRDefault="00F67CEA" w:rsidP="00F67CEA">
      <w:r w:rsidRPr="001F0603">
        <w:t xml:space="preserve">Chugh, A., Arora, M., Jain, N., Vidyasagaran, A., Readshaw, A., Sheikh, A., Eckhardt, J., Siddiqi, K., Chopra, M., Mishu, M.P. and Kanaan, M., (2023). The global impact of tobacco </w:t>
      </w:r>
      <w:r w:rsidRPr="001F0603">
        <w:lastRenderedPageBreak/>
        <w:t>control policies on smokeless tobacco use: a systematic review. </w:t>
      </w:r>
      <w:r w:rsidRPr="001F0603">
        <w:rPr>
          <w:i/>
          <w:iCs/>
        </w:rPr>
        <w:t>The Lancet Global Health</w:t>
      </w:r>
      <w:r w:rsidRPr="001F0603">
        <w:t>, </w:t>
      </w:r>
      <w:r w:rsidRPr="001F0603">
        <w:rPr>
          <w:i/>
          <w:iCs/>
        </w:rPr>
        <w:t>11</w:t>
      </w:r>
      <w:r w:rsidRPr="001F0603">
        <w:t>(6), pp.e953-e968.</w:t>
      </w:r>
    </w:p>
    <w:p w14:paraId="09E0B99E" w14:textId="77777777" w:rsidR="00F67CEA" w:rsidRPr="001F0603" w:rsidRDefault="00F67CEA" w:rsidP="00F67CEA">
      <w:r w:rsidRPr="001F0603">
        <w:t>Dalai, S., Narang, R., Aakash, G., Yadav, J., Singla, A., Aggarwal, A. and Kaur, K.P., (2025). Attitude, Practice and Perceived Barrier for Tobacco Cessation Counseling and Nicotine Replacement Therapy among Private Dental Practitioners of North India: A Web based Survey. </w:t>
      </w:r>
      <w:r w:rsidRPr="001F0603">
        <w:rPr>
          <w:i/>
          <w:iCs/>
        </w:rPr>
        <w:t>Asian Pacific Journal of Cancer Prevention: APJCP</w:t>
      </w:r>
      <w:r w:rsidRPr="001F0603">
        <w:t>, </w:t>
      </w:r>
      <w:r w:rsidRPr="001F0603">
        <w:rPr>
          <w:i/>
          <w:iCs/>
        </w:rPr>
        <w:t>26</w:t>
      </w:r>
      <w:r w:rsidRPr="001F0603">
        <w:t>(1), p.293.</w:t>
      </w:r>
    </w:p>
    <w:p w14:paraId="0D3D8EAF" w14:textId="77777777" w:rsidR="00F67CEA" w:rsidRPr="001F0603" w:rsidRDefault="00F67CEA" w:rsidP="00F67CEA">
      <w:pPr>
        <w:rPr>
          <w:lang w:val="en-GB"/>
        </w:rPr>
      </w:pPr>
      <w:r w:rsidRPr="001F0603">
        <w:rPr>
          <w:lang w:val="en-GB"/>
        </w:rPr>
        <w:t>Dhinwa, M., Jha, N., Jyani, S., Chandra, R., Kumar, S., Lachyan, A. and Chauhan, A., (2022). journey of tuberculosis control, conceptual changes and implications of the shift from NTP to RNTCP to NTEP. </w:t>
      </w:r>
      <w:r w:rsidRPr="001F0603">
        <w:rPr>
          <w:i/>
          <w:iCs/>
          <w:lang w:val="en-GB"/>
        </w:rPr>
        <w:t>International journal of health sciences</w:t>
      </w:r>
      <w:r w:rsidRPr="001F0603">
        <w:rPr>
          <w:lang w:val="en-GB"/>
        </w:rPr>
        <w:t>.</w:t>
      </w:r>
    </w:p>
    <w:p w14:paraId="0D979077" w14:textId="77777777" w:rsidR="00F67CEA" w:rsidRPr="001F0603" w:rsidRDefault="00F67CEA" w:rsidP="00F67CEA">
      <w:r w:rsidRPr="001F0603">
        <w:t>Di Cesare, M., Perel, P., Taylor, S., Kabudula, C., Bixby, H., Gaziano, T.A., McGhie, D.V., Mwangi, J., Pervan, B., Narula, J. and Pineiro, D., (2024). The heart of the world. </w:t>
      </w:r>
      <w:r w:rsidRPr="001F0603">
        <w:rPr>
          <w:i/>
          <w:iCs/>
        </w:rPr>
        <w:t>Global heart</w:t>
      </w:r>
      <w:r w:rsidRPr="001F0603">
        <w:t>, </w:t>
      </w:r>
      <w:r w:rsidRPr="001F0603">
        <w:rPr>
          <w:i/>
          <w:iCs/>
        </w:rPr>
        <w:t>19</w:t>
      </w:r>
      <w:r w:rsidRPr="001F0603">
        <w:t>(1), p.11.</w:t>
      </w:r>
    </w:p>
    <w:p w14:paraId="0A8DE440" w14:textId="77777777" w:rsidR="00F67CEA" w:rsidRPr="009238C8" w:rsidRDefault="00F67CEA" w:rsidP="00F67CEA">
      <w:pPr>
        <w:rPr>
          <w:rFonts w:cs="Arial"/>
          <w:color w:val="222222"/>
          <w:szCs w:val="20"/>
        </w:rPr>
      </w:pPr>
      <w:r w:rsidRPr="009238C8">
        <w:rPr>
          <w:rFonts w:cs="Arial"/>
          <w:color w:val="222222"/>
          <w:szCs w:val="20"/>
        </w:rPr>
        <w:t xml:space="preserve">Domanski, M. J., Wu, C. O., Tian, X., Hasan, A. A., Ma, X., Huang, Y., ... </w:t>
      </w:r>
      <w:r>
        <w:rPr>
          <w:rFonts w:cs="Arial"/>
          <w:color w:val="222222"/>
          <w:szCs w:val="20"/>
        </w:rPr>
        <w:t>and</w:t>
      </w:r>
      <w:r w:rsidRPr="009238C8">
        <w:rPr>
          <w:rFonts w:cs="Arial"/>
          <w:color w:val="222222"/>
          <w:szCs w:val="20"/>
        </w:rPr>
        <w:t xml:space="preserve"> Fuster, V. (2023). Association of incident cardiovascular disease with time course and cumulative exposure to multiple risk factors. </w:t>
      </w:r>
      <w:r w:rsidRPr="009238C8">
        <w:rPr>
          <w:rFonts w:cs="Arial"/>
          <w:i/>
          <w:iCs/>
          <w:color w:val="222222"/>
          <w:szCs w:val="20"/>
        </w:rPr>
        <w:t>Journal of the American College of Cardiology</w:t>
      </w:r>
      <w:r w:rsidRPr="009238C8">
        <w:rPr>
          <w:rFonts w:cs="Arial"/>
          <w:color w:val="222222"/>
          <w:szCs w:val="20"/>
        </w:rPr>
        <w:t>, </w:t>
      </w:r>
      <w:r w:rsidRPr="009238C8">
        <w:rPr>
          <w:rFonts w:cs="Arial"/>
          <w:i/>
          <w:iCs/>
          <w:color w:val="222222"/>
          <w:szCs w:val="20"/>
        </w:rPr>
        <w:t>81</w:t>
      </w:r>
      <w:r w:rsidRPr="009238C8">
        <w:rPr>
          <w:rFonts w:cs="Arial"/>
          <w:color w:val="222222"/>
          <w:szCs w:val="20"/>
        </w:rPr>
        <w:t>(12), 1151-1161.</w:t>
      </w:r>
    </w:p>
    <w:p w14:paraId="007A1584" w14:textId="77777777" w:rsidR="00F67CEA" w:rsidRPr="001F0603" w:rsidRDefault="00F67CEA" w:rsidP="00F67CEA">
      <w:pPr>
        <w:rPr>
          <w:lang w:val="en-GB"/>
        </w:rPr>
      </w:pPr>
      <w:r w:rsidRPr="001F0603">
        <w:rPr>
          <w:lang w:val="en-GB"/>
        </w:rPr>
        <w:t>Durbin, E. and Filer, J., (2021). Evaluating the Impact of Public Awareness Campaigns on Sustainable Practices. </w:t>
      </w:r>
      <w:r w:rsidRPr="001F0603">
        <w:rPr>
          <w:i/>
          <w:iCs/>
          <w:lang w:val="en-GB"/>
        </w:rPr>
        <w:t>Journal of Energy and Environmental Policy Options</w:t>
      </w:r>
      <w:r w:rsidRPr="001F0603">
        <w:rPr>
          <w:lang w:val="en-GB"/>
        </w:rPr>
        <w:t>, </w:t>
      </w:r>
      <w:r w:rsidRPr="001F0603">
        <w:rPr>
          <w:i/>
          <w:iCs/>
          <w:lang w:val="en-GB"/>
        </w:rPr>
        <w:t>4</w:t>
      </w:r>
      <w:r w:rsidRPr="001F0603">
        <w:rPr>
          <w:lang w:val="en-GB"/>
        </w:rPr>
        <w:t>(4), pp.32-37.</w:t>
      </w:r>
    </w:p>
    <w:p w14:paraId="66980726" w14:textId="77777777" w:rsidR="00F67CEA" w:rsidRPr="001F0603" w:rsidRDefault="00F67CEA" w:rsidP="00F67CEA">
      <w:pPr>
        <w:rPr>
          <w:lang w:val="en-GB"/>
        </w:rPr>
      </w:pPr>
      <w:r w:rsidRPr="001F0603">
        <w:rPr>
          <w:lang w:val="en-GB"/>
        </w:rPr>
        <w:t>El Husseini, N., Nichols, M. and Owolabi, M., (2025). Improving Access to Primordial and Primary Stroke Prevention: Global Considerations. </w:t>
      </w:r>
      <w:r w:rsidRPr="001F0603">
        <w:rPr>
          <w:i/>
          <w:iCs/>
          <w:lang w:val="en-GB"/>
        </w:rPr>
        <w:t>Journal of the American Heart Association</w:t>
      </w:r>
      <w:r w:rsidRPr="001F0603">
        <w:rPr>
          <w:lang w:val="en-GB"/>
        </w:rPr>
        <w:t>, </w:t>
      </w:r>
      <w:r w:rsidRPr="001F0603">
        <w:rPr>
          <w:i/>
          <w:iCs/>
          <w:lang w:val="en-GB"/>
        </w:rPr>
        <w:t>14</w:t>
      </w:r>
      <w:r w:rsidRPr="001F0603">
        <w:rPr>
          <w:lang w:val="en-GB"/>
        </w:rPr>
        <w:t>(16), p.e040119.</w:t>
      </w:r>
    </w:p>
    <w:p w14:paraId="71571E5C" w14:textId="77777777" w:rsidR="00F67CEA" w:rsidRPr="001F0603" w:rsidRDefault="00F67CEA" w:rsidP="00F67CEA">
      <w:pPr>
        <w:rPr>
          <w:lang w:val="en-GB"/>
        </w:rPr>
      </w:pPr>
      <w:r w:rsidRPr="001F0603">
        <w:rPr>
          <w:lang w:val="en-GB"/>
        </w:rPr>
        <w:t>Ferreira, J.P., Marques, J.L., Pires, S.M., Iha, K. and Galli, A., (2023). Supporting national-level policies for sustainable consumption in Portugal: A socio-economic Ecological Footprint analysis. </w:t>
      </w:r>
      <w:r w:rsidRPr="001F0603">
        <w:rPr>
          <w:i/>
          <w:iCs/>
          <w:lang w:val="en-GB"/>
        </w:rPr>
        <w:t>Ecological Economics</w:t>
      </w:r>
      <w:r w:rsidRPr="001F0603">
        <w:rPr>
          <w:lang w:val="en-GB"/>
        </w:rPr>
        <w:t>, </w:t>
      </w:r>
      <w:r w:rsidRPr="001F0603">
        <w:rPr>
          <w:i/>
          <w:iCs/>
          <w:lang w:val="en-GB"/>
        </w:rPr>
        <w:t>205</w:t>
      </w:r>
      <w:r w:rsidRPr="001F0603">
        <w:rPr>
          <w:lang w:val="en-GB"/>
        </w:rPr>
        <w:t>, p.107687.</w:t>
      </w:r>
    </w:p>
    <w:p w14:paraId="3634A7C2" w14:textId="77777777" w:rsidR="00F67CEA" w:rsidRPr="001F0603" w:rsidRDefault="00F67CEA" w:rsidP="00F67CEA">
      <w:r w:rsidRPr="001F0603">
        <w:t>Gamage, A.N.K.K., (2025). Research design, philosophy, and quantitative approaches in scientific research methodology. </w:t>
      </w:r>
      <w:r w:rsidRPr="001F0603">
        <w:rPr>
          <w:i/>
          <w:iCs/>
        </w:rPr>
        <w:t>Scholars Journal of Engineering and Technology</w:t>
      </w:r>
      <w:r w:rsidRPr="001F0603">
        <w:t>, </w:t>
      </w:r>
      <w:r w:rsidRPr="001F0603">
        <w:rPr>
          <w:i/>
          <w:iCs/>
        </w:rPr>
        <w:t>13</w:t>
      </w:r>
      <w:r w:rsidRPr="001F0603">
        <w:t>(02), pp.91-103.</w:t>
      </w:r>
    </w:p>
    <w:p w14:paraId="1D148C61" w14:textId="77777777" w:rsidR="00F67CEA" w:rsidRPr="001F0603" w:rsidRDefault="00F67CEA" w:rsidP="00F67CEA">
      <w:pPr>
        <w:rPr>
          <w:color w:val="222222"/>
          <w:szCs w:val="24"/>
        </w:rPr>
      </w:pPr>
      <w:r w:rsidRPr="001F0603">
        <w:rPr>
          <w:color w:val="222222"/>
          <w:szCs w:val="24"/>
        </w:rPr>
        <w:t>Ganesha, H. R., and Aithal, P. S. (2022). How to choose an appropriate research data collection method and method choice among various research data collection methods and method choices during Ph. D. program in India. </w:t>
      </w:r>
      <w:r w:rsidRPr="001F0603">
        <w:rPr>
          <w:i/>
          <w:iCs/>
          <w:color w:val="222222"/>
          <w:szCs w:val="24"/>
        </w:rPr>
        <w:t>International Journal of Management, Technology, and Social Sciences</w:t>
      </w:r>
      <w:r w:rsidRPr="001F0603">
        <w:rPr>
          <w:color w:val="222222"/>
          <w:szCs w:val="24"/>
        </w:rPr>
        <w:t>, </w:t>
      </w:r>
      <w:r w:rsidRPr="001F0603">
        <w:rPr>
          <w:i/>
          <w:iCs/>
          <w:color w:val="222222"/>
          <w:szCs w:val="24"/>
        </w:rPr>
        <w:t>7</w:t>
      </w:r>
      <w:r w:rsidRPr="001F0603">
        <w:rPr>
          <w:color w:val="222222"/>
          <w:szCs w:val="24"/>
        </w:rPr>
        <w:t>(2), 455-489.</w:t>
      </w:r>
    </w:p>
    <w:p w14:paraId="385A22FB" w14:textId="77777777" w:rsidR="00F67CEA" w:rsidRPr="001F0603" w:rsidRDefault="00F67CEA" w:rsidP="00F67CEA">
      <w:pPr>
        <w:rPr>
          <w:lang w:val="en-GB"/>
        </w:rPr>
      </w:pPr>
      <w:r w:rsidRPr="001F0603">
        <w:rPr>
          <w:lang w:val="en-GB"/>
        </w:rPr>
        <w:t>Ghanbarnejad, A., Homayuni, A., Hosseini, Z. and Madani, A., (2022). Smoking behavior among students: Using health belief model and zero-inflated ordered probit model. </w:t>
      </w:r>
      <w:r w:rsidRPr="001F0603">
        <w:rPr>
          <w:i/>
          <w:iCs/>
          <w:lang w:val="en-GB"/>
        </w:rPr>
        <w:t>Tobacco and Health</w:t>
      </w:r>
      <w:r w:rsidRPr="001F0603">
        <w:rPr>
          <w:lang w:val="en-GB"/>
        </w:rPr>
        <w:t>, </w:t>
      </w:r>
      <w:r w:rsidRPr="001F0603">
        <w:rPr>
          <w:i/>
          <w:iCs/>
          <w:lang w:val="en-GB"/>
        </w:rPr>
        <w:t>1</w:t>
      </w:r>
      <w:r w:rsidRPr="001F0603">
        <w:rPr>
          <w:lang w:val="en-GB"/>
        </w:rPr>
        <w:t>(2), pp.74-82.</w:t>
      </w:r>
    </w:p>
    <w:p w14:paraId="74FCC46F" w14:textId="77777777" w:rsidR="00F67CEA" w:rsidRPr="001F0603" w:rsidRDefault="00F67CEA" w:rsidP="00F67CEA">
      <w:r w:rsidRPr="001F0603">
        <w:lastRenderedPageBreak/>
        <w:t>Ghosh, S., Anand, A., Ghosh, D. and Kumar, P., (2025). Rural to urban transition of risk factors propensity for cardiovascular disease in Jharkhand, India. </w:t>
      </w:r>
      <w:r w:rsidRPr="001F0603">
        <w:rPr>
          <w:i/>
          <w:iCs/>
        </w:rPr>
        <w:t>International Journal of Epidemiology and Health Sciences</w:t>
      </w:r>
      <w:r w:rsidRPr="001F0603">
        <w:t>, </w:t>
      </w:r>
      <w:r w:rsidRPr="001F0603">
        <w:rPr>
          <w:i/>
          <w:iCs/>
        </w:rPr>
        <w:t>6</w:t>
      </w:r>
      <w:r w:rsidRPr="001F0603">
        <w:t>(Continuous).</w:t>
      </w:r>
    </w:p>
    <w:p w14:paraId="2008BA95" w14:textId="77777777" w:rsidR="00F67CEA" w:rsidRPr="001F0603" w:rsidRDefault="00F67CEA" w:rsidP="00F67CEA">
      <w:pPr>
        <w:rPr>
          <w:color w:val="222222"/>
          <w:szCs w:val="24"/>
        </w:rPr>
      </w:pPr>
      <w:r w:rsidRPr="001F0603">
        <w:rPr>
          <w:color w:val="222222"/>
          <w:szCs w:val="24"/>
        </w:rPr>
        <w:t>Goel, S., Walia, D., and Kumar, R. (2024). The hidden crisis: Health impacts of tobacco and nicotine products on Indian women. </w:t>
      </w:r>
      <w:r w:rsidRPr="001F0603">
        <w:rPr>
          <w:i/>
          <w:iCs/>
          <w:color w:val="222222"/>
          <w:szCs w:val="24"/>
        </w:rPr>
        <w:t>Journal of Family Medicine and Primary Care</w:t>
      </w:r>
      <w:r w:rsidRPr="001F0603">
        <w:rPr>
          <w:color w:val="222222"/>
          <w:szCs w:val="24"/>
        </w:rPr>
        <w:t>, </w:t>
      </w:r>
      <w:r w:rsidRPr="001F0603">
        <w:rPr>
          <w:i/>
          <w:iCs/>
          <w:color w:val="222222"/>
          <w:szCs w:val="24"/>
        </w:rPr>
        <w:t>13</w:t>
      </w:r>
      <w:r w:rsidRPr="001F0603">
        <w:rPr>
          <w:color w:val="222222"/>
          <w:szCs w:val="24"/>
        </w:rPr>
        <w:t>(11), 4751-4754.</w:t>
      </w:r>
    </w:p>
    <w:p w14:paraId="09EA9AF5" w14:textId="77777777" w:rsidR="00F67CEA" w:rsidRPr="001F0603" w:rsidRDefault="00F67CEA" w:rsidP="00F67CEA">
      <w:r w:rsidRPr="001F0603">
        <w:t>Goel, S., Walia, D., Gupta, P.C., Singh, R.J. and Swasticharan, L., (2025). Establishing Priorities for the Effective Implementation of Tobacco Control Program at National and Subnational Level in India: A Delphi Study. </w:t>
      </w:r>
      <w:r w:rsidRPr="001F0603">
        <w:rPr>
          <w:i/>
          <w:iCs/>
        </w:rPr>
        <w:t>Indian Journal of Public Health</w:t>
      </w:r>
      <w:r w:rsidRPr="001F0603">
        <w:t>, </w:t>
      </w:r>
      <w:r w:rsidRPr="001F0603">
        <w:rPr>
          <w:i/>
          <w:iCs/>
        </w:rPr>
        <w:t>69</w:t>
      </w:r>
      <w:r w:rsidRPr="001F0603">
        <w:t>(4), pp.418-424.</w:t>
      </w:r>
    </w:p>
    <w:p w14:paraId="08475EA8" w14:textId="77777777" w:rsidR="00F67CEA" w:rsidRPr="001F0603" w:rsidRDefault="00F67CEA" w:rsidP="00F67CEA">
      <w:r w:rsidRPr="001F0603">
        <w:t>Goel, S., Walia, D., Gupta, P.C., Singh, R.J. and Swasticharan, L., (2025). Establishing Priorities for the Effective Implementation of Tobacco Control Program at National and Subnational Level in India: A Delphi Study. </w:t>
      </w:r>
      <w:r w:rsidRPr="001F0603">
        <w:rPr>
          <w:i/>
          <w:iCs/>
        </w:rPr>
        <w:t>Indian Journal of Public Health</w:t>
      </w:r>
      <w:r w:rsidRPr="001F0603">
        <w:t>, </w:t>
      </w:r>
      <w:r w:rsidRPr="001F0603">
        <w:rPr>
          <w:i/>
          <w:iCs/>
        </w:rPr>
        <w:t>69</w:t>
      </w:r>
      <w:r w:rsidRPr="001F0603">
        <w:t>(4), pp.418-424.</w:t>
      </w:r>
    </w:p>
    <w:p w14:paraId="3507089B" w14:textId="77777777" w:rsidR="00F67CEA" w:rsidRPr="001F0603" w:rsidRDefault="00F67CEA" w:rsidP="00F67CEA">
      <w:r w:rsidRPr="001F0603">
        <w:t>Gupta, S. and Gupta, S.S., (2025). Tobacco control initiatives: current scenario and SWOT (strengths, weaknesses, opportunities and threats) analysis. </w:t>
      </w:r>
      <w:r w:rsidRPr="001F0603">
        <w:rPr>
          <w:i/>
          <w:iCs/>
        </w:rPr>
        <w:t>Discover Public Health</w:t>
      </w:r>
      <w:r w:rsidRPr="001F0603">
        <w:t>, </w:t>
      </w:r>
      <w:r w:rsidRPr="001F0603">
        <w:rPr>
          <w:i/>
          <w:iCs/>
        </w:rPr>
        <w:t>22</w:t>
      </w:r>
      <w:r w:rsidRPr="001F0603">
        <w:t>(1), p.488.</w:t>
      </w:r>
    </w:p>
    <w:p w14:paraId="69E1F746" w14:textId="77777777" w:rsidR="00F67CEA" w:rsidRPr="001F0603" w:rsidRDefault="00F67CEA" w:rsidP="00F67CEA">
      <w:r w:rsidRPr="001F0603">
        <w:t>Hebbar, P.B., Dsouza, V., Bhojani, U., Prashanth, N.S., Van Schayck, O.C., Babu, G.R. and Nagelhout, G.E., (2022). How do tobacco control policies work in low-income and middle-income countries? A realist synthesis. </w:t>
      </w:r>
      <w:r w:rsidRPr="001F0603">
        <w:rPr>
          <w:i/>
          <w:iCs/>
        </w:rPr>
        <w:t>BMJ Global Health</w:t>
      </w:r>
      <w:r w:rsidRPr="001F0603">
        <w:t>, </w:t>
      </w:r>
      <w:r w:rsidRPr="001F0603">
        <w:rPr>
          <w:i/>
          <w:iCs/>
        </w:rPr>
        <w:t>7</w:t>
      </w:r>
      <w:r w:rsidRPr="001F0603">
        <w:t>(11), p.e008859.</w:t>
      </w:r>
    </w:p>
    <w:p w14:paraId="1CD837E3" w14:textId="77777777" w:rsidR="00F67CEA" w:rsidRPr="001F0603" w:rsidRDefault="00F67CEA" w:rsidP="00F67CEA">
      <w:pPr>
        <w:rPr>
          <w:lang w:val="en-GB"/>
        </w:rPr>
      </w:pPr>
      <w:r w:rsidRPr="001F0603">
        <w:rPr>
          <w:lang w:val="en-GB"/>
        </w:rPr>
        <w:t>Hebbar, P.B., Dsouza, V., Nagelhout, G.E., van Belle, S., Srinivas Prashanth, N., Schayck, O.C.V., Babu, G.R. and Bhojani, U., (2025). A realist evaluation of the implementation of a national tobacco control programme and policy in India. </w:t>
      </w:r>
      <w:r w:rsidRPr="001F0603">
        <w:rPr>
          <w:i/>
          <w:iCs/>
          <w:lang w:val="en-GB"/>
        </w:rPr>
        <w:t>Health Policy and Planning</w:t>
      </w:r>
      <w:r w:rsidRPr="001F0603">
        <w:rPr>
          <w:lang w:val="en-GB"/>
        </w:rPr>
        <w:t>, </w:t>
      </w:r>
      <w:r w:rsidRPr="001F0603">
        <w:rPr>
          <w:i/>
          <w:iCs/>
          <w:lang w:val="en-GB"/>
        </w:rPr>
        <w:t>40</w:t>
      </w:r>
      <w:r w:rsidRPr="001F0603">
        <w:rPr>
          <w:lang w:val="en-GB"/>
        </w:rPr>
        <w:t>(2), pp.140-152.</w:t>
      </w:r>
    </w:p>
    <w:p w14:paraId="2DE4B1D1" w14:textId="77777777" w:rsidR="00F67CEA" w:rsidRPr="001F0603" w:rsidRDefault="00F67CEA" w:rsidP="00F67CEA">
      <w:r w:rsidRPr="001F0603">
        <w:t>Hebbar, P.B., Dsouza, V., Nagelhout, G.E., van Belle, S., Srinivas Prashanth, N., Schayck, O.C.V., Babu, G.R. and Bhojani, U., (2025). A realist evaluation of the implementation of a national tobacco control programme and policy in India. </w:t>
      </w:r>
      <w:r w:rsidRPr="001F0603">
        <w:rPr>
          <w:i/>
          <w:iCs/>
        </w:rPr>
        <w:t>Health Policy and Planning</w:t>
      </w:r>
      <w:r w:rsidRPr="001F0603">
        <w:t>, </w:t>
      </w:r>
      <w:r w:rsidRPr="001F0603">
        <w:rPr>
          <w:i/>
          <w:iCs/>
        </w:rPr>
        <w:t>40</w:t>
      </w:r>
      <w:r w:rsidRPr="001F0603">
        <w:t>(2), pp.140-152.</w:t>
      </w:r>
    </w:p>
    <w:p w14:paraId="39867B2A" w14:textId="77777777" w:rsidR="00F67CEA" w:rsidRPr="001F0603" w:rsidRDefault="00F67CEA" w:rsidP="00F67CEA">
      <w:pPr>
        <w:rPr>
          <w:lang w:val="en-GB"/>
        </w:rPr>
      </w:pPr>
      <w:r w:rsidRPr="001F0603">
        <w:rPr>
          <w:lang w:val="en-GB"/>
        </w:rPr>
        <w:t>Hu, D., Zhou, S., Crowley-McHattan, Z.J. and Liu, Z., (2021). Factors that influence participation in physical activity in school-aged children and adolescents: a systematic review from the social ecological model perspective. </w:t>
      </w:r>
      <w:r w:rsidRPr="001F0603">
        <w:rPr>
          <w:i/>
          <w:iCs/>
          <w:lang w:val="en-GB"/>
        </w:rPr>
        <w:t>International journal of environmental research and public health</w:t>
      </w:r>
      <w:r w:rsidRPr="001F0603">
        <w:rPr>
          <w:lang w:val="en-GB"/>
        </w:rPr>
        <w:t>, </w:t>
      </w:r>
      <w:r w:rsidRPr="001F0603">
        <w:rPr>
          <w:i/>
          <w:iCs/>
          <w:lang w:val="en-GB"/>
        </w:rPr>
        <w:t>18</w:t>
      </w:r>
      <w:r w:rsidRPr="001F0603">
        <w:rPr>
          <w:lang w:val="en-GB"/>
        </w:rPr>
        <w:t>(6), p.3147.</w:t>
      </w:r>
    </w:p>
    <w:p w14:paraId="772FC4BC" w14:textId="77777777" w:rsidR="00F67CEA" w:rsidRPr="001F0603" w:rsidRDefault="00F67CEA" w:rsidP="00F67CEA">
      <w:r w:rsidRPr="001F0603">
        <w:t>Huffman, M.D., Prabhakaran, D., Osmond, C., Fall, C.H., Tandon, N., Lakshmy, R., Ramji, S., Khalil, A., Gera, T., Prabhakaran, P. and Biswas, S.D., (2011). Incidence of cardiovascular risk factors in an Indian urban cohort: results from the New Delhi Birth Cohort. </w:t>
      </w:r>
      <w:r w:rsidRPr="001F0603">
        <w:rPr>
          <w:i/>
          <w:iCs/>
        </w:rPr>
        <w:t>Journal of the American College of Cardiology</w:t>
      </w:r>
      <w:r w:rsidRPr="001F0603">
        <w:t>, </w:t>
      </w:r>
      <w:r w:rsidRPr="001F0603">
        <w:rPr>
          <w:i/>
          <w:iCs/>
        </w:rPr>
        <w:t>57</w:t>
      </w:r>
      <w:r w:rsidRPr="001F0603">
        <w:t>(17), pp.1765-1774.</w:t>
      </w:r>
    </w:p>
    <w:p w14:paraId="7E9B4F43" w14:textId="77777777" w:rsidR="00F67CEA" w:rsidRPr="001F0603" w:rsidRDefault="00F67CEA" w:rsidP="00F67CEA">
      <w:pPr>
        <w:rPr>
          <w:lang w:val="en-GB"/>
        </w:rPr>
      </w:pPr>
      <w:r w:rsidRPr="001F0603">
        <w:rPr>
          <w:lang w:val="en-GB"/>
        </w:rPr>
        <w:lastRenderedPageBreak/>
        <w:t>Islam, M.D., (2023). Revitalizing Public Health, Application of Service Design Approach to Reduce Tobacco Consumption among Youth–A Case Study in Cumilla City.</w:t>
      </w:r>
    </w:p>
    <w:p w14:paraId="273CBDFE" w14:textId="77777777" w:rsidR="00F67CEA" w:rsidRPr="001F0603" w:rsidRDefault="00F67CEA" w:rsidP="00F67CEA">
      <w:pPr>
        <w:rPr>
          <w:lang w:val="en-GB"/>
        </w:rPr>
      </w:pPr>
      <w:r w:rsidRPr="001F0603">
        <w:rPr>
          <w:lang w:val="en-GB"/>
        </w:rPr>
        <w:t>Jan, B., Dar, M.I., Choudhary, B., Basist, P., Khan, R. and Alhalmi, A., (2024). Cardiovascular diseases among Indian older adults: A comprehensive review. </w:t>
      </w:r>
      <w:r w:rsidRPr="001F0603">
        <w:rPr>
          <w:i/>
          <w:iCs/>
          <w:lang w:val="en-GB"/>
        </w:rPr>
        <w:t>Cardiovascular Therapeutics</w:t>
      </w:r>
      <w:r w:rsidRPr="001F0603">
        <w:rPr>
          <w:lang w:val="en-GB"/>
        </w:rPr>
        <w:t>, </w:t>
      </w:r>
      <w:r w:rsidRPr="001F0603">
        <w:rPr>
          <w:i/>
          <w:iCs/>
          <w:lang w:val="en-GB"/>
        </w:rPr>
        <w:t>2024</w:t>
      </w:r>
      <w:r w:rsidRPr="001F0603">
        <w:rPr>
          <w:lang w:val="en-GB"/>
        </w:rPr>
        <w:t>(1), p.6894693.</w:t>
      </w:r>
    </w:p>
    <w:p w14:paraId="60518E77" w14:textId="77777777" w:rsidR="00F67CEA" w:rsidRPr="001F0603" w:rsidRDefault="00F67CEA" w:rsidP="00F67CEA">
      <w:r w:rsidRPr="001F0603">
        <w:t>Jodalli, P. and Panchmal, G.S., (2020). Tobacco use patterns and predictors among college students in Mangalore, South India: Findings from the Global Adult Tobacco Survey. </w:t>
      </w:r>
      <w:r w:rsidRPr="001F0603">
        <w:rPr>
          <w:i/>
          <w:iCs/>
        </w:rPr>
        <w:t>Tobacco Prevention &amp; Cessation</w:t>
      </w:r>
      <w:r w:rsidRPr="001F0603">
        <w:t>, </w:t>
      </w:r>
      <w:r w:rsidRPr="001F0603">
        <w:rPr>
          <w:i/>
          <w:iCs/>
        </w:rPr>
        <w:t>6</w:t>
      </w:r>
      <w:r w:rsidRPr="001F0603">
        <w:t>, p.58.</w:t>
      </w:r>
    </w:p>
    <w:p w14:paraId="33D3593A" w14:textId="77777777" w:rsidR="00F67CEA" w:rsidRPr="001F0603" w:rsidRDefault="00F67CEA" w:rsidP="00F67CEA">
      <w:pPr>
        <w:rPr>
          <w:color w:val="222222"/>
          <w:szCs w:val="24"/>
        </w:rPr>
      </w:pPr>
      <w:r w:rsidRPr="001F0603">
        <w:rPr>
          <w:color w:val="222222"/>
          <w:szCs w:val="24"/>
        </w:rPr>
        <w:t>Joshi, K. J., Bera, O. P., Jasani, K. M., Gohel, D., Sheth, A., and Gohel Sr, D. (2025). Urban-rural health transitions in india: a comprehensive review of non-communicable disease trends and risk landscapes. </w:t>
      </w:r>
      <w:r w:rsidRPr="001F0603">
        <w:rPr>
          <w:i/>
          <w:iCs/>
          <w:color w:val="222222"/>
          <w:szCs w:val="24"/>
        </w:rPr>
        <w:t>Cureus</w:t>
      </w:r>
      <w:r w:rsidRPr="001F0603">
        <w:rPr>
          <w:color w:val="222222"/>
          <w:szCs w:val="24"/>
        </w:rPr>
        <w:t>, </w:t>
      </w:r>
      <w:r w:rsidRPr="001F0603">
        <w:rPr>
          <w:i/>
          <w:iCs/>
          <w:color w:val="222222"/>
          <w:szCs w:val="24"/>
        </w:rPr>
        <w:t>17</w:t>
      </w:r>
      <w:r w:rsidRPr="001F0603">
        <w:rPr>
          <w:color w:val="222222"/>
          <w:szCs w:val="24"/>
        </w:rPr>
        <w:t>(8).</w:t>
      </w:r>
    </w:p>
    <w:p w14:paraId="4E12D26C" w14:textId="77777777" w:rsidR="00F67CEA" w:rsidRPr="001F0603" w:rsidRDefault="00F67CEA" w:rsidP="00F67CEA">
      <w:r w:rsidRPr="001F0603">
        <w:t>Karen O’, R., (2025). </w:t>
      </w:r>
      <w:r w:rsidRPr="001F0603">
        <w:rPr>
          <w:i/>
          <w:iCs/>
        </w:rPr>
        <w:t>Qualitative Research Methods for Everyone: An Essential Toolkit</w:t>
      </w:r>
      <w:r w:rsidRPr="001F0603">
        <w:t>. Policy Press.</w:t>
      </w:r>
    </w:p>
    <w:p w14:paraId="431F5698" w14:textId="77777777" w:rsidR="00F67CEA" w:rsidRPr="001F0603" w:rsidRDefault="00F67CEA" w:rsidP="00F67CEA">
      <w:pPr>
        <w:rPr>
          <w:color w:val="222222"/>
          <w:szCs w:val="24"/>
        </w:rPr>
      </w:pPr>
      <w:r w:rsidRPr="001F0603">
        <w:rPr>
          <w:color w:val="222222"/>
          <w:szCs w:val="24"/>
        </w:rPr>
        <w:t>Kaul, T., Kellerhuis, B. E., Damen, J. A., Schuit, E., Jenniskens, K., van Smeden, M., ... and Yang, B. (2025). Methodological quality assessment tools for diagnosis and prognosis research: overview and guidance. </w:t>
      </w:r>
      <w:r w:rsidRPr="001F0603">
        <w:rPr>
          <w:i/>
          <w:iCs/>
          <w:color w:val="222222"/>
          <w:szCs w:val="24"/>
        </w:rPr>
        <w:t>Journal of Clinical Epidemiology</w:t>
      </w:r>
      <w:r w:rsidRPr="001F0603">
        <w:rPr>
          <w:color w:val="222222"/>
          <w:szCs w:val="24"/>
        </w:rPr>
        <w:t>, </w:t>
      </w:r>
      <w:r w:rsidRPr="001F0603">
        <w:rPr>
          <w:i/>
          <w:iCs/>
          <w:color w:val="222222"/>
          <w:szCs w:val="24"/>
        </w:rPr>
        <w:t>177</w:t>
      </w:r>
      <w:r w:rsidRPr="001F0603">
        <w:rPr>
          <w:color w:val="222222"/>
          <w:szCs w:val="24"/>
        </w:rPr>
        <w:t>, 111609.</w:t>
      </w:r>
    </w:p>
    <w:p w14:paraId="2449EB7F" w14:textId="77777777" w:rsidR="00F67CEA" w:rsidRPr="001F0603" w:rsidRDefault="00F67CEA" w:rsidP="00F67CEA">
      <w:r w:rsidRPr="001F0603">
        <w:t>Khambayat, S., Jaiswal, A., Prasad, R., Wanjari, M.B., Sharma, R., Yelne, S. and Wanjari, M., (2023). Vaping among adolescents: an overview of e-cigarette use in middle and high school students in India. </w:t>
      </w:r>
      <w:r w:rsidRPr="001F0603">
        <w:rPr>
          <w:i/>
          <w:iCs/>
        </w:rPr>
        <w:t>Cureus</w:t>
      </w:r>
      <w:r w:rsidRPr="001F0603">
        <w:t>, </w:t>
      </w:r>
      <w:r w:rsidRPr="001F0603">
        <w:rPr>
          <w:i/>
          <w:iCs/>
        </w:rPr>
        <w:t>15</w:t>
      </w:r>
      <w:r w:rsidRPr="001F0603">
        <w:t>(5).</w:t>
      </w:r>
    </w:p>
    <w:p w14:paraId="42DC3EA7" w14:textId="77777777" w:rsidR="00F67CEA" w:rsidRPr="001F0603" w:rsidRDefault="00F67CEA" w:rsidP="00F67CEA">
      <w:pPr>
        <w:rPr>
          <w:lang w:val="en-GB"/>
        </w:rPr>
      </w:pPr>
      <w:r w:rsidRPr="001F0603">
        <w:t>Klein, L. W. (2022). Pathophysiologic mechanisms of tobacco smoke producing atherosclerosis. </w:t>
      </w:r>
      <w:r w:rsidRPr="001F0603">
        <w:rPr>
          <w:i/>
          <w:iCs/>
        </w:rPr>
        <w:t>Current Cardiology Reviews</w:t>
      </w:r>
      <w:r w:rsidRPr="001F0603">
        <w:t>, </w:t>
      </w:r>
      <w:r w:rsidRPr="001F0603">
        <w:rPr>
          <w:i/>
          <w:iCs/>
        </w:rPr>
        <w:t>18</w:t>
      </w:r>
      <w:r w:rsidRPr="001F0603">
        <w:t>(6), 60-67.</w:t>
      </w:r>
    </w:p>
    <w:p w14:paraId="165C6C81" w14:textId="77777777" w:rsidR="00F67CEA" w:rsidRPr="001F0603" w:rsidRDefault="00F67CEA" w:rsidP="00F67CEA">
      <w:r w:rsidRPr="001F0603">
        <w:t>Kodali, P.B., Maniyara, K. and Palle, E., (2025). Smoking cessation among middle-aged and older adults in India. </w:t>
      </w:r>
      <w:r w:rsidRPr="001F0603">
        <w:rPr>
          <w:i/>
          <w:iCs/>
        </w:rPr>
        <w:t>Scientific Reports</w:t>
      </w:r>
      <w:r w:rsidRPr="001F0603">
        <w:t>, </w:t>
      </w:r>
      <w:r w:rsidRPr="001F0603">
        <w:rPr>
          <w:i/>
          <w:iCs/>
        </w:rPr>
        <w:t>15</w:t>
      </w:r>
      <w:r w:rsidRPr="001F0603">
        <w:t>(1), p.40017.</w:t>
      </w:r>
    </w:p>
    <w:p w14:paraId="72BB508D" w14:textId="77777777" w:rsidR="00F67CEA" w:rsidRPr="001F0603" w:rsidRDefault="00F67CEA" w:rsidP="00F67CEA">
      <w:pPr>
        <w:rPr>
          <w:color w:val="222222"/>
          <w:szCs w:val="24"/>
        </w:rPr>
      </w:pPr>
      <w:r w:rsidRPr="001F0603">
        <w:rPr>
          <w:color w:val="222222"/>
          <w:szCs w:val="24"/>
        </w:rPr>
        <w:t>Kokane, A. M., and Mitra, A. (2020). Preparedness of primary health care providers for tobacco cessation—Experiences from a non-communicable disease training program. </w:t>
      </w:r>
      <w:r w:rsidRPr="001F0603">
        <w:rPr>
          <w:i/>
          <w:iCs/>
          <w:color w:val="222222"/>
          <w:szCs w:val="24"/>
        </w:rPr>
        <w:t>Indian Journal of Cancer</w:t>
      </w:r>
      <w:r w:rsidRPr="001F0603">
        <w:rPr>
          <w:color w:val="222222"/>
          <w:szCs w:val="24"/>
        </w:rPr>
        <w:t>, </w:t>
      </w:r>
      <w:r w:rsidRPr="001F0603">
        <w:rPr>
          <w:i/>
          <w:iCs/>
          <w:color w:val="222222"/>
          <w:szCs w:val="24"/>
        </w:rPr>
        <w:t>57</w:t>
      </w:r>
      <w:r w:rsidRPr="001F0603">
        <w:rPr>
          <w:color w:val="222222"/>
          <w:szCs w:val="24"/>
        </w:rPr>
        <w:t>(4), 443-450.</w:t>
      </w:r>
    </w:p>
    <w:p w14:paraId="170E1A33" w14:textId="77777777" w:rsidR="00F67CEA" w:rsidRPr="001F0603" w:rsidRDefault="00F67CEA" w:rsidP="00F67CEA">
      <w:pPr>
        <w:rPr>
          <w:color w:val="222222"/>
          <w:szCs w:val="24"/>
        </w:rPr>
      </w:pPr>
      <w:r w:rsidRPr="001F0603">
        <w:rPr>
          <w:color w:val="222222"/>
          <w:szCs w:val="24"/>
        </w:rPr>
        <w:t>Konno, K., Gibbons, J., Lewis, R., and Pullin, A. S. (2024). Potential types of bias when estimating causal effects in environmental research and how to interpret them. </w:t>
      </w:r>
      <w:r w:rsidRPr="001F0603">
        <w:rPr>
          <w:i/>
          <w:iCs/>
          <w:color w:val="222222"/>
          <w:szCs w:val="24"/>
        </w:rPr>
        <w:t>Environmental evidence</w:t>
      </w:r>
      <w:r w:rsidRPr="001F0603">
        <w:rPr>
          <w:color w:val="222222"/>
          <w:szCs w:val="24"/>
        </w:rPr>
        <w:t>, </w:t>
      </w:r>
      <w:r w:rsidRPr="001F0603">
        <w:rPr>
          <w:i/>
          <w:iCs/>
          <w:color w:val="222222"/>
          <w:szCs w:val="24"/>
        </w:rPr>
        <w:t>13</w:t>
      </w:r>
      <w:r w:rsidRPr="001F0603">
        <w:rPr>
          <w:color w:val="222222"/>
          <w:szCs w:val="24"/>
        </w:rPr>
        <w:t>(1), 1.</w:t>
      </w:r>
    </w:p>
    <w:p w14:paraId="130FDC70" w14:textId="77777777" w:rsidR="00F67CEA" w:rsidRPr="001F0603" w:rsidRDefault="00F67CEA" w:rsidP="00F67CEA">
      <w:r w:rsidRPr="001F0603">
        <w:t>Kumari, A. and Shukla, S.D., (2025). Risk factor profiling in congenital heart disease: maternal and foetal determinants. </w:t>
      </w:r>
      <w:r w:rsidRPr="001F0603">
        <w:rPr>
          <w:i/>
          <w:iCs/>
        </w:rPr>
        <w:t>International Journal of Research in Medical Sciences</w:t>
      </w:r>
      <w:r w:rsidRPr="001F0603">
        <w:t>, </w:t>
      </w:r>
      <w:r w:rsidRPr="001F0603">
        <w:rPr>
          <w:i/>
          <w:iCs/>
        </w:rPr>
        <w:t>13</w:t>
      </w:r>
      <w:r w:rsidRPr="001F0603">
        <w:t>(6), p.2693.</w:t>
      </w:r>
    </w:p>
    <w:p w14:paraId="62887A38" w14:textId="77777777" w:rsidR="00F67CEA" w:rsidRPr="009238C8" w:rsidRDefault="00F67CEA" w:rsidP="00F67CEA">
      <w:pPr>
        <w:rPr>
          <w:rFonts w:cs="Arial"/>
          <w:color w:val="222222"/>
          <w:szCs w:val="20"/>
        </w:rPr>
      </w:pPr>
      <w:r w:rsidRPr="009238C8">
        <w:rPr>
          <w:rFonts w:cs="Arial"/>
          <w:color w:val="222222"/>
          <w:szCs w:val="20"/>
        </w:rPr>
        <w:t>Kurdi, Z. (2025). Measuring Adverse Childhood Experiences (ACEs) and deprivation during early childhood and its link to self-reported victimisation during adolescence among young adults in the UK.</w:t>
      </w:r>
    </w:p>
    <w:p w14:paraId="28C5A5C4" w14:textId="77777777" w:rsidR="00F67CEA" w:rsidRPr="001F0603" w:rsidRDefault="00F67CEA" w:rsidP="00F67CEA">
      <w:pPr>
        <w:rPr>
          <w:lang w:val="en-GB"/>
        </w:rPr>
      </w:pPr>
      <w:r w:rsidRPr="001F0603">
        <w:rPr>
          <w:lang w:val="en-GB"/>
        </w:rPr>
        <w:lastRenderedPageBreak/>
        <w:t>Lahoti, S. and Dixit, P., (2021). Declining trend of smoking and smokeless tobacco in India: A decomposition analysis. </w:t>
      </w:r>
      <w:r w:rsidRPr="001F0603">
        <w:rPr>
          <w:i/>
          <w:iCs/>
          <w:lang w:val="en-GB"/>
        </w:rPr>
        <w:t>PLoS One</w:t>
      </w:r>
      <w:r w:rsidRPr="001F0603">
        <w:rPr>
          <w:lang w:val="en-GB"/>
        </w:rPr>
        <w:t>, </w:t>
      </w:r>
      <w:r w:rsidRPr="001F0603">
        <w:rPr>
          <w:i/>
          <w:iCs/>
          <w:lang w:val="en-GB"/>
        </w:rPr>
        <w:t>16</w:t>
      </w:r>
      <w:r w:rsidRPr="001F0603">
        <w:rPr>
          <w:lang w:val="en-GB"/>
        </w:rPr>
        <w:t>(2), p.e0247226.</w:t>
      </w:r>
    </w:p>
    <w:p w14:paraId="41750780" w14:textId="77777777" w:rsidR="00F67CEA" w:rsidRPr="001F0603" w:rsidRDefault="00F67CEA" w:rsidP="00F67CEA">
      <w:pPr>
        <w:rPr>
          <w:color w:val="222222"/>
          <w:szCs w:val="24"/>
        </w:rPr>
      </w:pPr>
      <w:r w:rsidRPr="001F0603">
        <w:rPr>
          <w:color w:val="222222"/>
          <w:szCs w:val="24"/>
        </w:rPr>
        <w:t>Lamer, A., Fruchart, M., Paris, N., Popoff, B., Payen, A., Balcaen, T., ... and Chazard, E. (2022). Standardized description of the feature extraction process to transform raw data into meaningful information for enhancing data reuse: consensus study. </w:t>
      </w:r>
      <w:r w:rsidRPr="001F0603">
        <w:rPr>
          <w:i/>
          <w:iCs/>
          <w:color w:val="222222"/>
          <w:szCs w:val="24"/>
        </w:rPr>
        <w:t>JMIR Medical Informatics</w:t>
      </w:r>
      <w:r w:rsidRPr="001F0603">
        <w:rPr>
          <w:color w:val="222222"/>
          <w:szCs w:val="24"/>
        </w:rPr>
        <w:t>, </w:t>
      </w:r>
      <w:r w:rsidRPr="001F0603">
        <w:rPr>
          <w:i/>
          <w:iCs/>
          <w:color w:val="222222"/>
          <w:szCs w:val="24"/>
        </w:rPr>
        <w:t>10</w:t>
      </w:r>
      <w:r w:rsidRPr="001F0603">
        <w:rPr>
          <w:color w:val="222222"/>
          <w:szCs w:val="24"/>
        </w:rPr>
        <w:t>(10), e38936.</w:t>
      </w:r>
    </w:p>
    <w:p w14:paraId="41AD954A" w14:textId="77777777" w:rsidR="00F67CEA" w:rsidRPr="001F0603" w:rsidRDefault="00F67CEA" w:rsidP="00F67CEA">
      <w:r w:rsidRPr="001F0603">
        <w:t>Mahalingam, V., Santhanakrishnan, R.K., Malaisamy, M., Chelvanayagam, K., Mathiyazhagan, K., Bhaskar, A., Nagarajan, K., Maria Selvam, J., Veeraiah, S., Rajsekar, K. and Tyagi, K., (2025). Cost-effectiveness analysis for implementation of smoking cessation strategies at primary health care settings in Tamil Nadu. </w:t>
      </w:r>
      <w:r w:rsidRPr="001F0603">
        <w:rPr>
          <w:i/>
          <w:iCs/>
        </w:rPr>
        <w:t>PloS one</w:t>
      </w:r>
      <w:r w:rsidRPr="001F0603">
        <w:t>, </w:t>
      </w:r>
      <w:r w:rsidRPr="001F0603">
        <w:rPr>
          <w:i/>
          <w:iCs/>
        </w:rPr>
        <w:t>20</w:t>
      </w:r>
      <w:r w:rsidRPr="001F0603">
        <w:t>(1), p.e0318013.</w:t>
      </w:r>
    </w:p>
    <w:p w14:paraId="3B44FEEA" w14:textId="77777777" w:rsidR="00F67CEA" w:rsidRPr="001F0603" w:rsidRDefault="00F67CEA" w:rsidP="00F67CEA">
      <w:pPr>
        <w:rPr>
          <w:lang w:val="en-GB"/>
        </w:rPr>
      </w:pPr>
      <w:r w:rsidRPr="001F0603">
        <w:rPr>
          <w:lang w:val="en-GB"/>
        </w:rPr>
        <w:t>Mallya, S.D., Kumar, P., Bhagawath, R., Jahan, A., Nayak, R. and Kulkarni, M.M., (2025). Compliance to select sections of cigarettes and other tobacco products act (COTPA) around PoS and perception of tobacco vendors about tobacco control policies and vendor licensing: A mixed method study from four districts of a South Indian state. </w:t>
      </w:r>
      <w:r w:rsidRPr="001F0603">
        <w:rPr>
          <w:i/>
          <w:iCs/>
          <w:lang w:val="en-GB"/>
        </w:rPr>
        <w:t>Clinical Epidemiology and Global Health</w:t>
      </w:r>
      <w:r w:rsidRPr="001F0603">
        <w:rPr>
          <w:lang w:val="en-GB"/>
        </w:rPr>
        <w:t>, </w:t>
      </w:r>
      <w:r w:rsidRPr="001F0603">
        <w:rPr>
          <w:i/>
          <w:iCs/>
          <w:lang w:val="en-GB"/>
        </w:rPr>
        <w:t>33</w:t>
      </w:r>
      <w:r w:rsidRPr="001F0603">
        <w:rPr>
          <w:lang w:val="en-GB"/>
        </w:rPr>
        <w:t>, p.101999.</w:t>
      </w:r>
    </w:p>
    <w:p w14:paraId="60F43857" w14:textId="77777777" w:rsidR="00F67CEA" w:rsidRPr="001F0603" w:rsidRDefault="00F67CEA" w:rsidP="00F67CEA">
      <w:pPr>
        <w:rPr>
          <w:color w:val="222222"/>
          <w:szCs w:val="24"/>
        </w:rPr>
      </w:pPr>
      <w:r w:rsidRPr="001F0603">
        <w:rPr>
          <w:color w:val="222222"/>
          <w:szCs w:val="24"/>
        </w:rPr>
        <w:t>Mamgai, A., Halder, P., Behera, A., Goel, K., Pal, S., Amudhamozhi, K. S., ... and Kiran, T. (2024). Cardiovascular risk assessment using non-laboratory based WHO CVD risk prediction chart with respect to hypertension status among older Indian adults: insights from nationally representative survey. </w:t>
      </w:r>
      <w:r w:rsidRPr="001F0603">
        <w:rPr>
          <w:i/>
          <w:iCs/>
          <w:color w:val="222222"/>
          <w:szCs w:val="24"/>
        </w:rPr>
        <w:t>Frontiers in Public Health</w:t>
      </w:r>
      <w:r w:rsidRPr="001F0603">
        <w:rPr>
          <w:color w:val="222222"/>
          <w:szCs w:val="24"/>
        </w:rPr>
        <w:t>, </w:t>
      </w:r>
      <w:r w:rsidRPr="001F0603">
        <w:rPr>
          <w:i/>
          <w:iCs/>
          <w:color w:val="222222"/>
          <w:szCs w:val="24"/>
        </w:rPr>
        <w:t>12</w:t>
      </w:r>
      <w:r w:rsidRPr="001F0603">
        <w:rPr>
          <w:color w:val="222222"/>
          <w:szCs w:val="24"/>
        </w:rPr>
        <w:t>, 1407918.</w:t>
      </w:r>
    </w:p>
    <w:p w14:paraId="14223993" w14:textId="77777777" w:rsidR="00F67CEA" w:rsidRPr="001F0603" w:rsidRDefault="00F67CEA" w:rsidP="00F67CEA">
      <w:r w:rsidRPr="001F0603">
        <w:t>Marra, M. and Nielsen, B.B., (2025). Research methodology: best practices for rigorous, credible, and impactful research: Herman Aguinis, Sage Publications, 2024, ISBN 978-1071871942.</w:t>
      </w:r>
    </w:p>
    <w:p w14:paraId="00077953" w14:textId="77777777" w:rsidR="00F67CEA" w:rsidRPr="001F0603" w:rsidRDefault="00F67CEA" w:rsidP="00F67CEA">
      <w:pPr>
        <w:rPr>
          <w:lang w:val="en-GB"/>
        </w:rPr>
      </w:pPr>
      <w:r w:rsidRPr="001F0603">
        <w:rPr>
          <w:lang w:val="en-GB"/>
        </w:rPr>
        <w:t>Martin Armstrong, 2022.Smoking Isn't Fire.[Online].Available at;&lt;</w:t>
      </w:r>
      <w:hyperlink r:id="rId11" w:history="1">
        <w:r w:rsidRPr="001F0603">
          <w:rPr>
            <w:rStyle w:val="Hyperlink"/>
            <w:rFonts w:cs="Arial"/>
            <w:lang w:val="en-GB"/>
          </w:rPr>
          <w:t>https://www.statista.com/chart/28835/smoking-rates-united-states-adults/?srsltid=AfmBOopN5o4R4AmIyJnkV5cXLxquCNm8OZ98JT2FatNXX-2b9v9yeIED</w:t>
        </w:r>
      </w:hyperlink>
      <w:r w:rsidRPr="001F0603">
        <w:rPr>
          <w:lang w:val="en-GB"/>
        </w:rPr>
        <w:t>&gt;.[Accessed on:23</w:t>
      </w:r>
      <w:r w:rsidRPr="001F0603">
        <w:rPr>
          <w:vertAlign w:val="superscript"/>
          <w:lang w:val="en-GB"/>
        </w:rPr>
        <w:t>rd</w:t>
      </w:r>
      <w:r w:rsidRPr="001F0603">
        <w:rPr>
          <w:lang w:val="en-GB"/>
        </w:rPr>
        <w:t xml:space="preserve"> November, 2025]</w:t>
      </w:r>
    </w:p>
    <w:p w14:paraId="39C60C1E" w14:textId="77777777" w:rsidR="00F67CEA" w:rsidRPr="001F0603" w:rsidRDefault="00F67CEA" w:rsidP="00F67CEA">
      <w:pPr>
        <w:rPr>
          <w:color w:val="222222"/>
          <w:szCs w:val="24"/>
        </w:rPr>
      </w:pPr>
      <w:r w:rsidRPr="001F0603">
        <w:rPr>
          <w:color w:val="222222"/>
          <w:szCs w:val="24"/>
        </w:rPr>
        <w:t>Mulisa, F. (2022). When does a researcher choose a quantitative, qualitative, or mixed research approach?. </w:t>
      </w:r>
      <w:r w:rsidRPr="001F0603">
        <w:rPr>
          <w:i/>
          <w:iCs/>
          <w:color w:val="222222"/>
          <w:szCs w:val="24"/>
        </w:rPr>
        <w:t>Interchange</w:t>
      </w:r>
      <w:r w:rsidRPr="001F0603">
        <w:rPr>
          <w:color w:val="222222"/>
          <w:szCs w:val="24"/>
        </w:rPr>
        <w:t>, </w:t>
      </w:r>
      <w:r w:rsidRPr="001F0603">
        <w:rPr>
          <w:i/>
          <w:iCs/>
          <w:color w:val="222222"/>
          <w:szCs w:val="24"/>
        </w:rPr>
        <w:t>53</w:t>
      </w:r>
      <w:r w:rsidRPr="001F0603">
        <w:rPr>
          <w:color w:val="222222"/>
          <w:szCs w:val="24"/>
        </w:rPr>
        <w:t>(1), 113-131.</w:t>
      </w:r>
    </w:p>
    <w:p w14:paraId="7DCB9FC1" w14:textId="77777777" w:rsidR="00F67CEA" w:rsidRPr="001F0603" w:rsidRDefault="00F67CEA" w:rsidP="00F67CEA">
      <w:r w:rsidRPr="001F0603">
        <w:t>Murmu, J., Agrawal, R., Manna, S., Pattnaik, S., Ghosal, S., Sinha, A., Acharya, A.S., Kanungo, S. and Pati, S., (2023). Social determinants of tobacco use among tribal communities in India: Evidence from the first wave of Longitudinal Ageing Study in India. </w:t>
      </w:r>
      <w:r w:rsidRPr="001F0603">
        <w:rPr>
          <w:i/>
          <w:iCs/>
        </w:rPr>
        <w:t>PLoS One</w:t>
      </w:r>
      <w:r w:rsidRPr="001F0603">
        <w:t>, </w:t>
      </w:r>
      <w:r w:rsidRPr="001F0603">
        <w:rPr>
          <w:i/>
          <w:iCs/>
        </w:rPr>
        <w:t>18</w:t>
      </w:r>
      <w:r w:rsidRPr="001F0603">
        <w:t>(3), p.e0282487.</w:t>
      </w:r>
    </w:p>
    <w:p w14:paraId="07BCBA2F" w14:textId="77777777" w:rsidR="00F67CEA" w:rsidRPr="001F0603" w:rsidRDefault="00F67CEA" w:rsidP="00F67CEA">
      <w:r w:rsidRPr="001F0603">
        <w:t>Nagar, J.G., Patel, M.M., Rami, K.C., Modh, J.P. and Laxmidhar, Z.A., (2025). Phenotypic Differences between Patients with Smoking Chronic Obstructive Pulmonary Disease and Non-</w:t>
      </w:r>
      <w:r w:rsidRPr="001F0603">
        <w:lastRenderedPageBreak/>
        <w:t>smoking Chronic Obstructive Pulmonary Disease. </w:t>
      </w:r>
      <w:r w:rsidRPr="001F0603">
        <w:rPr>
          <w:i/>
          <w:iCs/>
        </w:rPr>
        <w:t>Journal of Advanced Lung Health</w:t>
      </w:r>
      <w:r w:rsidRPr="001F0603">
        <w:t>, </w:t>
      </w:r>
      <w:r w:rsidRPr="001F0603">
        <w:rPr>
          <w:i/>
          <w:iCs/>
        </w:rPr>
        <w:t>5</w:t>
      </w:r>
      <w:r w:rsidRPr="001F0603">
        <w:t>(2), pp.97-103.</w:t>
      </w:r>
    </w:p>
    <w:p w14:paraId="6E3F5558" w14:textId="77777777" w:rsidR="00F67CEA" w:rsidRPr="009238C8" w:rsidRDefault="00F67CEA" w:rsidP="00F67CEA">
      <w:pPr>
        <w:rPr>
          <w:rFonts w:cs="Arial"/>
        </w:rPr>
      </w:pPr>
      <w:r w:rsidRPr="009238C8">
        <w:rPr>
          <w:rFonts w:cs="Arial"/>
        </w:rPr>
        <w:t xml:space="preserve">NIH., (2025). </w:t>
      </w:r>
      <w:r w:rsidRPr="009238C8">
        <w:rPr>
          <w:rFonts w:cs="Arial"/>
          <w:i/>
        </w:rPr>
        <w:t>Growing up Tobacco Free: Preventing Nicotine Addiction in Children and Youths</w:t>
      </w:r>
      <w:r w:rsidRPr="009238C8">
        <w:rPr>
          <w:rFonts w:cs="Arial"/>
        </w:rPr>
        <w:t>. [Online]. Available through: &lt;</w:t>
      </w:r>
      <w:hyperlink r:id="rId12" w:history="1">
        <w:r w:rsidRPr="009238C8">
          <w:rPr>
            <w:rStyle w:val="Hyperlink"/>
            <w:rFonts w:cs="Arial"/>
          </w:rPr>
          <w:t>https://www.ncbi.nlm.nih.gov/books/NBK236769/</w:t>
        </w:r>
      </w:hyperlink>
      <w:r w:rsidRPr="009238C8">
        <w:rPr>
          <w:rFonts w:cs="Arial"/>
        </w:rPr>
        <w:t xml:space="preserve">&gt;. [Accessed on: 30 January 2026]. </w:t>
      </w:r>
    </w:p>
    <w:p w14:paraId="0EB9FA9F" w14:textId="77777777" w:rsidR="00F67CEA" w:rsidRPr="001F0603" w:rsidRDefault="00F67CEA" w:rsidP="00F67CEA">
      <w:pPr>
        <w:rPr>
          <w:szCs w:val="24"/>
        </w:rPr>
      </w:pPr>
      <w:r w:rsidRPr="001F0603">
        <w:rPr>
          <w:color w:val="222222"/>
          <w:szCs w:val="24"/>
        </w:rPr>
        <w:t>Nii Laryeafio, M., and Ogbewe, O. C. (2023). Ethical consideration dilemma: systematic review of ethics in qualitative data collection through interviews. </w:t>
      </w:r>
      <w:r w:rsidRPr="001F0603">
        <w:rPr>
          <w:i/>
          <w:iCs/>
          <w:color w:val="222222"/>
          <w:szCs w:val="24"/>
        </w:rPr>
        <w:t>Journal of Ethics in Entrepreneurship and Technology</w:t>
      </w:r>
      <w:r w:rsidRPr="001F0603">
        <w:rPr>
          <w:color w:val="222222"/>
          <w:szCs w:val="24"/>
        </w:rPr>
        <w:t>, </w:t>
      </w:r>
      <w:r w:rsidRPr="001F0603">
        <w:rPr>
          <w:i/>
          <w:iCs/>
          <w:color w:val="222222"/>
          <w:szCs w:val="24"/>
        </w:rPr>
        <w:t>3</w:t>
      </w:r>
      <w:r w:rsidRPr="001F0603">
        <w:rPr>
          <w:color w:val="222222"/>
          <w:szCs w:val="24"/>
        </w:rPr>
        <w:t>(2), 94-110.</w:t>
      </w:r>
    </w:p>
    <w:p w14:paraId="0FD05D96" w14:textId="77777777" w:rsidR="00F67CEA" w:rsidRPr="001F0603" w:rsidRDefault="00F67CEA" w:rsidP="00F67CEA">
      <w:pPr>
        <w:rPr>
          <w:lang w:val="en-GB"/>
        </w:rPr>
      </w:pPr>
      <w:r w:rsidRPr="001F0603">
        <w:rPr>
          <w:lang w:val="en-GB"/>
        </w:rPr>
        <w:t>O'Connor, R., Schneller, L.M., Felicione, N.J., Talhout, R., Goniewicz, M.L. and Ashley, D.L., (2022). Evolution of tobacco products: recent history and future directions. </w:t>
      </w:r>
      <w:r w:rsidRPr="001F0603">
        <w:rPr>
          <w:i/>
          <w:iCs/>
          <w:lang w:val="en-GB"/>
        </w:rPr>
        <w:t>Tobacco control</w:t>
      </w:r>
      <w:r w:rsidRPr="001F0603">
        <w:rPr>
          <w:lang w:val="en-GB"/>
        </w:rPr>
        <w:t>, </w:t>
      </w:r>
      <w:r w:rsidRPr="001F0603">
        <w:rPr>
          <w:i/>
          <w:iCs/>
          <w:lang w:val="en-GB"/>
        </w:rPr>
        <w:t>31</w:t>
      </w:r>
      <w:r w:rsidRPr="001F0603">
        <w:rPr>
          <w:lang w:val="en-GB"/>
        </w:rPr>
        <w:t>(2), pp.175-182.</w:t>
      </w:r>
    </w:p>
    <w:p w14:paraId="47A30355" w14:textId="77777777" w:rsidR="00F67CEA" w:rsidRPr="001F0603" w:rsidRDefault="00F67CEA" w:rsidP="00F67CEA">
      <w:pPr>
        <w:rPr>
          <w:color w:val="222222"/>
          <w:szCs w:val="24"/>
        </w:rPr>
      </w:pPr>
      <w:r w:rsidRPr="001F0603">
        <w:rPr>
          <w:color w:val="222222"/>
          <w:szCs w:val="24"/>
        </w:rPr>
        <w:t>Onwuchekwa, C., Moreo, L. M., Menon, S., Machado, B., Curcio, D., Kalina, W., ... and Begier, E. (2023). Underascertainment of respiratory syncytial virus infection in adults due to diagnostic testing limitations: a systematic literature review and meta-analysis. </w:t>
      </w:r>
      <w:r w:rsidRPr="001F0603">
        <w:rPr>
          <w:i/>
          <w:iCs/>
          <w:color w:val="222222"/>
          <w:szCs w:val="24"/>
        </w:rPr>
        <w:t>The Journal of infectious diseases</w:t>
      </w:r>
      <w:r w:rsidRPr="001F0603">
        <w:rPr>
          <w:color w:val="222222"/>
          <w:szCs w:val="24"/>
        </w:rPr>
        <w:t>, </w:t>
      </w:r>
      <w:r w:rsidRPr="001F0603">
        <w:rPr>
          <w:i/>
          <w:iCs/>
          <w:color w:val="222222"/>
          <w:szCs w:val="24"/>
        </w:rPr>
        <w:t>228</w:t>
      </w:r>
      <w:r w:rsidRPr="001F0603">
        <w:rPr>
          <w:color w:val="222222"/>
          <w:szCs w:val="24"/>
        </w:rPr>
        <w:t>(2), 173-184.</w:t>
      </w:r>
    </w:p>
    <w:p w14:paraId="53C3A46D" w14:textId="77777777" w:rsidR="00F67CEA" w:rsidRPr="001F0603" w:rsidRDefault="00F67CEA" w:rsidP="00F67CEA">
      <w:pPr>
        <w:rPr>
          <w:color w:val="222222"/>
          <w:szCs w:val="24"/>
        </w:rPr>
      </w:pPr>
      <w:r w:rsidRPr="001F0603">
        <w:rPr>
          <w:color w:val="222222"/>
          <w:szCs w:val="24"/>
        </w:rPr>
        <w:t>Pahwa, V., Pimple, S. A., Bhattacharjee, A., Kuberkar, D., Mishra, G. A., and Chaturvedi, P. (2023). Behavioural interventions for tobacco cessation in India: a systematic review and meta-analysis. </w:t>
      </w:r>
      <w:r w:rsidRPr="001F0603">
        <w:rPr>
          <w:i/>
          <w:iCs/>
          <w:color w:val="222222"/>
          <w:szCs w:val="24"/>
        </w:rPr>
        <w:t>Journal of Family Medicine and Primary Care</w:t>
      </w:r>
      <w:r w:rsidRPr="001F0603">
        <w:rPr>
          <w:color w:val="222222"/>
          <w:szCs w:val="24"/>
        </w:rPr>
        <w:t>, </w:t>
      </w:r>
      <w:r w:rsidRPr="001F0603">
        <w:rPr>
          <w:i/>
          <w:iCs/>
          <w:color w:val="222222"/>
          <w:szCs w:val="24"/>
        </w:rPr>
        <w:t>12</w:t>
      </w:r>
      <w:r w:rsidRPr="001F0603">
        <w:rPr>
          <w:color w:val="222222"/>
          <w:szCs w:val="24"/>
        </w:rPr>
        <w:t>(11), 2542-2551.</w:t>
      </w:r>
    </w:p>
    <w:p w14:paraId="1387CD8E" w14:textId="77777777" w:rsidR="00F67CEA" w:rsidRPr="001F0603" w:rsidRDefault="00F67CEA" w:rsidP="00F67CEA">
      <w:pPr>
        <w:rPr>
          <w:color w:val="222222"/>
          <w:szCs w:val="20"/>
          <w:lang w:val="en-GB"/>
        </w:rPr>
      </w:pPr>
      <w:r w:rsidRPr="001F0603">
        <w:rPr>
          <w:color w:val="222222"/>
          <w:szCs w:val="20"/>
          <w:lang w:val="en-GB"/>
        </w:rPr>
        <w:t>Pai, M., Yellapurkar, S., Sarit, S., Pentapati, K. C., Avinash, B. R., and Shenoy, R. (2025). Integrating National Oral Health Programme and National Tobacco Control Programme in India: a concept for policy coherence. </w:t>
      </w:r>
      <w:r w:rsidRPr="001F0603">
        <w:rPr>
          <w:i/>
          <w:iCs/>
          <w:color w:val="222222"/>
          <w:szCs w:val="20"/>
          <w:lang w:val="en-GB"/>
        </w:rPr>
        <w:t>Frontiers in Oral Health</w:t>
      </w:r>
      <w:r w:rsidRPr="001F0603">
        <w:rPr>
          <w:color w:val="222222"/>
          <w:szCs w:val="20"/>
          <w:lang w:val="en-GB"/>
        </w:rPr>
        <w:t>, </w:t>
      </w:r>
      <w:r w:rsidRPr="001F0603">
        <w:rPr>
          <w:i/>
          <w:iCs/>
          <w:color w:val="222222"/>
          <w:szCs w:val="20"/>
          <w:lang w:val="en-GB"/>
        </w:rPr>
        <w:t>6</w:t>
      </w:r>
      <w:r w:rsidRPr="001F0603">
        <w:rPr>
          <w:color w:val="222222"/>
          <w:szCs w:val="20"/>
          <w:lang w:val="en-GB"/>
        </w:rPr>
        <w:t>, 1574057.</w:t>
      </w:r>
    </w:p>
    <w:p w14:paraId="5BE57FE6" w14:textId="77777777" w:rsidR="00F67CEA" w:rsidRPr="001F0603" w:rsidRDefault="00F67CEA" w:rsidP="00F67CEA">
      <w:r w:rsidRPr="001F0603">
        <w:t>Parmar, M.P., Kaur, M., Bhavanam, S., Mulaka, G.S.R., Ishfaq, L., Vempati, R., Kandepi, H.V., Er, R., Sahu, S., Davalgi, S. and KAUR, M., (2023). A systematic review of the effects of smoking on the cardiovascular system and general health. </w:t>
      </w:r>
      <w:r w:rsidRPr="001F0603">
        <w:rPr>
          <w:i/>
          <w:iCs/>
        </w:rPr>
        <w:t>Cureus</w:t>
      </w:r>
      <w:r w:rsidRPr="001F0603">
        <w:t>, </w:t>
      </w:r>
      <w:r w:rsidRPr="001F0603">
        <w:rPr>
          <w:i/>
          <w:iCs/>
        </w:rPr>
        <w:t>15</w:t>
      </w:r>
      <w:r w:rsidRPr="001F0603">
        <w:t>(4).</w:t>
      </w:r>
    </w:p>
    <w:p w14:paraId="0E68870E" w14:textId="77777777" w:rsidR="00F67CEA" w:rsidRPr="001F0603" w:rsidRDefault="00F67CEA" w:rsidP="00F67CEA">
      <w:pPr>
        <w:rPr>
          <w:lang w:val="en-GB"/>
        </w:rPr>
      </w:pPr>
      <w:r w:rsidRPr="001F0603">
        <w:rPr>
          <w:lang w:val="en-GB"/>
        </w:rPr>
        <w:t>Paul, F.A., Ganie, A.U.R. and Dar, D.R., (2024). Substance use in university students: a comprehensive examination of its effects on academic achievement and psychological well-being. </w:t>
      </w:r>
      <w:r w:rsidRPr="001F0603">
        <w:rPr>
          <w:i/>
          <w:iCs/>
          <w:lang w:val="en-GB"/>
        </w:rPr>
        <w:t>Social Work in Mental Health</w:t>
      </w:r>
      <w:r w:rsidRPr="001F0603">
        <w:rPr>
          <w:lang w:val="en-GB"/>
        </w:rPr>
        <w:t>, </w:t>
      </w:r>
      <w:r w:rsidRPr="001F0603">
        <w:rPr>
          <w:i/>
          <w:iCs/>
          <w:lang w:val="en-GB"/>
        </w:rPr>
        <w:t>22</w:t>
      </w:r>
      <w:r w:rsidRPr="001F0603">
        <w:rPr>
          <w:lang w:val="en-GB"/>
        </w:rPr>
        <w:t>(3), pp.452-484.</w:t>
      </w:r>
    </w:p>
    <w:p w14:paraId="5B11D829" w14:textId="77777777" w:rsidR="00F67CEA" w:rsidRPr="001F0603" w:rsidRDefault="00F67CEA" w:rsidP="00F67CEA">
      <w:r w:rsidRPr="001F0603">
        <w:t>Paul, J. and Kaurav, R.P.S., (2025). Research methods in a nutshell: what, why, when, where, who, and how?. </w:t>
      </w:r>
      <w:r w:rsidRPr="001F0603">
        <w:rPr>
          <w:i/>
          <w:iCs/>
        </w:rPr>
        <w:t>International Journal of Consumer Studies</w:t>
      </w:r>
      <w:r w:rsidRPr="001F0603">
        <w:t>, </w:t>
      </w:r>
      <w:r w:rsidRPr="001F0603">
        <w:rPr>
          <w:i/>
          <w:iCs/>
        </w:rPr>
        <w:t>49</w:t>
      </w:r>
      <w:r w:rsidRPr="001F0603">
        <w:t>(6), p.e70134.</w:t>
      </w:r>
    </w:p>
    <w:p w14:paraId="569E7FF3" w14:textId="77777777" w:rsidR="00F67CEA" w:rsidRPr="001F0603" w:rsidRDefault="00F67CEA" w:rsidP="00F67CEA">
      <w:pPr>
        <w:rPr>
          <w:lang w:val="en-GB"/>
        </w:rPr>
      </w:pPr>
      <w:r w:rsidRPr="001F0603">
        <w:rPr>
          <w:lang w:val="en-GB"/>
        </w:rPr>
        <w:t>Pennstate, (2025). The Health Belief Model.[Online].Available at;&lt;</w:t>
      </w:r>
      <w:hyperlink r:id="rId13" w:history="1">
        <w:r w:rsidRPr="001F0603">
          <w:rPr>
            <w:rStyle w:val="Hyperlink"/>
            <w:rFonts w:cs="Arial"/>
            <w:lang w:val="en-GB"/>
          </w:rPr>
          <w:t>https://psu.pb.unizin.org/kines082/chapter/the-health-belief-model/</w:t>
        </w:r>
      </w:hyperlink>
      <w:r w:rsidRPr="001F0603">
        <w:rPr>
          <w:lang w:val="en-GB"/>
        </w:rPr>
        <w:t>&gt;.[Accessed on:23</w:t>
      </w:r>
      <w:r w:rsidRPr="001F0603">
        <w:rPr>
          <w:vertAlign w:val="superscript"/>
          <w:lang w:val="en-GB"/>
        </w:rPr>
        <w:t>rd</w:t>
      </w:r>
      <w:r w:rsidRPr="001F0603">
        <w:rPr>
          <w:lang w:val="en-GB"/>
        </w:rPr>
        <w:t xml:space="preserve"> November, 2025]</w:t>
      </w:r>
    </w:p>
    <w:p w14:paraId="199F6C10" w14:textId="77777777" w:rsidR="00F67CEA" w:rsidRPr="001F0603" w:rsidRDefault="00F67CEA" w:rsidP="00F67CEA">
      <w:pPr>
        <w:rPr>
          <w:color w:val="222222"/>
          <w:szCs w:val="24"/>
        </w:rPr>
      </w:pPr>
      <w:r w:rsidRPr="001F0603">
        <w:rPr>
          <w:color w:val="222222"/>
          <w:szCs w:val="24"/>
        </w:rPr>
        <w:t xml:space="preserve">Pulsford, R. M., Brocklebank, L., Fenton, S. A., Bakker, E., Mielke, G. I., Tsai, L. T., ... and Stamatakis, E. (2023). The impact of selected methodological factors on data collection </w:t>
      </w:r>
      <w:r w:rsidRPr="001F0603">
        <w:rPr>
          <w:color w:val="222222"/>
          <w:szCs w:val="24"/>
        </w:rPr>
        <w:lastRenderedPageBreak/>
        <w:t>outcomes in observational studies of device-measured physical behaviour in adults: A systematic review. </w:t>
      </w:r>
      <w:r w:rsidRPr="001F0603">
        <w:rPr>
          <w:i/>
          <w:iCs/>
          <w:color w:val="222222"/>
          <w:szCs w:val="24"/>
        </w:rPr>
        <w:t>International Journal of Behavioral Nutrition and Physical Activity</w:t>
      </w:r>
      <w:r w:rsidRPr="001F0603">
        <w:rPr>
          <w:color w:val="222222"/>
          <w:szCs w:val="24"/>
        </w:rPr>
        <w:t>, </w:t>
      </w:r>
      <w:r w:rsidRPr="001F0603">
        <w:rPr>
          <w:i/>
          <w:iCs/>
          <w:color w:val="222222"/>
          <w:szCs w:val="24"/>
        </w:rPr>
        <w:t>20</w:t>
      </w:r>
      <w:r w:rsidRPr="001F0603">
        <w:rPr>
          <w:color w:val="222222"/>
          <w:szCs w:val="24"/>
        </w:rPr>
        <w:t>(1), 26.</w:t>
      </w:r>
    </w:p>
    <w:p w14:paraId="1401730A" w14:textId="77777777" w:rsidR="00F67CEA" w:rsidRPr="001F0603" w:rsidRDefault="00F67CEA" w:rsidP="00F67CEA">
      <w:pPr>
        <w:rPr>
          <w:lang w:val="en-GB"/>
        </w:rPr>
      </w:pPr>
      <w:r w:rsidRPr="001F0603">
        <w:rPr>
          <w:lang w:val="en-GB"/>
        </w:rPr>
        <w:t>Rana, J.S., Moffet, H.H., Liu, J.Y., Nasir, K., Blankstein, R., Karter, A.J. and Sidney, S., (2022). Smoking and risk of premature atherosclerotic cardiovascular disease. </w:t>
      </w:r>
      <w:r w:rsidRPr="001F0603">
        <w:rPr>
          <w:i/>
          <w:iCs/>
          <w:lang w:val="en-GB"/>
        </w:rPr>
        <w:t>American journal of preventive medicine</w:t>
      </w:r>
      <w:r w:rsidRPr="001F0603">
        <w:rPr>
          <w:lang w:val="en-GB"/>
        </w:rPr>
        <w:t>, </w:t>
      </w:r>
      <w:r w:rsidRPr="001F0603">
        <w:rPr>
          <w:i/>
          <w:iCs/>
          <w:lang w:val="en-GB"/>
        </w:rPr>
        <w:t>62</w:t>
      </w:r>
      <w:r w:rsidRPr="001F0603">
        <w:rPr>
          <w:lang w:val="en-GB"/>
        </w:rPr>
        <w:t>(3), pp.466-468.</w:t>
      </w:r>
    </w:p>
    <w:p w14:paraId="16A6F637" w14:textId="77777777" w:rsidR="00F67CEA" w:rsidRPr="001F0603" w:rsidRDefault="00F67CEA" w:rsidP="00F67CEA">
      <w:pPr>
        <w:rPr>
          <w:lang w:val="en-GB"/>
        </w:rPr>
      </w:pPr>
      <w:r w:rsidRPr="001F0603">
        <w:rPr>
          <w:lang w:val="en-GB"/>
        </w:rPr>
        <w:t>Ravaghi, H., Tourani, S., Khodayari-Zarnaq, R., Aghapour, B., Pishgoo, A. and Arabloo, J., (2021). Agenda-setting of tobacco control policy in Iran: a retrospective policy analysis study. </w:t>
      </w:r>
      <w:r w:rsidRPr="001F0603">
        <w:rPr>
          <w:i/>
          <w:iCs/>
          <w:lang w:val="en-GB"/>
        </w:rPr>
        <w:t>BMC Public Health</w:t>
      </w:r>
      <w:r w:rsidRPr="001F0603">
        <w:rPr>
          <w:lang w:val="en-GB"/>
        </w:rPr>
        <w:t>, </w:t>
      </w:r>
      <w:r w:rsidRPr="001F0603">
        <w:rPr>
          <w:i/>
          <w:iCs/>
          <w:lang w:val="en-GB"/>
        </w:rPr>
        <w:t>21</w:t>
      </w:r>
      <w:r w:rsidRPr="001F0603">
        <w:rPr>
          <w:lang w:val="en-GB"/>
        </w:rPr>
        <w:t>(1), p.2288.</w:t>
      </w:r>
    </w:p>
    <w:p w14:paraId="1E405C92" w14:textId="77777777" w:rsidR="00F67CEA" w:rsidRPr="001F0603" w:rsidRDefault="00F67CEA" w:rsidP="00F67CEA">
      <w:pPr>
        <w:rPr>
          <w:lang w:val="en-GB"/>
        </w:rPr>
      </w:pPr>
      <w:r w:rsidRPr="001F0603">
        <w:rPr>
          <w:lang w:val="en-GB"/>
        </w:rPr>
        <w:t>RCTC, (2025). Tobacco free times.[Online].Available at;&lt; chrome-extension://efaidnbmnnnibpcajpcglclefindmkaj/https://www.rctcpgi.org/pdf/tobacco-free-times-35-issueprint-1.pdf &gt;.[Accessed on:23</w:t>
      </w:r>
      <w:r w:rsidRPr="001F0603">
        <w:rPr>
          <w:vertAlign w:val="superscript"/>
          <w:lang w:val="en-GB"/>
        </w:rPr>
        <w:t>rd</w:t>
      </w:r>
      <w:r w:rsidRPr="001F0603">
        <w:rPr>
          <w:lang w:val="en-GB"/>
        </w:rPr>
        <w:t xml:space="preserve"> November, 2025]</w:t>
      </w:r>
    </w:p>
    <w:p w14:paraId="262C168C" w14:textId="77777777" w:rsidR="00F67CEA" w:rsidRPr="001F0603" w:rsidRDefault="00F67CEA" w:rsidP="00F67CEA">
      <w:pPr>
        <w:rPr>
          <w:color w:val="222222"/>
          <w:szCs w:val="24"/>
        </w:rPr>
      </w:pPr>
      <w:r w:rsidRPr="001F0603">
        <w:rPr>
          <w:color w:val="222222"/>
          <w:szCs w:val="24"/>
        </w:rPr>
        <w:t>Rethlefsen, M. L., and Page, M. J. (2022). PRISMA 2020 and PRISMA-S: common questions on tracking records and the flow diagram. </w:t>
      </w:r>
      <w:r w:rsidRPr="001F0603">
        <w:rPr>
          <w:i/>
          <w:iCs/>
          <w:color w:val="222222"/>
          <w:szCs w:val="24"/>
        </w:rPr>
        <w:t>Journal of the Medical Library Association: JMLA</w:t>
      </w:r>
      <w:r w:rsidRPr="001F0603">
        <w:rPr>
          <w:color w:val="222222"/>
          <w:szCs w:val="24"/>
        </w:rPr>
        <w:t>, </w:t>
      </w:r>
      <w:r w:rsidRPr="001F0603">
        <w:rPr>
          <w:i/>
          <w:iCs/>
          <w:color w:val="222222"/>
          <w:szCs w:val="24"/>
        </w:rPr>
        <w:t>110</w:t>
      </w:r>
      <w:r w:rsidRPr="001F0603">
        <w:rPr>
          <w:color w:val="222222"/>
          <w:szCs w:val="24"/>
        </w:rPr>
        <w:t>(2), 253.</w:t>
      </w:r>
    </w:p>
    <w:p w14:paraId="0469B39B" w14:textId="77777777" w:rsidR="00F67CEA" w:rsidRPr="001F0603" w:rsidRDefault="00F67CEA" w:rsidP="00F67CEA">
      <w:r w:rsidRPr="001F0603">
        <w:t>Rogowski, S. and Le Thi, N., (2025). Critical theory, research methodology, and critical social work. In </w:t>
      </w:r>
      <w:r w:rsidRPr="001F0603">
        <w:rPr>
          <w:i/>
          <w:iCs/>
        </w:rPr>
        <w:t>Handbook of research methods in social work</w:t>
      </w:r>
      <w:r w:rsidRPr="001F0603">
        <w:t> (pp. 85-95). Edward Elgar Publishing.</w:t>
      </w:r>
    </w:p>
    <w:p w14:paraId="661C045E" w14:textId="77777777" w:rsidR="00F67CEA" w:rsidRPr="001F0603" w:rsidRDefault="00F67CEA" w:rsidP="00F67CEA">
      <w:pPr>
        <w:rPr>
          <w:lang w:val="en-GB"/>
        </w:rPr>
      </w:pPr>
      <w:r w:rsidRPr="001F0603">
        <w:t xml:space="preserve">Sarkar, R. (2025). Regional and Socioeconomic Dimensions of Tobacco Consumption in India: What Do NFHS-5 and GATS-2 Data Reveal?. </w:t>
      </w:r>
    </w:p>
    <w:p w14:paraId="5BE079CA" w14:textId="77777777" w:rsidR="00F67CEA" w:rsidRPr="001F0603" w:rsidRDefault="00F67CEA" w:rsidP="00F67CEA">
      <w:r w:rsidRPr="001F0603">
        <w:t>Schmidt, L., Mutlu, A. N. F., Elmore, R., Olorisade, B. K., Thomas, J., and Higgins, J. P. (2025). Data extraction methods for systematic review (semi) automation: Update of a living systematic review. </w:t>
      </w:r>
      <w:r w:rsidRPr="001F0603">
        <w:rPr>
          <w:i/>
          <w:iCs/>
        </w:rPr>
        <w:t>F1000Research</w:t>
      </w:r>
      <w:r w:rsidRPr="001F0603">
        <w:t>, </w:t>
      </w:r>
      <w:r w:rsidRPr="001F0603">
        <w:rPr>
          <w:i/>
          <w:iCs/>
        </w:rPr>
        <w:t>10</w:t>
      </w:r>
      <w:r w:rsidRPr="001F0603">
        <w:t>, 401.</w:t>
      </w:r>
    </w:p>
    <w:p w14:paraId="4DAD2CF3" w14:textId="77777777" w:rsidR="00F67CEA" w:rsidRPr="001F0603" w:rsidRDefault="00F67CEA" w:rsidP="00F67CEA">
      <w:pPr>
        <w:rPr>
          <w:lang w:val="en-GB"/>
        </w:rPr>
      </w:pPr>
      <w:r w:rsidRPr="001F0603">
        <w:t>Shah, S., Dave, B., Shah, R., Mehta, T.R. and Dave, R., (2018). Socioeconomic and cultural impact of tobacco in India. </w:t>
      </w:r>
      <w:r w:rsidRPr="001F0603">
        <w:rPr>
          <w:i/>
          <w:iCs/>
        </w:rPr>
        <w:t>Journal of family medicine and primary care</w:t>
      </w:r>
      <w:r w:rsidRPr="001F0603">
        <w:t>, </w:t>
      </w:r>
      <w:r w:rsidRPr="001F0603">
        <w:rPr>
          <w:i/>
          <w:iCs/>
        </w:rPr>
        <w:t>7</w:t>
      </w:r>
      <w:r w:rsidRPr="001F0603">
        <w:t>(6), pp.1173-1176.</w:t>
      </w:r>
    </w:p>
    <w:p w14:paraId="07A235B5" w14:textId="77777777" w:rsidR="00F67CEA" w:rsidRDefault="00F67CEA" w:rsidP="00F67CEA">
      <w:pPr>
        <w:rPr>
          <w:color w:val="222222"/>
          <w:szCs w:val="24"/>
        </w:rPr>
      </w:pPr>
      <w:r w:rsidRPr="00BD34BB">
        <w:rPr>
          <w:color w:val="222222"/>
          <w:szCs w:val="24"/>
        </w:rPr>
        <w:t xml:space="preserve">Shaikh, R., Vogt, T., Saikia, N., Pednekar, M.S., Gupta, P.C. and Janssen, F., </w:t>
      </w:r>
      <w:r>
        <w:rPr>
          <w:color w:val="222222"/>
          <w:szCs w:val="24"/>
        </w:rPr>
        <w:t>(</w:t>
      </w:r>
      <w:r w:rsidRPr="00BD34BB">
        <w:rPr>
          <w:color w:val="222222"/>
          <w:szCs w:val="24"/>
        </w:rPr>
        <w:t>2025</w:t>
      </w:r>
      <w:r>
        <w:rPr>
          <w:color w:val="222222"/>
          <w:szCs w:val="24"/>
        </w:rPr>
        <w:t>)</w:t>
      </w:r>
      <w:r w:rsidRPr="00BD34BB">
        <w:rPr>
          <w:color w:val="222222"/>
          <w:szCs w:val="24"/>
        </w:rPr>
        <w:t>. Mortality Fractions Attributable to Smoking and Smokeless and Mixed Tobacco Use among Men and Women across India, 1998-2021. </w:t>
      </w:r>
      <w:r w:rsidRPr="00BD34BB">
        <w:rPr>
          <w:i/>
          <w:iCs/>
          <w:color w:val="222222"/>
          <w:szCs w:val="24"/>
        </w:rPr>
        <w:t>Nicotine and Tobacco Research</w:t>
      </w:r>
      <w:r w:rsidRPr="00BD34BB">
        <w:rPr>
          <w:color w:val="222222"/>
          <w:szCs w:val="24"/>
        </w:rPr>
        <w:t>, p.ntaf121.</w:t>
      </w:r>
    </w:p>
    <w:p w14:paraId="74F3028B" w14:textId="77777777" w:rsidR="00F67CEA" w:rsidRPr="001F0603" w:rsidRDefault="00F67CEA" w:rsidP="00F67CEA">
      <w:r w:rsidRPr="001F0603">
        <w:t>Shankar, A., Parascandola, M., Sakthivel, P., Kaur, J., Saini, D. and Jayaraj, N.P., (2022). Advancing tobacco cessation in LMICs. </w:t>
      </w:r>
      <w:r w:rsidRPr="001F0603">
        <w:rPr>
          <w:i/>
          <w:iCs/>
        </w:rPr>
        <w:t>Current Oncology</w:t>
      </w:r>
      <w:r w:rsidRPr="001F0603">
        <w:t>, </w:t>
      </w:r>
      <w:r w:rsidRPr="001F0603">
        <w:rPr>
          <w:i/>
          <w:iCs/>
        </w:rPr>
        <w:t>29</w:t>
      </w:r>
      <w:r w:rsidRPr="001F0603">
        <w:t>(12), pp.9117-9124.</w:t>
      </w:r>
    </w:p>
    <w:p w14:paraId="29B58BA1" w14:textId="77777777" w:rsidR="00F67CEA" w:rsidRPr="001F0603" w:rsidRDefault="00F67CEA" w:rsidP="00F67CEA">
      <w:pPr>
        <w:rPr>
          <w:color w:val="222222"/>
          <w:szCs w:val="20"/>
          <w:lang w:val="en-GB"/>
        </w:rPr>
      </w:pPr>
      <w:r w:rsidRPr="001F0603">
        <w:rPr>
          <w:color w:val="222222"/>
          <w:szCs w:val="20"/>
          <w:lang w:val="en-GB"/>
        </w:rPr>
        <w:t>Sheikh, T. B., Reche, A., Madhu, P. P., Chhabra, K. G., Chitlange, P., and Kewelramani, M. (2023). Assessing the NATIONAL TOBACCO CONTROL PROGRAMME (NTCP) guidelines-based education model in semi-urban school population: An interventional study. </w:t>
      </w:r>
      <w:r w:rsidRPr="001F0603">
        <w:rPr>
          <w:i/>
          <w:iCs/>
          <w:color w:val="222222"/>
          <w:szCs w:val="20"/>
          <w:lang w:val="en-GB"/>
        </w:rPr>
        <w:t>Journal of Family Medicine and Primary Care</w:t>
      </w:r>
      <w:r w:rsidRPr="001F0603">
        <w:rPr>
          <w:color w:val="222222"/>
          <w:szCs w:val="20"/>
          <w:lang w:val="en-GB"/>
        </w:rPr>
        <w:t>, </w:t>
      </w:r>
      <w:r w:rsidRPr="001F0603">
        <w:rPr>
          <w:i/>
          <w:iCs/>
          <w:color w:val="222222"/>
          <w:szCs w:val="20"/>
          <w:lang w:val="en-GB"/>
        </w:rPr>
        <w:t>12</w:t>
      </w:r>
      <w:r w:rsidRPr="001F0603">
        <w:rPr>
          <w:color w:val="222222"/>
          <w:szCs w:val="20"/>
          <w:lang w:val="en-GB"/>
        </w:rPr>
        <w:t>(1), 90-95.</w:t>
      </w:r>
    </w:p>
    <w:p w14:paraId="34BA6001" w14:textId="77777777" w:rsidR="00F67CEA" w:rsidRPr="001F0603" w:rsidRDefault="00F67CEA" w:rsidP="00F67CEA">
      <w:pPr>
        <w:rPr>
          <w:color w:val="222222"/>
          <w:szCs w:val="20"/>
          <w:lang w:val="en-GB"/>
        </w:rPr>
      </w:pPr>
      <w:r w:rsidRPr="001F0603">
        <w:rPr>
          <w:color w:val="222222"/>
          <w:szCs w:val="20"/>
          <w:lang w:val="en-GB"/>
        </w:rPr>
        <w:t xml:space="preserve">Sidhu, L., Kumar, S., Ragavane, P., Chandrasekaran, P., and Murugappan, S. (2024). Assessment of national tobacco control program (NTCP) initiative on tobacco cessation among </w:t>
      </w:r>
      <w:r w:rsidRPr="001F0603">
        <w:rPr>
          <w:color w:val="222222"/>
          <w:szCs w:val="20"/>
          <w:lang w:val="en-GB"/>
        </w:rPr>
        <w:lastRenderedPageBreak/>
        <w:t>transgenders in Puducherry–A quasi-experimental study. </w:t>
      </w:r>
      <w:r w:rsidRPr="001F0603">
        <w:rPr>
          <w:i/>
          <w:iCs/>
          <w:color w:val="222222"/>
          <w:szCs w:val="20"/>
          <w:lang w:val="en-GB"/>
        </w:rPr>
        <w:t>Journal of Family Medicine and Primary Care</w:t>
      </w:r>
      <w:r w:rsidRPr="001F0603">
        <w:rPr>
          <w:color w:val="222222"/>
          <w:szCs w:val="20"/>
          <w:lang w:val="en-GB"/>
        </w:rPr>
        <w:t>, </w:t>
      </w:r>
      <w:r w:rsidRPr="001F0603">
        <w:rPr>
          <w:i/>
          <w:iCs/>
          <w:color w:val="222222"/>
          <w:szCs w:val="20"/>
          <w:lang w:val="en-GB"/>
        </w:rPr>
        <w:t>13</w:t>
      </w:r>
      <w:r w:rsidRPr="001F0603">
        <w:rPr>
          <w:color w:val="222222"/>
          <w:szCs w:val="20"/>
          <w:lang w:val="en-GB"/>
        </w:rPr>
        <w:t>(12), 5708-5713.</w:t>
      </w:r>
    </w:p>
    <w:p w14:paraId="6D01C8E6" w14:textId="77777777" w:rsidR="00F67CEA" w:rsidRPr="001F0603" w:rsidRDefault="00F67CEA" w:rsidP="00F67CEA">
      <w:r w:rsidRPr="001F0603">
        <w:t>Singh, R., Nahid, S., Mishra, R., Ali, A. and Yadav, P.K., (2025). Tobacco cessation in India: Current trends, challenges, successes–A narrative review.</w:t>
      </w:r>
    </w:p>
    <w:p w14:paraId="788504C8" w14:textId="77777777" w:rsidR="00F67CEA" w:rsidRPr="001F0603" w:rsidRDefault="00F67CEA" w:rsidP="00F67CEA">
      <w:pPr>
        <w:rPr>
          <w:lang w:val="en-GB"/>
        </w:rPr>
      </w:pPr>
      <w:r w:rsidRPr="001F0603">
        <w:rPr>
          <w:lang w:val="en-GB"/>
        </w:rPr>
        <w:t>Smith, J., 2025. Journey to Reducing Harms Related to Tobacco Use in India. R Street Institute.</w:t>
      </w:r>
    </w:p>
    <w:p w14:paraId="221555C8" w14:textId="77777777" w:rsidR="00F67CEA" w:rsidRPr="001F0603" w:rsidRDefault="00F67CEA" w:rsidP="00F67CEA">
      <w:pPr>
        <w:rPr>
          <w:color w:val="222222"/>
          <w:szCs w:val="24"/>
        </w:rPr>
      </w:pPr>
      <w:r w:rsidRPr="001F0603">
        <w:rPr>
          <w:color w:val="222222"/>
          <w:szCs w:val="24"/>
        </w:rPr>
        <w:t>Sundaresan, I., Palanisamy, N., and Saraswathy, R. (2025). Smoking and the risk of prostate cancer: a review of risk and disease progression. </w:t>
      </w:r>
      <w:r w:rsidRPr="001F0603">
        <w:rPr>
          <w:i/>
          <w:iCs/>
          <w:color w:val="222222"/>
          <w:szCs w:val="24"/>
        </w:rPr>
        <w:t>Genes and Environment</w:t>
      </w:r>
      <w:r w:rsidRPr="001F0603">
        <w:rPr>
          <w:color w:val="222222"/>
          <w:szCs w:val="24"/>
        </w:rPr>
        <w:t>, </w:t>
      </w:r>
      <w:r w:rsidRPr="001F0603">
        <w:rPr>
          <w:i/>
          <w:iCs/>
          <w:color w:val="222222"/>
          <w:szCs w:val="24"/>
        </w:rPr>
        <w:t>47</w:t>
      </w:r>
      <w:r w:rsidRPr="001F0603">
        <w:rPr>
          <w:color w:val="222222"/>
          <w:szCs w:val="24"/>
        </w:rPr>
        <w:t>(1), 17.</w:t>
      </w:r>
    </w:p>
    <w:p w14:paraId="2788AD81" w14:textId="77777777" w:rsidR="00F67CEA" w:rsidRPr="001F0603" w:rsidRDefault="00F67CEA" w:rsidP="00F67CEA">
      <w:r w:rsidRPr="001F0603">
        <w:t>Susilawati, A., Al-Obaidi, A.S.M., Abduh, A., Irwansyah, F.S. and Nandiyanto, A.B.D., (2025). How to do research methodology: From literature review, bibliometric, step-by-step research stages, to practical examples in science and engineering education. </w:t>
      </w:r>
      <w:r w:rsidRPr="001F0603">
        <w:rPr>
          <w:i/>
          <w:iCs/>
        </w:rPr>
        <w:t>Indonesian Journal of Science and Technology</w:t>
      </w:r>
      <w:r w:rsidRPr="001F0603">
        <w:t>, </w:t>
      </w:r>
      <w:r w:rsidRPr="001F0603">
        <w:rPr>
          <w:i/>
          <w:iCs/>
        </w:rPr>
        <w:t>10</w:t>
      </w:r>
      <w:r w:rsidRPr="001F0603">
        <w:t>(1), pp.1-40.</w:t>
      </w:r>
    </w:p>
    <w:p w14:paraId="4174EB28" w14:textId="77777777" w:rsidR="00F67CEA" w:rsidRPr="001F0603" w:rsidRDefault="00F67CEA" w:rsidP="00F67CEA">
      <w:pPr>
        <w:rPr>
          <w:lang w:val="en-GB"/>
        </w:rPr>
      </w:pPr>
      <w:r w:rsidRPr="001F0603">
        <w:rPr>
          <w:lang w:val="en-GB"/>
        </w:rPr>
        <w:t>Timmis, A., Kazakiewicz, D., Townsend, N., Huculeci, R., Aboyans, V. and Vardas, P., (2023). Global epidemiology of acute coronary syndromes. </w:t>
      </w:r>
      <w:r w:rsidRPr="001F0603">
        <w:rPr>
          <w:i/>
          <w:iCs/>
          <w:lang w:val="en-GB"/>
        </w:rPr>
        <w:t>Nature Reviews Cardiology</w:t>
      </w:r>
      <w:r w:rsidRPr="001F0603">
        <w:rPr>
          <w:lang w:val="en-GB"/>
        </w:rPr>
        <w:t>, </w:t>
      </w:r>
      <w:r w:rsidRPr="001F0603">
        <w:rPr>
          <w:i/>
          <w:iCs/>
          <w:lang w:val="en-GB"/>
        </w:rPr>
        <w:t>20</w:t>
      </w:r>
      <w:r w:rsidRPr="001F0603">
        <w:rPr>
          <w:lang w:val="en-GB"/>
        </w:rPr>
        <w:t>(11), pp.778-788.</w:t>
      </w:r>
    </w:p>
    <w:p w14:paraId="3D6E2756" w14:textId="77777777" w:rsidR="00F67CEA" w:rsidRPr="001F0603" w:rsidRDefault="00F67CEA" w:rsidP="00F67CEA">
      <w:pPr>
        <w:rPr>
          <w:color w:val="222222"/>
          <w:szCs w:val="24"/>
        </w:rPr>
      </w:pPr>
      <w:r w:rsidRPr="001F0603">
        <w:rPr>
          <w:color w:val="222222"/>
          <w:szCs w:val="24"/>
        </w:rPr>
        <w:t>Turnbull, D., Chugh, R., and Luck, J. (2023). Systematic-narrative hybrid literature review: A strategy for integrating a concise methodology into a manuscript. </w:t>
      </w:r>
      <w:r w:rsidRPr="001F0603">
        <w:rPr>
          <w:i/>
          <w:iCs/>
          <w:color w:val="222222"/>
          <w:szCs w:val="24"/>
        </w:rPr>
        <w:t>Social Sciences and Humanities Open</w:t>
      </w:r>
      <w:r w:rsidRPr="001F0603">
        <w:rPr>
          <w:color w:val="222222"/>
          <w:szCs w:val="24"/>
        </w:rPr>
        <w:t>, </w:t>
      </w:r>
      <w:r w:rsidRPr="001F0603">
        <w:rPr>
          <w:i/>
          <w:iCs/>
          <w:color w:val="222222"/>
          <w:szCs w:val="24"/>
        </w:rPr>
        <w:t>7</w:t>
      </w:r>
      <w:r w:rsidRPr="001F0603">
        <w:rPr>
          <w:color w:val="222222"/>
          <w:szCs w:val="24"/>
        </w:rPr>
        <w:t>(1), 100381.</w:t>
      </w:r>
    </w:p>
    <w:p w14:paraId="45E7E4DC" w14:textId="77777777" w:rsidR="00F67CEA" w:rsidRPr="001F0603" w:rsidRDefault="00F67CEA" w:rsidP="00F67CEA">
      <w:pPr>
        <w:rPr>
          <w:lang w:val="en-GB"/>
        </w:rPr>
      </w:pPr>
      <w:r w:rsidRPr="001F0603">
        <w:rPr>
          <w:lang w:val="en-GB"/>
        </w:rPr>
        <w:t>Ullah, A., Kumar, M., Sayyar, M., Sapna, F.N.U., John, C., Memon, S., Qureshi, K., Agbo, E.C., Ariri, H.I., Chukwu, E.J. and Varrassi, G., (2023). Revolutionizing cardiac care: a comprehensive narrative review of cardiac rehabilitation and the evolution of cardiovascular medicine. </w:t>
      </w:r>
      <w:r w:rsidRPr="001F0603">
        <w:rPr>
          <w:i/>
          <w:iCs/>
          <w:lang w:val="en-GB"/>
        </w:rPr>
        <w:t>Cureus</w:t>
      </w:r>
      <w:r w:rsidRPr="001F0603">
        <w:rPr>
          <w:lang w:val="en-GB"/>
        </w:rPr>
        <w:t>, </w:t>
      </w:r>
      <w:r w:rsidRPr="001F0603">
        <w:rPr>
          <w:i/>
          <w:iCs/>
          <w:lang w:val="en-GB"/>
        </w:rPr>
        <w:t>15</w:t>
      </w:r>
      <w:r w:rsidRPr="001F0603">
        <w:rPr>
          <w:lang w:val="en-GB"/>
        </w:rPr>
        <w:t>(10), p.e46469.</w:t>
      </w:r>
    </w:p>
    <w:p w14:paraId="6C43A4DC" w14:textId="77777777" w:rsidR="00F67CEA" w:rsidRPr="001F0603" w:rsidRDefault="00F67CEA" w:rsidP="00F67CEA">
      <w:r w:rsidRPr="001F0603">
        <w:t>Verma, M., Rana, K., Bhatt, G., Sharma, N. and Lal, P., (2023). Trends and determinants of tobacco use initiation in India: analysis of two rounds of the Global Adult Tobacco Survey. </w:t>
      </w:r>
      <w:r w:rsidRPr="001F0603">
        <w:rPr>
          <w:i/>
          <w:iCs/>
        </w:rPr>
        <w:t>BMJ open</w:t>
      </w:r>
      <w:r w:rsidRPr="001F0603">
        <w:t>, </w:t>
      </w:r>
      <w:r w:rsidRPr="001F0603">
        <w:rPr>
          <w:i/>
          <w:iCs/>
        </w:rPr>
        <w:t>13</w:t>
      </w:r>
      <w:r w:rsidRPr="001F0603">
        <w:t>(9), p.e074389.</w:t>
      </w:r>
    </w:p>
    <w:p w14:paraId="7A187D0F" w14:textId="77777777" w:rsidR="00F67CEA" w:rsidRPr="001F0603" w:rsidRDefault="00F67CEA" w:rsidP="00F67CEA">
      <w:pPr>
        <w:rPr>
          <w:color w:val="222222"/>
          <w:szCs w:val="24"/>
        </w:rPr>
      </w:pPr>
      <w:r w:rsidRPr="001F0603">
        <w:rPr>
          <w:color w:val="222222"/>
          <w:szCs w:val="24"/>
        </w:rPr>
        <w:t>Wang, Q., Liao, J., Lapata, M., and Macleod, M. (2022). PICO entity extraction for preclinical animal literature. </w:t>
      </w:r>
      <w:r w:rsidRPr="001F0603">
        <w:rPr>
          <w:i/>
          <w:iCs/>
          <w:color w:val="222222"/>
          <w:szCs w:val="24"/>
        </w:rPr>
        <w:t>Systematic Reviews</w:t>
      </w:r>
      <w:r w:rsidRPr="001F0603">
        <w:rPr>
          <w:color w:val="222222"/>
          <w:szCs w:val="24"/>
        </w:rPr>
        <w:t>, </w:t>
      </w:r>
      <w:r w:rsidRPr="001F0603">
        <w:rPr>
          <w:i/>
          <w:iCs/>
          <w:color w:val="222222"/>
          <w:szCs w:val="24"/>
        </w:rPr>
        <w:t>11</w:t>
      </w:r>
      <w:r w:rsidRPr="001F0603">
        <w:rPr>
          <w:color w:val="222222"/>
          <w:szCs w:val="24"/>
        </w:rPr>
        <w:t>(1), 209.</w:t>
      </w:r>
    </w:p>
    <w:p w14:paraId="1882B34B" w14:textId="77777777" w:rsidR="00F67CEA" w:rsidRPr="001F0603" w:rsidRDefault="00F67CEA" w:rsidP="00F67CEA">
      <w:pPr>
        <w:rPr>
          <w:color w:val="222222"/>
          <w:szCs w:val="24"/>
        </w:rPr>
      </w:pPr>
      <w:r w:rsidRPr="001F0603">
        <w:rPr>
          <w:color w:val="222222"/>
          <w:szCs w:val="24"/>
        </w:rPr>
        <w:t>Wohlin, C., Kalinowski, M., Felizardo, K. R., and Mendes, E. (2022). Successful combination of database search and snowballing for identification of primary studies in systematic literature studies. </w:t>
      </w:r>
      <w:r w:rsidRPr="001F0603">
        <w:rPr>
          <w:i/>
          <w:iCs/>
          <w:color w:val="222222"/>
          <w:szCs w:val="24"/>
        </w:rPr>
        <w:t>Information and software technology</w:t>
      </w:r>
      <w:r w:rsidRPr="001F0603">
        <w:rPr>
          <w:color w:val="222222"/>
          <w:szCs w:val="24"/>
        </w:rPr>
        <w:t>, </w:t>
      </w:r>
      <w:r w:rsidRPr="001F0603">
        <w:rPr>
          <w:i/>
          <w:iCs/>
          <w:color w:val="222222"/>
          <w:szCs w:val="24"/>
        </w:rPr>
        <w:t>147</w:t>
      </w:r>
      <w:r w:rsidRPr="001F0603">
        <w:rPr>
          <w:color w:val="222222"/>
          <w:szCs w:val="24"/>
        </w:rPr>
        <w:t>, 106908.</w:t>
      </w:r>
    </w:p>
    <w:p w14:paraId="69250E0C" w14:textId="77777777" w:rsidR="00F67CEA" w:rsidRPr="001F0603" w:rsidRDefault="00F67CEA" w:rsidP="00F67CEA">
      <w:pPr>
        <w:rPr>
          <w:lang w:val="en-GB"/>
        </w:rPr>
      </w:pPr>
      <w:r w:rsidRPr="001F0603">
        <w:rPr>
          <w:lang w:val="en-GB"/>
        </w:rPr>
        <w:t>World Health Organization, (2025). WHO report on the global tobacco epidemic, 2025: warning about the dangers of tobacco</w:t>
      </w:r>
    </w:p>
    <w:p w14:paraId="4D98DF57" w14:textId="77777777" w:rsidR="00F67CEA" w:rsidRPr="001F0603" w:rsidRDefault="00F67CEA" w:rsidP="00F67CEA">
      <w:pPr>
        <w:rPr>
          <w:lang w:val="en-GB"/>
        </w:rPr>
      </w:pPr>
      <w:r w:rsidRPr="001F0603">
        <w:rPr>
          <w:lang w:val="en-GB"/>
        </w:rPr>
        <w:t xml:space="preserve">World Health Organization. (2025). Tobacco Fact Sheet. Available at: </w:t>
      </w:r>
      <w:hyperlink r:id="rId14" w:history="1">
        <w:r w:rsidRPr="001F0603">
          <w:rPr>
            <w:rStyle w:val="Hyperlink"/>
            <w:rFonts w:cs="Arial"/>
            <w:lang w:val="en-GB"/>
          </w:rPr>
          <w:t>https://www.who.int/news-room/fact-sheets/detail/tobacco</w:t>
        </w:r>
      </w:hyperlink>
      <w:r w:rsidRPr="001F0603">
        <w:rPr>
          <w:lang w:val="en-GB"/>
        </w:rPr>
        <w:t xml:space="preserve">  (Accessed: 7 December 2025).</w:t>
      </w:r>
    </w:p>
    <w:p w14:paraId="7CBCE58B" w14:textId="77777777" w:rsidR="00F67CEA" w:rsidRPr="001F0603" w:rsidRDefault="00F67CEA" w:rsidP="00F67CEA">
      <w:r w:rsidRPr="001F0603">
        <w:lastRenderedPageBreak/>
        <w:t>Yellapantula, B., Jude, D.S., Bhrushundi, M. and Sharma, R., (2025). Prevalence and Determinants of Ischemic Heart Disease in the Elderly Population of India: A Cross-Sectional Study. </w:t>
      </w:r>
      <w:r w:rsidRPr="001F0603">
        <w:rPr>
          <w:i/>
          <w:iCs/>
        </w:rPr>
        <w:t>Journal of Pharmacy and Bioallied Sciences</w:t>
      </w:r>
      <w:r w:rsidRPr="001F0603">
        <w:t>, </w:t>
      </w:r>
      <w:r w:rsidRPr="001F0603">
        <w:rPr>
          <w:i/>
          <w:iCs/>
        </w:rPr>
        <w:t>17</w:t>
      </w:r>
      <w:r w:rsidRPr="001F0603">
        <w:t>(Suppl 1), pp.S626-S629.</w:t>
      </w:r>
    </w:p>
    <w:p w14:paraId="75BEF6A3" w14:textId="77777777" w:rsidR="00F67CEA" w:rsidRDefault="00F67CEA" w:rsidP="00F67CEA">
      <w:pPr>
        <w:rPr>
          <w:color w:val="222222"/>
          <w:szCs w:val="24"/>
        </w:rPr>
      </w:pPr>
      <w:r w:rsidRPr="001F0603">
        <w:rPr>
          <w:color w:val="222222"/>
          <w:szCs w:val="24"/>
        </w:rPr>
        <w:t>Zarate, D., Stavropoulos, V., Ball, M., de Sena Collier, G., and Jacobson, N. C. (2022). Exploring the digital footprint of depression: a PRISMA systematic literature review of the empirical evidence. </w:t>
      </w:r>
      <w:r w:rsidRPr="001F0603">
        <w:rPr>
          <w:i/>
          <w:iCs/>
          <w:color w:val="222222"/>
          <w:szCs w:val="24"/>
        </w:rPr>
        <w:t>BMC psychiatry</w:t>
      </w:r>
      <w:r w:rsidRPr="001F0603">
        <w:rPr>
          <w:color w:val="222222"/>
          <w:szCs w:val="24"/>
        </w:rPr>
        <w:t>, </w:t>
      </w:r>
      <w:r w:rsidRPr="001F0603">
        <w:rPr>
          <w:i/>
          <w:iCs/>
          <w:color w:val="222222"/>
          <w:szCs w:val="24"/>
        </w:rPr>
        <w:t>22</w:t>
      </w:r>
      <w:r w:rsidRPr="001F0603">
        <w:rPr>
          <w:color w:val="222222"/>
          <w:szCs w:val="24"/>
        </w:rPr>
        <w:t>(1), 421.</w:t>
      </w:r>
    </w:p>
    <w:p w14:paraId="4A6F450E" w14:textId="77777777" w:rsidR="00DC719A" w:rsidRDefault="00DC719A" w:rsidP="0038729C">
      <w:pPr>
        <w:rPr>
          <w:color w:val="222222"/>
          <w:szCs w:val="24"/>
        </w:rPr>
      </w:pPr>
    </w:p>
    <w:p w14:paraId="215EDFDB" w14:textId="77777777" w:rsidR="00CF0643" w:rsidRPr="00F027DD" w:rsidRDefault="00CF0643">
      <w:pPr>
        <w:rPr>
          <w:rFonts w:cs="Arial"/>
          <w:color w:val="222222"/>
          <w:szCs w:val="24"/>
        </w:rPr>
      </w:pPr>
    </w:p>
    <w:p w14:paraId="4FBEAAA7" w14:textId="77777777" w:rsidR="00732E6C" w:rsidRPr="00F027DD" w:rsidRDefault="00732E6C">
      <w:pPr>
        <w:rPr>
          <w:rFonts w:cs="Arial"/>
        </w:rPr>
      </w:pPr>
    </w:p>
    <w:p w14:paraId="60A59731" w14:textId="77777777" w:rsidR="00732E6C" w:rsidRPr="00F027DD" w:rsidRDefault="00732E6C">
      <w:pPr>
        <w:rPr>
          <w:rFonts w:cs="Arial"/>
          <w:color w:val="222222"/>
          <w:szCs w:val="24"/>
        </w:rPr>
      </w:pPr>
    </w:p>
    <w:p w14:paraId="4BA61A6D" w14:textId="77777777" w:rsidR="00732E6C" w:rsidRPr="00F027DD" w:rsidRDefault="00732E6C">
      <w:pPr>
        <w:rPr>
          <w:rFonts w:cs="Arial"/>
          <w:lang w:val="en-GB"/>
        </w:rPr>
      </w:pPr>
    </w:p>
    <w:sectPr w:rsidR="00732E6C" w:rsidRPr="00F027DD" w:rsidSect="00BE711B">
      <w:headerReference w:type="even" r:id="rId15"/>
      <w:headerReference w:type="default" r:id="rId16"/>
      <w:footerReference w:type="even" r:id="rId17"/>
      <w:footerReference w:type="default" r:id="rId18"/>
      <w:headerReference w:type="first" r:id="rId19"/>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B493FBD" w15:done="0"/>
  <w15:commentEx w15:paraId="343FDFF2" w15:done="0"/>
  <w15:commentEx w15:paraId="70339439" w15:done="0"/>
  <w15:commentEx w15:paraId="3ED7B5B6" w15:done="0"/>
  <w15:commentEx w15:paraId="393F13DC" w15:done="0"/>
  <w15:commentEx w15:paraId="55F3CF5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CD8D5E4" w16cex:dateUtc="2026-01-28T12:23:00Z"/>
  <w16cex:commentExtensible w16cex:durableId="22FF6A88" w16cex:dateUtc="2026-01-28T12:24:00Z"/>
  <w16cex:commentExtensible w16cex:durableId="687A6759" w16cex:dateUtc="2026-01-28T12:28:00Z"/>
  <w16cex:commentExtensible w16cex:durableId="4D48B664" w16cex:dateUtc="2026-01-28T12:29:00Z"/>
  <w16cex:commentExtensible w16cex:durableId="6DF8BFEA" w16cex:dateUtc="2026-01-28T12:29:00Z"/>
  <w16cex:commentExtensible w16cex:durableId="00E7222C" w16cex:dateUtc="2026-01-28T12: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B493FBD" w16cid:durableId="5CD8D5E4"/>
  <w16cid:commentId w16cid:paraId="343FDFF2" w16cid:durableId="22FF6A88"/>
  <w16cid:commentId w16cid:paraId="70339439" w16cid:durableId="687A6759"/>
  <w16cid:commentId w16cid:paraId="3ED7B5B6" w16cid:durableId="4D48B664"/>
  <w16cid:commentId w16cid:paraId="393F13DC" w16cid:durableId="6DF8BFEA"/>
  <w16cid:commentId w16cid:paraId="55F3CF5D" w16cid:durableId="00E7222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58EB54" w14:textId="77777777" w:rsidR="00C83F43" w:rsidRDefault="00C83F43">
      <w:pPr>
        <w:spacing w:line="240" w:lineRule="auto"/>
      </w:pPr>
      <w:r>
        <w:separator/>
      </w:r>
    </w:p>
  </w:endnote>
  <w:endnote w:type="continuationSeparator" w:id="0">
    <w:p w14:paraId="028E5402" w14:textId="77777777" w:rsidR="00C83F43" w:rsidRDefault="00C83F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Lucida Sans">
    <w:altName w:val="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Segoe Condensed">
    <w:altName w:val="Franklin Gothic Medium Cond"/>
    <w:charset w:val="00"/>
    <w:family w:val="swiss"/>
    <w:pitch w:val="variable"/>
    <w:sig w:usb0="A00002AF" w:usb1="4000205B" w:usb2="00000000" w:usb3="00000000" w:csb0="0000009F" w:csb1="00000000"/>
  </w:font>
  <w:font w:name="Arial MT">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5BAD47" w14:textId="77777777" w:rsidR="008364F7" w:rsidRDefault="008364F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A7FC4A" w14:textId="77777777" w:rsidR="008364F7" w:rsidRDefault="000F6E0F">
    <w:pPr>
      <w:pStyle w:val="Footer"/>
      <w:jc w:val="center"/>
    </w:pPr>
    <w:r>
      <w:fldChar w:fldCharType="begin"/>
    </w:r>
    <w:r>
      <w:instrText xml:space="preserve"> PAGE   \* MERGEFORMAT </w:instrText>
    </w:r>
    <w:r>
      <w:fldChar w:fldCharType="separate"/>
    </w:r>
    <w:r w:rsidR="000C1B1B">
      <w:rPr>
        <w:noProof/>
      </w:rPr>
      <w:t>7</w:t>
    </w:r>
    <w:r>
      <w:rPr>
        <w:noProof/>
      </w:rPr>
      <w:fldChar w:fldCharType="end"/>
    </w:r>
  </w:p>
  <w:p w14:paraId="4F8663FF" w14:textId="77777777" w:rsidR="008364F7" w:rsidRDefault="008364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AC53A6" w14:textId="77777777" w:rsidR="00C83F43" w:rsidRDefault="00C83F43">
      <w:pPr>
        <w:spacing w:line="240" w:lineRule="auto"/>
      </w:pPr>
      <w:r>
        <w:separator/>
      </w:r>
    </w:p>
  </w:footnote>
  <w:footnote w:type="continuationSeparator" w:id="0">
    <w:p w14:paraId="0130C30A" w14:textId="77777777" w:rsidR="00C83F43" w:rsidRDefault="00C83F4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5BBCDC" w14:textId="77777777" w:rsidR="008364F7" w:rsidRDefault="008364F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EC9069" w14:textId="77777777" w:rsidR="008364F7" w:rsidRDefault="008364F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C38F36" w14:textId="77777777" w:rsidR="008364F7" w:rsidRDefault="008364F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DF488BD6"/>
    <w:lvl w:ilvl="0" w:tplc="D0C6DEC2">
      <w:start w:val="1"/>
      <w:numFmt w:val="bullet"/>
      <w:lvlText w:val=""/>
      <w:lvlJc w:val="left"/>
      <w:pPr>
        <w:ind w:left="720" w:hanging="360"/>
      </w:pPr>
      <w:rPr>
        <w:rFonts w:ascii="Symbol" w:hAnsi="Symbol" w:hint="default"/>
      </w:rPr>
    </w:lvl>
    <w:lvl w:ilvl="1" w:tplc="550E86EE" w:tentative="1">
      <w:start w:val="1"/>
      <w:numFmt w:val="bullet"/>
      <w:lvlText w:val="o"/>
      <w:lvlJc w:val="left"/>
      <w:pPr>
        <w:ind w:left="1440" w:hanging="360"/>
      </w:pPr>
      <w:rPr>
        <w:rFonts w:ascii="Courier New" w:hAnsi="Courier New" w:cs="Courier New" w:hint="default"/>
      </w:rPr>
    </w:lvl>
    <w:lvl w:ilvl="2" w:tplc="D40ECBE6" w:tentative="1">
      <w:start w:val="1"/>
      <w:numFmt w:val="bullet"/>
      <w:lvlText w:val=""/>
      <w:lvlJc w:val="left"/>
      <w:pPr>
        <w:ind w:left="2160" w:hanging="360"/>
      </w:pPr>
      <w:rPr>
        <w:rFonts w:ascii="Wingdings" w:hAnsi="Wingdings" w:hint="default"/>
      </w:rPr>
    </w:lvl>
    <w:lvl w:ilvl="3" w:tplc="BCBE6AF2" w:tentative="1">
      <w:start w:val="1"/>
      <w:numFmt w:val="bullet"/>
      <w:lvlText w:val=""/>
      <w:lvlJc w:val="left"/>
      <w:pPr>
        <w:ind w:left="2880" w:hanging="360"/>
      </w:pPr>
      <w:rPr>
        <w:rFonts w:ascii="Symbol" w:hAnsi="Symbol" w:hint="default"/>
      </w:rPr>
    </w:lvl>
    <w:lvl w:ilvl="4" w:tplc="25C8B31C" w:tentative="1">
      <w:start w:val="1"/>
      <w:numFmt w:val="bullet"/>
      <w:lvlText w:val="o"/>
      <w:lvlJc w:val="left"/>
      <w:pPr>
        <w:ind w:left="3600" w:hanging="360"/>
      </w:pPr>
      <w:rPr>
        <w:rFonts w:ascii="Courier New" w:hAnsi="Courier New" w:cs="Courier New" w:hint="default"/>
      </w:rPr>
    </w:lvl>
    <w:lvl w:ilvl="5" w:tplc="D94010B4" w:tentative="1">
      <w:start w:val="1"/>
      <w:numFmt w:val="bullet"/>
      <w:lvlText w:val=""/>
      <w:lvlJc w:val="left"/>
      <w:pPr>
        <w:ind w:left="4320" w:hanging="360"/>
      </w:pPr>
      <w:rPr>
        <w:rFonts w:ascii="Wingdings" w:hAnsi="Wingdings" w:hint="default"/>
      </w:rPr>
    </w:lvl>
    <w:lvl w:ilvl="6" w:tplc="0962741A" w:tentative="1">
      <w:start w:val="1"/>
      <w:numFmt w:val="bullet"/>
      <w:lvlText w:val=""/>
      <w:lvlJc w:val="left"/>
      <w:pPr>
        <w:ind w:left="5040" w:hanging="360"/>
      </w:pPr>
      <w:rPr>
        <w:rFonts w:ascii="Symbol" w:hAnsi="Symbol" w:hint="default"/>
      </w:rPr>
    </w:lvl>
    <w:lvl w:ilvl="7" w:tplc="6DB2D9A2" w:tentative="1">
      <w:start w:val="1"/>
      <w:numFmt w:val="bullet"/>
      <w:lvlText w:val="o"/>
      <w:lvlJc w:val="left"/>
      <w:pPr>
        <w:ind w:left="5760" w:hanging="360"/>
      </w:pPr>
      <w:rPr>
        <w:rFonts w:ascii="Courier New" w:hAnsi="Courier New" w:cs="Courier New" w:hint="default"/>
      </w:rPr>
    </w:lvl>
    <w:lvl w:ilvl="8" w:tplc="C89EEA36" w:tentative="1">
      <w:start w:val="1"/>
      <w:numFmt w:val="bullet"/>
      <w:lvlText w:val=""/>
      <w:lvlJc w:val="left"/>
      <w:pPr>
        <w:ind w:left="6480" w:hanging="360"/>
      </w:pPr>
      <w:rPr>
        <w:rFonts w:ascii="Wingdings" w:hAnsi="Wingdings" w:hint="default"/>
      </w:rPr>
    </w:lvl>
  </w:abstractNum>
  <w:abstractNum w:abstractNumId="1">
    <w:nsid w:val="00000002"/>
    <w:multiLevelType w:val="hybridMultilevel"/>
    <w:tmpl w:val="A22A91E6"/>
    <w:lvl w:ilvl="0" w:tplc="5A1A0C78">
      <w:start w:val="1"/>
      <w:numFmt w:val="bullet"/>
      <w:lvlText w:val="•"/>
      <w:lvlJc w:val="left"/>
      <w:pPr>
        <w:tabs>
          <w:tab w:val="left" w:pos="720"/>
        </w:tabs>
        <w:ind w:left="720" w:hanging="360"/>
      </w:pPr>
      <w:rPr>
        <w:rFonts w:ascii="Arial" w:hAnsi="Arial" w:hint="default"/>
      </w:rPr>
    </w:lvl>
    <w:lvl w:ilvl="1" w:tplc="A3E88D32" w:tentative="1">
      <w:start w:val="1"/>
      <w:numFmt w:val="bullet"/>
      <w:lvlText w:val="•"/>
      <w:lvlJc w:val="left"/>
      <w:pPr>
        <w:tabs>
          <w:tab w:val="left" w:pos="1440"/>
        </w:tabs>
        <w:ind w:left="1440" w:hanging="360"/>
      </w:pPr>
      <w:rPr>
        <w:rFonts w:ascii="Arial" w:hAnsi="Arial" w:hint="default"/>
      </w:rPr>
    </w:lvl>
    <w:lvl w:ilvl="2" w:tplc="5A062FA8" w:tentative="1">
      <w:start w:val="1"/>
      <w:numFmt w:val="bullet"/>
      <w:lvlText w:val="•"/>
      <w:lvlJc w:val="left"/>
      <w:pPr>
        <w:tabs>
          <w:tab w:val="left" w:pos="2160"/>
        </w:tabs>
        <w:ind w:left="2160" w:hanging="360"/>
      </w:pPr>
      <w:rPr>
        <w:rFonts w:ascii="Arial" w:hAnsi="Arial" w:hint="default"/>
      </w:rPr>
    </w:lvl>
    <w:lvl w:ilvl="3" w:tplc="99EC6288" w:tentative="1">
      <w:start w:val="1"/>
      <w:numFmt w:val="bullet"/>
      <w:lvlText w:val="•"/>
      <w:lvlJc w:val="left"/>
      <w:pPr>
        <w:tabs>
          <w:tab w:val="left" w:pos="2880"/>
        </w:tabs>
        <w:ind w:left="2880" w:hanging="360"/>
      </w:pPr>
      <w:rPr>
        <w:rFonts w:ascii="Arial" w:hAnsi="Arial" w:hint="default"/>
      </w:rPr>
    </w:lvl>
    <w:lvl w:ilvl="4" w:tplc="76F643F0" w:tentative="1">
      <w:start w:val="1"/>
      <w:numFmt w:val="bullet"/>
      <w:lvlText w:val="•"/>
      <w:lvlJc w:val="left"/>
      <w:pPr>
        <w:tabs>
          <w:tab w:val="left" w:pos="3600"/>
        </w:tabs>
        <w:ind w:left="3600" w:hanging="360"/>
      </w:pPr>
      <w:rPr>
        <w:rFonts w:ascii="Arial" w:hAnsi="Arial" w:hint="default"/>
      </w:rPr>
    </w:lvl>
    <w:lvl w:ilvl="5" w:tplc="C0749D80" w:tentative="1">
      <w:start w:val="1"/>
      <w:numFmt w:val="bullet"/>
      <w:lvlText w:val="•"/>
      <w:lvlJc w:val="left"/>
      <w:pPr>
        <w:tabs>
          <w:tab w:val="left" w:pos="4320"/>
        </w:tabs>
        <w:ind w:left="4320" w:hanging="360"/>
      </w:pPr>
      <w:rPr>
        <w:rFonts w:ascii="Arial" w:hAnsi="Arial" w:hint="default"/>
      </w:rPr>
    </w:lvl>
    <w:lvl w:ilvl="6" w:tplc="BD6084B4" w:tentative="1">
      <w:start w:val="1"/>
      <w:numFmt w:val="bullet"/>
      <w:lvlText w:val="•"/>
      <w:lvlJc w:val="left"/>
      <w:pPr>
        <w:tabs>
          <w:tab w:val="left" w:pos="5040"/>
        </w:tabs>
        <w:ind w:left="5040" w:hanging="360"/>
      </w:pPr>
      <w:rPr>
        <w:rFonts w:ascii="Arial" w:hAnsi="Arial" w:hint="default"/>
      </w:rPr>
    </w:lvl>
    <w:lvl w:ilvl="7" w:tplc="516AB3EC" w:tentative="1">
      <w:start w:val="1"/>
      <w:numFmt w:val="bullet"/>
      <w:lvlText w:val="•"/>
      <w:lvlJc w:val="left"/>
      <w:pPr>
        <w:tabs>
          <w:tab w:val="left" w:pos="5760"/>
        </w:tabs>
        <w:ind w:left="5760" w:hanging="360"/>
      </w:pPr>
      <w:rPr>
        <w:rFonts w:ascii="Arial" w:hAnsi="Arial" w:hint="default"/>
      </w:rPr>
    </w:lvl>
    <w:lvl w:ilvl="8" w:tplc="1166E556" w:tentative="1">
      <w:start w:val="1"/>
      <w:numFmt w:val="bullet"/>
      <w:lvlText w:val="•"/>
      <w:lvlJc w:val="left"/>
      <w:pPr>
        <w:tabs>
          <w:tab w:val="left" w:pos="6480"/>
        </w:tabs>
        <w:ind w:left="6480" w:hanging="360"/>
      </w:pPr>
      <w:rPr>
        <w:rFonts w:ascii="Arial" w:hAnsi="Arial" w:hint="default"/>
      </w:rPr>
    </w:lvl>
  </w:abstractNum>
  <w:abstractNum w:abstractNumId="2">
    <w:nsid w:val="00000003"/>
    <w:multiLevelType w:val="hybridMultilevel"/>
    <w:tmpl w:val="3BA248A2"/>
    <w:lvl w:ilvl="0" w:tplc="365AACC0">
      <w:start w:val="1"/>
      <w:numFmt w:val="bullet"/>
      <w:lvlText w:val=""/>
      <w:lvlJc w:val="left"/>
      <w:pPr>
        <w:ind w:left="720" w:hanging="360"/>
      </w:pPr>
      <w:rPr>
        <w:rFonts w:ascii="Symbol" w:hAnsi="Symbol" w:hint="default"/>
      </w:rPr>
    </w:lvl>
    <w:lvl w:ilvl="1" w:tplc="E7D2298C" w:tentative="1">
      <w:start w:val="1"/>
      <w:numFmt w:val="bullet"/>
      <w:lvlText w:val="o"/>
      <w:lvlJc w:val="left"/>
      <w:pPr>
        <w:ind w:left="1440" w:hanging="360"/>
      </w:pPr>
      <w:rPr>
        <w:rFonts w:ascii="Courier New" w:hAnsi="Courier New" w:cs="Courier New" w:hint="default"/>
      </w:rPr>
    </w:lvl>
    <w:lvl w:ilvl="2" w:tplc="51CEB7BC" w:tentative="1">
      <w:start w:val="1"/>
      <w:numFmt w:val="bullet"/>
      <w:lvlText w:val=""/>
      <w:lvlJc w:val="left"/>
      <w:pPr>
        <w:ind w:left="2160" w:hanging="360"/>
      </w:pPr>
      <w:rPr>
        <w:rFonts w:ascii="Wingdings" w:hAnsi="Wingdings" w:hint="default"/>
      </w:rPr>
    </w:lvl>
    <w:lvl w:ilvl="3" w:tplc="3F7AA0EC" w:tentative="1">
      <w:start w:val="1"/>
      <w:numFmt w:val="bullet"/>
      <w:lvlText w:val=""/>
      <w:lvlJc w:val="left"/>
      <w:pPr>
        <w:ind w:left="2880" w:hanging="360"/>
      </w:pPr>
      <w:rPr>
        <w:rFonts w:ascii="Symbol" w:hAnsi="Symbol" w:hint="default"/>
      </w:rPr>
    </w:lvl>
    <w:lvl w:ilvl="4" w:tplc="F05E0172" w:tentative="1">
      <w:start w:val="1"/>
      <w:numFmt w:val="bullet"/>
      <w:lvlText w:val="o"/>
      <w:lvlJc w:val="left"/>
      <w:pPr>
        <w:ind w:left="3600" w:hanging="360"/>
      </w:pPr>
      <w:rPr>
        <w:rFonts w:ascii="Courier New" w:hAnsi="Courier New" w:cs="Courier New" w:hint="default"/>
      </w:rPr>
    </w:lvl>
    <w:lvl w:ilvl="5" w:tplc="B08EBF38" w:tentative="1">
      <w:start w:val="1"/>
      <w:numFmt w:val="bullet"/>
      <w:lvlText w:val=""/>
      <w:lvlJc w:val="left"/>
      <w:pPr>
        <w:ind w:left="4320" w:hanging="360"/>
      </w:pPr>
      <w:rPr>
        <w:rFonts w:ascii="Wingdings" w:hAnsi="Wingdings" w:hint="default"/>
      </w:rPr>
    </w:lvl>
    <w:lvl w:ilvl="6" w:tplc="4898408E" w:tentative="1">
      <w:start w:val="1"/>
      <w:numFmt w:val="bullet"/>
      <w:lvlText w:val=""/>
      <w:lvlJc w:val="left"/>
      <w:pPr>
        <w:ind w:left="5040" w:hanging="360"/>
      </w:pPr>
      <w:rPr>
        <w:rFonts w:ascii="Symbol" w:hAnsi="Symbol" w:hint="default"/>
      </w:rPr>
    </w:lvl>
    <w:lvl w:ilvl="7" w:tplc="E60C2116" w:tentative="1">
      <w:start w:val="1"/>
      <w:numFmt w:val="bullet"/>
      <w:lvlText w:val="o"/>
      <w:lvlJc w:val="left"/>
      <w:pPr>
        <w:ind w:left="5760" w:hanging="360"/>
      </w:pPr>
      <w:rPr>
        <w:rFonts w:ascii="Courier New" w:hAnsi="Courier New" w:cs="Courier New" w:hint="default"/>
      </w:rPr>
    </w:lvl>
    <w:lvl w:ilvl="8" w:tplc="A4E2EC4C" w:tentative="1">
      <w:start w:val="1"/>
      <w:numFmt w:val="bullet"/>
      <w:lvlText w:val=""/>
      <w:lvlJc w:val="left"/>
      <w:pPr>
        <w:ind w:left="6480" w:hanging="360"/>
      </w:pPr>
      <w:rPr>
        <w:rFonts w:ascii="Wingdings" w:hAnsi="Wingdings" w:hint="default"/>
      </w:rPr>
    </w:lvl>
  </w:abstractNum>
  <w:abstractNum w:abstractNumId="3">
    <w:nsid w:val="00000004"/>
    <w:multiLevelType w:val="hybridMultilevel"/>
    <w:tmpl w:val="CA06DB9C"/>
    <w:lvl w:ilvl="0" w:tplc="72468450">
      <w:start w:val="1"/>
      <w:numFmt w:val="bullet"/>
      <w:lvlText w:val=""/>
      <w:lvlJc w:val="left"/>
      <w:pPr>
        <w:ind w:left="720" w:hanging="360"/>
      </w:pPr>
      <w:rPr>
        <w:rFonts w:ascii="Symbol" w:hAnsi="Symbol" w:hint="default"/>
      </w:rPr>
    </w:lvl>
    <w:lvl w:ilvl="1" w:tplc="72B0672E" w:tentative="1">
      <w:start w:val="1"/>
      <w:numFmt w:val="bullet"/>
      <w:lvlText w:val="o"/>
      <w:lvlJc w:val="left"/>
      <w:pPr>
        <w:ind w:left="1440" w:hanging="360"/>
      </w:pPr>
      <w:rPr>
        <w:rFonts w:ascii="Courier New" w:hAnsi="Courier New" w:cs="Courier New" w:hint="default"/>
      </w:rPr>
    </w:lvl>
    <w:lvl w:ilvl="2" w:tplc="C6B46570" w:tentative="1">
      <w:start w:val="1"/>
      <w:numFmt w:val="bullet"/>
      <w:lvlText w:val=""/>
      <w:lvlJc w:val="left"/>
      <w:pPr>
        <w:ind w:left="2160" w:hanging="360"/>
      </w:pPr>
      <w:rPr>
        <w:rFonts w:ascii="Wingdings" w:hAnsi="Wingdings" w:hint="default"/>
      </w:rPr>
    </w:lvl>
    <w:lvl w:ilvl="3" w:tplc="197293EC" w:tentative="1">
      <w:start w:val="1"/>
      <w:numFmt w:val="bullet"/>
      <w:lvlText w:val=""/>
      <w:lvlJc w:val="left"/>
      <w:pPr>
        <w:ind w:left="2880" w:hanging="360"/>
      </w:pPr>
      <w:rPr>
        <w:rFonts w:ascii="Symbol" w:hAnsi="Symbol" w:hint="default"/>
      </w:rPr>
    </w:lvl>
    <w:lvl w:ilvl="4" w:tplc="6212D846" w:tentative="1">
      <w:start w:val="1"/>
      <w:numFmt w:val="bullet"/>
      <w:lvlText w:val="o"/>
      <w:lvlJc w:val="left"/>
      <w:pPr>
        <w:ind w:left="3600" w:hanging="360"/>
      </w:pPr>
      <w:rPr>
        <w:rFonts w:ascii="Courier New" w:hAnsi="Courier New" w:cs="Courier New" w:hint="default"/>
      </w:rPr>
    </w:lvl>
    <w:lvl w:ilvl="5" w:tplc="95BA93D2" w:tentative="1">
      <w:start w:val="1"/>
      <w:numFmt w:val="bullet"/>
      <w:lvlText w:val=""/>
      <w:lvlJc w:val="left"/>
      <w:pPr>
        <w:ind w:left="4320" w:hanging="360"/>
      </w:pPr>
      <w:rPr>
        <w:rFonts w:ascii="Wingdings" w:hAnsi="Wingdings" w:hint="default"/>
      </w:rPr>
    </w:lvl>
    <w:lvl w:ilvl="6" w:tplc="53CAC278" w:tentative="1">
      <w:start w:val="1"/>
      <w:numFmt w:val="bullet"/>
      <w:lvlText w:val=""/>
      <w:lvlJc w:val="left"/>
      <w:pPr>
        <w:ind w:left="5040" w:hanging="360"/>
      </w:pPr>
      <w:rPr>
        <w:rFonts w:ascii="Symbol" w:hAnsi="Symbol" w:hint="default"/>
      </w:rPr>
    </w:lvl>
    <w:lvl w:ilvl="7" w:tplc="0B1C79CE" w:tentative="1">
      <w:start w:val="1"/>
      <w:numFmt w:val="bullet"/>
      <w:lvlText w:val="o"/>
      <w:lvlJc w:val="left"/>
      <w:pPr>
        <w:ind w:left="5760" w:hanging="360"/>
      </w:pPr>
      <w:rPr>
        <w:rFonts w:ascii="Courier New" w:hAnsi="Courier New" w:cs="Courier New" w:hint="default"/>
      </w:rPr>
    </w:lvl>
    <w:lvl w:ilvl="8" w:tplc="691266C6" w:tentative="1">
      <w:start w:val="1"/>
      <w:numFmt w:val="bullet"/>
      <w:lvlText w:val=""/>
      <w:lvlJc w:val="left"/>
      <w:pPr>
        <w:ind w:left="6480" w:hanging="360"/>
      </w:pPr>
      <w:rPr>
        <w:rFonts w:ascii="Wingdings" w:hAnsi="Wingdings" w:hint="default"/>
      </w:rPr>
    </w:lvl>
  </w:abstractNum>
  <w:abstractNum w:abstractNumId="4">
    <w:nsid w:val="00000005"/>
    <w:multiLevelType w:val="multilevel"/>
    <w:tmpl w:val="879CF7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0000006"/>
    <w:multiLevelType w:val="hybridMultilevel"/>
    <w:tmpl w:val="D4927082"/>
    <w:lvl w:ilvl="0" w:tplc="00B2EA88">
      <w:start w:val="1"/>
      <w:numFmt w:val="bullet"/>
      <w:lvlText w:val=""/>
      <w:lvlJc w:val="left"/>
      <w:pPr>
        <w:ind w:left="720" w:hanging="360"/>
      </w:pPr>
      <w:rPr>
        <w:rFonts w:ascii="Symbol" w:hAnsi="Symbol" w:hint="default"/>
      </w:rPr>
    </w:lvl>
    <w:lvl w:ilvl="1" w:tplc="2C1A3836" w:tentative="1">
      <w:start w:val="1"/>
      <w:numFmt w:val="bullet"/>
      <w:lvlText w:val="o"/>
      <w:lvlJc w:val="left"/>
      <w:pPr>
        <w:ind w:left="1440" w:hanging="360"/>
      </w:pPr>
      <w:rPr>
        <w:rFonts w:ascii="Courier New" w:hAnsi="Courier New" w:cs="Courier New" w:hint="default"/>
      </w:rPr>
    </w:lvl>
    <w:lvl w:ilvl="2" w:tplc="DDF47FDA" w:tentative="1">
      <w:start w:val="1"/>
      <w:numFmt w:val="bullet"/>
      <w:lvlText w:val=""/>
      <w:lvlJc w:val="left"/>
      <w:pPr>
        <w:ind w:left="2160" w:hanging="360"/>
      </w:pPr>
      <w:rPr>
        <w:rFonts w:ascii="Wingdings" w:hAnsi="Wingdings" w:hint="default"/>
      </w:rPr>
    </w:lvl>
    <w:lvl w:ilvl="3" w:tplc="2AC66E0A" w:tentative="1">
      <w:start w:val="1"/>
      <w:numFmt w:val="bullet"/>
      <w:lvlText w:val=""/>
      <w:lvlJc w:val="left"/>
      <w:pPr>
        <w:ind w:left="2880" w:hanging="360"/>
      </w:pPr>
      <w:rPr>
        <w:rFonts w:ascii="Symbol" w:hAnsi="Symbol" w:hint="default"/>
      </w:rPr>
    </w:lvl>
    <w:lvl w:ilvl="4" w:tplc="05921730" w:tentative="1">
      <w:start w:val="1"/>
      <w:numFmt w:val="bullet"/>
      <w:lvlText w:val="o"/>
      <w:lvlJc w:val="left"/>
      <w:pPr>
        <w:ind w:left="3600" w:hanging="360"/>
      </w:pPr>
      <w:rPr>
        <w:rFonts w:ascii="Courier New" w:hAnsi="Courier New" w:cs="Courier New" w:hint="default"/>
      </w:rPr>
    </w:lvl>
    <w:lvl w:ilvl="5" w:tplc="028C0622" w:tentative="1">
      <w:start w:val="1"/>
      <w:numFmt w:val="bullet"/>
      <w:lvlText w:val=""/>
      <w:lvlJc w:val="left"/>
      <w:pPr>
        <w:ind w:left="4320" w:hanging="360"/>
      </w:pPr>
      <w:rPr>
        <w:rFonts w:ascii="Wingdings" w:hAnsi="Wingdings" w:hint="default"/>
      </w:rPr>
    </w:lvl>
    <w:lvl w:ilvl="6" w:tplc="90884A7A" w:tentative="1">
      <w:start w:val="1"/>
      <w:numFmt w:val="bullet"/>
      <w:lvlText w:val=""/>
      <w:lvlJc w:val="left"/>
      <w:pPr>
        <w:ind w:left="5040" w:hanging="360"/>
      </w:pPr>
      <w:rPr>
        <w:rFonts w:ascii="Symbol" w:hAnsi="Symbol" w:hint="default"/>
      </w:rPr>
    </w:lvl>
    <w:lvl w:ilvl="7" w:tplc="7978907C" w:tentative="1">
      <w:start w:val="1"/>
      <w:numFmt w:val="bullet"/>
      <w:lvlText w:val="o"/>
      <w:lvlJc w:val="left"/>
      <w:pPr>
        <w:ind w:left="5760" w:hanging="360"/>
      </w:pPr>
      <w:rPr>
        <w:rFonts w:ascii="Courier New" w:hAnsi="Courier New" w:cs="Courier New" w:hint="default"/>
      </w:rPr>
    </w:lvl>
    <w:lvl w:ilvl="8" w:tplc="46A6CBE0" w:tentative="1">
      <w:start w:val="1"/>
      <w:numFmt w:val="bullet"/>
      <w:lvlText w:val=""/>
      <w:lvlJc w:val="left"/>
      <w:pPr>
        <w:ind w:left="6480" w:hanging="360"/>
      </w:pPr>
      <w:rPr>
        <w:rFonts w:ascii="Wingdings" w:hAnsi="Wingdings" w:hint="default"/>
      </w:rPr>
    </w:lvl>
  </w:abstractNum>
  <w:abstractNum w:abstractNumId="6">
    <w:nsid w:val="00000007"/>
    <w:multiLevelType w:val="multilevel"/>
    <w:tmpl w:val="3E70A91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7">
    <w:nsid w:val="00000008"/>
    <w:multiLevelType w:val="hybridMultilevel"/>
    <w:tmpl w:val="A6E65958"/>
    <w:lvl w:ilvl="0" w:tplc="E5629D4C">
      <w:start w:val="1"/>
      <w:numFmt w:val="bullet"/>
      <w:lvlText w:val=""/>
      <w:lvlJc w:val="left"/>
      <w:pPr>
        <w:ind w:left="720" w:hanging="360"/>
      </w:pPr>
      <w:rPr>
        <w:rFonts w:ascii="Symbol" w:hAnsi="Symbol" w:hint="default"/>
      </w:rPr>
    </w:lvl>
    <w:lvl w:ilvl="1" w:tplc="11C65568" w:tentative="1">
      <w:start w:val="1"/>
      <w:numFmt w:val="bullet"/>
      <w:lvlText w:val="o"/>
      <w:lvlJc w:val="left"/>
      <w:pPr>
        <w:ind w:left="1440" w:hanging="360"/>
      </w:pPr>
      <w:rPr>
        <w:rFonts w:ascii="Courier New" w:hAnsi="Courier New" w:cs="Courier New" w:hint="default"/>
      </w:rPr>
    </w:lvl>
    <w:lvl w:ilvl="2" w:tplc="FBEAE4E4" w:tentative="1">
      <w:start w:val="1"/>
      <w:numFmt w:val="bullet"/>
      <w:lvlText w:val=""/>
      <w:lvlJc w:val="left"/>
      <w:pPr>
        <w:ind w:left="2160" w:hanging="360"/>
      </w:pPr>
      <w:rPr>
        <w:rFonts w:ascii="Wingdings" w:hAnsi="Wingdings" w:hint="default"/>
      </w:rPr>
    </w:lvl>
    <w:lvl w:ilvl="3" w:tplc="A452900C" w:tentative="1">
      <w:start w:val="1"/>
      <w:numFmt w:val="bullet"/>
      <w:lvlText w:val=""/>
      <w:lvlJc w:val="left"/>
      <w:pPr>
        <w:ind w:left="2880" w:hanging="360"/>
      </w:pPr>
      <w:rPr>
        <w:rFonts w:ascii="Symbol" w:hAnsi="Symbol" w:hint="default"/>
      </w:rPr>
    </w:lvl>
    <w:lvl w:ilvl="4" w:tplc="920C7900" w:tentative="1">
      <w:start w:val="1"/>
      <w:numFmt w:val="bullet"/>
      <w:lvlText w:val="o"/>
      <w:lvlJc w:val="left"/>
      <w:pPr>
        <w:ind w:left="3600" w:hanging="360"/>
      </w:pPr>
      <w:rPr>
        <w:rFonts w:ascii="Courier New" w:hAnsi="Courier New" w:cs="Courier New" w:hint="default"/>
      </w:rPr>
    </w:lvl>
    <w:lvl w:ilvl="5" w:tplc="5E86A6B8" w:tentative="1">
      <w:start w:val="1"/>
      <w:numFmt w:val="bullet"/>
      <w:lvlText w:val=""/>
      <w:lvlJc w:val="left"/>
      <w:pPr>
        <w:ind w:left="4320" w:hanging="360"/>
      </w:pPr>
      <w:rPr>
        <w:rFonts w:ascii="Wingdings" w:hAnsi="Wingdings" w:hint="default"/>
      </w:rPr>
    </w:lvl>
    <w:lvl w:ilvl="6" w:tplc="65723BD4" w:tentative="1">
      <w:start w:val="1"/>
      <w:numFmt w:val="bullet"/>
      <w:lvlText w:val=""/>
      <w:lvlJc w:val="left"/>
      <w:pPr>
        <w:ind w:left="5040" w:hanging="360"/>
      </w:pPr>
      <w:rPr>
        <w:rFonts w:ascii="Symbol" w:hAnsi="Symbol" w:hint="default"/>
      </w:rPr>
    </w:lvl>
    <w:lvl w:ilvl="7" w:tplc="7E446202" w:tentative="1">
      <w:start w:val="1"/>
      <w:numFmt w:val="bullet"/>
      <w:lvlText w:val="o"/>
      <w:lvlJc w:val="left"/>
      <w:pPr>
        <w:ind w:left="5760" w:hanging="360"/>
      </w:pPr>
      <w:rPr>
        <w:rFonts w:ascii="Courier New" w:hAnsi="Courier New" w:cs="Courier New" w:hint="default"/>
      </w:rPr>
    </w:lvl>
    <w:lvl w:ilvl="8" w:tplc="5274B8CE" w:tentative="1">
      <w:start w:val="1"/>
      <w:numFmt w:val="bullet"/>
      <w:lvlText w:val=""/>
      <w:lvlJc w:val="left"/>
      <w:pPr>
        <w:ind w:left="6480" w:hanging="360"/>
      </w:pPr>
      <w:rPr>
        <w:rFonts w:ascii="Wingdings" w:hAnsi="Wingdings" w:hint="default"/>
      </w:rPr>
    </w:lvl>
  </w:abstractNum>
  <w:abstractNum w:abstractNumId="8">
    <w:nsid w:val="00000009"/>
    <w:multiLevelType w:val="hybridMultilevel"/>
    <w:tmpl w:val="D87A779C"/>
    <w:lvl w:ilvl="0" w:tplc="52B07934">
      <w:start w:val="1"/>
      <w:numFmt w:val="bullet"/>
      <w:lvlText w:val=""/>
      <w:lvlJc w:val="left"/>
      <w:pPr>
        <w:ind w:left="720" w:hanging="360"/>
      </w:pPr>
      <w:rPr>
        <w:rFonts w:ascii="Symbol" w:hAnsi="Symbol" w:hint="default"/>
      </w:rPr>
    </w:lvl>
    <w:lvl w:ilvl="1" w:tplc="5F049168" w:tentative="1">
      <w:start w:val="1"/>
      <w:numFmt w:val="bullet"/>
      <w:lvlText w:val="o"/>
      <w:lvlJc w:val="left"/>
      <w:pPr>
        <w:ind w:left="1440" w:hanging="360"/>
      </w:pPr>
      <w:rPr>
        <w:rFonts w:ascii="Courier New" w:hAnsi="Courier New" w:cs="Courier New" w:hint="default"/>
      </w:rPr>
    </w:lvl>
    <w:lvl w:ilvl="2" w:tplc="DA3842A6" w:tentative="1">
      <w:start w:val="1"/>
      <w:numFmt w:val="bullet"/>
      <w:lvlText w:val=""/>
      <w:lvlJc w:val="left"/>
      <w:pPr>
        <w:ind w:left="2160" w:hanging="360"/>
      </w:pPr>
      <w:rPr>
        <w:rFonts w:ascii="Wingdings" w:hAnsi="Wingdings" w:hint="default"/>
      </w:rPr>
    </w:lvl>
    <w:lvl w:ilvl="3" w:tplc="68DE8132" w:tentative="1">
      <w:start w:val="1"/>
      <w:numFmt w:val="bullet"/>
      <w:lvlText w:val=""/>
      <w:lvlJc w:val="left"/>
      <w:pPr>
        <w:ind w:left="2880" w:hanging="360"/>
      </w:pPr>
      <w:rPr>
        <w:rFonts w:ascii="Symbol" w:hAnsi="Symbol" w:hint="default"/>
      </w:rPr>
    </w:lvl>
    <w:lvl w:ilvl="4" w:tplc="CBCE23C0" w:tentative="1">
      <w:start w:val="1"/>
      <w:numFmt w:val="bullet"/>
      <w:lvlText w:val="o"/>
      <w:lvlJc w:val="left"/>
      <w:pPr>
        <w:ind w:left="3600" w:hanging="360"/>
      </w:pPr>
      <w:rPr>
        <w:rFonts w:ascii="Courier New" w:hAnsi="Courier New" w:cs="Courier New" w:hint="default"/>
      </w:rPr>
    </w:lvl>
    <w:lvl w:ilvl="5" w:tplc="E75C3A30" w:tentative="1">
      <w:start w:val="1"/>
      <w:numFmt w:val="bullet"/>
      <w:lvlText w:val=""/>
      <w:lvlJc w:val="left"/>
      <w:pPr>
        <w:ind w:left="4320" w:hanging="360"/>
      </w:pPr>
      <w:rPr>
        <w:rFonts w:ascii="Wingdings" w:hAnsi="Wingdings" w:hint="default"/>
      </w:rPr>
    </w:lvl>
    <w:lvl w:ilvl="6" w:tplc="BF0E0E3A" w:tentative="1">
      <w:start w:val="1"/>
      <w:numFmt w:val="bullet"/>
      <w:lvlText w:val=""/>
      <w:lvlJc w:val="left"/>
      <w:pPr>
        <w:ind w:left="5040" w:hanging="360"/>
      </w:pPr>
      <w:rPr>
        <w:rFonts w:ascii="Symbol" w:hAnsi="Symbol" w:hint="default"/>
      </w:rPr>
    </w:lvl>
    <w:lvl w:ilvl="7" w:tplc="41248582" w:tentative="1">
      <w:start w:val="1"/>
      <w:numFmt w:val="bullet"/>
      <w:lvlText w:val="o"/>
      <w:lvlJc w:val="left"/>
      <w:pPr>
        <w:ind w:left="5760" w:hanging="360"/>
      </w:pPr>
      <w:rPr>
        <w:rFonts w:ascii="Courier New" w:hAnsi="Courier New" w:cs="Courier New" w:hint="default"/>
      </w:rPr>
    </w:lvl>
    <w:lvl w:ilvl="8" w:tplc="391A253E" w:tentative="1">
      <w:start w:val="1"/>
      <w:numFmt w:val="bullet"/>
      <w:lvlText w:val=""/>
      <w:lvlJc w:val="left"/>
      <w:pPr>
        <w:ind w:left="6480" w:hanging="360"/>
      </w:pPr>
      <w:rPr>
        <w:rFonts w:ascii="Wingdings" w:hAnsi="Wingdings" w:hint="default"/>
      </w:rPr>
    </w:lvl>
  </w:abstractNum>
  <w:abstractNum w:abstractNumId="9">
    <w:nsid w:val="0000000A"/>
    <w:multiLevelType w:val="hybridMultilevel"/>
    <w:tmpl w:val="F6943CAA"/>
    <w:lvl w:ilvl="0" w:tplc="A0E05E62">
      <w:start w:val="1"/>
      <w:numFmt w:val="bullet"/>
      <w:lvlText w:val=""/>
      <w:lvlJc w:val="left"/>
      <w:pPr>
        <w:ind w:left="720" w:hanging="360"/>
      </w:pPr>
      <w:rPr>
        <w:rFonts w:ascii="Symbol" w:hAnsi="Symbol" w:hint="default"/>
      </w:rPr>
    </w:lvl>
    <w:lvl w:ilvl="1" w:tplc="453EBB68" w:tentative="1">
      <w:start w:val="1"/>
      <w:numFmt w:val="bullet"/>
      <w:lvlText w:val="o"/>
      <w:lvlJc w:val="left"/>
      <w:pPr>
        <w:ind w:left="1440" w:hanging="360"/>
      </w:pPr>
      <w:rPr>
        <w:rFonts w:ascii="Courier New" w:hAnsi="Courier New" w:cs="Courier New" w:hint="default"/>
      </w:rPr>
    </w:lvl>
    <w:lvl w:ilvl="2" w:tplc="3EA234E6" w:tentative="1">
      <w:start w:val="1"/>
      <w:numFmt w:val="bullet"/>
      <w:lvlText w:val=""/>
      <w:lvlJc w:val="left"/>
      <w:pPr>
        <w:ind w:left="2160" w:hanging="360"/>
      </w:pPr>
      <w:rPr>
        <w:rFonts w:ascii="Wingdings" w:hAnsi="Wingdings" w:hint="default"/>
      </w:rPr>
    </w:lvl>
    <w:lvl w:ilvl="3" w:tplc="E286F50C" w:tentative="1">
      <w:start w:val="1"/>
      <w:numFmt w:val="bullet"/>
      <w:lvlText w:val=""/>
      <w:lvlJc w:val="left"/>
      <w:pPr>
        <w:ind w:left="2880" w:hanging="360"/>
      </w:pPr>
      <w:rPr>
        <w:rFonts w:ascii="Symbol" w:hAnsi="Symbol" w:hint="default"/>
      </w:rPr>
    </w:lvl>
    <w:lvl w:ilvl="4" w:tplc="5714007E" w:tentative="1">
      <w:start w:val="1"/>
      <w:numFmt w:val="bullet"/>
      <w:lvlText w:val="o"/>
      <w:lvlJc w:val="left"/>
      <w:pPr>
        <w:ind w:left="3600" w:hanging="360"/>
      </w:pPr>
      <w:rPr>
        <w:rFonts w:ascii="Courier New" w:hAnsi="Courier New" w:cs="Courier New" w:hint="default"/>
      </w:rPr>
    </w:lvl>
    <w:lvl w:ilvl="5" w:tplc="3A9A7E9A" w:tentative="1">
      <w:start w:val="1"/>
      <w:numFmt w:val="bullet"/>
      <w:lvlText w:val=""/>
      <w:lvlJc w:val="left"/>
      <w:pPr>
        <w:ind w:left="4320" w:hanging="360"/>
      </w:pPr>
      <w:rPr>
        <w:rFonts w:ascii="Wingdings" w:hAnsi="Wingdings" w:hint="default"/>
      </w:rPr>
    </w:lvl>
    <w:lvl w:ilvl="6" w:tplc="6922C6E4" w:tentative="1">
      <w:start w:val="1"/>
      <w:numFmt w:val="bullet"/>
      <w:lvlText w:val=""/>
      <w:lvlJc w:val="left"/>
      <w:pPr>
        <w:ind w:left="5040" w:hanging="360"/>
      </w:pPr>
      <w:rPr>
        <w:rFonts w:ascii="Symbol" w:hAnsi="Symbol" w:hint="default"/>
      </w:rPr>
    </w:lvl>
    <w:lvl w:ilvl="7" w:tplc="B57006E6" w:tentative="1">
      <w:start w:val="1"/>
      <w:numFmt w:val="bullet"/>
      <w:lvlText w:val="o"/>
      <w:lvlJc w:val="left"/>
      <w:pPr>
        <w:ind w:left="5760" w:hanging="360"/>
      </w:pPr>
      <w:rPr>
        <w:rFonts w:ascii="Courier New" w:hAnsi="Courier New" w:cs="Courier New" w:hint="default"/>
      </w:rPr>
    </w:lvl>
    <w:lvl w:ilvl="8" w:tplc="E39A2E58" w:tentative="1">
      <w:start w:val="1"/>
      <w:numFmt w:val="bullet"/>
      <w:lvlText w:val=""/>
      <w:lvlJc w:val="left"/>
      <w:pPr>
        <w:ind w:left="6480" w:hanging="360"/>
      </w:pPr>
      <w:rPr>
        <w:rFonts w:ascii="Wingdings" w:hAnsi="Wingdings" w:hint="default"/>
      </w:rPr>
    </w:lvl>
  </w:abstractNum>
  <w:abstractNum w:abstractNumId="10">
    <w:nsid w:val="0000000B"/>
    <w:multiLevelType w:val="multilevel"/>
    <w:tmpl w:val="6B5662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0000000C"/>
    <w:multiLevelType w:val="hybridMultilevel"/>
    <w:tmpl w:val="905CC0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nsid w:val="0000000D"/>
    <w:multiLevelType w:val="multilevel"/>
    <w:tmpl w:val="D1C89AF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3">
    <w:nsid w:val="0000000E"/>
    <w:multiLevelType w:val="multilevel"/>
    <w:tmpl w:val="8D38421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4">
    <w:nsid w:val="0000000F"/>
    <w:multiLevelType w:val="hybridMultilevel"/>
    <w:tmpl w:val="0B3C6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00000010"/>
    <w:multiLevelType w:val="hybridMultilevel"/>
    <w:tmpl w:val="1C5A2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00000011"/>
    <w:multiLevelType w:val="hybridMultilevel"/>
    <w:tmpl w:val="E3E43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00000012"/>
    <w:multiLevelType w:val="hybridMultilevel"/>
    <w:tmpl w:val="E7A8D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00000013"/>
    <w:multiLevelType w:val="multilevel"/>
    <w:tmpl w:val="1F4C17B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9">
    <w:nsid w:val="00000014"/>
    <w:multiLevelType w:val="hybridMultilevel"/>
    <w:tmpl w:val="4D9CC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00000015"/>
    <w:multiLevelType w:val="multilevel"/>
    <w:tmpl w:val="526ED7C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1">
    <w:nsid w:val="00000016"/>
    <w:multiLevelType w:val="hybridMultilevel"/>
    <w:tmpl w:val="C4322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00000017"/>
    <w:multiLevelType w:val="hybridMultilevel"/>
    <w:tmpl w:val="621E91AE"/>
    <w:lvl w:ilvl="0" w:tplc="A522A040">
      <w:start w:val="1"/>
      <w:numFmt w:val="bullet"/>
      <w:lvlText w:val="•"/>
      <w:lvlJc w:val="left"/>
      <w:pPr>
        <w:ind w:left="1440" w:hanging="720"/>
      </w:pPr>
      <w:rPr>
        <w:rFonts w:ascii="Arial" w:eastAsia="Times New Roman" w:hAnsi="Arial" w:cs="Arial" w:hint="default"/>
      </w:rPr>
    </w:lvl>
    <w:lvl w:ilvl="1" w:tplc="2506D296" w:tentative="1">
      <w:start w:val="1"/>
      <w:numFmt w:val="bullet"/>
      <w:lvlText w:val="o"/>
      <w:lvlJc w:val="left"/>
      <w:pPr>
        <w:ind w:left="1800" w:hanging="360"/>
      </w:pPr>
      <w:rPr>
        <w:rFonts w:ascii="Courier New" w:hAnsi="Courier New" w:cs="Courier New" w:hint="default"/>
      </w:rPr>
    </w:lvl>
    <w:lvl w:ilvl="2" w:tplc="6302E034" w:tentative="1">
      <w:start w:val="1"/>
      <w:numFmt w:val="bullet"/>
      <w:lvlText w:val=""/>
      <w:lvlJc w:val="left"/>
      <w:pPr>
        <w:ind w:left="2520" w:hanging="360"/>
      </w:pPr>
      <w:rPr>
        <w:rFonts w:ascii="Wingdings" w:hAnsi="Wingdings" w:hint="default"/>
      </w:rPr>
    </w:lvl>
    <w:lvl w:ilvl="3" w:tplc="A4B0654A" w:tentative="1">
      <w:start w:val="1"/>
      <w:numFmt w:val="bullet"/>
      <w:lvlText w:val=""/>
      <w:lvlJc w:val="left"/>
      <w:pPr>
        <w:ind w:left="3240" w:hanging="360"/>
      </w:pPr>
      <w:rPr>
        <w:rFonts w:ascii="Symbol" w:hAnsi="Symbol" w:hint="default"/>
      </w:rPr>
    </w:lvl>
    <w:lvl w:ilvl="4" w:tplc="39E21B0C" w:tentative="1">
      <w:start w:val="1"/>
      <w:numFmt w:val="bullet"/>
      <w:lvlText w:val="o"/>
      <w:lvlJc w:val="left"/>
      <w:pPr>
        <w:ind w:left="3960" w:hanging="360"/>
      </w:pPr>
      <w:rPr>
        <w:rFonts w:ascii="Courier New" w:hAnsi="Courier New" w:cs="Courier New" w:hint="default"/>
      </w:rPr>
    </w:lvl>
    <w:lvl w:ilvl="5" w:tplc="199E425A" w:tentative="1">
      <w:start w:val="1"/>
      <w:numFmt w:val="bullet"/>
      <w:lvlText w:val=""/>
      <w:lvlJc w:val="left"/>
      <w:pPr>
        <w:ind w:left="4680" w:hanging="360"/>
      </w:pPr>
      <w:rPr>
        <w:rFonts w:ascii="Wingdings" w:hAnsi="Wingdings" w:hint="default"/>
      </w:rPr>
    </w:lvl>
    <w:lvl w:ilvl="6" w:tplc="E8EA0FBC" w:tentative="1">
      <w:start w:val="1"/>
      <w:numFmt w:val="bullet"/>
      <w:lvlText w:val=""/>
      <w:lvlJc w:val="left"/>
      <w:pPr>
        <w:ind w:left="5400" w:hanging="360"/>
      </w:pPr>
      <w:rPr>
        <w:rFonts w:ascii="Symbol" w:hAnsi="Symbol" w:hint="default"/>
      </w:rPr>
    </w:lvl>
    <w:lvl w:ilvl="7" w:tplc="26BEC98E" w:tentative="1">
      <w:start w:val="1"/>
      <w:numFmt w:val="bullet"/>
      <w:lvlText w:val="o"/>
      <w:lvlJc w:val="left"/>
      <w:pPr>
        <w:ind w:left="6120" w:hanging="360"/>
      </w:pPr>
      <w:rPr>
        <w:rFonts w:ascii="Courier New" w:hAnsi="Courier New" w:cs="Courier New" w:hint="default"/>
      </w:rPr>
    </w:lvl>
    <w:lvl w:ilvl="8" w:tplc="E8BCF96A" w:tentative="1">
      <w:start w:val="1"/>
      <w:numFmt w:val="bullet"/>
      <w:lvlText w:val=""/>
      <w:lvlJc w:val="left"/>
      <w:pPr>
        <w:ind w:left="6840" w:hanging="360"/>
      </w:pPr>
      <w:rPr>
        <w:rFonts w:ascii="Wingdings" w:hAnsi="Wingdings" w:hint="default"/>
      </w:rPr>
    </w:lvl>
  </w:abstractNum>
  <w:abstractNum w:abstractNumId="23">
    <w:nsid w:val="00000018"/>
    <w:multiLevelType w:val="multilevel"/>
    <w:tmpl w:val="11BA8F0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4">
    <w:nsid w:val="00000019"/>
    <w:multiLevelType w:val="hybridMultilevel"/>
    <w:tmpl w:val="F146A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0000001A"/>
    <w:multiLevelType w:val="multilevel"/>
    <w:tmpl w:val="D53AC64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6">
    <w:nsid w:val="0000001B"/>
    <w:multiLevelType w:val="multilevel"/>
    <w:tmpl w:val="60A4050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7">
    <w:nsid w:val="0000001C"/>
    <w:multiLevelType w:val="multilevel"/>
    <w:tmpl w:val="9892C9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0000001D"/>
    <w:multiLevelType w:val="hybridMultilevel"/>
    <w:tmpl w:val="0DA60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0000001E"/>
    <w:multiLevelType w:val="multilevel"/>
    <w:tmpl w:val="AB24F25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0">
    <w:nsid w:val="0000001F"/>
    <w:multiLevelType w:val="hybridMultilevel"/>
    <w:tmpl w:val="9B2C5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00000020"/>
    <w:multiLevelType w:val="multilevel"/>
    <w:tmpl w:val="48CADD1C"/>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2">
    <w:nsid w:val="00000021"/>
    <w:multiLevelType w:val="multilevel"/>
    <w:tmpl w:val="E0F6BAE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3">
    <w:nsid w:val="00000022"/>
    <w:multiLevelType w:val="hybridMultilevel"/>
    <w:tmpl w:val="8AF2F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00000023"/>
    <w:multiLevelType w:val="hybridMultilevel"/>
    <w:tmpl w:val="32F41684"/>
    <w:lvl w:ilvl="0" w:tplc="510EE3C0">
      <w:start w:val="1"/>
      <w:numFmt w:val="bullet"/>
      <w:lvlText w:val=""/>
      <w:lvlJc w:val="left"/>
      <w:pPr>
        <w:ind w:left="720" w:hanging="360"/>
      </w:pPr>
      <w:rPr>
        <w:rFonts w:ascii="Symbol" w:hAnsi="Symbol" w:hint="default"/>
      </w:rPr>
    </w:lvl>
    <w:lvl w:ilvl="1" w:tplc="D29088FA" w:tentative="1">
      <w:start w:val="1"/>
      <w:numFmt w:val="bullet"/>
      <w:lvlText w:val="o"/>
      <w:lvlJc w:val="left"/>
      <w:pPr>
        <w:ind w:left="1440" w:hanging="360"/>
      </w:pPr>
      <w:rPr>
        <w:rFonts w:ascii="Courier New" w:hAnsi="Courier New" w:cs="Courier New" w:hint="default"/>
      </w:rPr>
    </w:lvl>
    <w:lvl w:ilvl="2" w:tplc="5D9449E2" w:tentative="1">
      <w:start w:val="1"/>
      <w:numFmt w:val="bullet"/>
      <w:lvlText w:val=""/>
      <w:lvlJc w:val="left"/>
      <w:pPr>
        <w:ind w:left="2160" w:hanging="360"/>
      </w:pPr>
      <w:rPr>
        <w:rFonts w:ascii="Wingdings" w:hAnsi="Wingdings" w:hint="default"/>
      </w:rPr>
    </w:lvl>
    <w:lvl w:ilvl="3" w:tplc="EBF244CA" w:tentative="1">
      <w:start w:val="1"/>
      <w:numFmt w:val="bullet"/>
      <w:lvlText w:val=""/>
      <w:lvlJc w:val="left"/>
      <w:pPr>
        <w:ind w:left="2880" w:hanging="360"/>
      </w:pPr>
      <w:rPr>
        <w:rFonts w:ascii="Symbol" w:hAnsi="Symbol" w:hint="default"/>
      </w:rPr>
    </w:lvl>
    <w:lvl w:ilvl="4" w:tplc="6CA0AFEA" w:tentative="1">
      <w:start w:val="1"/>
      <w:numFmt w:val="bullet"/>
      <w:lvlText w:val="o"/>
      <w:lvlJc w:val="left"/>
      <w:pPr>
        <w:ind w:left="3600" w:hanging="360"/>
      </w:pPr>
      <w:rPr>
        <w:rFonts w:ascii="Courier New" w:hAnsi="Courier New" w:cs="Courier New" w:hint="default"/>
      </w:rPr>
    </w:lvl>
    <w:lvl w:ilvl="5" w:tplc="0FE04E08" w:tentative="1">
      <w:start w:val="1"/>
      <w:numFmt w:val="bullet"/>
      <w:lvlText w:val=""/>
      <w:lvlJc w:val="left"/>
      <w:pPr>
        <w:ind w:left="4320" w:hanging="360"/>
      </w:pPr>
      <w:rPr>
        <w:rFonts w:ascii="Wingdings" w:hAnsi="Wingdings" w:hint="default"/>
      </w:rPr>
    </w:lvl>
    <w:lvl w:ilvl="6" w:tplc="01FECEB0" w:tentative="1">
      <w:start w:val="1"/>
      <w:numFmt w:val="bullet"/>
      <w:lvlText w:val=""/>
      <w:lvlJc w:val="left"/>
      <w:pPr>
        <w:ind w:left="5040" w:hanging="360"/>
      </w:pPr>
      <w:rPr>
        <w:rFonts w:ascii="Symbol" w:hAnsi="Symbol" w:hint="default"/>
      </w:rPr>
    </w:lvl>
    <w:lvl w:ilvl="7" w:tplc="EECEE17A" w:tentative="1">
      <w:start w:val="1"/>
      <w:numFmt w:val="bullet"/>
      <w:lvlText w:val="o"/>
      <w:lvlJc w:val="left"/>
      <w:pPr>
        <w:ind w:left="5760" w:hanging="360"/>
      </w:pPr>
      <w:rPr>
        <w:rFonts w:ascii="Courier New" w:hAnsi="Courier New" w:cs="Courier New" w:hint="default"/>
      </w:rPr>
    </w:lvl>
    <w:lvl w:ilvl="8" w:tplc="AE964086" w:tentative="1">
      <w:start w:val="1"/>
      <w:numFmt w:val="bullet"/>
      <w:lvlText w:val=""/>
      <w:lvlJc w:val="left"/>
      <w:pPr>
        <w:ind w:left="6480" w:hanging="360"/>
      </w:pPr>
      <w:rPr>
        <w:rFonts w:ascii="Wingdings" w:hAnsi="Wingdings" w:hint="default"/>
      </w:rPr>
    </w:lvl>
  </w:abstractNum>
  <w:abstractNum w:abstractNumId="35">
    <w:nsid w:val="00000024"/>
    <w:multiLevelType w:val="hybridMultilevel"/>
    <w:tmpl w:val="125480E4"/>
    <w:lvl w:ilvl="0" w:tplc="608E9D4C">
      <w:start w:val="1"/>
      <w:numFmt w:val="bullet"/>
      <w:lvlText w:val=""/>
      <w:lvlJc w:val="left"/>
      <w:pPr>
        <w:ind w:left="720" w:hanging="360"/>
      </w:pPr>
      <w:rPr>
        <w:rFonts w:ascii="Symbol" w:hAnsi="Symbol" w:hint="default"/>
      </w:rPr>
    </w:lvl>
    <w:lvl w:ilvl="1" w:tplc="1D78F7DE" w:tentative="1">
      <w:start w:val="1"/>
      <w:numFmt w:val="bullet"/>
      <w:lvlText w:val="o"/>
      <w:lvlJc w:val="left"/>
      <w:pPr>
        <w:ind w:left="1440" w:hanging="360"/>
      </w:pPr>
      <w:rPr>
        <w:rFonts w:ascii="Courier New" w:hAnsi="Courier New" w:cs="Courier New" w:hint="default"/>
      </w:rPr>
    </w:lvl>
    <w:lvl w:ilvl="2" w:tplc="99447514" w:tentative="1">
      <w:start w:val="1"/>
      <w:numFmt w:val="bullet"/>
      <w:lvlText w:val=""/>
      <w:lvlJc w:val="left"/>
      <w:pPr>
        <w:ind w:left="2160" w:hanging="360"/>
      </w:pPr>
      <w:rPr>
        <w:rFonts w:ascii="Wingdings" w:hAnsi="Wingdings" w:hint="default"/>
      </w:rPr>
    </w:lvl>
    <w:lvl w:ilvl="3" w:tplc="DF207D38" w:tentative="1">
      <w:start w:val="1"/>
      <w:numFmt w:val="bullet"/>
      <w:lvlText w:val=""/>
      <w:lvlJc w:val="left"/>
      <w:pPr>
        <w:ind w:left="2880" w:hanging="360"/>
      </w:pPr>
      <w:rPr>
        <w:rFonts w:ascii="Symbol" w:hAnsi="Symbol" w:hint="default"/>
      </w:rPr>
    </w:lvl>
    <w:lvl w:ilvl="4" w:tplc="2A8CBC6E" w:tentative="1">
      <w:start w:val="1"/>
      <w:numFmt w:val="bullet"/>
      <w:lvlText w:val="o"/>
      <w:lvlJc w:val="left"/>
      <w:pPr>
        <w:ind w:left="3600" w:hanging="360"/>
      </w:pPr>
      <w:rPr>
        <w:rFonts w:ascii="Courier New" w:hAnsi="Courier New" w:cs="Courier New" w:hint="default"/>
      </w:rPr>
    </w:lvl>
    <w:lvl w:ilvl="5" w:tplc="52B8D21C" w:tentative="1">
      <w:start w:val="1"/>
      <w:numFmt w:val="bullet"/>
      <w:lvlText w:val=""/>
      <w:lvlJc w:val="left"/>
      <w:pPr>
        <w:ind w:left="4320" w:hanging="360"/>
      </w:pPr>
      <w:rPr>
        <w:rFonts w:ascii="Wingdings" w:hAnsi="Wingdings" w:hint="default"/>
      </w:rPr>
    </w:lvl>
    <w:lvl w:ilvl="6" w:tplc="3CDE8F78" w:tentative="1">
      <w:start w:val="1"/>
      <w:numFmt w:val="bullet"/>
      <w:lvlText w:val=""/>
      <w:lvlJc w:val="left"/>
      <w:pPr>
        <w:ind w:left="5040" w:hanging="360"/>
      </w:pPr>
      <w:rPr>
        <w:rFonts w:ascii="Symbol" w:hAnsi="Symbol" w:hint="default"/>
      </w:rPr>
    </w:lvl>
    <w:lvl w:ilvl="7" w:tplc="76C85F5E" w:tentative="1">
      <w:start w:val="1"/>
      <w:numFmt w:val="bullet"/>
      <w:lvlText w:val="o"/>
      <w:lvlJc w:val="left"/>
      <w:pPr>
        <w:ind w:left="5760" w:hanging="360"/>
      </w:pPr>
      <w:rPr>
        <w:rFonts w:ascii="Courier New" w:hAnsi="Courier New" w:cs="Courier New" w:hint="default"/>
      </w:rPr>
    </w:lvl>
    <w:lvl w:ilvl="8" w:tplc="069E29E2" w:tentative="1">
      <w:start w:val="1"/>
      <w:numFmt w:val="bullet"/>
      <w:lvlText w:val=""/>
      <w:lvlJc w:val="left"/>
      <w:pPr>
        <w:ind w:left="6480" w:hanging="360"/>
      </w:pPr>
      <w:rPr>
        <w:rFonts w:ascii="Wingdings" w:hAnsi="Wingdings" w:hint="default"/>
      </w:rPr>
    </w:lvl>
  </w:abstractNum>
  <w:abstractNum w:abstractNumId="36">
    <w:nsid w:val="1FC46126"/>
    <w:multiLevelType w:val="hybridMultilevel"/>
    <w:tmpl w:val="6340F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352412F"/>
    <w:multiLevelType w:val="hybridMultilevel"/>
    <w:tmpl w:val="D5F82E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39A1619"/>
    <w:multiLevelType w:val="multilevel"/>
    <w:tmpl w:val="EDE63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253B74EA"/>
    <w:multiLevelType w:val="hybridMultilevel"/>
    <w:tmpl w:val="04627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7442368"/>
    <w:multiLevelType w:val="hybridMultilevel"/>
    <w:tmpl w:val="0AFE1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B047C00"/>
    <w:multiLevelType w:val="multilevel"/>
    <w:tmpl w:val="E140E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2CEE5DA9"/>
    <w:multiLevelType w:val="multilevel"/>
    <w:tmpl w:val="EFD8A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1A966DA"/>
    <w:multiLevelType w:val="hybridMultilevel"/>
    <w:tmpl w:val="AAB8DB90"/>
    <w:lvl w:ilvl="0" w:tplc="7CFEC2C2">
      <w:start w:val="1"/>
      <w:numFmt w:val="bullet"/>
      <w:lvlText w:val=""/>
      <w:lvlJc w:val="left"/>
      <w:pPr>
        <w:ind w:left="1140" w:hanging="360"/>
      </w:pPr>
      <w:rPr>
        <w:rFonts w:ascii="Symbol" w:hAnsi="Symbol" w:hint="default"/>
      </w:rPr>
    </w:lvl>
    <w:lvl w:ilvl="1" w:tplc="34DAE01C" w:tentative="1">
      <w:start w:val="1"/>
      <w:numFmt w:val="bullet"/>
      <w:lvlText w:val="o"/>
      <w:lvlJc w:val="left"/>
      <w:pPr>
        <w:ind w:left="1860" w:hanging="360"/>
      </w:pPr>
      <w:rPr>
        <w:rFonts w:ascii="Courier New" w:hAnsi="Courier New" w:cs="Courier New" w:hint="default"/>
      </w:rPr>
    </w:lvl>
    <w:lvl w:ilvl="2" w:tplc="2842BBFA" w:tentative="1">
      <w:start w:val="1"/>
      <w:numFmt w:val="bullet"/>
      <w:lvlText w:val=""/>
      <w:lvlJc w:val="left"/>
      <w:pPr>
        <w:ind w:left="2580" w:hanging="360"/>
      </w:pPr>
      <w:rPr>
        <w:rFonts w:ascii="Wingdings" w:hAnsi="Wingdings" w:hint="default"/>
      </w:rPr>
    </w:lvl>
    <w:lvl w:ilvl="3" w:tplc="14E27C0C" w:tentative="1">
      <w:start w:val="1"/>
      <w:numFmt w:val="bullet"/>
      <w:lvlText w:val=""/>
      <w:lvlJc w:val="left"/>
      <w:pPr>
        <w:ind w:left="3300" w:hanging="360"/>
      </w:pPr>
      <w:rPr>
        <w:rFonts w:ascii="Symbol" w:hAnsi="Symbol" w:hint="default"/>
      </w:rPr>
    </w:lvl>
    <w:lvl w:ilvl="4" w:tplc="628ABFD0" w:tentative="1">
      <w:start w:val="1"/>
      <w:numFmt w:val="bullet"/>
      <w:lvlText w:val="o"/>
      <w:lvlJc w:val="left"/>
      <w:pPr>
        <w:ind w:left="4020" w:hanging="360"/>
      </w:pPr>
      <w:rPr>
        <w:rFonts w:ascii="Courier New" w:hAnsi="Courier New" w:cs="Courier New" w:hint="default"/>
      </w:rPr>
    </w:lvl>
    <w:lvl w:ilvl="5" w:tplc="3F7CDBCE" w:tentative="1">
      <w:start w:val="1"/>
      <w:numFmt w:val="bullet"/>
      <w:lvlText w:val=""/>
      <w:lvlJc w:val="left"/>
      <w:pPr>
        <w:ind w:left="4740" w:hanging="360"/>
      </w:pPr>
      <w:rPr>
        <w:rFonts w:ascii="Wingdings" w:hAnsi="Wingdings" w:hint="default"/>
      </w:rPr>
    </w:lvl>
    <w:lvl w:ilvl="6" w:tplc="1DCA36BE" w:tentative="1">
      <w:start w:val="1"/>
      <w:numFmt w:val="bullet"/>
      <w:lvlText w:val=""/>
      <w:lvlJc w:val="left"/>
      <w:pPr>
        <w:ind w:left="5460" w:hanging="360"/>
      </w:pPr>
      <w:rPr>
        <w:rFonts w:ascii="Symbol" w:hAnsi="Symbol" w:hint="default"/>
      </w:rPr>
    </w:lvl>
    <w:lvl w:ilvl="7" w:tplc="60F060DA" w:tentative="1">
      <w:start w:val="1"/>
      <w:numFmt w:val="bullet"/>
      <w:lvlText w:val="o"/>
      <w:lvlJc w:val="left"/>
      <w:pPr>
        <w:ind w:left="6180" w:hanging="360"/>
      </w:pPr>
      <w:rPr>
        <w:rFonts w:ascii="Courier New" w:hAnsi="Courier New" w:cs="Courier New" w:hint="default"/>
      </w:rPr>
    </w:lvl>
    <w:lvl w:ilvl="8" w:tplc="E66A1C22" w:tentative="1">
      <w:start w:val="1"/>
      <w:numFmt w:val="bullet"/>
      <w:lvlText w:val=""/>
      <w:lvlJc w:val="left"/>
      <w:pPr>
        <w:ind w:left="6900" w:hanging="360"/>
      </w:pPr>
      <w:rPr>
        <w:rFonts w:ascii="Wingdings" w:hAnsi="Wingdings" w:hint="default"/>
      </w:rPr>
    </w:lvl>
  </w:abstractNum>
  <w:abstractNum w:abstractNumId="44">
    <w:nsid w:val="352B6193"/>
    <w:multiLevelType w:val="multilevel"/>
    <w:tmpl w:val="0D2A4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3FA27614"/>
    <w:multiLevelType w:val="hybridMultilevel"/>
    <w:tmpl w:val="5CB03B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C326A75"/>
    <w:multiLevelType w:val="hybridMultilevel"/>
    <w:tmpl w:val="C09815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3942D29"/>
    <w:multiLevelType w:val="multilevel"/>
    <w:tmpl w:val="5D6C8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D65652D"/>
    <w:multiLevelType w:val="multilevel"/>
    <w:tmpl w:val="61E4E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4"/>
  </w:num>
  <w:num w:numId="3">
    <w:abstractNumId w:val="1"/>
  </w:num>
  <w:num w:numId="4">
    <w:abstractNumId w:val="9"/>
  </w:num>
  <w:num w:numId="5">
    <w:abstractNumId w:val="3"/>
  </w:num>
  <w:num w:numId="6">
    <w:abstractNumId w:val="43"/>
  </w:num>
  <w:num w:numId="7">
    <w:abstractNumId w:val="34"/>
  </w:num>
  <w:num w:numId="8">
    <w:abstractNumId w:val="7"/>
  </w:num>
  <w:num w:numId="9">
    <w:abstractNumId w:val="2"/>
  </w:num>
  <w:num w:numId="10">
    <w:abstractNumId w:val="0"/>
  </w:num>
  <w:num w:numId="11">
    <w:abstractNumId w:val="6"/>
  </w:num>
  <w:num w:numId="12">
    <w:abstractNumId w:val="5"/>
  </w:num>
  <w:num w:numId="13">
    <w:abstractNumId w:val="10"/>
  </w:num>
  <w:num w:numId="14">
    <w:abstractNumId w:val="22"/>
  </w:num>
  <w:num w:numId="15">
    <w:abstractNumId w:val="8"/>
  </w:num>
  <w:num w:numId="16">
    <w:abstractNumId w:val="25"/>
  </w:num>
  <w:num w:numId="17">
    <w:abstractNumId w:val="18"/>
  </w:num>
  <w:num w:numId="18">
    <w:abstractNumId w:val="20"/>
  </w:num>
  <w:num w:numId="19">
    <w:abstractNumId w:val="29"/>
  </w:num>
  <w:num w:numId="20">
    <w:abstractNumId w:val="12"/>
  </w:num>
  <w:num w:numId="21">
    <w:abstractNumId w:val="13"/>
  </w:num>
  <w:num w:numId="22">
    <w:abstractNumId w:val="31"/>
  </w:num>
  <w:num w:numId="23">
    <w:abstractNumId w:val="32"/>
  </w:num>
  <w:num w:numId="24">
    <w:abstractNumId w:val="26"/>
  </w:num>
  <w:num w:numId="25">
    <w:abstractNumId w:val="23"/>
  </w:num>
  <w:num w:numId="26">
    <w:abstractNumId w:val="33"/>
  </w:num>
  <w:num w:numId="27">
    <w:abstractNumId w:val="17"/>
  </w:num>
  <w:num w:numId="28">
    <w:abstractNumId w:val="16"/>
  </w:num>
  <w:num w:numId="29">
    <w:abstractNumId w:val="24"/>
  </w:num>
  <w:num w:numId="30">
    <w:abstractNumId w:val="14"/>
  </w:num>
  <w:num w:numId="31">
    <w:abstractNumId w:val="30"/>
  </w:num>
  <w:num w:numId="32">
    <w:abstractNumId w:val="19"/>
  </w:num>
  <w:num w:numId="33">
    <w:abstractNumId w:val="21"/>
  </w:num>
  <w:num w:numId="34">
    <w:abstractNumId w:val="15"/>
  </w:num>
  <w:num w:numId="35">
    <w:abstractNumId w:val="28"/>
  </w:num>
  <w:num w:numId="36">
    <w:abstractNumId w:val="11"/>
  </w:num>
  <w:num w:numId="37">
    <w:abstractNumId w:val="35"/>
  </w:num>
  <w:num w:numId="38">
    <w:abstractNumId w:val="47"/>
  </w:num>
  <w:num w:numId="39">
    <w:abstractNumId w:val="42"/>
  </w:num>
  <w:num w:numId="40">
    <w:abstractNumId w:val="44"/>
  </w:num>
  <w:num w:numId="41">
    <w:abstractNumId w:val="38"/>
  </w:num>
  <w:num w:numId="42">
    <w:abstractNumId w:val="41"/>
  </w:num>
  <w:num w:numId="43">
    <w:abstractNumId w:val="48"/>
  </w:num>
  <w:num w:numId="44">
    <w:abstractNumId w:val="39"/>
  </w:num>
  <w:num w:numId="45">
    <w:abstractNumId w:val="46"/>
  </w:num>
  <w:num w:numId="46">
    <w:abstractNumId w:val="36"/>
  </w:num>
  <w:num w:numId="47">
    <w:abstractNumId w:val="40"/>
  </w:num>
  <w:num w:numId="48">
    <w:abstractNumId w:val="37"/>
  </w:num>
  <w:num w:numId="49">
    <w:abstractNumId w:val="4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Odette Jack">
    <w15:presenceInfo w15:providerId="Windows Live" w15:userId="577a32b12b2d535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732E6C"/>
    <w:rsid w:val="00040B13"/>
    <w:rsid w:val="00061BB7"/>
    <w:rsid w:val="00067936"/>
    <w:rsid w:val="0007442D"/>
    <w:rsid w:val="000811A7"/>
    <w:rsid w:val="00087A65"/>
    <w:rsid w:val="00090A31"/>
    <w:rsid w:val="000B301C"/>
    <w:rsid w:val="000B67BF"/>
    <w:rsid w:val="000C1970"/>
    <w:rsid w:val="000C1B1B"/>
    <w:rsid w:val="000D0F2B"/>
    <w:rsid w:val="000D3F6F"/>
    <w:rsid w:val="000F4F25"/>
    <w:rsid w:val="000F6E0F"/>
    <w:rsid w:val="000F7458"/>
    <w:rsid w:val="0011189B"/>
    <w:rsid w:val="0011257B"/>
    <w:rsid w:val="00145A4B"/>
    <w:rsid w:val="0017115B"/>
    <w:rsid w:val="00181470"/>
    <w:rsid w:val="001969DB"/>
    <w:rsid w:val="001A1CF0"/>
    <w:rsid w:val="001C3F47"/>
    <w:rsid w:val="001E00DB"/>
    <w:rsid w:val="001F0603"/>
    <w:rsid w:val="00202E8D"/>
    <w:rsid w:val="00217F53"/>
    <w:rsid w:val="00242287"/>
    <w:rsid w:val="00250983"/>
    <w:rsid w:val="002542C9"/>
    <w:rsid w:val="00256A6D"/>
    <w:rsid w:val="002974A9"/>
    <w:rsid w:val="002B6E0B"/>
    <w:rsid w:val="002C1B2C"/>
    <w:rsid w:val="00307865"/>
    <w:rsid w:val="003105DB"/>
    <w:rsid w:val="003257DA"/>
    <w:rsid w:val="00380414"/>
    <w:rsid w:val="003835E2"/>
    <w:rsid w:val="0038729C"/>
    <w:rsid w:val="00390CCF"/>
    <w:rsid w:val="003C12D5"/>
    <w:rsid w:val="003C625D"/>
    <w:rsid w:val="003E5C57"/>
    <w:rsid w:val="003F7C71"/>
    <w:rsid w:val="0041639E"/>
    <w:rsid w:val="00441B34"/>
    <w:rsid w:val="00441C98"/>
    <w:rsid w:val="00465A71"/>
    <w:rsid w:val="004821D3"/>
    <w:rsid w:val="004A2537"/>
    <w:rsid w:val="004A2E48"/>
    <w:rsid w:val="004D2A20"/>
    <w:rsid w:val="004D6792"/>
    <w:rsid w:val="004D70E4"/>
    <w:rsid w:val="004E1A8C"/>
    <w:rsid w:val="004F6E42"/>
    <w:rsid w:val="0052157A"/>
    <w:rsid w:val="00521AB6"/>
    <w:rsid w:val="005408D2"/>
    <w:rsid w:val="005420B7"/>
    <w:rsid w:val="005421ED"/>
    <w:rsid w:val="005442DA"/>
    <w:rsid w:val="00552F9C"/>
    <w:rsid w:val="00562501"/>
    <w:rsid w:val="005A55E7"/>
    <w:rsid w:val="005B15D7"/>
    <w:rsid w:val="00600EF2"/>
    <w:rsid w:val="00602F85"/>
    <w:rsid w:val="00605E2D"/>
    <w:rsid w:val="00607050"/>
    <w:rsid w:val="00612C05"/>
    <w:rsid w:val="00650546"/>
    <w:rsid w:val="0065306C"/>
    <w:rsid w:val="00660CA1"/>
    <w:rsid w:val="006A006F"/>
    <w:rsid w:val="006B0B57"/>
    <w:rsid w:val="006B45EE"/>
    <w:rsid w:val="006B487D"/>
    <w:rsid w:val="006D3F78"/>
    <w:rsid w:val="00714612"/>
    <w:rsid w:val="00724F94"/>
    <w:rsid w:val="00732E6C"/>
    <w:rsid w:val="007330FB"/>
    <w:rsid w:val="007367AE"/>
    <w:rsid w:val="00750B9A"/>
    <w:rsid w:val="00751F3F"/>
    <w:rsid w:val="00775263"/>
    <w:rsid w:val="00776F92"/>
    <w:rsid w:val="007D1336"/>
    <w:rsid w:val="007D526B"/>
    <w:rsid w:val="007E3220"/>
    <w:rsid w:val="007E4A0C"/>
    <w:rsid w:val="0083027C"/>
    <w:rsid w:val="008364F7"/>
    <w:rsid w:val="008412FA"/>
    <w:rsid w:val="00893D8B"/>
    <w:rsid w:val="008A570F"/>
    <w:rsid w:val="008B336E"/>
    <w:rsid w:val="008B652E"/>
    <w:rsid w:val="008D1117"/>
    <w:rsid w:val="008E3ADC"/>
    <w:rsid w:val="008F7A11"/>
    <w:rsid w:val="00902245"/>
    <w:rsid w:val="00933078"/>
    <w:rsid w:val="00940400"/>
    <w:rsid w:val="00944526"/>
    <w:rsid w:val="009633CB"/>
    <w:rsid w:val="00983F45"/>
    <w:rsid w:val="0098755F"/>
    <w:rsid w:val="009A4577"/>
    <w:rsid w:val="009B36AD"/>
    <w:rsid w:val="009C7626"/>
    <w:rsid w:val="00A003AB"/>
    <w:rsid w:val="00A071B4"/>
    <w:rsid w:val="00A07806"/>
    <w:rsid w:val="00A24B4E"/>
    <w:rsid w:val="00A32DFD"/>
    <w:rsid w:val="00A3727A"/>
    <w:rsid w:val="00A55B18"/>
    <w:rsid w:val="00A72C7F"/>
    <w:rsid w:val="00A95A9C"/>
    <w:rsid w:val="00AB0F98"/>
    <w:rsid w:val="00AE54C6"/>
    <w:rsid w:val="00B22504"/>
    <w:rsid w:val="00B34DF0"/>
    <w:rsid w:val="00B44579"/>
    <w:rsid w:val="00B65BF6"/>
    <w:rsid w:val="00B71709"/>
    <w:rsid w:val="00B91AB9"/>
    <w:rsid w:val="00B97CA6"/>
    <w:rsid w:val="00BC5372"/>
    <w:rsid w:val="00BD0D98"/>
    <w:rsid w:val="00BD34BB"/>
    <w:rsid w:val="00BE6B8C"/>
    <w:rsid w:val="00BE711B"/>
    <w:rsid w:val="00C057DA"/>
    <w:rsid w:val="00C0635E"/>
    <w:rsid w:val="00C11B2F"/>
    <w:rsid w:val="00C42A78"/>
    <w:rsid w:val="00C74CF3"/>
    <w:rsid w:val="00C83F43"/>
    <w:rsid w:val="00CA50DB"/>
    <w:rsid w:val="00CC7E3E"/>
    <w:rsid w:val="00CF0643"/>
    <w:rsid w:val="00D3497C"/>
    <w:rsid w:val="00D36B77"/>
    <w:rsid w:val="00D4702A"/>
    <w:rsid w:val="00D51B11"/>
    <w:rsid w:val="00DA12EC"/>
    <w:rsid w:val="00DA3CCD"/>
    <w:rsid w:val="00DC3388"/>
    <w:rsid w:val="00DC719A"/>
    <w:rsid w:val="00DF099F"/>
    <w:rsid w:val="00DF384F"/>
    <w:rsid w:val="00E0446F"/>
    <w:rsid w:val="00E04656"/>
    <w:rsid w:val="00E8181B"/>
    <w:rsid w:val="00E82F74"/>
    <w:rsid w:val="00E83286"/>
    <w:rsid w:val="00E920E5"/>
    <w:rsid w:val="00EA548F"/>
    <w:rsid w:val="00EA7EBB"/>
    <w:rsid w:val="00ED7033"/>
    <w:rsid w:val="00F027DD"/>
    <w:rsid w:val="00F051BD"/>
    <w:rsid w:val="00F15F6E"/>
    <w:rsid w:val="00F22F40"/>
    <w:rsid w:val="00F4318D"/>
    <w:rsid w:val="00F67CEA"/>
    <w:rsid w:val="00F876A3"/>
    <w:rsid w:val="00FC1452"/>
    <w:rsid w:val="00FC765A"/>
    <w:rsid w:val="00FE583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7"/>
    <o:shapelayout v:ext="edit">
      <o:idmap v:ext="edit" data="1"/>
      <o:rules v:ext="edit">
        <o:r id="V:Rule1" type="connector" idref="#Straight Arrow Connector 1929708194"/>
        <o:r id="V:Rule2" type="connector" idref="#Straight Arrow Connector 1929708193"/>
        <o:r id="V:Rule3" type="connector" idref="#Straight Arrow Connector 30"/>
        <o:r id="V:Rule4" type="connector" idref="#Straight Arrow Connector 26"/>
        <o:r id="V:Rule5" type="connector" idref="#Straight Arrow Connector 29"/>
        <o:r id="V:Rule6" type="connector" idref="#Straight Arrow Connector 22"/>
        <o:r id="V:Rule7" type="connector" idref="#Straight Arrow Connector 25"/>
        <o:r id="V:Rule8" type="connector" idref="#Straight Arrow Connector 21"/>
      </o:rules>
    </o:shapelayout>
  </w:shapeDefaults>
  <w:decimalSymbol w:val="."/>
  <w:listSeparator w:val=","/>
  <w14:docId w14:val="576B9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Book Antiqua" w:eastAsia="Book Antiqua" w:hAnsi="Book Antiqua" w:cs="SimSu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7DD"/>
    <w:pPr>
      <w:spacing w:after="0" w:line="360" w:lineRule="auto"/>
      <w:jc w:val="both"/>
    </w:pPr>
    <w:rPr>
      <w:rFonts w:ascii="Arial" w:hAnsi="Arial"/>
      <w:shd w:val="clear" w:color="auto" w:fill="FFFFFF"/>
    </w:rPr>
  </w:style>
  <w:style w:type="paragraph" w:styleId="Heading1">
    <w:name w:val="heading 1"/>
    <w:basedOn w:val="Normal"/>
    <w:next w:val="Normal"/>
    <w:link w:val="Heading1Char"/>
    <w:uiPriority w:val="9"/>
    <w:qFormat/>
    <w:rsid w:val="00BE711B"/>
    <w:pPr>
      <w:keepNext/>
      <w:keepLines/>
      <w:outlineLvl w:val="0"/>
    </w:pPr>
    <w:rPr>
      <w:rFonts w:eastAsia="SimSun"/>
      <w:b/>
      <w:bCs/>
      <w:color w:val="000000"/>
      <w:sz w:val="28"/>
      <w:szCs w:val="28"/>
    </w:rPr>
  </w:style>
  <w:style w:type="paragraph" w:styleId="Heading2">
    <w:name w:val="heading 2"/>
    <w:basedOn w:val="Normal"/>
    <w:next w:val="Normal"/>
    <w:link w:val="Heading2Char"/>
    <w:uiPriority w:val="9"/>
    <w:unhideWhenUsed/>
    <w:qFormat/>
    <w:rsid w:val="00BE711B"/>
    <w:pPr>
      <w:keepNext/>
      <w:keepLines/>
      <w:outlineLvl w:val="1"/>
    </w:pPr>
    <w:rPr>
      <w:rFonts w:eastAsia="SimSun"/>
      <w:bCs/>
      <w:color w:val="000000"/>
      <w:szCs w:val="26"/>
      <w:u w:val="single"/>
    </w:rPr>
  </w:style>
  <w:style w:type="paragraph" w:styleId="Heading3">
    <w:name w:val="heading 3"/>
    <w:basedOn w:val="Normal"/>
    <w:next w:val="Normal"/>
    <w:link w:val="Heading3Char"/>
    <w:uiPriority w:val="9"/>
    <w:unhideWhenUsed/>
    <w:qFormat/>
    <w:rsid w:val="00602F85"/>
    <w:pPr>
      <w:keepNext/>
      <w:keepLines/>
      <w:outlineLvl w:val="2"/>
    </w:pPr>
    <w:rPr>
      <w:rFonts w:eastAsia="SimSun"/>
      <w:b/>
      <w:bCs/>
      <w:i/>
      <w:color w:val="000000"/>
    </w:rPr>
  </w:style>
  <w:style w:type="paragraph" w:styleId="Heading4">
    <w:name w:val="heading 4"/>
    <w:basedOn w:val="Normal"/>
    <w:next w:val="Normal"/>
    <w:link w:val="Heading4Char"/>
    <w:uiPriority w:val="9"/>
    <w:unhideWhenUsed/>
    <w:qFormat/>
    <w:rsid w:val="00BE711B"/>
    <w:pPr>
      <w:keepNext/>
      <w:keepLines/>
      <w:spacing w:before="200"/>
      <w:outlineLvl w:val="3"/>
    </w:pPr>
    <w:rPr>
      <w:rFonts w:ascii="Lucida Sans" w:eastAsia="SimSun" w:hAnsi="Lucida Sans"/>
      <w:b/>
      <w:bCs/>
      <w:i/>
      <w:iCs/>
      <w:color w:val="4F81BD"/>
    </w:rPr>
  </w:style>
  <w:style w:type="paragraph" w:styleId="Heading5">
    <w:name w:val="heading 5"/>
    <w:basedOn w:val="Normal"/>
    <w:next w:val="Normal"/>
    <w:link w:val="Heading5Char"/>
    <w:uiPriority w:val="9"/>
    <w:unhideWhenUsed/>
    <w:qFormat/>
    <w:rsid w:val="00BE711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qFormat/>
    <w:rsid w:val="00BE711B"/>
    <w:pPr>
      <w:keepNext/>
      <w:keepLines/>
      <w:spacing w:before="200"/>
      <w:outlineLvl w:val="5"/>
    </w:pPr>
    <w:rPr>
      <w:rFonts w:ascii="Cambria" w:eastAsia="SimSun" w:hAnsi="Cambria" w:cs="Times New Roman"/>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BE711B"/>
  </w:style>
  <w:style w:type="character" w:customStyle="1" w:styleId="Heading1Char">
    <w:name w:val="Heading 1 Char"/>
    <w:basedOn w:val="DefaultParagraphFont"/>
    <w:link w:val="Heading1"/>
    <w:uiPriority w:val="9"/>
    <w:rsid w:val="00BE711B"/>
    <w:rPr>
      <w:rFonts w:ascii="Times New Roman" w:eastAsia="SimSun" w:hAnsi="Times New Roman" w:cs="SimSun"/>
      <w:b/>
      <w:bCs/>
      <w:color w:val="000000"/>
      <w:sz w:val="28"/>
      <w:szCs w:val="28"/>
    </w:rPr>
  </w:style>
  <w:style w:type="character" w:customStyle="1" w:styleId="Heading2Char">
    <w:name w:val="Heading 2 Char"/>
    <w:basedOn w:val="DefaultParagraphFont"/>
    <w:link w:val="Heading2"/>
    <w:uiPriority w:val="9"/>
    <w:rsid w:val="00BE711B"/>
    <w:rPr>
      <w:rFonts w:ascii="Times New Roman" w:eastAsia="SimSun" w:hAnsi="Times New Roman" w:cs="SimSun"/>
      <w:bCs/>
      <w:color w:val="000000"/>
      <w:sz w:val="24"/>
      <w:szCs w:val="26"/>
      <w:u w:val="single"/>
    </w:rPr>
  </w:style>
  <w:style w:type="paragraph" w:styleId="ListParagraph">
    <w:name w:val="List Paragraph"/>
    <w:basedOn w:val="Normal"/>
    <w:link w:val="ListParagraphChar"/>
    <w:uiPriority w:val="34"/>
    <w:qFormat/>
    <w:rsid w:val="00BE711B"/>
    <w:pPr>
      <w:ind w:left="720"/>
      <w:contextualSpacing/>
    </w:pPr>
    <w:rPr>
      <w:lang w:val="ms-MY"/>
    </w:rPr>
  </w:style>
  <w:style w:type="paragraph" w:styleId="FootnoteText">
    <w:name w:val="footnote text"/>
    <w:basedOn w:val="Normal"/>
    <w:link w:val="FootnoteTextChar"/>
    <w:uiPriority w:val="99"/>
    <w:rsid w:val="00BE711B"/>
    <w:pPr>
      <w:spacing w:line="240" w:lineRule="auto"/>
    </w:pPr>
    <w:rPr>
      <w:sz w:val="20"/>
      <w:szCs w:val="20"/>
    </w:rPr>
  </w:style>
  <w:style w:type="character" w:customStyle="1" w:styleId="FootnoteTextChar">
    <w:name w:val="Footnote Text Char"/>
    <w:basedOn w:val="DefaultParagraphFont"/>
    <w:link w:val="FootnoteText"/>
    <w:uiPriority w:val="99"/>
    <w:rsid w:val="00BE711B"/>
    <w:rPr>
      <w:rFonts w:ascii="Times New Roman" w:hAnsi="Times New Roman"/>
      <w:sz w:val="20"/>
      <w:szCs w:val="20"/>
    </w:rPr>
  </w:style>
  <w:style w:type="character" w:styleId="FootnoteReference">
    <w:name w:val="footnote reference"/>
    <w:basedOn w:val="DefaultParagraphFont"/>
    <w:uiPriority w:val="99"/>
    <w:rsid w:val="00BE711B"/>
    <w:rPr>
      <w:vertAlign w:val="superscript"/>
    </w:rPr>
  </w:style>
  <w:style w:type="table" w:styleId="TableGrid">
    <w:name w:val="Table Grid"/>
    <w:basedOn w:val="TableNormal"/>
    <w:uiPriority w:val="39"/>
    <w:rsid w:val="00BE711B"/>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rsid w:val="00BE71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BE711B"/>
    <w:rPr>
      <w:rFonts w:ascii="Tahoma" w:hAnsi="Tahoma" w:cs="Tahoma"/>
      <w:sz w:val="16"/>
      <w:szCs w:val="16"/>
    </w:rPr>
  </w:style>
  <w:style w:type="paragraph" w:styleId="Caption">
    <w:name w:val="caption"/>
    <w:basedOn w:val="Normal"/>
    <w:next w:val="Normal"/>
    <w:uiPriority w:val="35"/>
    <w:qFormat/>
    <w:rsid w:val="0041639E"/>
    <w:pPr>
      <w:spacing w:after="200" w:line="240" w:lineRule="auto"/>
      <w:jc w:val="center"/>
    </w:pPr>
    <w:rPr>
      <w:b/>
      <w:bCs/>
      <w:color w:val="000000" w:themeColor="text1"/>
      <w:szCs w:val="18"/>
    </w:rPr>
  </w:style>
  <w:style w:type="paragraph" w:styleId="Header">
    <w:name w:val="header"/>
    <w:basedOn w:val="Normal"/>
    <w:link w:val="HeaderChar"/>
    <w:uiPriority w:val="99"/>
    <w:rsid w:val="00BE711B"/>
    <w:pPr>
      <w:tabs>
        <w:tab w:val="center" w:pos="4680"/>
        <w:tab w:val="right" w:pos="9360"/>
      </w:tabs>
      <w:spacing w:line="240" w:lineRule="auto"/>
    </w:pPr>
  </w:style>
  <w:style w:type="character" w:customStyle="1" w:styleId="HeaderChar">
    <w:name w:val="Header Char"/>
    <w:basedOn w:val="DefaultParagraphFont"/>
    <w:link w:val="Header"/>
    <w:uiPriority w:val="99"/>
    <w:rsid w:val="00BE711B"/>
    <w:rPr>
      <w:rFonts w:ascii="Times New Roman" w:hAnsi="Times New Roman"/>
      <w:sz w:val="24"/>
    </w:rPr>
  </w:style>
  <w:style w:type="paragraph" w:styleId="Footer">
    <w:name w:val="footer"/>
    <w:basedOn w:val="Normal"/>
    <w:link w:val="FooterChar"/>
    <w:uiPriority w:val="99"/>
    <w:rsid w:val="00BE711B"/>
    <w:pPr>
      <w:tabs>
        <w:tab w:val="center" w:pos="4680"/>
        <w:tab w:val="right" w:pos="9360"/>
      </w:tabs>
      <w:spacing w:line="240" w:lineRule="auto"/>
    </w:pPr>
  </w:style>
  <w:style w:type="character" w:customStyle="1" w:styleId="FooterChar">
    <w:name w:val="Footer Char"/>
    <w:basedOn w:val="DefaultParagraphFont"/>
    <w:link w:val="Footer"/>
    <w:uiPriority w:val="99"/>
    <w:rsid w:val="00BE711B"/>
    <w:rPr>
      <w:rFonts w:ascii="Times New Roman" w:hAnsi="Times New Roman"/>
      <w:sz w:val="24"/>
    </w:rPr>
  </w:style>
  <w:style w:type="character" w:styleId="Hyperlink">
    <w:name w:val="Hyperlink"/>
    <w:basedOn w:val="DefaultParagraphFont"/>
    <w:uiPriority w:val="99"/>
    <w:rsid w:val="00BE711B"/>
    <w:rPr>
      <w:color w:val="0000FF"/>
      <w:u w:val="single"/>
    </w:rPr>
  </w:style>
  <w:style w:type="character" w:customStyle="1" w:styleId="aqj">
    <w:name w:val="aqj"/>
    <w:basedOn w:val="DefaultParagraphFont"/>
    <w:rsid w:val="00BE711B"/>
  </w:style>
  <w:style w:type="paragraph" w:styleId="Bibliography">
    <w:name w:val="Bibliography"/>
    <w:basedOn w:val="Normal"/>
    <w:next w:val="Normal"/>
    <w:uiPriority w:val="37"/>
    <w:rsid w:val="00BE711B"/>
  </w:style>
  <w:style w:type="paragraph" w:styleId="Title">
    <w:name w:val="Title"/>
    <w:basedOn w:val="Normal"/>
    <w:next w:val="Normal"/>
    <w:link w:val="TitleChar"/>
    <w:uiPriority w:val="10"/>
    <w:qFormat/>
    <w:rsid w:val="00BE711B"/>
    <w:pPr>
      <w:pBdr>
        <w:bottom w:val="single" w:sz="8" w:space="4" w:color="4F81BD"/>
      </w:pBdr>
      <w:spacing w:after="300" w:line="240" w:lineRule="auto"/>
      <w:contextualSpacing/>
    </w:pPr>
    <w:rPr>
      <w:rFonts w:eastAsia="SimSun"/>
      <w:spacing w:val="5"/>
      <w:kern w:val="28"/>
      <w:sz w:val="52"/>
      <w:szCs w:val="52"/>
    </w:rPr>
  </w:style>
  <w:style w:type="character" w:customStyle="1" w:styleId="TitleChar">
    <w:name w:val="Title Char"/>
    <w:basedOn w:val="DefaultParagraphFont"/>
    <w:link w:val="Title"/>
    <w:uiPriority w:val="10"/>
    <w:rsid w:val="00BE711B"/>
    <w:rPr>
      <w:rFonts w:ascii="Times New Roman" w:eastAsia="SimSun" w:hAnsi="Times New Roman" w:cs="SimSun"/>
      <w:spacing w:val="5"/>
      <w:kern w:val="28"/>
      <w:sz w:val="52"/>
      <w:szCs w:val="52"/>
    </w:rPr>
  </w:style>
  <w:style w:type="character" w:customStyle="1" w:styleId="Heading3Char">
    <w:name w:val="Heading 3 Char"/>
    <w:basedOn w:val="DefaultParagraphFont"/>
    <w:link w:val="Heading3"/>
    <w:uiPriority w:val="9"/>
    <w:rsid w:val="00602F85"/>
    <w:rPr>
      <w:rFonts w:ascii="Arial" w:eastAsia="SimSun" w:hAnsi="Arial"/>
      <w:b/>
      <w:bCs/>
      <w:i/>
      <w:color w:val="000000"/>
    </w:rPr>
  </w:style>
  <w:style w:type="paragraph" w:customStyle="1" w:styleId="m8772925966304752777m2501475125118583379gmail-msolistparagraph">
    <w:name w:val="m_8772925966304752777m_2501475125118583379gmail-msolistparagraph"/>
    <w:basedOn w:val="Normal"/>
    <w:rsid w:val="00BE711B"/>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sid w:val="00BE711B"/>
    <w:rPr>
      <w:rFonts w:ascii="Lucida Sans" w:eastAsia="SimSun" w:hAnsi="Lucida Sans" w:cs="SimSun"/>
      <w:b/>
      <w:bCs/>
      <w:i/>
      <w:iCs/>
      <w:color w:val="4F81BD"/>
      <w:sz w:val="24"/>
    </w:rPr>
  </w:style>
  <w:style w:type="paragraph" w:styleId="TOCHeading">
    <w:name w:val="TOC Heading"/>
    <w:basedOn w:val="Heading1"/>
    <w:next w:val="Normal"/>
    <w:uiPriority w:val="39"/>
    <w:qFormat/>
    <w:rsid w:val="00BE711B"/>
    <w:pPr>
      <w:spacing w:before="480" w:line="276" w:lineRule="auto"/>
      <w:jc w:val="left"/>
      <w:outlineLvl w:val="9"/>
    </w:pPr>
    <w:rPr>
      <w:rFonts w:ascii="Lucida Sans" w:hAnsi="Lucida Sans"/>
      <w:color w:val="365F91"/>
    </w:rPr>
  </w:style>
  <w:style w:type="paragraph" w:styleId="TOC2">
    <w:name w:val="toc 2"/>
    <w:basedOn w:val="Normal"/>
    <w:next w:val="Normal"/>
    <w:uiPriority w:val="39"/>
    <w:rsid w:val="00BE711B"/>
    <w:pPr>
      <w:spacing w:after="100"/>
      <w:ind w:left="240"/>
    </w:pPr>
  </w:style>
  <w:style w:type="paragraph" w:styleId="TOC1">
    <w:name w:val="toc 1"/>
    <w:basedOn w:val="Normal"/>
    <w:next w:val="Normal"/>
    <w:uiPriority w:val="39"/>
    <w:rsid w:val="00BE711B"/>
    <w:pPr>
      <w:spacing w:after="100"/>
    </w:pPr>
  </w:style>
  <w:style w:type="table" w:customStyle="1" w:styleId="LightGrid-Accent11">
    <w:name w:val="Light Grid - Accent 11"/>
    <w:basedOn w:val="TableNormal"/>
    <w:uiPriority w:val="62"/>
    <w:rsid w:val="00BE711B"/>
    <w:pPr>
      <w:spacing w:after="0" w:line="240" w:lineRule="auto"/>
    </w:p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Lucida Sans" w:eastAsia="SimSun" w:hAnsi="Lucida Sans" w:cs="SimSu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Lucida Sans" w:eastAsia="SimSun" w:hAnsi="Lucida Sans" w:cs="SimSu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ucida Sans" w:eastAsia="SimSun" w:hAnsi="Lucida Sans" w:cs="SimSun"/>
        <w:b/>
        <w:bCs/>
      </w:rPr>
    </w:tblStylePr>
    <w:tblStylePr w:type="lastCol">
      <w:rPr>
        <w:rFonts w:ascii="Lucida Sans" w:eastAsia="SimSun" w:hAnsi="Lucida Sans" w:cs="SimSu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NoSpacing">
    <w:name w:val="No Spacing"/>
    <w:uiPriority w:val="1"/>
    <w:qFormat/>
    <w:rsid w:val="00BE711B"/>
    <w:pPr>
      <w:spacing w:after="0" w:line="240" w:lineRule="auto"/>
      <w:jc w:val="both"/>
    </w:pPr>
    <w:rPr>
      <w:rFonts w:ascii="Times New Roman" w:hAnsi="Times New Roman"/>
      <w:sz w:val="24"/>
    </w:rPr>
  </w:style>
  <w:style w:type="paragraph" w:styleId="TableofFigures">
    <w:name w:val="table of figures"/>
    <w:basedOn w:val="Normal"/>
    <w:next w:val="Normal"/>
    <w:uiPriority w:val="99"/>
    <w:rsid w:val="00BE711B"/>
  </w:style>
  <w:style w:type="paragraph" w:styleId="NormalWeb">
    <w:name w:val="Normal (Web)"/>
    <w:basedOn w:val="Normal"/>
    <w:uiPriority w:val="99"/>
    <w:rsid w:val="00BE711B"/>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uiPriority w:val="39"/>
    <w:rsid w:val="00BE711B"/>
    <w:pPr>
      <w:spacing w:after="100"/>
      <w:ind w:left="480"/>
    </w:pPr>
  </w:style>
  <w:style w:type="character" w:styleId="PlaceholderText">
    <w:name w:val="Placeholder Text"/>
    <w:basedOn w:val="DefaultParagraphFont"/>
    <w:uiPriority w:val="99"/>
    <w:rsid w:val="00BE711B"/>
    <w:rPr>
      <w:color w:val="808080"/>
    </w:rPr>
  </w:style>
  <w:style w:type="character" w:styleId="Strong">
    <w:name w:val="Strong"/>
    <w:basedOn w:val="DefaultParagraphFont"/>
    <w:uiPriority w:val="22"/>
    <w:qFormat/>
    <w:rsid w:val="00BE711B"/>
    <w:rPr>
      <w:b/>
      <w:bCs/>
    </w:rPr>
  </w:style>
  <w:style w:type="paragraph" w:customStyle="1" w:styleId="m-4188834022657756158gmail-msolistparagraph">
    <w:name w:val="m_-4188834022657756158gmail-msolistparagraph"/>
    <w:basedOn w:val="Normal"/>
    <w:rsid w:val="00BE711B"/>
    <w:pPr>
      <w:spacing w:before="100" w:beforeAutospacing="1" w:after="100" w:afterAutospacing="1" w:line="240" w:lineRule="auto"/>
      <w:jc w:val="left"/>
    </w:pPr>
    <w:rPr>
      <w:rFonts w:eastAsia="Times New Roman" w:cs="Times New Roman"/>
      <w:color w:val="000000"/>
      <w:szCs w:val="24"/>
      <w:shd w:val="clear" w:color="auto" w:fill="auto"/>
    </w:rPr>
  </w:style>
  <w:style w:type="paragraph" w:customStyle="1" w:styleId="Normal1">
    <w:name w:val="Normal1"/>
    <w:rsid w:val="00BE711B"/>
    <w:pPr>
      <w:spacing w:after="0"/>
    </w:pPr>
    <w:rPr>
      <w:rFonts w:ascii="Arial" w:eastAsia="Arial" w:hAnsi="Arial" w:cs="Arial"/>
    </w:rPr>
  </w:style>
  <w:style w:type="character" w:styleId="CommentReference">
    <w:name w:val="annotation reference"/>
    <w:basedOn w:val="DefaultParagraphFont"/>
    <w:uiPriority w:val="99"/>
    <w:rsid w:val="00BE711B"/>
    <w:rPr>
      <w:sz w:val="16"/>
      <w:szCs w:val="16"/>
    </w:rPr>
  </w:style>
  <w:style w:type="paragraph" w:styleId="CommentText">
    <w:name w:val="annotation text"/>
    <w:basedOn w:val="Normal"/>
    <w:link w:val="CommentTextChar"/>
    <w:uiPriority w:val="99"/>
    <w:rsid w:val="00BE711B"/>
    <w:pPr>
      <w:spacing w:line="240" w:lineRule="auto"/>
      <w:jc w:val="left"/>
    </w:pPr>
    <w:rPr>
      <w:rFonts w:eastAsia="Arial" w:cs="Arial"/>
      <w:sz w:val="20"/>
      <w:szCs w:val="20"/>
      <w:shd w:val="clear" w:color="auto" w:fill="auto"/>
    </w:rPr>
  </w:style>
  <w:style w:type="character" w:customStyle="1" w:styleId="CommentTextChar">
    <w:name w:val="Comment Text Char"/>
    <w:basedOn w:val="DefaultParagraphFont"/>
    <w:link w:val="CommentText"/>
    <w:uiPriority w:val="99"/>
    <w:rsid w:val="00BE711B"/>
    <w:rPr>
      <w:rFonts w:ascii="Arial" w:eastAsia="Arial" w:hAnsi="Arial" w:cs="Arial"/>
      <w:sz w:val="20"/>
      <w:szCs w:val="20"/>
    </w:rPr>
  </w:style>
  <w:style w:type="paragraph" w:styleId="CommentSubject">
    <w:name w:val="annotation subject"/>
    <w:basedOn w:val="CommentText"/>
    <w:next w:val="CommentText"/>
    <w:link w:val="CommentSubjectChar"/>
    <w:uiPriority w:val="99"/>
    <w:rsid w:val="00BE711B"/>
    <w:pPr>
      <w:jc w:val="both"/>
    </w:pPr>
    <w:rPr>
      <w:rFonts w:ascii="Times New Roman" w:eastAsia="Book Antiqua" w:hAnsi="Times New Roman" w:cs="SimSun"/>
      <w:b/>
      <w:bCs/>
      <w:color w:val="000000"/>
      <w:lang w:val="en-GB"/>
    </w:rPr>
  </w:style>
  <w:style w:type="character" w:customStyle="1" w:styleId="CommentSubjectChar">
    <w:name w:val="Comment Subject Char"/>
    <w:basedOn w:val="CommentTextChar"/>
    <w:link w:val="CommentSubject"/>
    <w:uiPriority w:val="99"/>
    <w:rsid w:val="00BE711B"/>
    <w:rPr>
      <w:rFonts w:ascii="Times New Roman" w:eastAsia="Arial" w:hAnsi="Times New Roman" w:cs="Arial"/>
      <w:b/>
      <w:bCs/>
      <w:color w:val="000000"/>
      <w:sz w:val="20"/>
      <w:szCs w:val="20"/>
      <w:lang w:val="en-GB"/>
    </w:rPr>
  </w:style>
  <w:style w:type="paragraph" w:customStyle="1" w:styleId="Default">
    <w:name w:val="Default"/>
    <w:rsid w:val="00BE711B"/>
    <w:pPr>
      <w:autoSpaceDE w:val="0"/>
      <w:autoSpaceDN w:val="0"/>
      <w:adjustRightInd w:val="0"/>
      <w:spacing w:after="0" w:line="240" w:lineRule="auto"/>
    </w:pPr>
    <w:rPr>
      <w:rFonts w:ascii="Arial" w:hAnsi="Arial" w:cs="Arial"/>
      <w:color w:val="000000"/>
      <w:sz w:val="24"/>
      <w:szCs w:val="24"/>
    </w:rPr>
  </w:style>
  <w:style w:type="character" w:customStyle="1" w:styleId="cat-links">
    <w:name w:val="cat-links"/>
    <w:basedOn w:val="DefaultParagraphFont"/>
    <w:rsid w:val="00BE711B"/>
  </w:style>
  <w:style w:type="character" w:customStyle="1" w:styleId="posted-on">
    <w:name w:val="posted-on"/>
    <w:basedOn w:val="DefaultParagraphFont"/>
    <w:rsid w:val="00BE711B"/>
  </w:style>
  <w:style w:type="character" w:customStyle="1" w:styleId="screen-reader-text">
    <w:name w:val="screen-reader-text"/>
    <w:basedOn w:val="DefaultParagraphFont"/>
    <w:rsid w:val="00BE711B"/>
  </w:style>
  <w:style w:type="character" w:customStyle="1" w:styleId="byline">
    <w:name w:val="byline"/>
    <w:basedOn w:val="DefaultParagraphFont"/>
    <w:rsid w:val="00BE711B"/>
  </w:style>
  <w:style w:type="character" w:customStyle="1" w:styleId="author">
    <w:name w:val="author"/>
    <w:basedOn w:val="DefaultParagraphFont"/>
    <w:rsid w:val="00BE711B"/>
  </w:style>
  <w:style w:type="paragraph" w:customStyle="1" w:styleId="Bullet1">
    <w:name w:val="Bullet1"/>
    <w:basedOn w:val="Normal"/>
    <w:link w:val="Bullet1Char"/>
    <w:qFormat/>
    <w:rsid w:val="00BE711B"/>
    <w:pPr>
      <w:tabs>
        <w:tab w:val="left" w:pos="720"/>
      </w:tabs>
      <w:spacing w:before="120" w:after="120" w:line="276" w:lineRule="auto"/>
      <w:ind w:left="720" w:hanging="360"/>
      <w:jc w:val="left"/>
    </w:pPr>
    <w:rPr>
      <w:rFonts w:ascii="Franklin Gothic Book" w:eastAsia="Times New Roman" w:hAnsi="Franklin Gothic Book" w:cs="Times New Roman"/>
      <w:sz w:val="20"/>
      <w:szCs w:val="24"/>
      <w:shd w:val="clear" w:color="auto" w:fill="auto"/>
      <w:lang w:val="en-AU"/>
    </w:rPr>
  </w:style>
  <w:style w:type="character" w:customStyle="1" w:styleId="Bullet1Char">
    <w:name w:val="Bullet1 Char"/>
    <w:link w:val="Bullet1"/>
    <w:rsid w:val="00BE711B"/>
    <w:rPr>
      <w:rFonts w:ascii="Franklin Gothic Book" w:eastAsia="Times New Roman" w:hAnsi="Franklin Gothic Book" w:cs="Times New Roman"/>
      <w:sz w:val="20"/>
      <w:szCs w:val="24"/>
      <w:lang w:val="en-AU"/>
    </w:rPr>
  </w:style>
  <w:style w:type="paragraph" w:customStyle="1" w:styleId="TableHeading">
    <w:name w:val="Table Heading"/>
    <w:basedOn w:val="Normal"/>
    <w:qFormat/>
    <w:rsid w:val="00BE711B"/>
    <w:pPr>
      <w:keepNext/>
      <w:spacing w:before="120" w:after="120" w:line="240" w:lineRule="auto"/>
      <w:jc w:val="left"/>
    </w:pPr>
    <w:rPr>
      <w:rFonts w:ascii="Franklin Gothic Book" w:eastAsia="Times New Roman" w:hAnsi="Franklin Gothic Book" w:cs="Times New Roman"/>
      <w:b/>
      <w:szCs w:val="24"/>
      <w:shd w:val="clear" w:color="auto" w:fill="auto"/>
      <w:lang w:val="en-AU" w:eastAsia="zh-CN"/>
    </w:rPr>
  </w:style>
  <w:style w:type="character" w:customStyle="1" w:styleId="ListParagraphChar">
    <w:name w:val="List Paragraph Char"/>
    <w:link w:val="ListParagraph"/>
    <w:uiPriority w:val="34"/>
    <w:rsid w:val="00BE711B"/>
    <w:rPr>
      <w:rFonts w:ascii="Times New Roman" w:hAnsi="Times New Roman"/>
      <w:sz w:val="24"/>
      <w:lang w:val="ms-MY"/>
    </w:rPr>
  </w:style>
  <w:style w:type="paragraph" w:customStyle="1" w:styleId="MinutesandAgendaTitles">
    <w:name w:val="Minutes and Agenda Titles"/>
    <w:basedOn w:val="Normal"/>
    <w:uiPriority w:val="1"/>
    <w:qFormat/>
    <w:rsid w:val="00BE711B"/>
    <w:pPr>
      <w:spacing w:before="80" w:after="80" w:line="240" w:lineRule="auto"/>
      <w:jc w:val="left"/>
    </w:pPr>
    <w:rPr>
      <w:rFonts w:ascii="Segoe Condensed" w:eastAsia="Segoe Condensed" w:hAnsi="Segoe Condensed" w:cs="Times New Roman"/>
      <w:b/>
      <w:color w:val="FFFFFF"/>
      <w:spacing w:val="8"/>
      <w:shd w:val="clear" w:color="auto" w:fill="auto"/>
    </w:rPr>
  </w:style>
  <w:style w:type="paragraph" w:styleId="BodyText">
    <w:name w:val="Body Text"/>
    <w:basedOn w:val="Normal"/>
    <w:link w:val="BodyTextChar"/>
    <w:uiPriority w:val="1"/>
    <w:qFormat/>
    <w:rsid w:val="00BE711B"/>
    <w:pPr>
      <w:widowControl w:val="0"/>
      <w:autoSpaceDE w:val="0"/>
      <w:autoSpaceDN w:val="0"/>
      <w:spacing w:line="240" w:lineRule="auto"/>
      <w:jc w:val="left"/>
    </w:pPr>
    <w:rPr>
      <w:rFonts w:ascii="Arial MT" w:eastAsia="Arial MT" w:hAnsi="Arial MT" w:cs="Arial MT"/>
      <w:shd w:val="clear" w:color="auto" w:fill="auto"/>
    </w:rPr>
  </w:style>
  <w:style w:type="character" w:customStyle="1" w:styleId="BodyTextChar">
    <w:name w:val="Body Text Char"/>
    <w:basedOn w:val="DefaultParagraphFont"/>
    <w:link w:val="BodyText"/>
    <w:uiPriority w:val="1"/>
    <w:rsid w:val="00BE711B"/>
    <w:rPr>
      <w:rFonts w:ascii="Arial MT" w:eastAsia="Arial MT" w:hAnsi="Arial MT" w:cs="Arial MT"/>
    </w:rPr>
  </w:style>
  <w:style w:type="character" w:customStyle="1" w:styleId="UnresolvedMention1">
    <w:name w:val="Unresolved Mention1"/>
    <w:basedOn w:val="DefaultParagraphFont"/>
    <w:uiPriority w:val="99"/>
    <w:rsid w:val="00BE711B"/>
    <w:rPr>
      <w:color w:val="605E5C"/>
      <w:shd w:val="clear" w:color="auto" w:fill="E1DFDD"/>
    </w:rPr>
  </w:style>
  <w:style w:type="character" w:customStyle="1" w:styleId="Heading5Char">
    <w:name w:val="Heading 5 Char"/>
    <w:basedOn w:val="DefaultParagraphFont"/>
    <w:link w:val="Heading5"/>
    <w:uiPriority w:val="9"/>
    <w:rsid w:val="00BE711B"/>
    <w:rPr>
      <w:rFonts w:ascii="Cambria" w:eastAsia="SimSun" w:hAnsi="Cambria" w:cs="Times New Roman"/>
      <w:color w:val="243F60"/>
      <w:sz w:val="24"/>
    </w:rPr>
  </w:style>
  <w:style w:type="character" w:customStyle="1" w:styleId="Heading6Char">
    <w:name w:val="Heading 6 Char"/>
    <w:basedOn w:val="DefaultParagraphFont"/>
    <w:link w:val="Heading6"/>
    <w:uiPriority w:val="9"/>
    <w:rsid w:val="00BE711B"/>
    <w:rPr>
      <w:rFonts w:ascii="Cambria" w:eastAsia="SimSun" w:hAnsi="Cambria" w:cs="Times New Roman"/>
      <w:i/>
      <w:iCs/>
      <w:color w:val="243F60"/>
      <w:sz w:val="24"/>
    </w:rPr>
  </w:style>
  <w:style w:type="paragraph" w:styleId="DocumentMap">
    <w:name w:val="Document Map"/>
    <w:basedOn w:val="Normal"/>
    <w:link w:val="DocumentMapChar"/>
    <w:uiPriority w:val="99"/>
    <w:semiHidden/>
    <w:unhideWhenUsed/>
    <w:rsid w:val="006B487D"/>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6B48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1858598">
      <w:bodyDiv w:val="1"/>
      <w:marLeft w:val="0"/>
      <w:marRight w:val="0"/>
      <w:marTop w:val="0"/>
      <w:marBottom w:val="0"/>
      <w:divBdr>
        <w:top w:val="none" w:sz="0" w:space="0" w:color="auto"/>
        <w:left w:val="none" w:sz="0" w:space="0" w:color="auto"/>
        <w:bottom w:val="none" w:sz="0" w:space="0" w:color="auto"/>
        <w:right w:val="none" w:sz="0" w:space="0" w:color="auto"/>
      </w:divBdr>
    </w:div>
    <w:div w:id="1629706495">
      <w:bodyDiv w:val="1"/>
      <w:marLeft w:val="0"/>
      <w:marRight w:val="0"/>
      <w:marTop w:val="0"/>
      <w:marBottom w:val="0"/>
      <w:divBdr>
        <w:top w:val="none" w:sz="0" w:space="0" w:color="auto"/>
        <w:left w:val="none" w:sz="0" w:space="0" w:color="auto"/>
        <w:bottom w:val="none" w:sz="0" w:space="0" w:color="auto"/>
        <w:right w:val="none" w:sz="0" w:space="0" w:color="auto"/>
      </w:divBdr>
      <w:divsChild>
        <w:div w:id="178900783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su.pb.unizin.org/kines082/chapter/the-health-belief-model/"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ncbi.nlm.nih.gov/books/NBK236769/" TargetMode="External"/><Relationship Id="rId17" Type="http://schemas.openxmlformats.org/officeDocument/2006/relationships/footer" Target="footer1.xml"/><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tatista.com/chart/28835/smoking-rates-united-states-adults/?srsltid=AfmBOopN5o4R4AmIyJnkV5cXLxquCNm8OZ98JT2FatNXX-2b9v9yeIED" TargetMode="External"/><Relationship Id="rId24"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header" Target="header1.xml"/><Relationship Id="rId23" Type="http://schemas.microsoft.com/office/2016/09/relationships/commentsIds" Target="commentsIds.xml"/><Relationship Id="rId10" Type="http://schemas.openxmlformats.org/officeDocument/2006/relationships/image" Target="NULL"/><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who.int/news-room/fact-sheets/detail/tobacco" TargetMode="External"/><Relationship Id="rId22"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s>
</file>

<file path=customXml/itemProps1.xml><?xml version="1.0" encoding="utf-8"?>
<ds:datastoreItem xmlns:ds="http://schemas.openxmlformats.org/officeDocument/2006/customXml" ds:itemID="{59158BB0-B1B8-4884-BBF4-26324D2BA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62</Pages>
  <Words>20643</Words>
  <Characters>117670</Characters>
  <Application>Microsoft Office Word</Application>
  <DocSecurity>0</DocSecurity>
  <Lines>980</Lines>
  <Paragraphs>276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Aakibs</cp:lastModifiedBy>
  <cp:revision>163</cp:revision>
  <dcterms:created xsi:type="dcterms:W3CDTF">2026-01-20T17:38:00Z</dcterms:created>
  <dcterms:modified xsi:type="dcterms:W3CDTF">2026-01-30T06:58:00Z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c67e657d829038df3235a9f7912662995438c742be59dc86b6911c4a8d5f84f9</vt:lpwstr>
  </property>
  <property fmtid="{D5CDD505-2E9C-101B-9397-08002B2CF9AE}" pid="3" name="Mendeley Citation Style_1">
    <vt:lpwstr>http://www.zotero.org/styles/harvard-educational-review</vt:lpwstr>
  </property>
  <property fmtid="{D5CDD505-2E9C-101B-9397-08002B2CF9AE}" pid="4" name="Mendeley Document_1">
    <vt:lpwstr>True</vt:lpwstr>
  </property>
  <property fmtid="{D5CDD505-2E9C-101B-9397-08002B2CF9AE}" pid="5" name="Mendeley Recent Style Id 0_1">
    <vt:lpwstr>http://www.zotero.org/styles/american-political-science-association</vt:lpwstr>
  </property>
  <property fmtid="{D5CDD505-2E9C-101B-9397-08002B2CF9AE}" pid="6" name="Mendeley Recent Style Id 1_1">
    <vt:lpwstr>http://www.zotero.org/styles/apa</vt:lpwstr>
  </property>
  <property fmtid="{D5CDD505-2E9C-101B-9397-08002B2CF9AE}" pid="7" name="Mendeley Recent Style Id 2_1">
    <vt:lpwstr>http://www.zotero.org/styles/american-sociological-association</vt:lpwstr>
  </property>
  <property fmtid="{D5CDD505-2E9C-101B-9397-08002B2CF9AE}" pid="8" name="Mendeley Recent Style Id 3_1">
    <vt:lpwstr>http://www.zotero.org/styles/chicago-author-date</vt:lpwstr>
  </property>
  <property fmtid="{D5CDD505-2E9C-101B-9397-08002B2CF9AE}" pid="9" name="Mendeley Recent Style Id 4_1">
    <vt:lpwstr>http://www.zotero.org/styles/harvard-cite-them-right</vt:lpwstr>
  </property>
  <property fmtid="{D5CDD505-2E9C-101B-9397-08002B2CF9AE}" pid="10" name="Mendeley Recent Style Id 5_1">
    <vt:lpwstr>http://www.zotero.org/styles/harvard-educational-review</vt:lpwstr>
  </property>
  <property fmtid="{D5CDD505-2E9C-101B-9397-08002B2CF9AE}" pid="11" name="Mendeley Recent Style Id 6_1">
    <vt:lpwstr>http://www.zotero.org/styles/ieee</vt:lpwstr>
  </property>
  <property fmtid="{D5CDD505-2E9C-101B-9397-08002B2CF9AE}" pid="12" name="Mendeley Recent Style Id 7_1">
    <vt:lpwstr>http://www.zotero.org/styles/modern-humanities-research-association</vt:lpwstr>
  </property>
  <property fmtid="{D5CDD505-2E9C-101B-9397-08002B2CF9AE}" pid="13" name="Mendeley Recent Style Id 8_1">
    <vt:lpwstr>http://www.zotero.org/styles/modern-language-association</vt:lpwstr>
  </property>
  <property fmtid="{D5CDD505-2E9C-101B-9397-08002B2CF9AE}" pid="14" name="Mendeley Recent Style Id 9_1">
    <vt:lpwstr>http://www.zotero.org/styles/nature</vt:lpwstr>
  </property>
  <property fmtid="{D5CDD505-2E9C-101B-9397-08002B2CF9AE}" pid="15" name="Mendeley Recent Style Name 0_1">
    <vt:lpwstr>American Political Science Association</vt:lpwstr>
  </property>
  <property fmtid="{D5CDD505-2E9C-101B-9397-08002B2CF9AE}" pid="16" name="Mendeley Recent Style Name 1_1">
    <vt:lpwstr>American Psychological Association 6th edition</vt:lpwstr>
  </property>
  <property fmtid="{D5CDD505-2E9C-101B-9397-08002B2CF9AE}" pid="17" name="Mendeley Recent Style Name 2_1">
    <vt:lpwstr>American Sociological Association</vt:lpwstr>
  </property>
  <property fmtid="{D5CDD505-2E9C-101B-9397-08002B2CF9AE}" pid="18" name="Mendeley Recent Style Name 3_1">
    <vt:lpwstr>Chicago Manual of Style 17th edition (author-date)</vt:lpwstr>
  </property>
  <property fmtid="{D5CDD505-2E9C-101B-9397-08002B2CF9AE}" pid="19" name="Mendeley Recent Style Name 4_1">
    <vt:lpwstr>Cite Them Right 10th edition - Harvard</vt:lpwstr>
  </property>
  <property fmtid="{D5CDD505-2E9C-101B-9397-08002B2CF9AE}" pid="20" name="Mendeley Recent Style Name 5_1">
    <vt:lpwstr>Harvard Educational Review</vt:lpwstr>
  </property>
  <property fmtid="{D5CDD505-2E9C-101B-9397-08002B2CF9AE}" pid="21" name="Mendeley Recent Style Name 6_1">
    <vt:lpwstr>IEEE</vt:lpwstr>
  </property>
  <property fmtid="{D5CDD505-2E9C-101B-9397-08002B2CF9AE}" pid="22" name="Mendeley Recent Style Name 7_1">
    <vt:lpwstr>Modern Humanities Research Association 3rd edition (note with bibliography)</vt:lpwstr>
  </property>
  <property fmtid="{D5CDD505-2E9C-101B-9397-08002B2CF9AE}" pid="23" name="Mendeley Recent Style Name 8_1">
    <vt:lpwstr>Modern Language Association 8th edition</vt:lpwstr>
  </property>
  <property fmtid="{D5CDD505-2E9C-101B-9397-08002B2CF9AE}" pid="24" name="Mendeley Recent Style Name 9_1">
    <vt:lpwstr>Nature</vt:lpwstr>
  </property>
  <property fmtid="{D5CDD505-2E9C-101B-9397-08002B2CF9AE}" pid="25" name="Mendeley Unique User Id_1">
    <vt:lpwstr>491cc77e-80c4-362a-b90b-4735051bf006</vt:lpwstr>
  </property>
  <property fmtid="{D5CDD505-2E9C-101B-9397-08002B2CF9AE}" pid="26" name="ICV">
    <vt:lpwstr>ea7c1241c01d44b583a8a2c54c72caa7</vt:lpwstr>
  </property>
</Properties>
</file>