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hint="default" w:ascii="Arial" w:hAnsi="Arial" w:eastAsia="宋体" w:cs="Arial"/>
          <w:sz w:val="24"/>
          <w:szCs w:val="24"/>
        </w:rPr>
        <w:id w:val="930390944"/>
        <w:docPartObj>
          <w:docPartGallery w:val="autotext"/>
        </w:docPartObj>
      </w:sdtPr>
      <w:sdtEndPr>
        <w:rPr>
          <w:rFonts w:hint="default" w:ascii="Arial" w:hAnsi="Arial" w:eastAsia="宋体" w:cs="Arial"/>
          <w:sz w:val="24"/>
          <w:szCs w:val="24"/>
        </w:rPr>
      </w:sdtEndPr>
      <w:sdtContent>
        <w:p>
          <w:pPr>
            <w:pBdr>
              <w:bottom w:val="single" w:color="auto" w:sz="4" w:space="1"/>
            </w:pBdr>
            <w:outlineLvl w:val="9"/>
            <w:rPr>
              <w:rFonts w:hint="default" w:ascii="Arial" w:hAnsi="Arial" w:eastAsia="宋体" w:cs="Arial"/>
              <w:sz w:val="24"/>
              <w:szCs w:val="24"/>
            </w:rPr>
          </w:pPr>
          <w:r>
            <w:rPr>
              <w:rFonts w:hint="default" w:ascii="Arial" w:hAnsi="Arial" w:eastAsia="宋体" w:cs="Arial"/>
              <w:sz w:val="24"/>
              <w:szCs w:val="24"/>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595" cy="3840480"/>
                    <wp:effectExtent l="0" t="0" r="1905" b="762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5"/>
                                  <w:tblW w:w="5000" w:type="pct"/>
                                  <w:jc w:val="center"/>
                                  <w:tblBorders>
                                    <w:top w:val="none" w:color="auto" w:sz="0" w:space="0"/>
                                    <w:left w:val="none" w:color="auto" w:sz="0" w:space="0"/>
                                    <w:bottom w:val="none" w:color="auto" w:sz="0" w:space="0"/>
                                    <w:right w:val="none" w:color="auto" w:sz="0" w:space="0"/>
                                    <w:insideH w:val="none" w:color="auto" w:sz="0" w:space="0"/>
                                    <w:insideV w:val="single" w:color="EE822F" w:themeColor="accent2" w:sz="12" w:space="0"/>
                                  </w:tblBorders>
                                  <w:tblLayout w:type="autofit"/>
                                  <w:tblCellMar>
                                    <w:top w:w="1296" w:type="dxa"/>
                                    <w:left w:w="360" w:type="dxa"/>
                                    <w:bottom w:w="1296" w:type="dxa"/>
                                    <w:right w:w="360" w:type="dxa"/>
                                  </w:tblCellMar>
                                </w:tblPr>
                                <w:tblGrid>
                                  <w:gridCol w:w="6117"/>
                                  <w:gridCol w:w="5793"/>
                                </w:tblGrid>
                                <w:tr>
                                  <w:tblPrEx>
                                    <w:tblBorders>
                                      <w:top w:val="none" w:color="auto" w:sz="0" w:space="0"/>
                                      <w:left w:val="none" w:color="auto" w:sz="0" w:space="0"/>
                                      <w:bottom w:val="none" w:color="auto" w:sz="0" w:space="0"/>
                                      <w:right w:val="none" w:color="auto" w:sz="0" w:space="0"/>
                                      <w:insideH w:val="none" w:color="auto" w:sz="0" w:space="0"/>
                                      <w:insideV w:val="single" w:color="EE822F" w:themeColor="accent2" w:sz="12" w:space="0"/>
                                    </w:tblBorders>
                                    <w:tblCellMar>
                                      <w:top w:w="1296" w:type="dxa"/>
                                      <w:left w:w="360" w:type="dxa"/>
                                      <w:bottom w:w="1296" w:type="dxa"/>
                                      <w:right w:w="360" w:type="dxa"/>
                                    </w:tblCellMar>
                                  </w:tblPrEx>
                                  <w:trPr>
                                    <w:jc w:val="center"/>
                                  </w:trPr>
                                  <w:tc>
                                    <w:tcPr>
                                      <w:tcW w:w="2568" w:type="pct"/>
                                      <w:vAlign w:val="center"/>
                                    </w:tcPr>
                                    <w:p>
                                      <w:pPr>
                                        <w:jc w:val="right"/>
                                        <w:rPr>
                                          <w:rFonts w:hint="eastAsia" w:eastAsiaTheme="minorEastAsia"/>
                                          <w:lang w:eastAsia="zh-CN"/>
                                        </w:rPr>
                                      </w:pPr>
                                      <w:r>
                                        <w:drawing>
                                          <wp:inline distT="0" distB="0" distL="0" distR="0">
                                            <wp:extent cx="3064510" cy="3830955"/>
                                            <wp:effectExtent l="0" t="0" r="8890" b="44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p>
                                          <w:pPr>
                                            <w:pStyle w:val="10"/>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caps/>
                                              <w:color w:val="1A1A1A" w:themeColor="text1" w:themeTint="E6"/>
                                              <w:sz w:val="72"/>
                                              <w:szCs w:val="72"/>
                                              <w:lang w:eastAsia="zh-CN"/>
                                              <w14:textFill>
                                                <w14:solidFill>
                                                  <w14:schemeClr w14:val="tx1">
                                                    <w14:lumMod w14:val="90000"/>
                                                    <w14:lumOff w14:val="10000"/>
                                                  </w14:schemeClr>
                                                </w14:solidFill>
                                              </w14:textFill>
                                            </w:rPr>
                                            <w:t>Cultural Difference Research</w:t>
                                          </w:r>
                                        </w:p>
                                      </w:sdtContent>
                                    </w:sdt>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r>
                                            <w:rPr>
                                              <w:rFonts w:hint="eastAsia"/>
                                              <w:color w:val="000000" w:themeColor="text1"/>
                                              <w:sz w:val="24"/>
                                              <w:szCs w:val="24"/>
                                              <w:lang w:eastAsia="zh-CN"/>
                                              <w14:textFill>
                                                <w14:solidFill>
                                                  <w14:schemeClr w14:val="tx1"/>
                                                </w14:solidFill>
                                              </w14:textFill>
                                            </w:rPr>
                                            <w:t>Fashion Company</w:t>
                                          </w:r>
                                        </w:p>
                                      </w:sdtContent>
                                    </w:sdt>
                                  </w:tc>
                                  <w:tc>
                                    <w:tcPr>
                                      <w:tcW w:w="2432" w:type="pct"/>
                                      <w:vAlign w:val="center"/>
                                    </w:tcPr>
                                    <w:p>
                                      <w:pPr>
                                        <w:pStyle w:val="10"/>
                                        <w:jc w:val="left"/>
                                        <w:rPr>
                                          <w:caps/>
                                          <w:color w:val="EE822F" w:themeColor="accent2"/>
                                          <w:sz w:val="26"/>
                                          <w:szCs w:val="26"/>
                                          <w14:textFill>
                                            <w14:solidFill>
                                              <w14:schemeClr w14:val="accent2"/>
                                            </w14:solidFill>
                                          </w14:textFill>
                                        </w:rPr>
                                      </w:pPr>
                                      <w:r>
                                        <w:rPr>
                                          <w:caps/>
                                          <w:color w:val="EE822F" w:themeColor="accent2"/>
                                          <w:sz w:val="26"/>
                                          <w:szCs w:val="26"/>
                                          <w14:textFill>
                                            <w14:solidFill>
                                              <w14:schemeClr w14:val="accent2"/>
                                            </w14:solidFill>
                                          </w14:textFill>
                                        </w:rPr>
                                        <w:t>Abstract</w:t>
                                      </w:r>
                                    </w:p>
                                    <w:sdt>
                                      <w:sdtPr>
                                        <w:rPr>
                                          <w:color w:val="000000" w:themeColor="text1"/>
                                          <w14:textFill>
                                            <w14:solidFill>
                                              <w14:schemeClr w14:val="tx1"/>
                                            </w14:solidFill>
                                          </w14:textFill>
                                        </w:rPr>
                                        <w:alias w:val="Abstract"/>
                                        <w:id w:val="-2036181933"/>
                                        <w:dataBinding w:prefixMappings="xmlns:ns0='http://schemas.microsoft.com/office/2006/coverPageProps' " w:xpath="/ns0:CoverPageProperties[1]/ns0:Abstract[1]" w:storeItemID="{55AF091B-3C7A-41E3-B477-F2FDAA23CFDA}"/>
                                        <w:text/>
                                      </w:sdtPr>
                                      <w:sdtEndPr>
                                        <w:rPr>
                                          <w:color w:val="000000" w:themeColor="text1"/>
                                          <w14:textFill>
                                            <w14:solidFill>
                                              <w14:schemeClr w14:val="tx1"/>
                                            </w14:solidFill>
                                          </w14:textFill>
                                        </w:rPr>
                                      </w:sdtEndPr>
                                      <w:sdtContent>
                                        <w:p>
                                          <w:pPr>
                                            <w:jc w:val="left"/>
                                            <w:rPr>
                                              <w:color w:val="000000" w:themeColor="text1"/>
                                              <w14:textFill>
                                                <w14:solidFill>
                                                  <w14:schemeClr w14:val="tx1"/>
                                                </w14:solidFill>
                                              </w14:textFill>
                                            </w:rPr>
                                          </w:pPr>
                                          <w:r>
                                            <w:rPr>
                                              <w:rFonts w:hint="eastAsia"/>
                                              <w:color w:val="000000" w:themeColor="text1"/>
                                              <w:lang w:eastAsia="zh-CN"/>
                                              <w14:textFill>
                                                <w14:solidFill>
                                                  <w14:schemeClr w14:val="tx1"/>
                                                </w14:solidFill>
                                              </w14:textFill>
                                            </w:rPr>
                                            <w:t>"This report provides an in-depth exploration of international business communication skills and strategies, emphasizing the importance of cross-cultural understanding, effective communication methods and cultural frameworks, aiming to help practitioners succeed in complex business environments." "This report provides an in-depth exploration of international business communication skills and strategies. The strategy emphasizes the importance of cross-cultural understanding, effective communication methods and cultural frameworks, aiming to help practitioners succeed in complex business environments."</w:t>
                                          </w:r>
                                        </w:p>
                                      </w:sdtContent>
                                    </w:sdt>
                                    <w:sdt>
                                      <w:sdtPr>
                                        <w:rPr>
                                          <w:color w:val="EE822F" w:themeColor="accent2"/>
                                          <w:sz w:val="26"/>
                                          <w:szCs w:val="26"/>
                                          <w14:textFill>
                                            <w14:solidFill>
                                              <w14:schemeClr w14:val="accent2"/>
                                            </w14:solidFill>
                                          </w14:textFill>
                                        </w:rPr>
                                        <w:alias w:val="Author"/>
                                        <w:id w:val="-279026076"/>
                                        <w:dataBinding w:prefixMappings="xmlns:ns0='http://purl.org/dc/elements/1.1/' xmlns:ns1='http://schemas.openxmlformats.org/package/2006/metadata/core-properties' " w:xpath="/ns1:coreProperties[1]/ns0:creator[1]" w:storeItemID="{6C3C8BC8-F283-45AE-878A-BAB7291924A1}"/>
                                        <w:text/>
                                      </w:sdtPr>
                                      <w:sdtEndPr>
                                        <w:rPr>
                                          <w:color w:val="EE822F" w:themeColor="accent2"/>
                                          <w:sz w:val="26"/>
                                          <w:szCs w:val="26"/>
                                          <w14:textFill>
                                            <w14:solidFill>
                                              <w14:schemeClr w14:val="accent2"/>
                                            </w14:solidFill>
                                          </w14:textFill>
                                        </w:rPr>
                                      </w:sdtEndPr>
                                      <w:sdtContent>
                                        <w:p>
                                          <w:pPr>
                                            <w:pStyle w:val="10"/>
                                            <w:rPr>
                                              <w:color w:val="EE822F" w:themeColor="accent2"/>
                                              <w:sz w:val="26"/>
                                              <w:szCs w:val="26"/>
                                              <w14:textFill>
                                                <w14:solidFill>
                                                  <w14:schemeClr w14:val="accent2"/>
                                                </w14:solidFill>
                                              </w14:textFill>
                                            </w:rPr>
                                          </w:pPr>
                                          <w:r>
                                            <w:rPr>
                                              <w:rFonts w:hint="eastAsia"/>
                                              <w:color w:val="EE822F" w:themeColor="accent2"/>
                                              <w:sz w:val="26"/>
                                              <w:szCs w:val="26"/>
                                              <w:lang w:eastAsia="zh-CN"/>
                                              <w14:textFill>
                                                <w14:solidFill>
                                                  <w14:schemeClr w14:val="accent2"/>
                                                </w14:solidFill>
                                              </w14:textFill>
                                            </w:rPr>
                                            <w:t>Yaotao Zhang 2307177</w:t>
                                          </w:r>
                                        </w:p>
                                      </w:sdtContent>
                                    </w:sdt>
                                    <w:p>
                                      <w:pPr>
                                        <w:pStyle w:val="10"/>
                                        <w:rPr>
                                          <w:color w:val="44546A" w:themeColor="text2"/>
                                          <w14:textFill>
                                            <w14:solidFill>
                                              <w14:schemeClr w14:val="tx2"/>
                                            </w14:solidFill>
                                          </w14:textFill>
                                        </w:rPr>
                                      </w:pPr>
                                      <w:sdt>
                                        <w:sdtPr>
                                          <w:rPr>
                                            <w:color w:val="44546A" w:themeColor="text2"/>
                                            <w14:textFill>
                                              <w14:solidFill>
                                                <w14:schemeClr w14:val="tx2"/>
                                              </w14:solidFill>
                                            </w14:textFil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44546A" w:themeColor="text2"/>
                                            <w14:textFill>
                                              <w14:solidFill>
                                                <w14:schemeClr w14:val="tx2"/>
                                              </w14:solidFill>
                                            </w14:textFill>
                                          </w:rPr>
                                        </w:sdtEndPr>
                                        <w:sdtContent>
                                          <w:r>
                                            <w:rPr>
                                              <w:rFonts w:hint="eastAsia"/>
                                              <w:color w:val="44546A" w:themeColor="text2"/>
                                              <w:lang w:eastAsia="zh-CN"/>
                                              <w14:textFill>
                                                <w14:solidFill>
                                                  <w14:schemeClr w14:val="tx2"/>
                                                </w14:solidFill>
                                              </w14:textFill>
                                            </w:rPr>
                                            <w:t xml:space="preserve">Module Handbook: BMBM6021 International Business Communication </w:t>
                                          </w:r>
                                        </w:sdtContent>
                                      </w:sdt>
                                    </w:p>
                                    <w:sdt>
                                      <w:sdtPr>
                                        <w:rPr>
                                          <w:color w:val="000000" w:themeColor="text1"/>
                                          <w14:textFill>
                                            <w14:solidFill>
                                              <w14:schemeClr w14:val="tx1"/>
                                            </w14:solidFill>
                                          </w14:textFill>
                                        </w:rPr>
                                        <w:alias w:val="Abstract"/>
                                        <w:id w:val="-2036181933"/>
                                        <w:showingPlcHdr/>
                                        <w:dataBinding w:prefixMappings="xmlns:ns0='http://schemas.microsoft.com/office/2006/coverPageProps' " w:xpath="/ns0:CoverPageProperties[1]/ns0:Abstract[1]" w:storeItemID="{55AF091B-3C7A-41E3-B477-F2FDAA23CFDA}"/>
                                        <w:text/>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p>
                                      </w:sdtContent>
                                    </w:sdt>
                                    <w:p>
                                      <w:pPr>
                                        <w:pStyle w:val="10"/>
                                      </w:pPr>
                                      <w:sdt>
                                        <w:sdtPr>
                                          <w:rPr>
                                            <w:color w:val="44546A" w:themeColor="text2"/>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color w:val="44546A" w:themeColor="text2"/>
                                            <w14:textFill>
                                              <w14:solidFill>
                                                <w14:schemeClr w14:val="tx2"/>
                                              </w14:solidFill>
                                            </w14:textFill>
                                          </w:rPr>
                                        </w:sdtEndPr>
                                        <w:sdtContent>
                                          <w:r>
                                            <w:rPr>
                                              <w:rFonts w:hint="eastAsia" w:ascii="Arial" w:hAnsi="Arial" w:cs="Arial"/>
                                              <w:b/>
                                              <w:bCs/>
                                              <w:sz w:val="24"/>
                                              <w:szCs w:val="24"/>
                                              <w:lang w:eastAsia="zh-CN"/>
                                            </w:rPr>
                                            <w:t xml:space="preserve"> </w:t>
                                          </w:r>
                                        </w:sdtContent>
                                      </w:sdt>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14:sizeRelH relativeFrom="page">
                      <wp14:pctWidth>94100</wp14:pctWidth>
                    </wp14:sizeRelH>
                    <wp14:sizeRelV relativeFrom="page">
                      <wp14:pctHeight>77300</wp14:pctHeight>
                    </wp14:sizeRelV>
                  </wp:anchor>
                </w:drawing>
              </mc:Choice>
              <mc:Fallback>
                <w:pict>
                  <v:shape id="Text Box 138" o:spid="_x0000_s1026" o:spt="202" type="#_x0000_t202" style="position:absolute;left:0pt;height:302.4pt;width:134.85pt;mso-position-horizontal:center;mso-position-horizontal-relative:page;mso-position-vertical:center;mso-position-vertical-relative:page;z-index:251659264;v-text-anchor:middle;mso-width-relative:page;mso-height-relative:page;mso-width-percent:941;mso-height-percent:773;" fillcolor="#FFFFFF [3201]" filled="t" stroked="f" coordsize="21600,21600" o:gfxdata="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">
                    <v:fill on="t" focussize="0,0"/>
                    <v:stroke on="f" weight="0.5pt"/>
                    <v:imagedata o:title=""/>
                    <o:lock v:ext="edit" aspectratio="f"/>
                    <v:textbox inset="0mm,0mm,0mm,0mm">
                      <w:txbxContent>
                        <w:tbl>
                          <w:tblPr>
                            <w:tblStyle w:val="5"/>
                            <w:tblW w:w="5000" w:type="pct"/>
                            <w:jc w:val="center"/>
                            <w:tblBorders>
                              <w:top w:val="none" w:color="auto" w:sz="0" w:space="0"/>
                              <w:left w:val="none" w:color="auto" w:sz="0" w:space="0"/>
                              <w:bottom w:val="none" w:color="auto" w:sz="0" w:space="0"/>
                              <w:right w:val="none" w:color="auto" w:sz="0" w:space="0"/>
                              <w:insideH w:val="none" w:color="auto" w:sz="0" w:space="0"/>
                              <w:insideV w:val="single" w:color="EE822F" w:themeColor="accent2" w:sz="12" w:space="0"/>
                            </w:tblBorders>
                            <w:tblLayout w:type="autofit"/>
                            <w:tblCellMar>
                              <w:top w:w="1296" w:type="dxa"/>
                              <w:left w:w="360" w:type="dxa"/>
                              <w:bottom w:w="1296" w:type="dxa"/>
                              <w:right w:w="360" w:type="dxa"/>
                            </w:tblCellMar>
                          </w:tblPr>
                          <w:tblGrid>
                            <w:gridCol w:w="6117"/>
                            <w:gridCol w:w="5793"/>
                          </w:tblGrid>
                          <w:tr>
                            <w:tblPrEx>
                              <w:tblBorders>
                                <w:top w:val="none" w:color="auto" w:sz="0" w:space="0"/>
                                <w:left w:val="none" w:color="auto" w:sz="0" w:space="0"/>
                                <w:bottom w:val="none" w:color="auto" w:sz="0" w:space="0"/>
                                <w:right w:val="none" w:color="auto" w:sz="0" w:space="0"/>
                                <w:insideH w:val="none" w:color="auto" w:sz="0" w:space="0"/>
                                <w:insideV w:val="single" w:color="EE822F" w:themeColor="accent2" w:sz="12" w:space="0"/>
                              </w:tblBorders>
                              <w:tblCellMar>
                                <w:top w:w="1296" w:type="dxa"/>
                                <w:left w:w="360" w:type="dxa"/>
                                <w:bottom w:w="1296" w:type="dxa"/>
                                <w:right w:w="360" w:type="dxa"/>
                              </w:tblCellMar>
                            </w:tblPrEx>
                            <w:trPr>
                              <w:jc w:val="center"/>
                            </w:trPr>
                            <w:tc>
                              <w:tcPr>
                                <w:tcW w:w="2568" w:type="pct"/>
                                <w:vAlign w:val="center"/>
                              </w:tcPr>
                              <w:p>
                                <w:pPr>
                                  <w:jc w:val="right"/>
                                  <w:rPr>
                                    <w:rFonts w:hint="eastAsia" w:eastAsiaTheme="minorEastAsia"/>
                                    <w:lang w:eastAsia="zh-CN"/>
                                  </w:rPr>
                                </w:pPr>
                                <w:r>
                                  <w:drawing>
                                    <wp:inline distT="0" distB="0" distL="0" distR="0">
                                      <wp:extent cx="3064510" cy="3830955"/>
                                      <wp:effectExtent l="0" t="0" r="8890" b="4445"/>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A1A1A" w:themeColor="text1" w:themeTint="E6"/>
                                    <w:sz w:val="72"/>
                                    <w:szCs w:val="72"/>
                                    <w14:textFill>
                                      <w14:solidFill>
                                        <w14:schemeClr w14:val="tx1">
                                          <w14:lumMod w14:val="90000"/>
                                          <w14:lumOff w14:val="10000"/>
                                        </w14:schemeClr>
                                      </w14:solidFill>
                                    </w14:textFill>
                                  </w:rPr>
                                  <w:alias w:val="Title"/>
                                  <w:id w:val="-438379639"/>
                                  <w:dataBinding w:prefixMappings="xmlns:ns0='http://purl.org/dc/elements/1.1/' xmlns:ns1='http://schemas.openxmlformats.org/package/2006/metadata/core-properties' " w:xpath="/ns1:coreProperties[1]/ns0:title[1]" w:storeItemID="{6C3C8BC8-F283-45AE-878A-BAB7291924A1}"/>
                                  <w:text/>
                                </w:sdtPr>
                                <w:sdtEndPr>
                                  <w:rPr>
                                    <w:caps/>
                                    <w:color w:val="1A1A1A" w:themeColor="text1" w:themeTint="E6"/>
                                    <w:sz w:val="72"/>
                                    <w:szCs w:val="72"/>
                                    <w14:textFill>
                                      <w14:solidFill>
                                        <w14:schemeClr w14:val="tx1">
                                          <w14:lumMod w14:val="90000"/>
                                          <w14:lumOff w14:val="10000"/>
                                        </w14:schemeClr>
                                      </w14:solidFill>
                                    </w14:textFill>
                                  </w:rPr>
                                </w:sdtEndPr>
                                <w:sdtContent>
                                  <w:p>
                                    <w:pPr>
                                      <w:pStyle w:val="10"/>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caps/>
                                        <w:color w:val="1A1A1A" w:themeColor="text1" w:themeTint="E6"/>
                                        <w:sz w:val="72"/>
                                        <w:szCs w:val="72"/>
                                        <w:lang w:eastAsia="zh-CN"/>
                                        <w14:textFill>
                                          <w14:solidFill>
                                            <w14:schemeClr w14:val="tx1">
                                              <w14:lumMod w14:val="90000"/>
                                              <w14:lumOff w14:val="10000"/>
                                            </w14:schemeClr>
                                          </w14:solidFill>
                                        </w14:textFill>
                                      </w:rPr>
                                      <w:t>Cultural Difference Research</w:t>
                                    </w:r>
                                  </w:p>
                                </w:sdtContent>
                              </w:sdt>
                              <w:sdt>
                                <w:sdtPr>
                                  <w:rPr>
                                    <w:color w:val="000000" w:themeColor="text1"/>
                                    <w:sz w:val="24"/>
                                    <w:szCs w:val="24"/>
                                    <w14:textFill>
                                      <w14:solidFill>
                                        <w14:schemeClr w14:val="tx1"/>
                                      </w14:solidFill>
                                    </w14:textFill>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rPr>
                                    <w:color w:val="000000" w:themeColor="text1"/>
                                    <w:sz w:val="24"/>
                                    <w:szCs w:val="24"/>
                                    <w14:textFill>
                                      <w14:solidFill>
                                        <w14:schemeClr w14:val="tx1"/>
                                      </w14:solidFill>
                                    </w14:textFill>
                                  </w:rPr>
                                </w:sdtEndPr>
                                <w:sdtContent>
                                  <w:p>
                                    <w:pPr>
                                      <w:jc w:val="right"/>
                                      <w:rPr>
                                        <w:sz w:val="24"/>
                                        <w:szCs w:val="24"/>
                                      </w:rPr>
                                    </w:pPr>
                                    <w:r>
                                      <w:rPr>
                                        <w:rFonts w:hint="eastAsia"/>
                                        <w:color w:val="000000" w:themeColor="text1"/>
                                        <w:sz w:val="24"/>
                                        <w:szCs w:val="24"/>
                                        <w:lang w:eastAsia="zh-CN"/>
                                        <w14:textFill>
                                          <w14:solidFill>
                                            <w14:schemeClr w14:val="tx1"/>
                                          </w14:solidFill>
                                        </w14:textFill>
                                      </w:rPr>
                                      <w:t>Fashion Company</w:t>
                                    </w:r>
                                  </w:p>
                                </w:sdtContent>
                              </w:sdt>
                            </w:tc>
                            <w:tc>
                              <w:tcPr>
                                <w:tcW w:w="2432" w:type="pct"/>
                                <w:vAlign w:val="center"/>
                              </w:tcPr>
                              <w:p>
                                <w:pPr>
                                  <w:pStyle w:val="10"/>
                                  <w:jc w:val="left"/>
                                  <w:rPr>
                                    <w:caps/>
                                    <w:color w:val="EE822F" w:themeColor="accent2"/>
                                    <w:sz w:val="26"/>
                                    <w:szCs w:val="26"/>
                                    <w14:textFill>
                                      <w14:solidFill>
                                        <w14:schemeClr w14:val="accent2"/>
                                      </w14:solidFill>
                                    </w14:textFill>
                                  </w:rPr>
                                </w:pPr>
                                <w:r>
                                  <w:rPr>
                                    <w:caps/>
                                    <w:color w:val="EE822F" w:themeColor="accent2"/>
                                    <w:sz w:val="26"/>
                                    <w:szCs w:val="26"/>
                                    <w14:textFill>
                                      <w14:solidFill>
                                        <w14:schemeClr w14:val="accent2"/>
                                      </w14:solidFill>
                                    </w14:textFill>
                                  </w:rPr>
                                  <w:t>Abstract</w:t>
                                </w:r>
                              </w:p>
                              <w:sdt>
                                <w:sdtPr>
                                  <w:rPr>
                                    <w:color w:val="000000" w:themeColor="text1"/>
                                    <w14:textFill>
                                      <w14:solidFill>
                                        <w14:schemeClr w14:val="tx1"/>
                                      </w14:solidFill>
                                    </w14:textFill>
                                  </w:rPr>
                                  <w:alias w:val="Abstract"/>
                                  <w:id w:val="-2036181933"/>
                                  <w:dataBinding w:prefixMappings="xmlns:ns0='http://schemas.microsoft.com/office/2006/coverPageProps' " w:xpath="/ns0:CoverPageProperties[1]/ns0:Abstract[1]" w:storeItemID="{55AF091B-3C7A-41E3-B477-F2FDAA23CFDA}"/>
                                  <w:text/>
                                </w:sdtPr>
                                <w:sdtEndPr>
                                  <w:rPr>
                                    <w:color w:val="000000" w:themeColor="text1"/>
                                    <w14:textFill>
                                      <w14:solidFill>
                                        <w14:schemeClr w14:val="tx1"/>
                                      </w14:solidFill>
                                    </w14:textFill>
                                  </w:rPr>
                                </w:sdtEndPr>
                                <w:sdtContent>
                                  <w:p>
                                    <w:pPr>
                                      <w:jc w:val="left"/>
                                      <w:rPr>
                                        <w:color w:val="000000" w:themeColor="text1"/>
                                        <w14:textFill>
                                          <w14:solidFill>
                                            <w14:schemeClr w14:val="tx1"/>
                                          </w14:solidFill>
                                        </w14:textFill>
                                      </w:rPr>
                                    </w:pPr>
                                    <w:r>
                                      <w:rPr>
                                        <w:rFonts w:hint="eastAsia"/>
                                        <w:color w:val="000000" w:themeColor="text1"/>
                                        <w:lang w:eastAsia="zh-CN"/>
                                        <w14:textFill>
                                          <w14:solidFill>
                                            <w14:schemeClr w14:val="tx1"/>
                                          </w14:solidFill>
                                        </w14:textFill>
                                      </w:rPr>
                                      <w:t>"This report provides an in-depth exploration of international business communication skills and strategies, emphasizing the importance of cross-cultural understanding, effective communication methods and cultural frameworks, aiming to help practitioners succeed in complex business environments." "This report provides an in-depth exploration of international business communication skills and strategies. The strategy emphasizes the importance of cross-cultural understanding, effective communication methods and cultural frameworks, aiming to help practitioners succeed in complex business environments."</w:t>
                                    </w:r>
                                  </w:p>
                                </w:sdtContent>
                              </w:sdt>
                              <w:sdt>
                                <w:sdtPr>
                                  <w:rPr>
                                    <w:color w:val="EE822F" w:themeColor="accent2"/>
                                    <w:sz w:val="26"/>
                                    <w:szCs w:val="26"/>
                                    <w14:textFill>
                                      <w14:solidFill>
                                        <w14:schemeClr w14:val="accent2"/>
                                      </w14:solidFill>
                                    </w14:textFill>
                                  </w:rPr>
                                  <w:alias w:val="Author"/>
                                  <w:id w:val="-279026076"/>
                                  <w:dataBinding w:prefixMappings="xmlns:ns0='http://purl.org/dc/elements/1.1/' xmlns:ns1='http://schemas.openxmlformats.org/package/2006/metadata/core-properties' " w:xpath="/ns1:coreProperties[1]/ns0:creator[1]" w:storeItemID="{6C3C8BC8-F283-45AE-878A-BAB7291924A1}"/>
                                  <w:text/>
                                </w:sdtPr>
                                <w:sdtEndPr>
                                  <w:rPr>
                                    <w:color w:val="EE822F" w:themeColor="accent2"/>
                                    <w:sz w:val="26"/>
                                    <w:szCs w:val="26"/>
                                    <w14:textFill>
                                      <w14:solidFill>
                                        <w14:schemeClr w14:val="accent2"/>
                                      </w14:solidFill>
                                    </w14:textFill>
                                  </w:rPr>
                                </w:sdtEndPr>
                                <w:sdtContent>
                                  <w:p>
                                    <w:pPr>
                                      <w:pStyle w:val="10"/>
                                      <w:rPr>
                                        <w:color w:val="EE822F" w:themeColor="accent2"/>
                                        <w:sz w:val="26"/>
                                        <w:szCs w:val="26"/>
                                        <w14:textFill>
                                          <w14:solidFill>
                                            <w14:schemeClr w14:val="accent2"/>
                                          </w14:solidFill>
                                        </w14:textFill>
                                      </w:rPr>
                                    </w:pPr>
                                    <w:r>
                                      <w:rPr>
                                        <w:rFonts w:hint="eastAsia"/>
                                        <w:color w:val="EE822F" w:themeColor="accent2"/>
                                        <w:sz w:val="26"/>
                                        <w:szCs w:val="26"/>
                                        <w:lang w:eastAsia="zh-CN"/>
                                        <w14:textFill>
                                          <w14:solidFill>
                                            <w14:schemeClr w14:val="accent2"/>
                                          </w14:solidFill>
                                        </w14:textFill>
                                      </w:rPr>
                                      <w:t>Yaotao Zhang 2307177</w:t>
                                    </w:r>
                                  </w:p>
                                </w:sdtContent>
                              </w:sdt>
                              <w:p>
                                <w:pPr>
                                  <w:pStyle w:val="10"/>
                                  <w:rPr>
                                    <w:color w:val="44546A" w:themeColor="text2"/>
                                    <w14:textFill>
                                      <w14:solidFill>
                                        <w14:schemeClr w14:val="tx2"/>
                                      </w14:solidFill>
                                    </w14:textFill>
                                  </w:rPr>
                                </w:pPr>
                                <w:sdt>
                                  <w:sdtPr>
                                    <w:rPr>
                                      <w:color w:val="44546A" w:themeColor="text2"/>
                                      <w14:textFill>
                                        <w14:solidFill>
                                          <w14:schemeClr w14:val="tx2"/>
                                        </w14:solidFill>
                                      </w14:textFil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rPr>
                                      <w:color w:val="44546A" w:themeColor="text2"/>
                                      <w14:textFill>
                                        <w14:solidFill>
                                          <w14:schemeClr w14:val="tx2"/>
                                        </w14:solidFill>
                                      </w14:textFill>
                                    </w:rPr>
                                  </w:sdtEndPr>
                                  <w:sdtContent>
                                    <w:r>
                                      <w:rPr>
                                        <w:rFonts w:hint="eastAsia"/>
                                        <w:color w:val="44546A" w:themeColor="text2"/>
                                        <w:lang w:eastAsia="zh-CN"/>
                                        <w14:textFill>
                                          <w14:solidFill>
                                            <w14:schemeClr w14:val="tx2"/>
                                          </w14:solidFill>
                                        </w14:textFill>
                                      </w:rPr>
                                      <w:t xml:space="preserve">Module Handbook: BMBM6021 International Business Communication </w:t>
                                    </w:r>
                                  </w:sdtContent>
                                </w:sdt>
                              </w:p>
                              <w:sdt>
                                <w:sdtPr>
                                  <w:rPr>
                                    <w:color w:val="000000" w:themeColor="text1"/>
                                    <w14:textFill>
                                      <w14:solidFill>
                                        <w14:schemeClr w14:val="tx1"/>
                                      </w14:solidFill>
                                    </w14:textFill>
                                  </w:rPr>
                                  <w:alias w:val="Abstract"/>
                                  <w:id w:val="-2036181933"/>
                                  <w:showingPlcHdr/>
                                  <w:dataBinding w:prefixMappings="xmlns:ns0='http://schemas.microsoft.com/office/2006/coverPageProps' " w:xpath="/ns0:CoverPageProperties[1]/ns0:Abstract[1]" w:storeItemID="{55AF091B-3C7A-41E3-B477-F2FDAA23CFDA}"/>
                                  <w:text/>
                                </w:sdtPr>
                                <w:sdtEndPr>
                                  <w:rPr>
                                    <w:color w:val="000000" w:themeColor="text1"/>
                                    <w14:textFill>
                                      <w14:solidFill>
                                        <w14:schemeClr w14:val="tx1"/>
                                      </w14:solidFill>
                                    </w14:textFill>
                                  </w:rPr>
                                </w:sdtEndPr>
                                <w:sdtContent>
                                  <w:p>
                                    <w:pPr>
                                      <w:rPr>
                                        <w:color w:val="000000" w:themeColor="text1"/>
                                        <w14:textFill>
                                          <w14:solidFill>
                                            <w14:schemeClr w14:val="tx1"/>
                                          </w14:solidFill>
                                        </w14:textFill>
                                      </w:rPr>
                                    </w:pPr>
                                  </w:p>
                                </w:sdtContent>
                              </w:sdt>
                              <w:p>
                                <w:pPr>
                                  <w:pStyle w:val="10"/>
                                </w:pPr>
                                <w:sdt>
                                  <w:sdtPr>
                                    <w:rPr>
                                      <w:color w:val="44546A" w:themeColor="text2"/>
                                      <w14:textFill>
                                        <w14:solidFill>
                                          <w14:schemeClr w14:val="tx2"/>
                                        </w14:solidFill>
                                      </w14:textFill>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EndPr>
                                    <w:rPr>
                                      <w:color w:val="44546A" w:themeColor="text2"/>
                                      <w14:textFill>
                                        <w14:solidFill>
                                          <w14:schemeClr w14:val="tx2"/>
                                        </w14:solidFill>
                                      </w14:textFill>
                                    </w:rPr>
                                  </w:sdtEndPr>
                                  <w:sdtContent>
                                    <w:r>
                                      <w:rPr>
                                        <w:rFonts w:hint="eastAsia" w:ascii="Arial" w:hAnsi="Arial" w:cs="Arial"/>
                                        <w:b/>
                                        <w:bCs/>
                                        <w:sz w:val="24"/>
                                        <w:szCs w:val="24"/>
                                        <w:lang w:eastAsia="zh-CN"/>
                                      </w:rPr>
                                      <w:t xml:space="preserve"> </w:t>
                                    </w:r>
                                  </w:sdtContent>
                                </w:sdt>
                              </w:p>
                            </w:tc>
                          </w:tr>
                        </w:tbl>
                        <w:p/>
                      </w:txbxContent>
                    </v:textbox>
                  </v:shape>
                </w:pict>
              </mc:Fallback>
            </mc:AlternateContent>
          </w:r>
        </w:p>
      </w:sdtContent>
    </w:sdt>
    <w:p>
      <w:pPr>
        <w:pBdr>
          <w:bottom w:val="single" w:color="auto" w:sz="4" w:space="1"/>
        </w:pBdr>
        <w:outlineLvl w:val="0"/>
        <w:rPr>
          <w:rFonts w:hint="default" w:ascii="Arial" w:hAnsi="Arial" w:cs="Arial"/>
          <w:b/>
          <w:bCs/>
          <w:sz w:val="24"/>
          <w:szCs w:val="24"/>
        </w:rPr>
      </w:pPr>
      <w:bookmarkStart w:id="0" w:name="_Toc16074"/>
      <w:r>
        <w:rPr>
          <w:rFonts w:hint="default" w:ascii="Arial" w:hAnsi="Arial" w:cs="Arial"/>
          <w:b/>
          <w:bCs/>
          <w:sz w:val="24"/>
          <w:szCs w:val="24"/>
        </w:rPr>
        <w:t>Executive Summary</w:t>
      </w:r>
      <w:bookmarkEnd w:id="0"/>
    </w:p>
    <w:p>
      <w:pPr>
        <w:rPr>
          <w:rFonts w:hint="default" w:ascii="Arial" w:hAnsi="Arial" w:cs="Arial"/>
          <w:sz w:val="24"/>
          <w:szCs w:val="24"/>
        </w:rPr>
      </w:pPr>
      <w:r>
        <w:rPr>
          <w:rFonts w:hint="default" w:ascii="Arial" w:hAnsi="Arial" w:cs="Arial"/>
          <w:sz w:val="24"/>
          <w:szCs w:val="24"/>
        </w:rPr>
        <w:t>The report provides key guidance on international business communications for British clothing retailers entering the Asian market. It emphasizes the importance of understanding different cultures in promoting communication with Asian partners, and the application of cultural theory can help reduce misunderstandings and promote smooth relationships. The report details the skills and strategies required for effective communication, such as cross-cultural communication skills, language skills, non-verbal communication, negotiation, writing skills, interpersonal relationship management, time management and cultural adaptability. In particular, the differences between high-context and low-context communication are pointed out, and the necessity of adapting to different communication styles is emphasized.</w:t>
      </w:r>
    </w:p>
    <w:p>
      <w:pPr>
        <w:rPr>
          <w:rFonts w:hint="default" w:ascii="Arial" w:hAnsi="Arial" w:cs="Arial"/>
          <w:sz w:val="24"/>
          <w:szCs w:val="24"/>
        </w:rPr>
      </w:pPr>
      <w:r>
        <w:rPr>
          <w:rFonts w:hint="default" w:ascii="Arial" w:hAnsi="Arial" w:cs="Arial"/>
          <w:sz w:val="24"/>
          <w:szCs w:val="24"/>
        </w:rPr>
        <w:t>The report introduces Hofstede's cultural dimensions theory to provide a framework for understanding and coping with cultural differences. The theory includes dimensions such as individualism versus collectivism, power distance, uncertainty avoidance, and time orientation, and is particularly important for understanding Asian cultures. The report emphasizes that trust and relationships are critical to business in Asia, so building strong trusting relationships is key. Asian culture's high-context communication, attention to detail, and sense of time are critical to preventing misunderstandings and improving communication efficiency.</w:t>
      </w:r>
    </w:p>
    <w:p>
      <w:pPr>
        <w:rPr>
          <w:rFonts w:hint="default" w:ascii="Arial" w:hAnsi="Arial" w:cs="Arial"/>
          <w:sz w:val="24"/>
          <w:szCs w:val="24"/>
        </w:rPr>
      </w:pPr>
      <w:r>
        <w:rPr>
          <w:rFonts w:hint="default" w:ascii="Arial" w:hAnsi="Arial" w:cs="Arial"/>
          <w:sz w:val="24"/>
          <w:szCs w:val="24"/>
        </w:rPr>
        <w:t>The report also highlights the importance of continuous learning and adaptation to cope with the increasing complexity of international business communications. Building a diverse team is crucial to understanding and adapting to different cultural backgrounds and achieving success in cross-cultural communication. Finally, the report explores crisis communications strategies, including transparent communication, creating learning opportunities, implementing corrective actions, process improvements, contingency plan development, stakeholder engagement, and ongoing monitoring and evaluation.</w:t>
      </w:r>
    </w:p>
    <w:p>
      <w:pPr>
        <w:rPr>
          <w:rFonts w:hint="default" w:ascii="Arial" w:hAnsi="Arial" w:cs="Arial"/>
          <w:sz w:val="24"/>
          <w:szCs w:val="24"/>
        </w:rPr>
      </w:pPr>
      <w:r>
        <w:rPr>
          <w:rFonts w:hint="default" w:ascii="Arial" w:hAnsi="Arial" w:cs="Arial"/>
          <w:sz w:val="24"/>
          <w:szCs w:val="24"/>
        </w:rPr>
        <w:t>Taken together, the report provides the retailer with deep insights and practical advice to help it successfully enter the Asian market and address international business communication challenges. By understanding cultural diversity, building trust, adapting communication styles and continuous learning, retailers can effectively communicate with their Asian partners and achieve business success.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Bdr>
          <w:bottom w:val="single" w:color="auto" w:sz="4" w:space="1"/>
        </w:pBdr>
        <w:rPr>
          <w:rFonts w:hint="default" w:ascii="Arial" w:hAnsi="Arial" w:eastAsia="宋体" w:cs="Arial"/>
          <w:b/>
          <w:bCs/>
          <w:sz w:val="24"/>
          <w:szCs w:val="24"/>
        </w:rPr>
      </w:pPr>
      <w:r>
        <w:rPr>
          <w:rFonts w:hint="default" w:ascii="Arial" w:hAnsi="Arial" w:eastAsia="宋体" w:cs="Arial"/>
          <w:b/>
          <w:bCs/>
          <w:sz w:val="24"/>
          <w:szCs w:val="24"/>
        </w:rPr>
        <w:t>Executive Summary</w:t>
      </w:r>
    </w:p>
    <w:p>
      <w:pPr>
        <w:rPr>
          <w:rFonts w:hint="default" w:ascii="Arial" w:hAnsi="Arial" w:cs="Arial"/>
          <w:sz w:val="24"/>
          <w:szCs w:val="24"/>
        </w:rPr>
      </w:pPr>
      <w:r>
        <w:rPr>
          <w:rFonts w:hint="default" w:ascii="Arial" w:hAnsi="Arial" w:cs="Arial"/>
          <w:sz w:val="24"/>
          <w:szCs w:val="24"/>
        </w:rPr>
        <w:t>The report provides key guidance on international business communications for British clothing retailers entering the Asian market. It emphasizes the importance of understanding different cultures in promoting communication with Asian partners, and the application of cultural theory can help reduce misunderstandings and promote smooth relationships. The report details the skills and strategies required for effective communication, such as cross-cultural communication skills, language skills, non-verbal communication, negotiation, writing skills, interpersonal relationship management, time management and cultural adaptability. In particular, the differences between high-context and low-context communication are pointed out, and the necessity of adapting to different communication styles is emphasized.</w:t>
      </w:r>
    </w:p>
    <w:p>
      <w:pPr>
        <w:rPr>
          <w:rFonts w:hint="default" w:ascii="Arial" w:hAnsi="Arial" w:cs="Arial"/>
          <w:sz w:val="24"/>
          <w:szCs w:val="24"/>
        </w:rPr>
      </w:pPr>
      <w:r>
        <w:rPr>
          <w:rFonts w:hint="default" w:ascii="Arial" w:hAnsi="Arial" w:cs="Arial"/>
          <w:sz w:val="24"/>
          <w:szCs w:val="24"/>
        </w:rPr>
        <w:t>The report introduces Hofstede's cultural dimensions theory to provide a framework for understanding and coping with cultural differences. The theory includes dimensions such as individualism versus collectivism, power distance, uncertainty avoidance, and time orientation, and is particularly important for understanding Asian cultures. The report emphasizes that trust and relationships are critical to business in Asia, so building strong trusting relationships is key. Asian culture's high-context communication, attention to detail, and sense of time are critical to preventing misunderstandings and improving communication efficiency.</w:t>
      </w:r>
    </w:p>
    <w:p>
      <w:pPr>
        <w:rPr>
          <w:rFonts w:hint="default" w:ascii="Arial" w:hAnsi="Arial" w:cs="Arial"/>
          <w:sz w:val="24"/>
          <w:szCs w:val="24"/>
        </w:rPr>
      </w:pPr>
      <w:r>
        <w:rPr>
          <w:rFonts w:hint="default" w:ascii="Arial" w:hAnsi="Arial" w:cs="Arial"/>
          <w:sz w:val="24"/>
          <w:szCs w:val="24"/>
        </w:rPr>
        <w:t>The report also highlights the importance of continuous learning and adaptation to cope with the increasing complexity of international business communications. Building a diverse team is crucial to understanding and adapting to different cultural backgrounds and achieving success in cross-cultural communication. Finally, the report explores crisis communications strategies, including transparent communication, creating learning opportunities, implementing corrective actions, process improvements, contingency plan development, stakeholder engagement, and ongoing monitoring and evaluation.</w:t>
      </w:r>
    </w:p>
    <w:p>
      <w:pPr>
        <w:rPr>
          <w:rFonts w:hint="default" w:ascii="Arial" w:hAnsi="Arial" w:cs="Arial"/>
          <w:sz w:val="24"/>
          <w:szCs w:val="24"/>
        </w:rPr>
      </w:pPr>
      <w:r>
        <w:rPr>
          <w:rFonts w:hint="default" w:ascii="Arial" w:hAnsi="Arial" w:cs="Arial"/>
          <w:sz w:val="24"/>
          <w:szCs w:val="24"/>
        </w:rPr>
        <w:t>Taken together, the report provides the retailer with deep insights and practical advice to help it successfully enter the Asian market and address international business communication challenges. By understanding cultural diversity, building trust, adapting communication styles and continuous learning, retailers can effectively communicate with their Asian partners and achieve business success.</w:t>
      </w:r>
    </w:p>
    <w:p>
      <w:pPr>
        <w:rPr>
          <w:rFonts w:hint="default" w:ascii="Arial" w:hAnsi="Arial" w:cs="Arial"/>
          <w:sz w:val="24"/>
          <w:szCs w:val="24"/>
        </w:rPr>
      </w:pPr>
      <w:r>
        <w:rPr>
          <w:rFonts w:hint="default" w:ascii="Arial" w:hAnsi="Arial" w:cs="Arial"/>
          <w:sz w:val="24"/>
          <w:szCs w:val="24"/>
        </w:rPr>
        <w:br w:type="page"/>
      </w:r>
    </w:p>
    <w:p>
      <w:pPr>
        <w:rPr>
          <w:rFonts w:hint="default" w:ascii="Arial" w:hAnsi="Arial" w:cs="Arial"/>
          <w:sz w:val="24"/>
          <w:szCs w:val="24"/>
        </w:rPr>
      </w:pPr>
    </w:p>
    <w:sdt>
      <w:sdtPr>
        <w:rPr>
          <w:rFonts w:hint="default" w:ascii="Arial" w:hAnsi="Arial" w:eastAsia="宋体" w:cs="Arial"/>
          <w:kern w:val="2"/>
          <w:sz w:val="24"/>
          <w:szCs w:val="24"/>
          <w:lang w:val="en-US" w:eastAsia="zh-CN" w:bidi="ar-SA"/>
        </w:rPr>
        <w:id w:val="147453237"/>
        <w15:color w:val="DBDBDB"/>
        <w:docPartObj>
          <w:docPartGallery w:val="Table of Contents"/>
          <w:docPartUnique/>
        </w:docPartObj>
      </w:sdtPr>
      <w:sdtEndPr>
        <w:rPr>
          <w:rFonts w:hint="default" w:ascii="Arial" w:hAnsi="Arial" w:cs="Arial" w:eastAsiaTheme="minorEastAsia"/>
          <w:kern w:val="2"/>
          <w:sz w:val="24"/>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eastAsia="宋体" w:cs="Arial"/>
              <w:sz w:val="24"/>
              <w:szCs w:val="24"/>
              <w:lang w:eastAsia="zh-CN"/>
            </w:rPr>
          </w:pPr>
          <w:r>
            <w:rPr>
              <w:rFonts w:hint="default" w:ascii="Arial" w:hAnsi="Arial" w:eastAsia="宋体" w:cs="Arial"/>
              <w:sz w:val="24"/>
              <w:szCs w:val="24"/>
              <w:lang w:val="en-US" w:eastAsia="zh-CN"/>
            </w:rPr>
            <w:t>table</w:t>
          </w:r>
        </w:p>
        <w:p>
          <w:pPr>
            <w:pStyle w:val="3"/>
            <w:tabs>
              <w:tab w:val="right" w:leader="dot" w:pos="8306"/>
            </w:tabs>
          </w:pPr>
          <w:r>
            <w:rPr>
              <w:rFonts w:hint="default" w:ascii="Arial" w:hAnsi="Arial" w:cs="Arial"/>
              <w:sz w:val="24"/>
              <w:szCs w:val="24"/>
            </w:rPr>
            <w:fldChar w:fldCharType="begin"/>
          </w:r>
          <w:r>
            <w:rPr>
              <w:rFonts w:hint="default" w:ascii="Arial" w:hAnsi="Arial" w:cs="Arial"/>
              <w:sz w:val="24"/>
              <w:szCs w:val="24"/>
            </w:rPr>
            <w:instrText xml:space="preserve">TOC \o "1-3" \h \u </w:instrText>
          </w:r>
          <w:r>
            <w:rPr>
              <w:rFonts w:hint="default" w:ascii="Arial" w:hAnsi="Arial" w:cs="Arial"/>
              <w:sz w:val="24"/>
              <w:szCs w:val="24"/>
            </w:rPr>
            <w:fldChar w:fldCharType="separate"/>
          </w:r>
          <w:r>
            <w:rPr>
              <w:rFonts w:hint="default" w:ascii="Arial" w:hAnsi="Arial" w:cs="Arial"/>
              <w:szCs w:val="24"/>
            </w:rPr>
            <w:fldChar w:fldCharType="begin"/>
          </w:r>
          <w:r>
            <w:rPr>
              <w:rFonts w:hint="default" w:ascii="Arial" w:hAnsi="Arial" w:cs="Arial"/>
              <w:szCs w:val="24"/>
            </w:rPr>
            <w:instrText xml:space="preserve"> HYPERLINK \l _Toc16074 </w:instrText>
          </w:r>
          <w:r>
            <w:rPr>
              <w:rFonts w:hint="default" w:ascii="Arial" w:hAnsi="Arial" w:cs="Arial"/>
              <w:szCs w:val="24"/>
            </w:rPr>
            <w:fldChar w:fldCharType="separate"/>
          </w:r>
          <w:r>
            <w:rPr>
              <w:rFonts w:hint="default" w:ascii="Arial" w:hAnsi="Arial" w:cs="Arial"/>
              <w:bCs/>
              <w:szCs w:val="24"/>
            </w:rPr>
            <w:t>Executive Summary</w:t>
          </w:r>
          <w:r>
            <w:tab/>
          </w:r>
          <w:r>
            <w:fldChar w:fldCharType="begin"/>
          </w:r>
          <w:r>
            <w:instrText xml:space="preserve"> PAGEREF _Toc16074 \h </w:instrText>
          </w:r>
          <w:r>
            <w:fldChar w:fldCharType="separate"/>
          </w:r>
          <w:r>
            <w:t>1</w:t>
          </w:r>
          <w:r>
            <w:fldChar w:fldCharType="end"/>
          </w:r>
          <w:r>
            <w:rPr>
              <w:rFonts w:hint="default" w:ascii="Arial" w:hAnsi="Arial" w:cs="Arial"/>
              <w:szCs w:val="24"/>
            </w:rPr>
            <w:fldChar w:fldCharType="end"/>
          </w:r>
        </w:p>
        <w:p>
          <w:pPr>
            <w:pStyle w:val="3"/>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_Toc28850 </w:instrText>
          </w:r>
          <w:r>
            <w:rPr>
              <w:rFonts w:hint="default" w:ascii="Arial" w:hAnsi="Arial" w:cs="Arial"/>
              <w:szCs w:val="24"/>
            </w:rPr>
            <w:fldChar w:fldCharType="separate"/>
          </w:r>
          <w:r>
            <w:rPr>
              <w:rFonts w:hint="default" w:ascii="Arial" w:hAnsi="Arial" w:cs="Arial"/>
              <w:bCs/>
              <w:szCs w:val="24"/>
            </w:rPr>
            <w:t xml:space="preserve">1.0 </w:t>
          </w:r>
          <w:r>
            <w:rPr>
              <w:rFonts w:hint="default" w:ascii="Arial" w:hAnsi="Arial" w:cs="Arial"/>
              <w:bCs/>
              <w:szCs w:val="24"/>
            </w:rPr>
            <w:t>– Introduction</w:t>
          </w:r>
          <w:r>
            <w:tab/>
          </w:r>
          <w:r>
            <w:fldChar w:fldCharType="begin"/>
          </w:r>
          <w:r>
            <w:instrText xml:space="preserve"> PAGEREF _Toc28850 \h </w:instrText>
          </w:r>
          <w:r>
            <w:fldChar w:fldCharType="separate"/>
          </w:r>
          <w:r>
            <w:t>4</w:t>
          </w:r>
          <w:r>
            <w:fldChar w:fldCharType="end"/>
          </w:r>
          <w:r>
            <w:rPr>
              <w:rFonts w:hint="default" w:ascii="Arial" w:hAnsi="Arial" w:cs="Arial"/>
              <w:szCs w:val="24"/>
            </w:rPr>
            <w:fldChar w:fldCharType="end"/>
          </w:r>
        </w:p>
        <w:p>
          <w:pPr>
            <w:pStyle w:val="3"/>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_Toc33 </w:instrText>
          </w:r>
          <w:r>
            <w:rPr>
              <w:rFonts w:hint="default" w:ascii="Arial" w:hAnsi="Arial" w:cs="Arial"/>
              <w:szCs w:val="24"/>
            </w:rPr>
            <w:fldChar w:fldCharType="separate"/>
          </w:r>
          <w:r>
            <w:rPr>
              <w:rFonts w:hint="default" w:ascii="Arial" w:hAnsi="Arial" w:cs="Arial"/>
              <w:bCs/>
              <w:szCs w:val="24"/>
            </w:rPr>
            <w:t>2.0 – Main Findings</w:t>
          </w:r>
          <w:r>
            <w:tab/>
          </w:r>
          <w:r>
            <w:fldChar w:fldCharType="begin"/>
          </w:r>
          <w:r>
            <w:instrText xml:space="preserve"> PAGEREF _Toc33 \h </w:instrText>
          </w:r>
          <w:r>
            <w:fldChar w:fldCharType="separate"/>
          </w:r>
          <w:r>
            <w:t>4</w:t>
          </w:r>
          <w:r>
            <w:fldChar w:fldCharType="end"/>
          </w:r>
          <w:r>
            <w:rPr>
              <w:rFonts w:hint="default" w:ascii="Arial" w:hAnsi="Arial" w:cs="Arial"/>
              <w:szCs w:val="24"/>
            </w:rPr>
            <w:fldChar w:fldCharType="end"/>
          </w:r>
        </w:p>
        <w:p>
          <w:pPr>
            <w:pStyle w:val="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_Toc25355 </w:instrText>
          </w:r>
          <w:r>
            <w:rPr>
              <w:rFonts w:hint="default" w:ascii="Arial" w:hAnsi="Arial" w:cs="Arial"/>
              <w:szCs w:val="24"/>
            </w:rPr>
            <w:fldChar w:fldCharType="separate"/>
          </w:r>
          <w:r>
            <w:rPr>
              <w:rFonts w:hint="default" w:ascii="Arial" w:hAnsi="Arial" w:cs="Arial"/>
              <w:szCs w:val="24"/>
            </w:rPr>
            <w:t>2.1 – International Business Communication</w:t>
          </w:r>
          <w:r>
            <w:tab/>
          </w:r>
          <w:r>
            <w:fldChar w:fldCharType="begin"/>
          </w:r>
          <w:r>
            <w:instrText xml:space="preserve"> PAGEREF _Toc25355 \h </w:instrText>
          </w:r>
          <w:r>
            <w:fldChar w:fldCharType="separate"/>
          </w:r>
          <w:r>
            <w:t>5</w:t>
          </w:r>
          <w:r>
            <w:fldChar w:fldCharType="end"/>
          </w:r>
          <w:r>
            <w:rPr>
              <w:rFonts w:hint="default" w:ascii="Arial" w:hAnsi="Arial" w:cs="Arial"/>
              <w:szCs w:val="24"/>
            </w:rPr>
            <w:fldChar w:fldCharType="end"/>
          </w:r>
        </w:p>
        <w:p>
          <w:pPr>
            <w:pStyle w:val="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_Toc17562 </w:instrText>
          </w:r>
          <w:r>
            <w:rPr>
              <w:rFonts w:hint="default" w:ascii="Arial" w:hAnsi="Arial" w:cs="Arial"/>
              <w:szCs w:val="24"/>
            </w:rPr>
            <w:fldChar w:fldCharType="separate"/>
          </w:r>
          <w:r>
            <w:rPr>
              <w:rFonts w:hint="default" w:ascii="Arial" w:hAnsi="Arial" w:cs="Arial"/>
              <w:szCs w:val="24"/>
            </w:rPr>
            <w:t>2.2 – Skills Requirements</w:t>
          </w:r>
          <w:r>
            <w:tab/>
          </w:r>
          <w:r>
            <w:fldChar w:fldCharType="begin"/>
          </w:r>
          <w:r>
            <w:instrText xml:space="preserve"> PAGEREF _Toc17562 \h </w:instrText>
          </w:r>
          <w:r>
            <w:fldChar w:fldCharType="separate"/>
          </w:r>
          <w:r>
            <w:t>5</w:t>
          </w:r>
          <w:r>
            <w:fldChar w:fldCharType="end"/>
          </w:r>
          <w:r>
            <w:rPr>
              <w:rFonts w:hint="default" w:ascii="Arial" w:hAnsi="Arial" w:cs="Arial"/>
              <w:szCs w:val="24"/>
            </w:rPr>
            <w:fldChar w:fldCharType="end"/>
          </w:r>
        </w:p>
        <w:p>
          <w:pPr>
            <w:pStyle w:val="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_Toc1850 </w:instrText>
          </w:r>
          <w:r>
            <w:rPr>
              <w:rFonts w:hint="default" w:ascii="Arial" w:hAnsi="Arial" w:cs="Arial"/>
              <w:szCs w:val="24"/>
            </w:rPr>
            <w:fldChar w:fldCharType="separate"/>
          </w:r>
          <w:r>
            <w:rPr>
              <w:rFonts w:hint="default" w:ascii="Arial" w:hAnsi="Arial" w:cs="Arial"/>
              <w:szCs w:val="24"/>
            </w:rPr>
            <w:t>2.3 – Methods of Communication</w:t>
          </w:r>
          <w:r>
            <w:tab/>
          </w:r>
          <w:r>
            <w:fldChar w:fldCharType="begin"/>
          </w:r>
          <w:r>
            <w:instrText xml:space="preserve"> PAGEREF _Toc1850 \h </w:instrText>
          </w:r>
          <w:r>
            <w:fldChar w:fldCharType="separate"/>
          </w:r>
          <w:r>
            <w:t>6</w:t>
          </w:r>
          <w:r>
            <w:fldChar w:fldCharType="end"/>
          </w:r>
          <w:r>
            <w:rPr>
              <w:rFonts w:hint="default" w:ascii="Arial" w:hAnsi="Arial" w:cs="Arial"/>
              <w:szCs w:val="24"/>
            </w:rPr>
            <w:fldChar w:fldCharType="end"/>
          </w:r>
        </w:p>
        <w:p>
          <w:pPr>
            <w:pStyle w:val="2"/>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_Toc14052 </w:instrText>
          </w:r>
          <w:r>
            <w:rPr>
              <w:rFonts w:hint="default" w:ascii="Arial" w:hAnsi="Arial" w:cs="Arial"/>
              <w:szCs w:val="24"/>
            </w:rPr>
            <w:fldChar w:fldCharType="separate"/>
          </w:r>
          <w:r>
            <w:rPr>
              <w:rFonts w:hint="default" w:ascii="Arial" w:hAnsi="Arial" w:cs="Arial"/>
              <w:szCs w:val="24"/>
            </w:rPr>
            <w:t>2.3.1 - Halls High Low Context</w:t>
          </w:r>
          <w:r>
            <w:tab/>
          </w:r>
          <w:r>
            <w:fldChar w:fldCharType="begin"/>
          </w:r>
          <w:r>
            <w:instrText xml:space="preserve"> PAGEREF _Toc14052 \h </w:instrText>
          </w:r>
          <w:r>
            <w:fldChar w:fldCharType="separate"/>
          </w:r>
          <w:r>
            <w:t>6</w:t>
          </w:r>
          <w:r>
            <w:fldChar w:fldCharType="end"/>
          </w:r>
          <w:r>
            <w:rPr>
              <w:rFonts w:hint="default" w:ascii="Arial" w:hAnsi="Arial" w:cs="Arial"/>
              <w:szCs w:val="24"/>
            </w:rPr>
            <w:fldChar w:fldCharType="end"/>
          </w:r>
        </w:p>
        <w:p>
          <w:pPr>
            <w:pStyle w:val="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_Toc30968 </w:instrText>
          </w:r>
          <w:r>
            <w:rPr>
              <w:rFonts w:hint="default" w:ascii="Arial" w:hAnsi="Arial" w:cs="Arial"/>
              <w:szCs w:val="24"/>
            </w:rPr>
            <w:fldChar w:fldCharType="separate"/>
          </w:r>
          <w:r>
            <w:rPr>
              <w:rFonts w:hint="default" w:ascii="Arial" w:hAnsi="Arial" w:cs="Arial"/>
              <w:szCs w:val="24"/>
            </w:rPr>
            <w:t>2.4 – Effective Communication</w:t>
          </w:r>
          <w:r>
            <w:tab/>
          </w:r>
          <w:r>
            <w:fldChar w:fldCharType="begin"/>
          </w:r>
          <w:r>
            <w:instrText xml:space="preserve"> PAGEREF _Toc30968 \h </w:instrText>
          </w:r>
          <w:r>
            <w:fldChar w:fldCharType="separate"/>
          </w:r>
          <w:r>
            <w:t>7</w:t>
          </w:r>
          <w:r>
            <w:fldChar w:fldCharType="end"/>
          </w:r>
          <w:r>
            <w:rPr>
              <w:rFonts w:hint="default" w:ascii="Arial" w:hAnsi="Arial" w:cs="Arial"/>
              <w:szCs w:val="24"/>
            </w:rPr>
            <w:fldChar w:fldCharType="end"/>
          </w:r>
        </w:p>
        <w:p>
          <w:pPr>
            <w:pStyle w:val="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_Toc22647 </w:instrText>
          </w:r>
          <w:r>
            <w:rPr>
              <w:rFonts w:hint="default" w:ascii="Arial" w:hAnsi="Arial" w:cs="Arial"/>
              <w:szCs w:val="24"/>
            </w:rPr>
            <w:fldChar w:fldCharType="separate"/>
          </w:r>
          <w:r>
            <w:rPr>
              <w:rFonts w:hint="default" w:ascii="Arial" w:hAnsi="Arial" w:cs="Arial"/>
              <w:szCs w:val="24"/>
              <w:lang w:val="fr-FR"/>
            </w:rPr>
            <w:t>2.5 – International Culture</w:t>
          </w:r>
          <w:r>
            <w:tab/>
          </w:r>
          <w:r>
            <w:fldChar w:fldCharType="begin"/>
          </w:r>
          <w:r>
            <w:instrText xml:space="preserve"> PAGEREF _Toc22647 \h </w:instrText>
          </w:r>
          <w:r>
            <w:fldChar w:fldCharType="separate"/>
          </w:r>
          <w:r>
            <w:t>7</w:t>
          </w:r>
          <w:r>
            <w:fldChar w:fldCharType="end"/>
          </w:r>
          <w:r>
            <w:rPr>
              <w:rFonts w:hint="default" w:ascii="Arial" w:hAnsi="Arial" w:cs="Arial"/>
              <w:szCs w:val="24"/>
            </w:rPr>
            <w:fldChar w:fldCharType="end"/>
          </w:r>
        </w:p>
        <w:p>
          <w:pPr>
            <w:pStyle w:val="2"/>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_Toc15864 </w:instrText>
          </w:r>
          <w:r>
            <w:rPr>
              <w:rFonts w:hint="default" w:ascii="Arial" w:hAnsi="Arial" w:cs="Arial"/>
              <w:szCs w:val="24"/>
            </w:rPr>
            <w:fldChar w:fldCharType="separate"/>
          </w:r>
          <w:r>
            <w:rPr>
              <w:rFonts w:hint="default" w:ascii="Arial" w:hAnsi="Arial" w:cs="Arial"/>
              <w:szCs w:val="24"/>
              <w:lang w:val="fr-FR"/>
            </w:rPr>
            <w:t>2.5.1 - Trompenaar’s 7 dimensions to culture</w:t>
          </w:r>
          <w:r>
            <w:tab/>
          </w:r>
          <w:r>
            <w:fldChar w:fldCharType="begin"/>
          </w:r>
          <w:r>
            <w:instrText xml:space="preserve"> PAGEREF _Toc15864 \h </w:instrText>
          </w:r>
          <w:r>
            <w:fldChar w:fldCharType="separate"/>
          </w:r>
          <w:r>
            <w:t>7</w:t>
          </w:r>
          <w:r>
            <w:fldChar w:fldCharType="end"/>
          </w:r>
          <w:r>
            <w:rPr>
              <w:rFonts w:hint="default" w:ascii="Arial" w:hAnsi="Arial" w:cs="Arial"/>
              <w:szCs w:val="24"/>
            </w:rPr>
            <w:fldChar w:fldCharType="end"/>
          </w:r>
        </w:p>
        <w:p>
          <w:pPr>
            <w:pStyle w:val="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_Toc25069 </w:instrText>
          </w:r>
          <w:r>
            <w:rPr>
              <w:rFonts w:hint="default" w:ascii="Arial" w:hAnsi="Arial" w:cs="Arial"/>
              <w:szCs w:val="24"/>
            </w:rPr>
            <w:fldChar w:fldCharType="separate"/>
          </w:r>
          <w:r>
            <w:rPr>
              <w:rFonts w:hint="default" w:ascii="Arial" w:hAnsi="Arial" w:cs="Arial"/>
              <w:szCs w:val="24"/>
            </w:rPr>
            <w:t>2.6 – Importance of Building Relationships</w:t>
          </w:r>
          <w:r>
            <w:tab/>
          </w:r>
          <w:r>
            <w:fldChar w:fldCharType="begin"/>
          </w:r>
          <w:r>
            <w:instrText xml:space="preserve"> PAGEREF _Toc25069 \h </w:instrText>
          </w:r>
          <w:r>
            <w:fldChar w:fldCharType="separate"/>
          </w:r>
          <w:r>
            <w:t>8</w:t>
          </w:r>
          <w:r>
            <w:fldChar w:fldCharType="end"/>
          </w:r>
          <w:r>
            <w:rPr>
              <w:rFonts w:hint="default" w:ascii="Arial" w:hAnsi="Arial" w:cs="Arial"/>
              <w:szCs w:val="24"/>
            </w:rPr>
            <w:fldChar w:fldCharType="end"/>
          </w:r>
        </w:p>
        <w:p>
          <w:pPr>
            <w:pStyle w:val="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_Toc5974 </w:instrText>
          </w:r>
          <w:r>
            <w:rPr>
              <w:rFonts w:hint="default" w:ascii="Arial" w:hAnsi="Arial" w:cs="Arial"/>
              <w:szCs w:val="24"/>
            </w:rPr>
            <w:fldChar w:fldCharType="separate"/>
          </w:r>
          <w:r>
            <w:rPr>
              <w:rFonts w:hint="default" w:ascii="Arial" w:hAnsi="Arial" w:cs="Arial"/>
              <w:szCs w:val="24"/>
            </w:rPr>
            <w:t>2.7 – How to build Trust</w:t>
          </w:r>
          <w:r>
            <w:tab/>
          </w:r>
          <w:r>
            <w:fldChar w:fldCharType="begin"/>
          </w:r>
          <w:r>
            <w:instrText xml:space="preserve"> PAGEREF _Toc5974 \h </w:instrText>
          </w:r>
          <w:r>
            <w:fldChar w:fldCharType="separate"/>
          </w:r>
          <w:r>
            <w:t>9</w:t>
          </w:r>
          <w:r>
            <w:fldChar w:fldCharType="end"/>
          </w:r>
          <w:r>
            <w:rPr>
              <w:rFonts w:hint="default" w:ascii="Arial" w:hAnsi="Arial" w:cs="Arial"/>
              <w:szCs w:val="24"/>
            </w:rPr>
            <w:fldChar w:fldCharType="end"/>
          </w:r>
        </w:p>
        <w:p>
          <w:pPr>
            <w:pStyle w:val="4"/>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_Toc30513 </w:instrText>
          </w:r>
          <w:r>
            <w:rPr>
              <w:rFonts w:hint="default" w:ascii="Arial" w:hAnsi="Arial" w:cs="Arial"/>
              <w:szCs w:val="24"/>
            </w:rPr>
            <w:fldChar w:fldCharType="separate"/>
          </w:r>
          <w:r>
            <w:rPr>
              <w:rFonts w:hint="default" w:ascii="Arial" w:hAnsi="Arial" w:cs="Arial"/>
              <w:szCs w:val="24"/>
            </w:rPr>
            <w:t>2.8 – Failed Relationships</w:t>
          </w:r>
          <w:r>
            <w:tab/>
          </w:r>
          <w:r>
            <w:fldChar w:fldCharType="begin"/>
          </w:r>
          <w:r>
            <w:instrText xml:space="preserve"> PAGEREF _Toc30513 \h </w:instrText>
          </w:r>
          <w:r>
            <w:fldChar w:fldCharType="separate"/>
          </w:r>
          <w:r>
            <w:t>9</w:t>
          </w:r>
          <w:r>
            <w:fldChar w:fldCharType="end"/>
          </w:r>
          <w:r>
            <w:rPr>
              <w:rFonts w:hint="default" w:ascii="Arial" w:hAnsi="Arial" w:cs="Arial"/>
              <w:szCs w:val="24"/>
            </w:rPr>
            <w:fldChar w:fldCharType="end"/>
          </w:r>
        </w:p>
        <w:p>
          <w:pPr>
            <w:pStyle w:val="3"/>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_Toc27532 </w:instrText>
          </w:r>
          <w:r>
            <w:rPr>
              <w:rFonts w:hint="default" w:ascii="Arial" w:hAnsi="Arial" w:cs="Arial"/>
              <w:szCs w:val="24"/>
            </w:rPr>
            <w:fldChar w:fldCharType="separate"/>
          </w:r>
          <w:r>
            <w:rPr>
              <w:rFonts w:hint="default" w:ascii="Arial" w:hAnsi="Arial" w:cs="Arial"/>
              <w:bCs/>
              <w:szCs w:val="24"/>
            </w:rPr>
            <w:t>3.0 – Conclusions</w:t>
          </w:r>
          <w:r>
            <w:tab/>
          </w:r>
          <w:r>
            <w:fldChar w:fldCharType="begin"/>
          </w:r>
          <w:r>
            <w:instrText xml:space="preserve"> PAGEREF _Toc27532 \h </w:instrText>
          </w:r>
          <w:r>
            <w:fldChar w:fldCharType="separate"/>
          </w:r>
          <w:r>
            <w:t>11</w:t>
          </w:r>
          <w:r>
            <w:fldChar w:fldCharType="end"/>
          </w:r>
          <w:r>
            <w:rPr>
              <w:rFonts w:hint="default" w:ascii="Arial" w:hAnsi="Arial" w:cs="Arial"/>
              <w:szCs w:val="24"/>
            </w:rPr>
            <w:fldChar w:fldCharType="end"/>
          </w:r>
        </w:p>
        <w:p>
          <w:pPr>
            <w:pStyle w:val="3"/>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_Toc22060 </w:instrText>
          </w:r>
          <w:r>
            <w:rPr>
              <w:rFonts w:hint="default" w:ascii="Arial" w:hAnsi="Arial" w:cs="Arial"/>
              <w:szCs w:val="24"/>
            </w:rPr>
            <w:fldChar w:fldCharType="separate"/>
          </w:r>
          <w:r>
            <w:rPr>
              <w:rFonts w:hint="default" w:ascii="Arial" w:hAnsi="Arial" w:cs="Arial"/>
              <w:bCs/>
              <w:szCs w:val="24"/>
            </w:rPr>
            <w:t>4.0 – Recommendations</w:t>
          </w:r>
          <w:r>
            <w:tab/>
          </w:r>
          <w:r>
            <w:fldChar w:fldCharType="begin"/>
          </w:r>
          <w:r>
            <w:instrText xml:space="preserve"> PAGEREF _Toc22060 \h </w:instrText>
          </w:r>
          <w:r>
            <w:fldChar w:fldCharType="separate"/>
          </w:r>
          <w:r>
            <w:t>12</w:t>
          </w:r>
          <w:r>
            <w:fldChar w:fldCharType="end"/>
          </w:r>
          <w:r>
            <w:rPr>
              <w:rFonts w:hint="default" w:ascii="Arial" w:hAnsi="Arial" w:cs="Arial"/>
              <w:szCs w:val="24"/>
            </w:rPr>
            <w:fldChar w:fldCharType="end"/>
          </w:r>
        </w:p>
        <w:p>
          <w:pPr>
            <w:pStyle w:val="3"/>
            <w:tabs>
              <w:tab w:val="right" w:leader="dot" w:pos="8306"/>
            </w:tabs>
          </w:pPr>
          <w:r>
            <w:rPr>
              <w:rFonts w:hint="default" w:ascii="Arial" w:hAnsi="Arial" w:cs="Arial"/>
              <w:szCs w:val="24"/>
            </w:rPr>
            <w:fldChar w:fldCharType="begin"/>
          </w:r>
          <w:r>
            <w:rPr>
              <w:rFonts w:hint="default" w:ascii="Arial" w:hAnsi="Arial" w:cs="Arial"/>
              <w:szCs w:val="24"/>
            </w:rPr>
            <w:instrText xml:space="preserve"> HYPERLINK \l _Toc29925 </w:instrText>
          </w:r>
          <w:r>
            <w:rPr>
              <w:rFonts w:hint="default" w:ascii="Arial" w:hAnsi="Arial" w:cs="Arial"/>
              <w:szCs w:val="24"/>
            </w:rPr>
            <w:fldChar w:fldCharType="separate"/>
          </w:r>
          <w:r>
            <w:rPr>
              <w:rFonts w:hint="default" w:ascii="Arial" w:hAnsi="Arial" w:cs="Arial"/>
              <w:bCs/>
              <w:szCs w:val="24"/>
            </w:rPr>
            <w:t>References</w:t>
          </w:r>
          <w:r>
            <w:tab/>
          </w:r>
          <w:r>
            <w:fldChar w:fldCharType="begin"/>
          </w:r>
          <w:r>
            <w:instrText xml:space="preserve"> PAGEREF _Toc29925 \h </w:instrText>
          </w:r>
          <w:r>
            <w:fldChar w:fldCharType="separate"/>
          </w:r>
          <w:r>
            <w:t>13</w:t>
          </w:r>
          <w:r>
            <w:fldChar w:fldCharType="end"/>
          </w:r>
          <w:r>
            <w:rPr>
              <w:rFonts w:hint="default" w:ascii="Arial" w:hAnsi="Arial" w:cs="Arial"/>
              <w:szCs w:val="24"/>
            </w:rPr>
            <w:fldChar w:fldCharType="end"/>
          </w:r>
        </w:p>
        <w:p>
          <w:pPr>
            <w:rPr>
              <w:rFonts w:hint="default" w:ascii="Arial" w:hAnsi="Arial" w:cs="Arial"/>
              <w:sz w:val="24"/>
              <w:szCs w:val="24"/>
            </w:rPr>
          </w:pPr>
          <w:r>
            <w:rPr>
              <w:rFonts w:hint="default" w:ascii="Arial" w:hAnsi="Arial" w:cs="Arial"/>
              <w:szCs w:val="24"/>
            </w:rPr>
            <w:fldChar w:fldCharType="end"/>
          </w:r>
        </w:p>
      </w:sdtContent>
    </w:sdt>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page"/>
      </w:r>
    </w:p>
    <w:p>
      <w:pPr>
        <w:pStyle w:val="9"/>
        <w:numPr>
          <w:ilvl w:val="0"/>
          <w:numId w:val="1"/>
        </w:numPr>
        <w:pBdr>
          <w:bottom w:val="single" w:color="auto" w:sz="4" w:space="1"/>
        </w:pBdr>
        <w:outlineLvl w:val="0"/>
        <w:rPr>
          <w:rFonts w:hint="default" w:ascii="Arial" w:hAnsi="Arial" w:cs="Arial"/>
          <w:b/>
          <w:bCs/>
          <w:sz w:val="24"/>
          <w:szCs w:val="24"/>
        </w:rPr>
      </w:pPr>
      <w:bookmarkStart w:id="1" w:name="_Toc28850"/>
      <w:r>
        <w:rPr>
          <w:rFonts w:hint="default" w:ascii="Arial" w:hAnsi="Arial" w:cs="Arial"/>
          <w:b/>
          <w:bCs/>
          <w:sz w:val="24"/>
          <w:szCs w:val="24"/>
        </w:rPr>
        <w:t>– Introduction</w:t>
      </w:r>
      <w:bookmarkEnd w:id="1"/>
    </w:p>
    <w:p>
      <w:pPr>
        <w:rPr>
          <w:rFonts w:hint="default" w:ascii="Arial" w:hAnsi="Arial" w:cs="Arial"/>
          <w:sz w:val="24"/>
          <w:szCs w:val="24"/>
        </w:rPr>
      </w:pPr>
      <w:r>
        <w:rPr>
          <w:rFonts w:hint="default" w:ascii="Arial" w:hAnsi="Arial" w:cs="Arial"/>
          <w:sz w:val="24"/>
          <w:szCs w:val="24"/>
        </w:rPr>
        <w:t>In the wave of globalization, the importance of understanding international business communication and exchange has become increasingly prominent. This is not only about the effective transmission of information, but also involves in-depth interpretation of cross-cultural meanings among stakeholders to promote exchanges and cooperation with Asia and other regions to achieve mutual benefit and win-win results.</w:t>
      </w:r>
    </w:p>
    <w:p>
      <w:pPr>
        <w:rPr>
          <w:rFonts w:hint="default" w:ascii="Arial" w:hAnsi="Arial" w:cs="Arial"/>
          <w:sz w:val="24"/>
          <w:szCs w:val="24"/>
        </w:rPr>
      </w:pPr>
      <w:r>
        <w:rPr>
          <w:rFonts w:hint="default" w:ascii="Arial" w:hAnsi="Arial" w:cs="Arial"/>
          <w:sz w:val="24"/>
          <w:szCs w:val="24"/>
        </w:rPr>
        <w:t>In order to successfully communicate in international business, we need to master a series of skills and strategies. These skills and strategies cover cross-cultural communication skills, language proficiency, non-verbal communication, negotiation skills, writing skills, relationship management, time management, and cultural adaptability. In the communication process, we need to pay attention to the differences between high-context and low-context communication, use clear and concise expressions, actively listen, establish feedback mechanisms, be culturally sensitive, choose appropriate communication channels, use technology flexibly, and build trust. Possess skills such as adaptability, conflict resolution skills, and planning crisis communication strategies.</w:t>
      </w:r>
    </w:p>
    <w:p>
      <w:pPr>
        <w:rPr>
          <w:rFonts w:hint="default" w:ascii="Arial" w:hAnsi="Arial" w:cs="Arial"/>
          <w:sz w:val="24"/>
          <w:szCs w:val="24"/>
        </w:rPr>
      </w:pPr>
      <w:r>
        <w:rPr>
          <w:rFonts w:hint="default" w:ascii="Arial" w:hAnsi="Arial" w:cs="Arial"/>
          <w:sz w:val="24"/>
          <w:szCs w:val="24"/>
        </w:rPr>
        <w:t>In addition, Dutch writer Fons Trompenas’s “Seven Dimensions of Culture” framework provides us with an in-depth cultural perspective. This framework includes aspects such as individualism vs. collectivism, power distance, uncertainty avoidance, short-term vs. long-term orientation, masculinity vs. femininity, self-expression vs. restraint, and internal vs. external control. These dimensions provide international business practitioners with a comprehensive understanding and useful guidance to successfully conduct business in a globalized environment, helping us better integrate into different cultural backgrounds and achieve business goals.</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pBdr>
          <w:bottom w:val="single" w:color="auto" w:sz="4" w:space="1"/>
        </w:pBdr>
        <w:outlineLvl w:val="0"/>
        <w:rPr>
          <w:rFonts w:hint="default" w:ascii="Arial" w:hAnsi="Arial" w:cs="Arial"/>
          <w:b/>
          <w:bCs/>
          <w:sz w:val="24"/>
          <w:szCs w:val="24"/>
        </w:rPr>
      </w:pPr>
      <w:bookmarkStart w:id="2" w:name="_Toc33"/>
      <w:r>
        <w:rPr>
          <w:rFonts w:hint="default" w:ascii="Arial" w:hAnsi="Arial" w:cs="Arial"/>
          <w:b/>
          <w:bCs/>
          <w:sz w:val="24"/>
          <w:szCs w:val="24"/>
        </w:rPr>
        <w:t>2.0 – Main Findings</w:t>
      </w:r>
      <w:bookmarkEnd w:id="2"/>
    </w:p>
    <w:p>
      <w:pPr>
        <w:outlineLvl w:val="1"/>
        <w:rPr>
          <w:rFonts w:hint="default" w:ascii="Arial" w:hAnsi="Arial" w:cs="Arial"/>
          <w:sz w:val="24"/>
          <w:szCs w:val="24"/>
        </w:rPr>
      </w:pPr>
      <w:bookmarkStart w:id="3" w:name="_Toc25355"/>
      <w:r>
        <w:rPr>
          <w:rFonts w:hint="default" w:ascii="Arial" w:hAnsi="Arial" w:cs="Arial"/>
          <w:sz w:val="24"/>
          <w:szCs w:val="24"/>
        </w:rPr>
        <w:t>2.1 – International Business Communication</w:t>
      </w:r>
      <w:bookmarkEnd w:id="3"/>
    </w:p>
    <w:p>
      <w:pPr>
        <w:ind w:firstLine="720"/>
        <w:rPr>
          <w:rFonts w:hint="default" w:ascii="Arial" w:hAnsi="Arial" w:cs="Arial"/>
          <w:sz w:val="24"/>
          <w:szCs w:val="24"/>
        </w:rPr>
      </w:pPr>
      <w:r>
        <w:rPr>
          <w:rFonts w:hint="default" w:ascii="Arial" w:hAnsi="Arial" w:cs="Arial"/>
          <w:sz w:val="24"/>
          <w:szCs w:val="24"/>
        </w:rPr>
        <w:t>International business communication involves exchanging information and ideas across national and cultural boundaries in a business setting. It encompasses interactions between businesses or their global partners, aiming to foster collaboration, troubleshoot issues, and facilitate successful project or deal execution. This communication takes diverse forms like written and oral communication, meetings, presentations, and virtual communication, tailored to suit different business and cultural contexts.</w:t>
      </w:r>
      <w:r>
        <w:rPr>
          <w:rFonts w:hint="default" w:ascii="Arial" w:hAnsi="Arial" w:cs="Arial"/>
          <w:sz w:val="24"/>
          <w:szCs w:val="24"/>
          <w:lang w:eastAsia="zh-CN"/>
        </w:rPr>
        <w:t>（</w:t>
      </w:r>
      <w:r>
        <w:rPr>
          <w:rFonts w:hint="default" w:ascii="Arial" w:hAnsi="Arial" w:eastAsia="宋体" w:cs="Arial"/>
          <w:kern w:val="0"/>
          <w:sz w:val="24"/>
          <w:szCs w:val="24"/>
          <w:lang w:val="en-US" w:eastAsia="zh-CN" w:bidi="ar"/>
        </w:rPr>
        <w:t>Mullany, L., &amp; Schnurr, S. (Eds.). (2023)</w:t>
      </w:r>
      <w:r>
        <w:rPr>
          <w:rFonts w:hint="default" w:ascii="Arial" w:hAnsi="Arial" w:eastAsia="宋体" w:cs="Arial"/>
          <w:kern w:val="0"/>
          <w:sz w:val="24"/>
          <w:szCs w:val="24"/>
          <w:lang w:val="en-US" w:eastAsia="zh-CN" w:bidi="ar"/>
        </w:rPr>
        <w:t>）</w:t>
      </w:r>
    </w:p>
    <w:p>
      <w:pPr>
        <w:ind w:firstLine="720"/>
        <w:rPr>
          <w:rFonts w:hint="default" w:ascii="Arial" w:hAnsi="Arial" w:cs="Arial"/>
          <w:sz w:val="24"/>
          <w:szCs w:val="24"/>
        </w:rPr>
      </w:pPr>
      <w:r>
        <w:rPr>
          <w:rFonts w:hint="default" w:ascii="Arial" w:hAnsi="Arial" w:cs="Arial"/>
          <w:sz w:val="24"/>
          <w:szCs w:val="24"/>
        </w:rPr>
        <w:t xml:space="preserve">When engaging in international business communications, challenges like cross-cultural differences, language barriers, time zone disparities, and variations in business and legal environments often arise. Effective international business communication is vital for establishing trust, fostering shared understanding, addressing challenges, and ensuring seamless project execution. </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Muriwai, G. (2006)</w:t>
      </w:r>
      <w:r>
        <w:rPr>
          <w:rFonts w:hint="eastAsia" w:ascii="Arial" w:hAnsi="Arial" w:eastAsia="宋体" w:cs="Arial"/>
          <w:kern w:val="0"/>
          <w:sz w:val="24"/>
          <w:szCs w:val="24"/>
          <w:lang w:val="en-US" w:eastAsia="zh-CN" w:bidi="ar"/>
        </w:rPr>
        <w:t>）</w:t>
      </w:r>
      <w:r>
        <w:rPr>
          <w:rFonts w:hint="default" w:ascii="Arial" w:hAnsi="Arial" w:cs="Arial"/>
          <w:sz w:val="24"/>
          <w:szCs w:val="24"/>
        </w:rPr>
        <w:t>Companies aiming for successful international business operations must account for and adapt to diverse cultures, languages, and business practices. This adaptability and cross-cultural sensitivity are pivotal for achieving success on a global scale.</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Usunier, J.-Claude., van Herk, H., &amp; Lee, J. Anne. (2017)</w:t>
      </w:r>
      <w:r>
        <w:rPr>
          <w:rFonts w:hint="eastAsia" w:ascii="Arial" w:hAnsi="Arial" w:eastAsia="宋体" w:cs="Arial"/>
          <w:kern w:val="0"/>
          <w:sz w:val="24"/>
          <w:szCs w:val="24"/>
          <w:lang w:val="en-US" w:eastAsia="zh-CN" w:bidi="ar"/>
        </w:rPr>
        <w:t>）</w:t>
      </w:r>
    </w:p>
    <w:p>
      <w:pPr>
        <w:ind w:firstLine="720"/>
        <w:outlineLvl w:val="1"/>
        <w:rPr>
          <w:rFonts w:hint="default" w:ascii="Arial" w:hAnsi="Arial" w:cs="Arial"/>
          <w:sz w:val="24"/>
          <w:szCs w:val="24"/>
        </w:rPr>
      </w:pPr>
      <w:bookmarkStart w:id="4" w:name="_Toc17562"/>
      <w:r>
        <w:rPr>
          <w:rFonts w:hint="default" w:ascii="Arial" w:hAnsi="Arial" w:cs="Arial"/>
          <w:sz w:val="24"/>
          <w:szCs w:val="24"/>
        </w:rPr>
        <w:t>2.2 – Skills Requirements</w:t>
      </w:r>
      <w:bookmarkEnd w:id="4"/>
    </w:p>
    <w:p>
      <w:pPr>
        <w:ind w:firstLine="720"/>
        <w:rPr>
          <w:rFonts w:hint="default" w:ascii="Arial" w:hAnsi="Arial" w:cs="Arial"/>
          <w:sz w:val="24"/>
          <w:szCs w:val="24"/>
        </w:rPr>
      </w:pPr>
      <w:r>
        <w:rPr>
          <w:rFonts w:hint="default" w:ascii="Arial" w:hAnsi="Arial" w:cs="Arial"/>
          <w:sz w:val="24"/>
          <w:szCs w:val="24"/>
        </w:rPr>
        <w:t>The skills required for international business communication are multifaceted, as such communication takes place in a complex environment that spans cultural and linguistic differences. Here are some key skills:</w:t>
      </w:r>
    </w:p>
    <w:p>
      <w:pPr>
        <w:ind w:firstLine="720"/>
        <w:rPr>
          <w:rFonts w:hint="default" w:ascii="Arial" w:hAnsi="Arial" w:cs="Arial"/>
          <w:sz w:val="24"/>
          <w:szCs w:val="24"/>
        </w:rPr>
      </w:pPr>
      <w:r>
        <w:rPr>
          <w:rFonts w:hint="default" w:ascii="Arial" w:hAnsi="Arial" w:cs="Arial"/>
          <w:sz w:val="24"/>
          <w:szCs w:val="24"/>
        </w:rPr>
        <w:t>1. Cross-cultural communication skills: Cross-cultural communication skills are crucial to international business communication. Such skills include the ability to understand and respect differences between different cultures, such as language, values, social etiquette, etc., and possess cross-cultural sensitivity to avoid misunderstandings and cultural conflicts.</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Archer, D., &amp; Silver, J. (1997)</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rPr>
      </w:pPr>
      <w:r>
        <w:rPr>
          <w:rFonts w:hint="default" w:ascii="Arial" w:hAnsi="Arial" w:cs="Arial"/>
          <w:sz w:val="24"/>
          <w:szCs w:val="24"/>
        </w:rPr>
        <w:t>2. Language ability: Fluency in at least one language widely used in international business, or effective cross-language communication through professional translation and translation tools, is a basic requirement for international business communica</w:t>
      </w:r>
      <w:r>
        <w:rPr>
          <w:rFonts w:hint="default" w:ascii="Arial" w:hAnsi="Arial" w:cs="Arial"/>
          <w:sz w:val="24"/>
          <w:szCs w:val="24"/>
        </w:rPr>
        <w:t>tion.</w:t>
      </w:r>
      <w:r>
        <w:rPr>
          <w:rFonts w:hint="eastAsia" w:ascii="Arial" w:hAnsi="Arial" w:cs="Arial"/>
          <w:sz w:val="24"/>
          <w:szCs w:val="24"/>
          <w:lang w:eastAsia="zh-CN"/>
        </w:rPr>
        <w:t>（</w:t>
      </w:r>
      <w:r>
        <w:rPr>
          <w:rFonts w:hint="default" w:ascii="Arial" w:hAnsi="Arial" w:cs="Arial"/>
          <w:sz w:val="24"/>
          <w:szCs w:val="24"/>
          <w:lang w:val="en-US" w:eastAsia="zh-CN"/>
        </w:rPr>
        <w:t>Tenzer, H., Terjesen, S., &amp; Harzing, A.-W. (2017)</w:t>
      </w:r>
      <w:r>
        <w:rPr>
          <w:rFonts w:hint="eastAsia" w:ascii="Arial" w:hAnsi="Arial" w:cs="Arial"/>
          <w:sz w:val="24"/>
          <w:szCs w:val="24"/>
          <w:lang w:val="en-US" w:eastAsia="zh-CN"/>
        </w:rPr>
        <w:t>）</w:t>
      </w:r>
    </w:p>
    <w:p>
      <w:pPr>
        <w:ind w:firstLine="720"/>
        <w:rPr>
          <w:rFonts w:hint="default" w:ascii="Arial" w:hAnsi="Arial" w:cs="Arial"/>
          <w:sz w:val="24"/>
          <w:szCs w:val="24"/>
        </w:rPr>
      </w:pPr>
      <w:r>
        <w:rPr>
          <w:rFonts w:hint="default" w:ascii="Arial" w:hAnsi="Arial" w:cs="Arial"/>
          <w:sz w:val="24"/>
          <w:szCs w:val="24"/>
        </w:rPr>
        <w:t>3. Non-verbal communication skills: Understand and apply non-verbal communication rules in different cultures, such as body language, facial expressions and gestures, etc., to ensure comprehensive and accurate communication.</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Shobiye, T., Uleanya, M. O., Taiwo, M. B., &amp; Uleanya, C. (2020)</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lang w:val="en-US"/>
        </w:rPr>
      </w:pPr>
      <w:r>
        <w:rPr>
          <w:rFonts w:hint="default" w:ascii="Arial" w:hAnsi="Arial" w:cs="Arial"/>
          <w:sz w:val="24"/>
          <w:szCs w:val="24"/>
        </w:rPr>
        <w:t>4. Negotiation skills: Have the ability to negotiate in an international business environment, including formulating strategies, understanding the needs of the other party, and finding win-win solutions.</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Fowler, A. (1996)</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lang w:val="en-US"/>
        </w:rPr>
      </w:pPr>
      <w:r>
        <w:rPr>
          <w:rFonts w:hint="default" w:ascii="Arial" w:hAnsi="Arial" w:cs="Arial"/>
          <w:sz w:val="24"/>
          <w:szCs w:val="24"/>
        </w:rPr>
        <w:t>5. Writing ability: Ability to write business documents, emails and other written materials in a clear, concise and easy-to-understand manner to ensure the accuracy and professionalism of information transmission.</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Read, S. H. (2019)</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lang w:val="en-US"/>
        </w:rPr>
      </w:pPr>
      <w:r>
        <w:rPr>
          <w:rFonts w:hint="default" w:ascii="Arial" w:hAnsi="Arial" w:cs="Arial"/>
          <w:sz w:val="24"/>
          <w:szCs w:val="24"/>
        </w:rPr>
        <w:t>6. Interpersonal relationship management: Ability to establish and maintain international business relationships, including building trust, handling conflicts, demonstrating teamwork, etc.</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Hossain, M. S., Rahman, M. F., &amp; Zhou, X. (2021)</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lang w:val="en-US"/>
        </w:rPr>
      </w:pPr>
      <w:r>
        <w:rPr>
          <w:rFonts w:hint="eastAsia" w:ascii="Arial" w:hAnsi="Arial" w:cs="Arial"/>
          <w:sz w:val="24"/>
          <w:szCs w:val="24"/>
          <w:lang w:val="en-US" w:eastAsia="zh-CN"/>
        </w:rPr>
        <w:t>7</w:t>
      </w:r>
      <w:r>
        <w:rPr>
          <w:rFonts w:hint="default" w:ascii="Arial" w:hAnsi="Arial" w:cs="Arial"/>
          <w:sz w:val="24"/>
          <w:szCs w:val="24"/>
        </w:rPr>
        <w:t>. Cultural adaptability: Able to adapt to different cultural and business environments, and understand and respect working and communication styles in different cultural backgrounds.</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Developing Cultural Adaptability: How to Work Across Differences. (2003)</w:t>
      </w:r>
      <w:r>
        <w:rPr>
          <w:rFonts w:hint="eastAsia" w:ascii="Arial" w:hAnsi="Arial" w:eastAsia="宋体" w:cs="Arial"/>
          <w:kern w:val="0"/>
          <w:sz w:val="24"/>
          <w:szCs w:val="24"/>
          <w:lang w:val="en-US" w:eastAsia="zh-CN" w:bidi="ar"/>
        </w:rPr>
        <w:t>)</w:t>
      </w:r>
    </w:p>
    <w:p>
      <w:pPr>
        <w:ind w:firstLine="720"/>
        <w:outlineLvl w:val="1"/>
        <w:rPr>
          <w:rFonts w:hint="default" w:ascii="Arial" w:hAnsi="Arial" w:cs="Arial"/>
          <w:sz w:val="24"/>
          <w:szCs w:val="24"/>
        </w:rPr>
      </w:pPr>
      <w:bookmarkStart w:id="5" w:name="_Toc1850"/>
      <w:r>
        <w:rPr>
          <w:rFonts w:hint="default" w:ascii="Arial" w:hAnsi="Arial" w:cs="Arial"/>
          <w:sz w:val="24"/>
          <w:szCs w:val="24"/>
        </w:rPr>
        <w:t>2.3 – Methods of Communication</w:t>
      </w:r>
      <w:bookmarkEnd w:id="5"/>
    </w:p>
    <w:p>
      <w:pPr>
        <w:ind w:left="720" w:firstLine="720"/>
        <w:outlineLvl w:val="2"/>
        <w:rPr>
          <w:rFonts w:hint="default" w:ascii="Arial" w:hAnsi="Arial" w:cs="Arial"/>
          <w:sz w:val="24"/>
          <w:szCs w:val="24"/>
        </w:rPr>
      </w:pPr>
      <w:bookmarkStart w:id="6" w:name="_Toc14052"/>
      <w:r>
        <w:rPr>
          <w:rFonts w:hint="default" w:ascii="Arial" w:hAnsi="Arial" w:cs="Arial"/>
          <w:sz w:val="24"/>
          <w:szCs w:val="24"/>
        </w:rPr>
        <w:t xml:space="preserve">2.3.1 - </w:t>
      </w:r>
      <w:r>
        <w:rPr>
          <w:rFonts w:hint="default" w:ascii="Arial" w:hAnsi="Arial" w:cs="Arial"/>
          <w:sz w:val="24"/>
          <w:szCs w:val="24"/>
        </w:rPr>
        <w:t>Halls High Low Context</w:t>
      </w:r>
      <w:bookmarkEnd w:id="6"/>
    </w:p>
    <w:p>
      <w:pPr>
        <w:ind w:firstLine="720"/>
        <w:rPr>
          <w:rFonts w:hint="default" w:ascii="Arial" w:hAnsi="Arial" w:cs="Arial"/>
          <w:sz w:val="24"/>
          <w:szCs w:val="24"/>
          <w:lang w:val="en-US"/>
        </w:rPr>
      </w:pPr>
      <w:r>
        <w:rPr>
          <w:rFonts w:hint="default" w:ascii="Arial" w:hAnsi="Arial" w:cs="Arial"/>
          <w:sz w:val="24"/>
          <w:szCs w:val="24"/>
        </w:rPr>
        <w:t>The concepts of high-context communication and low-context communication were introduced by anthropologist Edward Hall to explain the manifestation of cultural differences in communication styles. These concepts help us better understand how people from different cultural backgrounds convey meaning through verbal and nonverbal cues.</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Hall, E. T. Edward T. (1989)</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rPr>
      </w:pPr>
      <w:r>
        <w:rPr>
          <w:rFonts w:hint="default" w:ascii="Arial" w:hAnsi="Arial" w:cs="Arial"/>
          <w:sz w:val="24"/>
          <w:szCs w:val="24"/>
        </w:rPr>
        <w:t>In high-context communication, the transmission of information relies heavily on implicit communication and non-verbal cues. The importance of the context of communication, including the relationship between communicators, for understanding the message cannot be ignored.</w:t>
      </w:r>
      <w:r>
        <w:rPr>
          <w:rFonts w:hint="eastAsia" w:ascii="Arial" w:hAnsi="Arial" w:cs="Arial"/>
          <w:sz w:val="24"/>
          <w:szCs w:val="24"/>
          <w:lang w:val="en-US" w:eastAsia="zh-CN"/>
        </w:rPr>
        <w:t>(</w:t>
      </w:r>
      <w:r>
        <w:rPr>
          <w:rFonts w:hint="default" w:ascii="Arial" w:hAnsi="Arial" w:cs="Arial"/>
          <w:sz w:val="24"/>
          <w:szCs w:val="24"/>
        </w:rPr>
        <w:t xml:space="preserve"> </w:t>
      </w:r>
      <w:r>
        <w:rPr>
          <w:rFonts w:hint="default" w:ascii="Arial" w:hAnsi="Arial" w:eastAsia="宋体" w:cs="Arial"/>
          <w:kern w:val="0"/>
          <w:sz w:val="24"/>
          <w:szCs w:val="24"/>
          <w:lang w:val="en-US" w:eastAsia="zh-CN" w:bidi="ar"/>
        </w:rPr>
        <w:t>Kim, Y. Y., &amp; Nikolarea, E. (2003)</w:t>
      </w:r>
      <w:r>
        <w:rPr>
          <w:rFonts w:hint="eastAsia" w:ascii="Arial" w:hAnsi="Arial" w:eastAsia="宋体" w:cs="Arial"/>
          <w:kern w:val="0"/>
          <w:sz w:val="24"/>
          <w:szCs w:val="24"/>
          <w:lang w:val="en-US" w:eastAsia="zh-CN" w:bidi="ar"/>
        </w:rPr>
        <w:t>)</w:t>
      </w:r>
      <w:r>
        <w:rPr>
          <w:rFonts w:hint="default" w:ascii="Arial" w:hAnsi="Arial" w:cs="Arial"/>
          <w:sz w:val="24"/>
          <w:szCs w:val="24"/>
        </w:rPr>
        <w:t>Characteristics of this communication style include:</w:t>
      </w:r>
    </w:p>
    <w:p>
      <w:pPr>
        <w:ind w:firstLine="720"/>
        <w:rPr>
          <w:rFonts w:hint="default" w:ascii="Arial" w:hAnsi="Arial" w:cs="Arial"/>
          <w:sz w:val="24"/>
          <w:szCs w:val="24"/>
        </w:rPr>
      </w:pPr>
      <w:r>
        <w:rPr>
          <w:rFonts w:hint="default" w:ascii="Arial" w:hAnsi="Arial" w:cs="Arial"/>
          <w:sz w:val="24"/>
          <w:szCs w:val="24"/>
        </w:rPr>
        <w:t>Implicit communication: A large amount of information is implicit and understood in context.</w:t>
      </w:r>
    </w:p>
    <w:p>
      <w:pPr>
        <w:ind w:firstLine="720"/>
        <w:rPr>
          <w:rFonts w:hint="default" w:ascii="Arial" w:hAnsi="Arial" w:cs="Arial"/>
          <w:sz w:val="24"/>
          <w:szCs w:val="24"/>
        </w:rPr>
      </w:pPr>
      <w:r>
        <w:rPr>
          <w:rFonts w:hint="default" w:ascii="Arial" w:hAnsi="Arial" w:cs="Arial"/>
          <w:sz w:val="24"/>
          <w:szCs w:val="24"/>
        </w:rPr>
        <w:t>There is a high reliance on shared cultural understanding.</w:t>
      </w:r>
    </w:p>
    <w:p>
      <w:pPr>
        <w:ind w:firstLine="720"/>
        <w:rPr>
          <w:rFonts w:hint="default" w:ascii="Arial" w:hAnsi="Arial" w:cs="Arial"/>
          <w:sz w:val="24"/>
          <w:szCs w:val="24"/>
        </w:rPr>
      </w:pPr>
      <w:r>
        <w:rPr>
          <w:rFonts w:hint="default" w:ascii="Arial" w:hAnsi="Arial" w:cs="Arial"/>
          <w:sz w:val="24"/>
          <w:szCs w:val="24"/>
        </w:rPr>
        <w:t>Non-verbal cues such as body language, tone of voice and context play a vital role in communication.</w:t>
      </w:r>
    </w:p>
    <w:p>
      <w:pPr>
        <w:ind w:firstLine="720"/>
        <w:rPr>
          <w:rFonts w:hint="default" w:ascii="Arial" w:hAnsi="Arial" w:cs="Arial"/>
          <w:sz w:val="24"/>
          <w:szCs w:val="24"/>
        </w:rPr>
      </w:pPr>
      <w:r>
        <w:rPr>
          <w:rFonts w:hint="default" w:ascii="Arial" w:hAnsi="Arial" w:cs="Arial"/>
          <w:sz w:val="24"/>
          <w:szCs w:val="24"/>
        </w:rPr>
        <w:t>Communication methods are often indirect and subtle.</w:t>
      </w:r>
    </w:p>
    <w:p>
      <w:pPr>
        <w:ind w:firstLine="720"/>
        <w:rPr>
          <w:rFonts w:hint="default" w:ascii="Arial" w:hAnsi="Arial" w:cs="Arial"/>
          <w:sz w:val="24"/>
          <w:szCs w:val="24"/>
          <w:lang w:val="en-US"/>
        </w:rPr>
      </w:pPr>
      <w:r>
        <w:rPr>
          <w:rFonts w:hint="default" w:ascii="Arial" w:hAnsi="Arial" w:cs="Arial"/>
          <w:sz w:val="24"/>
          <w:szCs w:val="24"/>
        </w:rPr>
        <w:t>For example, Asian cultures often use high-context communication, where meaning is often embedded in the context of the situation. Families or close-knit communities sometimes use high-context communication because members share a shared understanding of the situation.</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Samovar, L. A., Porter, R. E., McDaniel, E. R., &amp; Roy, C. S. (2013)</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rPr>
      </w:pPr>
      <w:r>
        <w:rPr>
          <w:rFonts w:hint="default" w:ascii="Arial" w:hAnsi="Arial" w:cs="Arial"/>
          <w:sz w:val="24"/>
          <w:szCs w:val="24"/>
        </w:rPr>
        <w:t xml:space="preserve">In low-context communication, the transmission of information relies more on clear verbal expressions. The words spoken are the primary carrier of the message, with less emphasis on the context or relationship between the communicators. </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Davis, B. (Review of: S., &amp; Scollon, S. W. (1998)</w:t>
      </w:r>
      <w:r>
        <w:rPr>
          <w:rFonts w:hint="eastAsia" w:ascii="Arial" w:hAnsi="Arial" w:eastAsia="宋体" w:cs="Arial"/>
          <w:kern w:val="0"/>
          <w:sz w:val="24"/>
          <w:szCs w:val="24"/>
          <w:lang w:val="en-US" w:eastAsia="zh-CN" w:bidi="ar"/>
        </w:rPr>
        <w:t>)</w:t>
      </w:r>
      <w:r>
        <w:rPr>
          <w:rFonts w:hint="default" w:ascii="Arial" w:hAnsi="Arial" w:cs="Arial"/>
          <w:sz w:val="24"/>
          <w:szCs w:val="24"/>
        </w:rPr>
        <w:t>Characteristics of this communication style include:</w:t>
      </w:r>
    </w:p>
    <w:p>
      <w:pPr>
        <w:ind w:firstLine="720"/>
        <w:rPr>
          <w:rFonts w:hint="default" w:ascii="Arial" w:hAnsi="Arial" w:cs="Arial"/>
          <w:sz w:val="24"/>
          <w:szCs w:val="24"/>
        </w:rPr>
      </w:pPr>
      <w:r>
        <w:rPr>
          <w:rFonts w:hint="default" w:ascii="Arial" w:hAnsi="Arial" w:cs="Arial"/>
          <w:sz w:val="24"/>
          <w:szCs w:val="24"/>
        </w:rPr>
        <w:t>Emphasis on clear verbal expression.</w:t>
      </w:r>
    </w:p>
    <w:p>
      <w:pPr>
        <w:ind w:firstLine="720"/>
        <w:rPr>
          <w:rFonts w:hint="default" w:ascii="Arial" w:hAnsi="Arial" w:cs="Arial"/>
          <w:sz w:val="24"/>
          <w:szCs w:val="24"/>
        </w:rPr>
      </w:pPr>
      <w:r>
        <w:rPr>
          <w:rFonts w:hint="default" w:ascii="Arial" w:hAnsi="Arial" w:cs="Arial"/>
          <w:sz w:val="24"/>
          <w:szCs w:val="24"/>
        </w:rPr>
        <w:t>Information is conveyed directly and less dependent on context.</w:t>
      </w:r>
    </w:p>
    <w:p>
      <w:pPr>
        <w:ind w:firstLine="720"/>
        <w:rPr>
          <w:rFonts w:hint="default" w:ascii="Arial" w:hAnsi="Arial" w:cs="Arial"/>
          <w:sz w:val="24"/>
          <w:szCs w:val="24"/>
        </w:rPr>
      </w:pPr>
      <w:r>
        <w:rPr>
          <w:rFonts w:hint="default" w:ascii="Arial" w:hAnsi="Arial" w:cs="Arial"/>
          <w:sz w:val="24"/>
          <w:szCs w:val="24"/>
        </w:rPr>
        <w:t>Clarity is crucial and communication is more direct.</w:t>
      </w:r>
    </w:p>
    <w:p>
      <w:pPr>
        <w:ind w:firstLine="720"/>
        <w:rPr>
          <w:rFonts w:hint="default" w:ascii="Arial" w:hAnsi="Arial" w:cs="Arial"/>
          <w:sz w:val="24"/>
          <w:szCs w:val="24"/>
        </w:rPr>
      </w:pPr>
      <w:r>
        <w:rPr>
          <w:rFonts w:hint="default" w:ascii="Arial" w:hAnsi="Arial" w:cs="Arial"/>
          <w:sz w:val="24"/>
          <w:szCs w:val="24"/>
        </w:rPr>
        <w:t>Nonverbal cues may have less meaning in this communication method.</w:t>
      </w:r>
    </w:p>
    <w:p>
      <w:pPr>
        <w:ind w:firstLine="720"/>
        <w:rPr>
          <w:rFonts w:hint="default" w:ascii="Arial" w:hAnsi="Arial" w:cs="Arial"/>
          <w:sz w:val="24"/>
          <w:szCs w:val="24"/>
          <w:lang w:val="en-US"/>
        </w:rPr>
      </w:pPr>
      <w:r>
        <w:rPr>
          <w:rFonts w:hint="default" w:ascii="Arial" w:hAnsi="Arial" w:cs="Arial"/>
          <w:sz w:val="24"/>
          <w:szCs w:val="24"/>
        </w:rPr>
        <w:t>For example, Western cultures, such as those in North America or Northern Europe, often exhibit a low-context communication style. Legal documents and contracts often use low-context communication to avoid ambiguity.</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The Academy of Management Executive (1993)</w:t>
      </w:r>
      <w:r>
        <w:rPr>
          <w:rFonts w:hint="eastAsia" w:ascii="Arial" w:hAnsi="Arial" w:eastAsia="宋体" w:cs="Arial"/>
          <w:kern w:val="0"/>
          <w:sz w:val="24"/>
          <w:szCs w:val="24"/>
          <w:lang w:val="en-US" w:eastAsia="zh-CN" w:bidi="ar"/>
        </w:rPr>
        <w:t>)</w:t>
      </w:r>
    </w:p>
    <w:p>
      <w:pPr>
        <w:ind w:firstLine="720"/>
        <w:outlineLvl w:val="1"/>
        <w:rPr>
          <w:rFonts w:hint="default" w:ascii="Arial" w:hAnsi="Arial" w:cs="Arial"/>
          <w:sz w:val="24"/>
          <w:szCs w:val="24"/>
        </w:rPr>
      </w:pPr>
      <w:bookmarkStart w:id="7" w:name="_Toc30968"/>
      <w:r>
        <w:rPr>
          <w:rFonts w:hint="default" w:ascii="Arial" w:hAnsi="Arial" w:cs="Arial"/>
          <w:sz w:val="24"/>
          <w:szCs w:val="24"/>
        </w:rPr>
        <w:t>2.4 – Effective Communication</w:t>
      </w:r>
      <w:bookmarkEnd w:id="7"/>
    </w:p>
    <w:p>
      <w:pPr>
        <w:ind w:firstLine="720"/>
        <w:rPr>
          <w:rFonts w:hint="default" w:ascii="Arial" w:hAnsi="Arial" w:cs="Arial"/>
          <w:sz w:val="24"/>
          <w:szCs w:val="24"/>
          <w:lang w:val="en-US"/>
        </w:rPr>
      </w:pPr>
      <w:r>
        <w:rPr>
          <w:rFonts w:hint="default" w:ascii="Arial" w:hAnsi="Arial" w:cs="Arial"/>
          <w:sz w:val="24"/>
          <w:szCs w:val="24"/>
        </w:rPr>
        <w:t xml:space="preserve">In an international business environment, effective communication is one of the fundamental elements of successful business operations and is key to ensuring clear and accurate exchange of information between all parties. </w:t>
      </w:r>
    </w:p>
    <w:p>
      <w:pPr>
        <w:rPr>
          <w:rFonts w:hint="default" w:ascii="Arial" w:hAnsi="Arial" w:cs="Arial"/>
          <w:sz w:val="24"/>
          <w:szCs w:val="24"/>
          <w:lang w:val="en-US"/>
        </w:rPr>
      </w:pPr>
      <w:r>
        <w:rPr>
          <w:rFonts w:hint="default" w:ascii="Arial" w:hAnsi="Arial" w:cs="Arial"/>
          <w:sz w:val="24"/>
          <w:szCs w:val="24"/>
        </w:rPr>
        <w:t>Use clear and concise language: Avoid unnecessary terminology or overly complex expressions and use language that is easy to understand, especially when dealing with people whose native language is different.</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Ray, C. M., &amp; Chalupa, M. R. (1994)</w:t>
      </w:r>
      <w:r>
        <w:rPr>
          <w:rFonts w:hint="eastAsia" w:ascii="Arial" w:hAnsi="Arial" w:eastAsia="宋体" w:cs="Arial"/>
          <w:kern w:val="0"/>
          <w:sz w:val="24"/>
          <w:szCs w:val="24"/>
          <w:lang w:val="en-US" w:eastAsia="zh-CN" w:bidi="ar"/>
        </w:rPr>
        <w:t>)</w:t>
      </w:r>
    </w:p>
    <w:p>
      <w:pPr>
        <w:rPr>
          <w:rFonts w:hint="default" w:ascii="Arial" w:hAnsi="Arial" w:cs="Arial"/>
          <w:sz w:val="24"/>
          <w:szCs w:val="24"/>
          <w:lang w:val="en-US"/>
        </w:rPr>
      </w:pPr>
      <w:r>
        <w:rPr>
          <w:rFonts w:hint="default" w:ascii="Arial" w:hAnsi="Arial" w:cs="Arial"/>
          <w:sz w:val="24"/>
          <w:szCs w:val="24"/>
        </w:rPr>
        <w:t>Actively listen to others: Actively listen to others, not only to hear the words themselves, but also to understand the intentions and emotions behind the information. Verify that information is understood accurately by paraphrasing or summarizing.</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Gudykunst, W. B., &amp; Kim, Y. Y. (2003)</w:t>
      </w:r>
      <w:r>
        <w:rPr>
          <w:rFonts w:hint="eastAsia" w:ascii="Arial" w:hAnsi="Arial" w:eastAsia="宋体" w:cs="Arial"/>
          <w:kern w:val="0"/>
          <w:sz w:val="24"/>
          <w:szCs w:val="24"/>
          <w:lang w:val="en-US" w:eastAsia="zh-CN" w:bidi="ar"/>
        </w:rPr>
        <w:t>)</w:t>
      </w:r>
    </w:p>
    <w:p>
      <w:pPr>
        <w:rPr>
          <w:rFonts w:hint="default" w:ascii="Arial" w:hAnsi="Arial" w:cs="Arial"/>
          <w:sz w:val="24"/>
          <w:szCs w:val="24"/>
          <w:lang w:val="en-US"/>
        </w:rPr>
      </w:pPr>
      <w:r>
        <w:rPr>
          <w:rFonts w:hint="default" w:ascii="Arial" w:hAnsi="Arial" w:cs="Arial"/>
          <w:sz w:val="24"/>
          <w:szCs w:val="24"/>
        </w:rPr>
        <w:t>Establish a clear feedback mechanism: Establish a clear feedback mechanism to ensure that information is received and understood correctly. Encourage open communication and resolve any possible misunderstandings or conflicts promptly.</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Riggio, R. E., &amp; Tan, S. J. (2012)</w:t>
      </w:r>
      <w:r>
        <w:rPr>
          <w:rFonts w:hint="eastAsia" w:ascii="Arial" w:hAnsi="Arial" w:eastAsia="宋体" w:cs="Arial"/>
          <w:kern w:val="0"/>
          <w:sz w:val="24"/>
          <w:szCs w:val="24"/>
          <w:lang w:val="en-US" w:eastAsia="zh-CN" w:bidi="ar"/>
        </w:rPr>
        <w:t>)</w:t>
      </w:r>
    </w:p>
    <w:p>
      <w:pPr>
        <w:rPr>
          <w:rFonts w:hint="default" w:ascii="Arial" w:hAnsi="Arial" w:cs="Arial"/>
          <w:sz w:val="24"/>
          <w:szCs w:val="24"/>
          <w:lang w:val="en-US"/>
        </w:rPr>
      </w:pPr>
      <w:r>
        <w:rPr>
          <w:rFonts w:hint="default" w:ascii="Arial" w:hAnsi="Arial" w:cs="Arial"/>
          <w:sz w:val="24"/>
          <w:szCs w:val="24"/>
        </w:rPr>
        <w:t>Choose the appropriate communication channel: Choose the most effective communication channel based on the specific situation, such as face-to-face meetings, video conferencing, email, etc.</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DiSanza, J. R., &amp; Legge, N. J. (2012)</w:t>
      </w:r>
      <w:r>
        <w:rPr>
          <w:rFonts w:hint="eastAsia" w:ascii="Arial" w:hAnsi="Arial" w:eastAsia="宋体" w:cs="Arial"/>
          <w:kern w:val="0"/>
          <w:sz w:val="24"/>
          <w:szCs w:val="24"/>
          <w:lang w:val="en-US" w:eastAsia="zh-CN" w:bidi="ar"/>
        </w:rPr>
        <w:t>)</w:t>
      </w:r>
    </w:p>
    <w:p>
      <w:pPr>
        <w:rPr>
          <w:rFonts w:hint="default" w:ascii="Arial" w:hAnsi="Arial" w:cs="Arial"/>
          <w:sz w:val="24"/>
          <w:szCs w:val="24"/>
          <w:lang w:val="en-US"/>
        </w:rPr>
      </w:pPr>
      <w:r>
        <w:rPr>
          <w:rFonts w:hint="default" w:ascii="Arial" w:hAnsi="Arial" w:cs="Arial"/>
          <w:sz w:val="24"/>
          <w:szCs w:val="24"/>
        </w:rPr>
        <w:t>Develop conflict resolution skills: Disagreements and misunderstandings can arise in any business environment, so it is crucial to develop skills in handling and resolving conflicts constructively.</w:t>
      </w:r>
      <w:r>
        <w:rPr>
          <w:rFonts w:hint="eastAsia" w:ascii="Arial" w:hAnsi="Arial" w:cs="Arial"/>
          <w:sz w:val="24"/>
          <w:szCs w:val="24"/>
          <w:lang w:val="en-US" w:eastAsia="zh-CN"/>
        </w:rPr>
        <w:t>(</w:t>
      </w:r>
      <w:r>
        <w:rPr>
          <w:rFonts w:hint="default" w:ascii="Arial" w:hAnsi="Arial" w:eastAsia="宋体" w:cs="Arial"/>
          <w:kern w:val="0"/>
          <w:sz w:val="24"/>
          <w:szCs w:val="24"/>
          <w:lang w:val="en-US" w:eastAsia="zh-CN" w:bidi="ar"/>
        </w:rPr>
        <w:t>Folger, J. P., Poole, M. S., &amp; Stutman, R. K. (2020)</w:t>
      </w:r>
      <w:r>
        <w:rPr>
          <w:rFonts w:hint="eastAsia" w:ascii="Arial" w:hAnsi="Arial" w:eastAsia="宋体" w:cs="Arial"/>
          <w:kern w:val="0"/>
          <w:sz w:val="24"/>
          <w:szCs w:val="24"/>
          <w:lang w:val="en-US" w:eastAsia="zh-CN" w:bidi="ar"/>
        </w:rPr>
        <w:t>)</w:t>
      </w:r>
    </w:p>
    <w:p>
      <w:pPr>
        <w:rPr>
          <w:rFonts w:hint="default" w:ascii="Arial" w:hAnsi="Arial" w:eastAsia="宋体" w:cs="Arial"/>
          <w:kern w:val="0"/>
          <w:sz w:val="24"/>
          <w:szCs w:val="24"/>
          <w:lang w:val="en-US" w:eastAsia="zh-CN" w:bidi="ar"/>
        </w:rPr>
      </w:pPr>
      <w:r>
        <w:rPr>
          <w:rFonts w:hint="default" w:ascii="Arial" w:hAnsi="Arial" w:cs="Arial"/>
          <w:sz w:val="24"/>
          <w:szCs w:val="24"/>
        </w:rPr>
        <w:t>Develop a crisis communications plan: During times of uncertainty or crisis, developing a thoughtful communications strategy is critical to maintaining trust and managing potential disruptions.</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Fearn-Banks, K. (2019)</w:t>
      </w:r>
      <w:r>
        <w:rPr>
          <w:rFonts w:hint="eastAsia" w:ascii="Arial" w:hAnsi="Arial" w:eastAsia="宋体" w:cs="Arial"/>
          <w:kern w:val="0"/>
          <w:sz w:val="24"/>
          <w:szCs w:val="24"/>
          <w:lang w:val="en-US" w:eastAsia="zh-CN" w:bidi="ar"/>
        </w:rPr>
        <w:t>）</w:t>
      </w:r>
    </w:p>
    <w:p>
      <w:pPr>
        <w:rPr>
          <w:rFonts w:hint="default" w:ascii="Arial" w:hAnsi="Arial" w:cs="Arial"/>
          <w:sz w:val="24"/>
          <w:szCs w:val="24"/>
        </w:rPr>
      </w:pPr>
      <w:r>
        <w:rPr>
          <w:rFonts w:hint="default" w:ascii="Arial" w:hAnsi="Arial" w:cs="Arial"/>
          <w:sz w:val="24"/>
          <w:szCs w:val="24"/>
        </w:rPr>
        <w:t>Provide cultural awareness training: Provide cultural awareness training to team members involved in international business to help them better understand and cope with communication methods and norms between different cultures.</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Hammer, M. R., Bennett, M. J., &amp; Wiseman, R. (2003)</w:t>
      </w:r>
      <w:r>
        <w:rPr>
          <w:rFonts w:hint="eastAsia" w:ascii="Arial" w:hAnsi="Arial" w:eastAsia="宋体" w:cs="Arial"/>
          <w:kern w:val="0"/>
          <w:sz w:val="24"/>
          <w:szCs w:val="24"/>
          <w:lang w:val="en-US" w:eastAsia="zh-CN" w:bidi="ar"/>
        </w:rPr>
        <w:t>）</w:t>
      </w:r>
    </w:p>
    <w:p>
      <w:pPr>
        <w:ind w:firstLine="720"/>
        <w:outlineLvl w:val="1"/>
        <w:rPr>
          <w:rFonts w:hint="default" w:ascii="Arial" w:hAnsi="Arial" w:cs="Arial"/>
          <w:sz w:val="24"/>
          <w:szCs w:val="24"/>
          <w:lang w:val="fr-FR"/>
        </w:rPr>
      </w:pPr>
      <w:bookmarkStart w:id="8" w:name="_Toc22647"/>
      <w:r>
        <w:rPr>
          <w:rFonts w:hint="default" w:ascii="Arial" w:hAnsi="Arial" w:cs="Arial"/>
          <w:sz w:val="24"/>
          <w:szCs w:val="24"/>
          <w:lang w:val="fr-FR"/>
        </w:rPr>
        <w:t>2.5 – International Culture</w:t>
      </w:r>
      <w:bookmarkEnd w:id="8"/>
    </w:p>
    <w:p>
      <w:pPr>
        <w:ind w:firstLine="720"/>
        <w:outlineLvl w:val="2"/>
        <w:rPr>
          <w:rFonts w:hint="default" w:ascii="Arial" w:hAnsi="Arial" w:cs="Arial"/>
          <w:sz w:val="24"/>
          <w:szCs w:val="24"/>
          <w:lang w:val="fr-FR"/>
        </w:rPr>
      </w:pPr>
      <w:r>
        <w:rPr>
          <w:rFonts w:hint="default" w:ascii="Arial" w:hAnsi="Arial" w:cs="Arial"/>
          <w:sz w:val="24"/>
          <w:szCs w:val="24"/>
          <w:lang w:val="fr-FR"/>
        </w:rPr>
        <w:tab/>
      </w:r>
      <w:bookmarkStart w:id="9" w:name="_Toc15864"/>
      <w:r>
        <w:rPr>
          <w:rFonts w:hint="default" w:ascii="Arial" w:hAnsi="Arial" w:cs="Arial"/>
          <w:sz w:val="24"/>
          <w:szCs w:val="24"/>
          <w:lang w:val="fr-FR"/>
        </w:rPr>
        <w:t xml:space="preserve">2.5.1 </w:t>
      </w:r>
      <w:r>
        <w:rPr>
          <w:rFonts w:hint="default" w:ascii="Arial" w:hAnsi="Arial" w:cs="Arial"/>
          <w:sz w:val="24"/>
          <w:szCs w:val="24"/>
          <w:lang w:val="fr-FR"/>
        </w:rPr>
        <w:t xml:space="preserve">- </w:t>
      </w:r>
      <w:r>
        <w:rPr>
          <w:rFonts w:hint="default" w:ascii="Arial" w:hAnsi="Arial" w:cs="Arial"/>
          <w:sz w:val="24"/>
          <w:szCs w:val="24"/>
          <w:lang w:val="fr-FR"/>
        </w:rPr>
        <w:t>Trompenaar’s 7 dimensions to culture</w:t>
      </w:r>
      <w:bookmarkEnd w:id="9"/>
    </w:p>
    <w:p>
      <w:pPr>
        <w:ind w:firstLine="720"/>
        <w:rPr>
          <w:rFonts w:hint="eastAsia" w:ascii="Arial" w:hAnsi="Arial" w:eastAsia="宋体" w:cs="Arial"/>
          <w:kern w:val="0"/>
          <w:sz w:val="24"/>
          <w:szCs w:val="24"/>
          <w:lang w:val="en-US" w:eastAsia="zh-CN" w:bidi="ar"/>
        </w:rPr>
      </w:pPr>
      <w:r>
        <w:rPr>
          <w:rFonts w:hint="default" w:ascii="Arial" w:hAnsi="Arial" w:cs="Arial"/>
          <w:sz w:val="24"/>
          <w:szCs w:val="24"/>
          <w:lang w:val="fr-FR"/>
        </w:rPr>
        <w:t xml:space="preserve">Fons Trompenaars' Seven Dimensions of Culture is a framework for understanding cross-cultural differences. </w:t>
      </w:r>
      <w:r>
        <w:rPr>
          <w:rFonts w:hint="eastAsia" w:ascii="Arial" w:hAnsi="Arial" w:cs="Arial"/>
          <w:sz w:val="24"/>
          <w:szCs w:val="24"/>
          <w:lang w:val="fr-FR" w:eastAsia="zh-CN"/>
        </w:rPr>
        <w:t>（</w:t>
      </w:r>
      <w:r>
        <w:rPr>
          <w:rFonts w:hint="default" w:ascii="Arial" w:hAnsi="Arial" w:eastAsia="宋体" w:cs="Arial"/>
          <w:kern w:val="0"/>
          <w:sz w:val="24"/>
          <w:szCs w:val="24"/>
          <w:lang w:val="en-US" w:eastAsia="zh-CN" w:bidi="ar"/>
        </w:rPr>
        <w:t>Trompenaars, F., &amp; Hampden-Turner, C. (1997)</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lang w:val="fr-FR"/>
        </w:rPr>
      </w:pPr>
      <w:r>
        <w:rPr>
          <w:rFonts w:hint="default" w:ascii="Arial" w:hAnsi="Arial" w:cs="Arial"/>
          <w:sz w:val="24"/>
          <w:szCs w:val="24"/>
          <w:lang w:val="fr-FR"/>
        </w:rPr>
        <w:t>1.Universalism vs. Particularism (UV): Universalism vs. Particularism refers to the degree of reliance on universal rules when making decisions.</w:t>
      </w:r>
    </w:p>
    <w:p>
      <w:pPr>
        <w:ind w:firstLine="720"/>
        <w:rPr>
          <w:rFonts w:hint="default" w:ascii="Arial" w:hAnsi="Arial" w:cs="Arial"/>
          <w:sz w:val="24"/>
          <w:szCs w:val="24"/>
          <w:lang w:val="fr-FR"/>
        </w:rPr>
      </w:pPr>
      <w:r>
        <w:rPr>
          <w:rFonts w:hint="default" w:ascii="Arial" w:hAnsi="Arial" w:cs="Arial"/>
          <w:sz w:val="24"/>
          <w:szCs w:val="24"/>
          <w:lang w:val="fr-FR"/>
        </w:rPr>
        <w:t>2. Individualism vs. Communitarianism (IV): Individualism and communitarianism involve views on the relationship between individuals and groups.</w:t>
      </w:r>
    </w:p>
    <w:p>
      <w:pPr>
        <w:ind w:firstLine="720"/>
        <w:rPr>
          <w:rFonts w:hint="default" w:ascii="Arial" w:hAnsi="Arial" w:cs="Arial"/>
          <w:sz w:val="24"/>
          <w:szCs w:val="24"/>
          <w:lang w:val="fr-FR"/>
        </w:rPr>
      </w:pPr>
      <w:r>
        <w:rPr>
          <w:rFonts w:hint="default" w:ascii="Arial" w:hAnsi="Arial" w:cs="Arial"/>
          <w:sz w:val="24"/>
          <w:szCs w:val="24"/>
          <w:lang w:val="fr-FR"/>
        </w:rPr>
        <w:t>3. Neutral vs. Emotional (NE): Neutral vs. emotional, describing cultural tendencies in expressing emotions.</w:t>
      </w:r>
    </w:p>
    <w:p>
      <w:pPr>
        <w:ind w:firstLine="720"/>
        <w:rPr>
          <w:rFonts w:hint="default" w:ascii="Arial" w:hAnsi="Arial" w:cs="Arial"/>
          <w:sz w:val="24"/>
          <w:szCs w:val="24"/>
          <w:lang w:val="fr-FR"/>
        </w:rPr>
      </w:pPr>
      <w:r>
        <w:rPr>
          <w:rFonts w:hint="default" w:ascii="Arial" w:hAnsi="Arial" w:cs="Arial"/>
          <w:sz w:val="24"/>
          <w:szCs w:val="24"/>
          <w:lang w:val="fr-FR"/>
        </w:rPr>
        <w:t>4.Specific vs. Diffuse (SV): Specific vs. diffuse refers to whether in interpersonal relationships, culture tends to focus on specific tasks or the overall relationship.</w:t>
      </w:r>
    </w:p>
    <w:p>
      <w:pPr>
        <w:ind w:firstLine="720"/>
        <w:rPr>
          <w:rFonts w:hint="default" w:ascii="Arial" w:hAnsi="Arial" w:cs="Arial"/>
          <w:sz w:val="24"/>
          <w:szCs w:val="24"/>
          <w:lang w:val="fr-FR"/>
        </w:rPr>
      </w:pPr>
      <w:r>
        <w:rPr>
          <w:rFonts w:hint="default" w:ascii="Arial" w:hAnsi="Arial" w:cs="Arial"/>
          <w:sz w:val="24"/>
          <w:szCs w:val="24"/>
          <w:lang w:val="fr-FR"/>
        </w:rPr>
        <w:t>5.Achievement vs. Ascription (AV): Achievement and attribution describe how an individual’s social status is achieved, whether through achievement or attributes.</w:t>
      </w:r>
    </w:p>
    <w:p>
      <w:pPr>
        <w:ind w:firstLine="720"/>
        <w:rPr>
          <w:rFonts w:hint="default" w:ascii="Arial" w:hAnsi="Arial" w:cs="Arial"/>
          <w:sz w:val="24"/>
          <w:szCs w:val="24"/>
          <w:lang w:val="fr-FR"/>
        </w:rPr>
      </w:pPr>
      <w:r>
        <w:rPr>
          <w:rFonts w:hint="default" w:ascii="Arial" w:hAnsi="Arial" w:cs="Arial"/>
          <w:sz w:val="24"/>
          <w:szCs w:val="24"/>
          <w:lang w:val="fr-FR"/>
        </w:rPr>
        <w:t>6.Sequential vs. Synchronic Time (ST): Sequential vs. Synchronic Time reflects the different ways in which cultures understand and organize time.</w:t>
      </w:r>
    </w:p>
    <w:p>
      <w:pPr>
        <w:ind w:firstLine="720"/>
        <w:rPr>
          <w:rFonts w:hint="default" w:ascii="Arial" w:hAnsi="Arial" w:cs="Arial"/>
          <w:sz w:val="24"/>
          <w:szCs w:val="24"/>
          <w:lang w:val="fr-FR"/>
        </w:rPr>
      </w:pPr>
      <w:r>
        <w:rPr>
          <w:rFonts w:hint="default" w:ascii="Arial" w:hAnsi="Arial" w:cs="Arial"/>
          <w:sz w:val="24"/>
          <w:szCs w:val="24"/>
          <w:lang w:val="fr-FR"/>
        </w:rPr>
        <w:t>7.Internal Direction vs. Outer Direction (ID): Introversion and extroversion relate to the individual's view of controlling one's own destiny in a culture.</w:t>
      </w:r>
      <w:r>
        <w:rPr>
          <w:rFonts w:hint="eastAsia" w:ascii="Arial" w:hAnsi="Arial" w:cs="Arial"/>
          <w:sz w:val="24"/>
          <w:szCs w:val="24"/>
          <w:lang w:val="fr-FR" w:eastAsia="zh-CN"/>
        </w:rPr>
        <w:t>（</w:t>
      </w:r>
      <w:r>
        <w:rPr>
          <w:rFonts w:hint="default" w:ascii="Arial" w:hAnsi="Arial" w:eastAsia="宋体" w:cs="Arial"/>
          <w:kern w:val="0"/>
          <w:sz w:val="24"/>
          <w:szCs w:val="24"/>
          <w:lang w:val="en-US" w:eastAsia="zh-CN" w:bidi="ar"/>
        </w:rPr>
        <w:t>Trompenaars, F., &amp; Woolliams, P. (2003)</w:t>
      </w:r>
      <w:r>
        <w:rPr>
          <w:rFonts w:hint="eastAsia" w:ascii="Arial" w:hAnsi="Arial" w:eastAsia="宋体" w:cs="Arial"/>
          <w:kern w:val="0"/>
          <w:sz w:val="24"/>
          <w:szCs w:val="24"/>
          <w:lang w:val="en-US" w:eastAsia="zh-CN" w:bidi="ar"/>
        </w:rPr>
        <w:t>）</w:t>
      </w:r>
    </w:p>
    <w:p>
      <w:pPr>
        <w:rPr>
          <w:rFonts w:hint="default" w:ascii="Arial" w:hAnsi="Arial" w:cs="Arial"/>
          <w:sz w:val="24"/>
          <w:szCs w:val="24"/>
          <w:lang w:val="fr-FR"/>
        </w:rPr>
      </w:pPr>
    </w:p>
    <w:p>
      <w:pPr>
        <w:ind w:firstLine="720"/>
        <w:outlineLvl w:val="1"/>
        <w:rPr>
          <w:rFonts w:hint="default" w:ascii="Arial" w:hAnsi="Arial" w:cs="Arial"/>
          <w:sz w:val="24"/>
          <w:szCs w:val="24"/>
        </w:rPr>
      </w:pPr>
      <w:bookmarkStart w:id="10" w:name="_Toc25069"/>
      <w:r>
        <w:rPr>
          <w:rFonts w:hint="default" w:ascii="Arial" w:hAnsi="Arial" w:cs="Arial"/>
          <w:sz w:val="24"/>
          <w:szCs w:val="24"/>
        </w:rPr>
        <w:t>2.6 – Importance of Building Relationships</w:t>
      </w:r>
      <w:bookmarkEnd w:id="10"/>
    </w:p>
    <w:p>
      <w:pPr>
        <w:ind w:firstLine="720"/>
        <w:rPr>
          <w:rFonts w:hint="default" w:ascii="Arial" w:hAnsi="Arial" w:cs="Arial"/>
          <w:sz w:val="24"/>
          <w:szCs w:val="24"/>
        </w:rPr>
      </w:pPr>
      <w:r>
        <w:rPr>
          <w:rFonts w:hint="default" w:ascii="Arial" w:hAnsi="Arial" w:cs="Arial"/>
          <w:sz w:val="24"/>
          <w:szCs w:val="24"/>
        </w:rPr>
        <w:t>Business success:</w:t>
      </w:r>
    </w:p>
    <w:p>
      <w:pPr>
        <w:ind w:firstLine="720"/>
        <w:rPr>
          <w:rFonts w:hint="default" w:ascii="Arial" w:hAnsi="Arial" w:cs="Arial"/>
          <w:sz w:val="24"/>
          <w:szCs w:val="24"/>
        </w:rPr>
      </w:pPr>
      <w:r>
        <w:rPr>
          <w:rFonts w:hint="default" w:ascii="Arial" w:hAnsi="Arial" w:cs="Arial"/>
          <w:sz w:val="24"/>
          <w:szCs w:val="24"/>
        </w:rPr>
        <w:t>Customer Relationships: In business, building strong relationships with your customers is crucial. By cultivating relationships, trust and rapport help retain customers, increase loyalty and attract repeat business.</w:t>
      </w:r>
    </w:p>
    <w:p>
      <w:pPr>
        <w:ind w:firstLine="720"/>
        <w:outlineLvl w:val="9"/>
        <w:rPr>
          <w:rFonts w:hint="default" w:ascii="Arial" w:hAnsi="Arial" w:cs="Arial"/>
          <w:sz w:val="24"/>
          <w:szCs w:val="24"/>
        </w:rPr>
      </w:pPr>
      <w:r>
        <w:rPr>
          <w:rFonts w:hint="default" w:ascii="Arial" w:hAnsi="Arial" w:cs="Arial"/>
          <w:sz w:val="24"/>
          <w:szCs w:val="24"/>
        </w:rPr>
        <w:t>Partnerships: Building good relationships with suppliers and business partners can help achieve smoother relationships, better trading terms and improve efficiencies throughout the supply chain.</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Reichheld, F. F., &amp; Sasser, W. E. (1990)</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rPr>
      </w:pPr>
      <w:r>
        <w:rPr>
          <w:rFonts w:hint="default" w:ascii="Arial" w:hAnsi="Arial" w:cs="Arial"/>
          <w:sz w:val="24"/>
          <w:szCs w:val="24"/>
        </w:rPr>
        <w:t>Effective communication:</w:t>
      </w:r>
    </w:p>
    <w:p>
      <w:pPr>
        <w:ind w:firstLine="720"/>
        <w:rPr>
          <w:rFonts w:hint="default" w:ascii="Arial" w:hAnsi="Arial" w:cs="Arial"/>
          <w:sz w:val="24"/>
          <w:szCs w:val="24"/>
        </w:rPr>
      </w:pPr>
      <w:r>
        <w:rPr>
          <w:rFonts w:hint="default" w:ascii="Arial" w:hAnsi="Arial" w:cs="Arial"/>
          <w:sz w:val="24"/>
          <w:szCs w:val="24"/>
        </w:rPr>
        <w:t>Understanding and trust: Building good relationships helps in better understanding and trust between people. When a foundation of trust is established, effective communication is enhanced, allowing for a more transparent and open exchange of ideas and information.</w:t>
      </w:r>
    </w:p>
    <w:p>
      <w:pPr>
        <w:ind w:firstLine="720"/>
        <w:rPr>
          <w:rFonts w:hint="default" w:ascii="Arial" w:hAnsi="Arial" w:cs="Arial"/>
          <w:sz w:val="24"/>
          <w:szCs w:val="24"/>
        </w:rPr>
      </w:pPr>
      <w:r>
        <w:rPr>
          <w:rFonts w:hint="default" w:ascii="Arial" w:hAnsi="Arial" w:cs="Arial"/>
          <w:sz w:val="24"/>
          <w:szCs w:val="24"/>
        </w:rPr>
        <w:t>Resolve Conflict: Conflict is inevitable in any situation. Building strong relationships provides the basis for more effective conflict resolution because it is based on mutual respect and understanding.</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Fisher, R., Ury, W., &amp; Patton, B. (2011)</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rPr>
      </w:pPr>
      <w:r>
        <w:rPr>
          <w:rFonts w:hint="default" w:ascii="Arial" w:hAnsi="Arial" w:cs="Arial"/>
          <w:sz w:val="24"/>
          <w:szCs w:val="24"/>
        </w:rPr>
        <w:t>Team Dynamics:</w:t>
      </w:r>
    </w:p>
    <w:p>
      <w:pPr>
        <w:ind w:firstLine="720"/>
        <w:rPr>
          <w:rFonts w:hint="default" w:ascii="Arial" w:hAnsi="Arial" w:cs="Arial"/>
          <w:sz w:val="24"/>
          <w:szCs w:val="24"/>
        </w:rPr>
      </w:pPr>
      <w:r>
        <w:rPr>
          <w:rFonts w:hint="default" w:ascii="Arial" w:hAnsi="Arial" w:cs="Arial"/>
          <w:sz w:val="24"/>
          <w:szCs w:val="24"/>
        </w:rPr>
        <w:t>Collaboration: Achieving effective teamwork relies on positive relationships between team members. When team members understand and respect each other, collaboration flows more smoothly, resulting in increased productivity and innovation.</w:t>
      </w:r>
    </w:p>
    <w:p>
      <w:pPr>
        <w:ind w:firstLine="720"/>
        <w:rPr>
          <w:rFonts w:hint="default" w:ascii="Arial" w:hAnsi="Arial" w:cs="Arial"/>
          <w:sz w:val="24"/>
          <w:szCs w:val="24"/>
        </w:rPr>
      </w:pPr>
      <w:r>
        <w:rPr>
          <w:rFonts w:hint="default" w:ascii="Arial" w:hAnsi="Arial" w:cs="Arial"/>
          <w:sz w:val="24"/>
          <w:szCs w:val="24"/>
        </w:rPr>
        <w:t>Employee Engagement: Building strong relationships in the workplace, among employees, and with leadership helps increase job satisfaction and engagement.</w:t>
      </w:r>
    </w:p>
    <w:p>
      <w:pPr>
        <w:ind w:firstLine="720"/>
        <w:outlineLvl w:val="1"/>
        <w:rPr>
          <w:rFonts w:hint="default" w:ascii="Arial" w:hAnsi="Arial" w:cs="Arial"/>
          <w:sz w:val="24"/>
          <w:szCs w:val="24"/>
        </w:rPr>
      </w:pPr>
      <w:bookmarkStart w:id="11" w:name="_Toc5974"/>
      <w:r>
        <w:rPr>
          <w:rFonts w:hint="default" w:ascii="Arial" w:hAnsi="Arial" w:cs="Arial"/>
          <w:sz w:val="24"/>
          <w:szCs w:val="24"/>
        </w:rPr>
        <w:t>2.7 – How to build Trust</w:t>
      </w:r>
      <w:bookmarkEnd w:id="11"/>
    </w:p>
    <w:p>
      <w:pPr>
        <w:ind w:firstLine="720"/>
        <w:outlineLvl w:val="9"/>
        <w:rPr>
          <w:rFonts w:hint="default" w:ascii="Arial" w:hAnsi="Arial" w:cs="Arial"/>
          <w:sz w:val="24"/>
          <w:szCs w:val="24"/>
        </w:rPr>
      </w:pPr>
      <w:r>
        <w:rPr>
          <w:rFonts w:hint="default" w:ascii="Arial" w:hAnsi="Arial" w:cs="Arial"/>
          <w:sz w:val="24"/>
          <w:szCs w:val="24"/>
        </w:rPr>
        <w:t>Building trust is an essential element of personal and professional relationships that is not easy to come by, but once established, becomes the foundation for a strong and lasting connection. Here are some ke</w:t>
      </w:r>
      <w:bookmarkStart w:id="16" w:name="_GoBack"/>
      <w:bookmarkEnd w:id="16"/>
      <w:r>
        <w:rPr>
          <w:rFonts w:hint="default" w:ascii="Arial" w:hAnsi="Arial" w:cs="Arial"/>
          <w:sz w:val="24"/>
          <w:szCs w:val="24"/>
        </w:rPr>
        <w:t>y elements that help us build, maintain and repair trust.</w:t>
      </w:r>
    </w:p>
    <w:p>
      <w:pPr>
        <w:ind w:firstLine="720"/>
        <w:outlineLvl w:val="9"/>
        <w:rPr>
          <w:rFonts w:hint="default" w:ascii="Arial" w:hAnsi="Arial" w:cs="Arial"/>
          <w:sz w:val="24"/>
          <w:szCs w:val="24"/>
        </w:rPr>
      </w:pPr>
      <w:r>
        <w:rPr>
          <w:rFonts w:hint="default" w:ascii="Arial" w:hAnsi="Arial" w:cs="Arial"/>
          <w:sz w:val="24"/>
          <w:szCs w:val="24"/>
        </w:rPr>
        <w:t xml:space="preserve">  Consistency: Be consistent in your actions and decisions. This consistency will build trust in you over time. When people can predict your reactions and actions, they are more likely to trust you.Open Communication: Be open and honest in your communications, especially with information that relates to others. Hiding information can lead to suspicion and undermine trust. Actively listening to others shows that you sincerely listen to and understand their perspectives and feelings.</w:t>
      </w:r>
    </w:p>
    <w:p>
      <w:pPr>
        <w:ind w:firstLine="720"/>
        <w:outlineLvl w:val="9"/>
        <w:rPr>
          <w:rFonts w:hint="default" w:ascii="Arial" w:hAnsi="Arial" w:cs="Arial"/>
          <w:sz w:val="24"/>
          <w:szCs w:val="24"/>
        </w:rPr>
      </w:pPr>
      <w:r>
        <w:rPr>
          <w:rFonts w:hint="default" w:ascii="Arial" w:hAnsi="Arial" w:cs="Arial"/>
          <w:sz w:val="24"/>
          <w:szCs w:val="24"/>
        </w:rPr>
        <w:t>Empathy: Express empathy by understanding the perspectives and emotions of others. This helps build connections based on mutual respect and consideration. Helping others during difficult times and offering support builds trust and strengthens relationships.</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Eisenbeiss, S. A., Knippenberg, D. V., Boerner, S., &amp; Boerner, S. (2008)</w:t>
      </w:r>
      <w:r>
        <w:rPr>
          <w:rFonts w:hint="eastAsia" w:ascii="Arial" w:hAnsi="Arial" w:eastAsia="宋体" w:cs="Arial"/>
          <w:kern w:val="0"/>
          <w:sz w:val="24"/>
          <w:szCs w:val="24"/>
          <w:lang w:val="en-US" w:eastAsia="zh-CN" w:bidi="ar"/>
        </w:rPr>
        <w:t>）</w:t>
      </w:r>
    </w:p>
    <w:p>
      <w:pPr>
        <w:ind w:firstLine="720"/>
        <w:outlineLvl w:val="9"/>
        <w:rPr>
          <w:rFonts w:hint="default" w:ascii="Arial" w:hAnsi="Arial" w:cs="Arial"/>
          <w:sz w:val="24"/>
          <w:szCs w:val="24"/>
        </w:rPr>
      </w:pPr>
      <w:r>
        <w:rPr>
          <w:rFonts w:hint="default" w:ascii="Arial" w:hAnsi="Arial" w:cs="Arial"/>
          <w:sz w:val="24"/>
          <w:szCs w:val="24"/>
        </w:rPr>
        <w:t>Competencies: Develop and demonstrate your skills and knowledge. When people see that you are competent in your role, they are more likely to trust your judgment and abilities. Staying updated and constantly improving your skills, a commitment to learning and growth can enhance your credibility.</w:t>
      </w:r>
    </w:p>
    <w:p>
      <w:pPr>
        <w:ind w:firstLine="720"/>
        <w:outlineLvl w:val="9"/>
        <w:rPr>
          <w:rFonts w:hint="default" w:ascii="Arial" w:hAnsi="Arial" w:cs="Arial"/>
          <w:sz w:val="24"/>
          <w:szCs w:val="24"/>
        </w:rPr>
      </w:pPr>
      <w:r>
        <w:rPr>
          <w:rFonts w:hint="default" w:ascii="Arial" w:hAnsi="Arial" w:cs="Arial"/>
          <w:sz w:val="24"/>
          <w:szCs w:val="24"/>
        </w:rPr>
        <w:t>Shared experiences: Working together toward a common goal fosters trust. Shared experiences create connections and create a sense of togetherness. Recognizing and celebrating achievements together strengthens positive interactions and trust.</w:t>
      </w:r>
    </w:p>
    <w:p>
      <w:pPr>
        <w:ind w:firstLine="720"/>
        <w:outlineLvl w:val="9"/>
        <w:rPr>
          <w:rFonts w:hint="default" w:ascii="Arial" w:hAnsi="Arial" w:cs="Arial"/>
          <w:sz w:val="24"/>
          <w:szCs w:val="24"/>
        </w:rPr>
      </w:pPr>
      <w:r>
        <w:rPr>
          <w:rFonts w:hint="default" w:ascii="Arial" w:hAnsi="Arial" w:cs="Arial"/>
          <w:sz w:val="24"/>
          <w:szCs w:val="24"/>
        </w:rPr>
        <w:t>Time and Patience: Understand that building trust is a gradual process and it takes time for the other person to feel safe in a relationship. Be patient and let trust develop organically.</w:t>
      </w:r>
    </w:p>
    <w:p>
      <w:pPr>
        <w:ind w:firstLine="720"/>
        <w:outlineLvl w:val="9"/>
        <w:rPr>
          <w:rFonts w:hint="default" w:ascii="Arial" w:hAnsi="Arial" w:cs="Arial"/>
          <w:sz w:val="24"/>
          <w:szCs w:val="24"/>
        </w:rPr>
      </w:pPr>
      <w:r>
        <w:rPr>
          <w:rFonts w:hint="default" w:ascii="Arial" w:hAnsi="Arial" w:cs="Arial"/>
          <w:sz w:val="24"/>
          <w:szCs w:val="24"/>
        </w:rPr>
        <w:t>Apologize and forgive: When you make a mistake, apologize sincerely. Acknowledge the impact of your actions and show a commitment to change. Also be willing to forgive others. Holding grudges gets in the way of building trust.</w:t>
      </w:r>
    </w:p>
    <w:p>
      <w:pPr>
        <w:ind w:firstLine="720"/>
        <w:outlineLvl w:val="1"/>
        <w:rPr>
          <w:rFonts w:hint="default" w:ascii="Arial" w:hAnsi="Arial" w:cs="Arial"/>
          <w:sz w:val="24"/>
          <w:szCs w:val="24"/>
        </w:rPr>
      </w:pPr>
      <w:bookmarkStart w:id="12" w:name="_Toc30513"/>
      <w:r>
        <w:rPr>
          <w:rFonts w:hint="default" w:ascii="Arial" w:hAnsi="Arial" w:cs="Arial"/>
          <w:sz w:val="24"/>
          <w:szCs w:val="24"/>
        </w:rPr>
        <w:t>2.8 – Failed Relationships</w:t>
      </w:r>
      <w:bookmarkEnd w:id="12"/>
      <w:r>
        <w:rPr>
          <w:rFonts w:hint="default" w:ascii="Arial" w:hAnsi="Arial" w:cs="Arial"/>
          <w:sz w:val="24"/>
          <w:szCs w:val="24"/>
        </w:rPr>
        <w:t xml:space="preserve"> </w:t>
      </w:r>
    </w:p>
    <w:p>
      <w:pPr>
        <w:ind w:firstLine="720"/>
        <w:rPr>
          <w:rFonts w:hint="default" w:ascii="Arial" w:hAnsi="Arial" w:cs="Arial"/>
          <w:sz w:val="24"/>
          <w:szCs w:val="24"/>
        </w:rPr>
      </w:pPr>
      <w:r>
        <w:rPr>
          <w:rFonts w:hint="default" w:ascii="Arial" w:hAnsi="Arial" w:cs="Arial"/>
          <w:sz w:val="24"/>
          <w:szCs w:val="24"/>
        </w:rPr>
        <w:t>Failed relationships are challenging and emotionally taxing and can occur in a variety of settings, including friendships, romantic relationships, family relationships, and professional collaborations. Understanding the reasons behind failed relationships can help you grow as a person and increase your ability to navigate future relationships. In a failed relationship, the following issues may arise:</w:t>
      </w:r>
    </w:p>
    <w:p>
      <w:pPr>
        <w:ind w:firstLine="720"/>
        <w:rPr>
          <w:rFonts w:hint="default" w:ascii="Arial" w:hAnsi="Arial" w:cs="Arial"/>
          <w:sz w:val="24"/>
          <w:szCs w:val="24"/>
        </w:rPr>
      </w:pPr>
      <w:r>
        <w:rPr>
          <w:rFonts w:hint="default" w:ascii="Arial" w:hAnsi="Arial" w:cs="Arial"/>
          <w:sz w:val="24"/>
          <w:szCs w:val="24"/>
        </w:rPr>
        <w:t>1. Communication issues: Lack of effective communication or miscommunication can lead to misunderstandings, resentment, and frustration.</w:t>
      </w:r>
      <w:r>
        <w:rPr>
          <w:rFonts w:hint="default" w:ascii="Arial" w:hAnsi="Arial" w:eastAsia="宋体" w:cs="Arial"/>
          <w:kern w:val="0"/>
          <w:sz w:val="24"/>
          <w:szCs w:val="24"/>
          <w:lang w:val="en-US" w:eastAsia="zh-CN" w:bidi="ar"/>
        </w:rPr>
        <w:t>Watzlawick, P., Beavin, J. H., &amp; Jackson, D. D. (2011)</w:t>
      </w:r>
    </w:p>
    <w:p>
      <w:pPr>
        <w:ind w:firstLine="720"/>
        <w:rPr>
          <w:rFonts w:hint="default" w:ascii="Arial" w:hAnsi="Arial" w:cs="Arial"/>
          <w:sz w:val="24"/>
          <w:szCs w:val="24"/>
        </w:rPr>
      </w:pPr>
      <w:r>
        <w:rPr>
          <w:rFonts w:hint="default" w:ascii="Arial" w:hAnsi="Arial" w:cs="Arial"/>
          <w:sz w:val="24"/>
          <w:szCs w:val="24"/>
        </w:rPr>
        <w:t>2. Unresolved Conflict: Failure to handle and resolve conflict can create long-term problems and erode the foundation of a relationship.</w:t>
      </w:r>
      <w:r>
        <w:rPr>
          <w:rFonts w:hint="default" w:ascii="Arial" w:hAnsi="Arial" w:eastAsia="宋体" w:cs="Arial"/>
          <w:kern w:val="0"/>
          <w:sz w:val="24"/>
          <w:szCs w:val="24"/>
          <w:lang w:val="en-US" w:eastAsia="zh-CN" w:bidi="ar"/>
        </w:rPr>
        <w:t>Gottman, J. M., &amp; Silver, N. (2015)</w:t>
      </w:r>
    </w:p>
    <w:p>
      <w:pPr>
        <w:ind w:firstLine="720"/>
        <w:rPr>
          <w:rFonts w:hint="default" w:ascii="Arial" w:hAnsi="Arial" w:cs="Arial"/>
          <w:sz w:val="24"/>
          <w:szCs w:val="24"/>
        </w:rPr>
      </w:pPr>
      <w:r>
        <w:rPr>
          <w:rFonts w:hint="default" w:ascii="Arial" w:hAnsi="Arial" w:cs="Arial"/>
          <w:sz w:val="24"/>
          <w:szCs w:val="24"/>
        </w:rPr>
        <w:t>3. Lack of trust: A breakdown in trust can damage a relationship. Trust issues can arise from unhealthy jealousy or insecurity.</w:t>
      </w:r>
    </w:p>
    <w:p>
      <w:pPr>
        <w:ind w:firstLine="720"/>
        <w:rPr>
          <w:rFonts w:hint="default" w:ascii="Arial" w:hAnsi="Arial" w:cs="Arial"/>
          <w:sz w:val="24"/>
          <w:szCs w:val="24"/>
        </w:rPr>
      </w:pPr>
      <w:r>
        <w:rPr>
          <w:rFonts w:hint="default" w:ascii="Arial" w:hAnsi="Arial" w:cs="Arial"/>
          <w:sz w:val="24"/>
          <w:szCs w:val="24"/>
        </w:rPr>
        <w:t>4. Different Values and Goals: Significant challenges can arise if individuals have fundamental differences in their values, beliefs, or life goals. Unrealistic expectations can lead to disappointment and dissatisfaction.</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Olson, D. H., &amp; Olson, A. K. (2000)</w:t>
      </w:r>
      <w:r>
        <w:rPr>
          <w:rFonts w:hint="eastAsia" w:ascii="Arial" w:hAnsi="Arial" w:eastAsia="宋体" w:cs="Arial"/>
          <w:kern w:val="0"/>
          <w:sz w:val="24"/>
          <w:szCs w:val="24"/>
          <w:lang w:val="en-US" w:eastAsia="zh-CN" w:bidi="ar"/>
        </w:rPr>
        <w:t>）</w:t>
      </w:r>
    </w:p>
    <w:p>
      <w:pPr>
        <w:keepNext w:val="0"/>
        <w:keepLines w:val="0"/>
        <w:widowControl/>
        <w:suppressLineNumbers w:val="0"/>
        <w:jc w:val="left"/>
        <w:rPr>
          <w:rFonts w:hint="default" w:ascii="Arial" w:hAnsi="Arial" w:cs="Arial"/>
          <w:sz w:val="24"/>
          <w:szCs w:val="24"/>
        </w:rPr>
      </w:pPr>
      <w:r>
        <w:rPr>
          <w:rFonts w:hint="default" w:ascii="Arial" w:hAnsi="Arial" w:cs="Arial"/>
          <w:sz w:val="24"/>
          <w:szCs w:val="24"/>
        </w:rPr>
        <w:t>5. Personal Growth and Change: Personal growth and changes in priorities may lead to growth beyond the current relationship. The inability to adapt to personal growth and change can strain relationships.</w:t>
      </w:r>
      <w:r>
        <w:rPr>
          <w:rFonts w:hint="eastAsia" w:ascii="Arial" w:hAnsi="Arial" w:cs="Arial"/>
          <w:sz w:val="24"/>
          <w:szCs w:val="24"/>
          <w:lang w:eastAsia="zh-CN"/>
        </w:rPr>
        <w:t>（</w:t>
      </w:r>
      <w:r>
        <w:rPr>
          <w:rFonts w:hint="default" w:ascii="Arial" w:hAnsi="Arial" w:eastAsia="宋体" w:cs="Arial"/>
          <w:kern w:val="0"/>
          <w:sz w:val="24"/>
          <w:szCs w:val="24"/>
          <w:lang w:val="en-US" w:eastAsia="zh-CN" w:bidi="ar"/>
        </w:rPr>
        <w:t>Arnett, J. J. (2000)</w:t>
      </w:r>
      <w:r>
        <w:rPr>
          <w:rFonts w:hint="eastAsia" w:ascii="Arial" w:hAnsi="Arial" w:eastAsia="宋体" w:cs="Arial"/>
          <w:kern w:val="0"/>
          <w:sz w:val="24"/>
          <w:szCs w:val="24"/>
          <w:lang w:val="en-US" w:eastAsia="zh-CN" w:bidi="ar"/>
        </w:rPr>
        <w:t>）</w:t>
      </w:r>
    </w:p>
    <w:p>
      <w:pPr>
        <w:ind w:firstLine="720"/>
        <w:rPr>
          <w:rFonts w:hint="default" w:ascii="Arial" w:hAnsi="Arial" w:cs="Arial"/>
          <w:sz w:val="24"/>
          <w:szCs w:val="24"/>
        </w:rPr>
      </w:pPr>
      <w:r>
        <w:rPr>
          <w:rFonts w:hint="default" w:ascii="Arial" w:hAnsi="Arial" w:cs="Arial"/>
          <w:sz w:val="24"/>
          <w:szCs w:val="24"/>
        </w:rPr>
        <w:t>It's important to realize that the end of a relationship doesn't necessarily mean personal failure. Learning from experiences, taking responsibility for one's actions, and focusing on personal growth can help individuals move forward and build healthier relationships in the future. Seeking professional support, such as counseling or therapy, can also be helpful in processing emotions and gaining insight into relationship dynamics.</w:t>
      </w:r>
    </w:p>
    <w:p>
      <w:pPr>
        <w:ind w:firstLine="720"/>
        <w:rPr>
          <w:rFonts w:hint="default" w:ascii="Arial" w:hAnsi="Arial" w:cs="Arial"/>
          <w:sz w:val="24"/>
          <w:szCs w:val="24"/>
        </w:rPr>
      </w:pPr>
    </w:p>
    <w:p>
      <w:pPr>
        <w:ind w:firstLine="720"/>
        <w:rPr>
          <w:rFonts w:hint="default" w:ascii="Arial" w:hAnsi="Arial" w:cs="Arial"/>
          <w:sz w:val="24"/>
          <w:szCs w:val="24"/>
        </w:rPr>
      </w:pPr>
    </w:p>
    <w:p>
      <w:pPr>
        <w:ind w:firstLine="720"/>
        <w:rPr>
          <w:rFonts w:hint="default" w:ascii="Arial" w:hAnsi="Arial" w:cs="Arial"/>
          <w:sz w:val="24"/>
          <w:szCs w:val="24"/>
        </w:rPr>
      </w:pPr>
    </w:p>
    <w:p>
      <w:pPr>
        <w:ind w:firstLine="720"/>
        <w:rPr>
          <w:rFonts w:hint="default" w:ascii="Arial" w:hAnsi="Arial" w:cs="Arial"/>
          <w:sz w:val="24"/>
          <w:szCs w:val="24"/>
        </w:rPr>
      </w:pPr>
    </w:p>
    <w:p>
      <w:pPr>
        <w:ind w:firstLine="720"/>
        <w:rPr>
          <w:rFonts w:hint="default" w:ascii="Arial" w:hAnsi="Arial" w:cs="Arial"/>
          <w:sz w:val="24"/>
          <w:szCs w:val="24"/>
        </w:rPr>
      </w:pPr>
    </w:p>
    <w:p>
      <w:pPr>
        <w:ind w:firstLine="720"/>
        <w:rPr>
          <w:rFonts w:hint="default" w:ascii="Arial" w:hAnsi="Arial" w:cs="Arial"/>
          <w:sz w:val="24"/>
          <w:szCs w:val="24"/>
        </w:rPr>
      </w:pPr>
    </w:p>
    <w:p>
      <w:pPr>
        <w:ind w:firstLine="720"/>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br w:type="page"/>
      </w:r>
    </w:p>
    <w:p>
      <w:pPr>
        <w:pBdr>
          <w:bottom w:val="single" w:color="auto" w:sz="4" w:space="1"/>
        </w:pBdr>
        <w:outlineLvl w:val="0"/>
        <w:rPr>
          <w:rFonts w:hint="default" w:ascii="Arial" w:hAnsi="Arial" w:cs="Arial"/>
          <w:b/>
          <w:bCs/>
          <w:sz w:val="24"/>
          <w:szCs w:val="24"/>
        </w:rPr>
      </w:pPr>
      <w:bookmarkStart w:id="13" w:name="_Toc27532"/>
      <w:r>
        <w:rPr>
          <w:rFonts w:hint="default" w:ascii="Arial" w:hAnsi="Arial" w:cs="Arial"/>
          <w:b/>
          <w:bCs/>
          <w:sz w:val="24"/>
          <w:szCs w:val="24"/>
        </w:rPr>
        <w:t>3.0 – Conclusions</w:t>
      </w:r>
      <w:bookmarkEnd w:id="13"/>
    </w:p>
    <w:p>
      <w:pPr>
        <w:rPr>
          <w:rFonts w:hint="default" w:ascii="Arial" w:hAnsi="Arial" w:cs="Arial"/>
          <w:sz w:val="24"/>
          <w:szCs w:val="24"/>
        </w:rPr>
      </w:pPr>
      <w:r>
        <w:rPr>
          <w:rFonts w:hint="default" w:ascii="Arial" w:hAnsi="Arial" w:cs="Arial"/>
          <w:sz w:val="24"/>
          <w:szCs w:val="24"/>
        </w:rPr>
        <w:t>This article explores international business communication, emphasizing crucial skills and strategies for success. It discusses key skills essential in the international business environment, such as cross-cultural communication, stressing the importance of understanding and adapting to diverse communication styles. Verbal proficiency and non-verbal communication, including body language and facial expressions, are underscored as integral to successful communication.</w:t>
      </w:r>
    </w:p>
    <w:p>
      <w:pPr>
        <w:rPr>
          <w:rFonts w:hint="default" w:ascii="Arial" w:hAnsi="Arial" w:cs="Arial"/>
          <w:sz w:val="24"/>
          <w:szCs w:val="24"/>
        </w:rPr>
      </w:pPr>
      <w:r>
        <w:rPr>
          <w:rFonts w:hint="default" w:ascii="Arial" w:hAnsi="Arial" w:cs="Arial"/>
          <w:sz w:val="24"/>
          <w:szCs w:val="24"/>
        </w:rPr>
        <w:t>Moving on, the article delves into essential elements and strategies for effective communication. This involves clear expression, active listening, feedback mechanisms, and cultural sensitivity, all pivotal for successful messaging. Choosing appropriate communication channels, leveraging technology wisely, and building trusting relationships are highlighted as key strategies for success in the international business arena.</w:t>
      </w:r>
    </w:p>
    <w:p>
      <w:pPr>
        <w:rPr>
          <w:rFonts w:hint="default" w:ascii="Arial" w:hAnsi="Arial" w:cs="Arial"/>
          <w:sz w:val="24"/>
          <w:szCs w:val="24"/>
        </w:rPr>
      </w:pPr>
      <w:r>
        <w:rPr>
          <w:rFonts w:hint="default" w:ascii="Arial" w:hAnsi="Arial" w:cs="Arial"/>
          <w:sz w:val="24"/>
          <w:szCs w:val="24"/>
        </w:rPr>
        <w:t>Introducing the cultural framework of Fons Trompenas, the article provides a deeper understanding. The seven dimensions of culture, covering aspects like individualism, collectivism, power distance, and uncertainty avoidance, offer international business practitioners a comprehensive cultural perspective, aiding in better adaptation to diverse cultural business environments.</w:t>
      </w:r>
    </w:p>
    <w:p>
      <w:pPr>
        <w:rPr>
          <w:rFonts w:hint="default" w:ascii="Arial" w:hAnsi="Arial" w:cs="Arial"/>
          <w:sz w:val="24"/>
          <w:szCs w:val="24"/>
        </w:rPr>
      </w:pPr>
      <w:r>
        <w:rPr>
          <w:rFonts w:hint="default" w:ascii="Arial" w:hAnsi="Arial" w:cs="Arial"/>
          <w:sz w:val="24"/>
          <w:szCs w:val="24"/>
        </w:rPr>
        <w:t>The article concludes by addressing the importance of crisis communication, including conflict resolution techniques. This is designed to assist international business practitioners in responding to emergencies, effectively managing crises, and delivering critical information. In summary, the article offers a comprehensive guide for success in international business communications. It not only introduces necessary skills and strategies but also delves into the significance of culture in the business environment, empowering readers to understand and navigate diverse international business challenges more comprehensively.</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b/>
          <w:bCs/>
          <w:sz w:val="24"/>
          <w:szCs w:val="24"/>
        </w:rPr>
      </w:pPr>
      <w:r>
        <w:rPr>
          <w:rFonts w:hint="default" w:ascii="Arial" w:hAnsi="Arial" w:cs="Arial"/>
          <w:b/>
          <w:bCs/>
          <w:sz w:val="24"/>
          <w:szCs w:val="24"/>
        </w:rPr>
        <w:br w:type="page"/>
      </w:r>
    </w:p>
    <w:p>
      <w:pPr>
        <w:pBdr>
          <w:bottom w:val="single" w:color="auto" w:sz="4" w:space="1"/>
        </w:pBdr>
        <w:outlineLvl w:val="0"/>
        <w:rPr>
          <w:rFonts w:hint="default" w:ascii="Arial" w:hAnsi="Arial" w:cs="Arial"/>
          <w:b/>
          <w:bCs/>
          <w:sz w:val="24"/>
          <w:szCs w:val="24"/>
        </w:rPr>
      </w:pPr>
      <w:bookmarkStart w:id="14" w:name="_Toc22060"/>
      <w:r>
        <w:rPr>
          <w:rFonts w:hint="default" w:ascii="Arial" w:hAnsi="Arial" w:cs="Arial"/>
          <w:b/>
          <w:bCs/>
          <w:sz w:val="24"/>
          <w:szCs w:val="24"/>
        </w:rPr>
        <w:t>4.0 – Recommendations</w:t>
      </w:r>
      <w:bookmarkEnd w:id="14"/>
    </w:p>
    <w:p>
      <w:pPr>
        <w:rPr>
          <w:rFonts w:hint="default" w:ascii="Arial" w:hAnsi="Arial" w:cs="Arial"/>
          <w:sz w:val="24"/>
          <w:szCs w:val="24"/>
        </w:rPr>
      </w:pPr>
      <w:r>
        <w:rPr>
          <w:rFonts w:hint="default" w:ascii="Arial" w:hAnsi="Arial" w:cs="Arial"/>
          <w:sz w:val="24"/>
          <w:szCs w:val="24"/>
        </w:rPr>
        <w:t>After an in-depth analysis of international business communication, we put forward the following comprehensive suggestions to achieve communication success: First, we need to strengthen cross-cultural communication skills and respect and adapt to the communication styles and values of different cultures. This can be achieved by participating in diversity training and in-depth study of business customs in different countries; secondly, we should pay attention to the importance of verbal and non-verbal communication, including elements such as body language and facial expressions to better convey information; thirdly , we must actually apply the elements and strategies of effective communication such as clear and concise expressions, active listening, effective feedback and attention to cultural sensitivity to ensure smooth and efficient communication; fourth, we must understand and flexibly use various Communication tools and platforms, choose the most suitable communication method to adapt to different business environments; fifth, we must strive to establish transparent and honest communication habits to win the trust of others and establish solid business relationships; sixth, we can Use Trompenas’ framework to comprehensively understand the behaviors and expectations of different cultures in the business environment to better adapt to and respond to business partners with different cultural backgrounds; finally, we must master crisis communication and handling in actual situations Conflict skills to deal with emergencies that may arise. These measures will help international business practitioners comprehensively respond to the challenges of a diverse environment and successfully establish themselves in the global market.</w:t>
      </w: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sz w:val="24"/>
          <w:szCs w:val="24"/>
        </w:rPr>
      </w:pPr>
    </w:p>
    <w:p>
      <w:pPr>
        <w:rPr>
          <w:rFonts w:hint="default" w:ascii="Arial" w:hAnsi="Arial" w:cs="Arial"/>
          <w:b/>
          <w:bCs/>
          <w:sz w:val="24"/>
          <w:szCs w:val="24"/>
        </w:rPr>
      </w:pPr>
      <w:r>
        <w:rPr>
          <w:rFonts w:hint="default" w:ascii="Arial" w:hAnsi="Arial" w:cs="Arial"/>
          <w:b/>
          <w:bCs/>
          <w:sz w:val="24"/>
          <w:szCs w:val="24"/>
        </w:rPr>
        <w:br w:type="page"/>
      </w:r>
    </w:p>
    <w:p>
      <w:pPr>
        <w:pBdr>
          <w:bottom w:val="single" w:color="auto" w:sz="4" w:space="1"/>
        </w:pBdr>
        <w:outlineLvl w:val="0"/>
        <w:rPr>
          <w:rFonts w:hint="default" w:ascii="Arial" w:hAnsi="Arial" w:eastAsia="宋体" w:cs="Arial"/>
          <w:kern w:val="0"/>
          <w:sz w:val="24"/>
          <w:szCs w:val="24"/>
          <w:lang w:val="en-US" w:eastAsia="zh-CN" w:bidi="ar"/>
        </w:rPr>
      </w:pPr>
      <w:bookmarkStart w:id="15" w:name="_Toc29925"/>
      <w:r>
        <w:rPr>
          <w:rFonts w:hint="default" w:ascii="Arial" w:hAnsi="Arial" w:cs="Arial"/>
          <w:b/>
          <w:bCs/>
          <w:sz w:val="24"/>
          <w:szCs w:val="24"/>
        </w:rPr>
        <w:t>References</w:t>
      </w:r>
      <w:bookmarkEnd w:id="15"/>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Archer, D., &amp; Silver, J. (1997). A world of differences : understanding cross-cultural communication. Berkeley Media.</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Arnett, J. J. (2000). Emerging adulthood: A theory of development from the late teens through the twenties. American Psychologist, 55(5), 469-480.</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Davis, B. (Review of: S., &amp; Scollon, S. W. (1998). Intercultural Communication: A Discourse Approach [Review of Intercultural Communication: A Discourse Approach]. American Speech, 73(2), 215–218.</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Developing Cultural Adaptability: How to Work Across Differences. (2003). Center for Creative Leadership.</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DiSanza, J. R., &amp; Legge, N. J. (2012). Business and Professional Communication in the Global Workplace. Routledge.</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Eisenbeiss, S. A., Knippenberg, D. V., Boerner, S., &amp; Boerner, S. (2008). Transformational leadership and team innovation: Integrating team climate principles. Journal of Applied Psychology, 93(6), 1438.</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Fearn-Banks, K. (2019). Crisis Communications: A Casebook Approach (5th ed.). Routledge.</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Fisher, R., Ury, W., &amp; Patton, B. (2011). Getting to Yes: Negotiating Agreement Without Giving In. Penguin Books.</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Folger, J. P., Poole, M. S., &amp; Stutman, R. K. (2020). Working Through Conflict: Strategies for Relationships, Groups, and Organizations. Routledge.</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Fowler, A. (1996). Negotiation skills and strategies (2nd ed.). Institute of Personnel and Development.</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Gottman, J. M., &amp; Silver, N. (2015). The Seven Principles for Making Marriage Work. Harmony.</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Gudykunst, W. B., &amp; Kim, Y. Y. (2003). Communicating with strangers: An approach to intercultural communication. McGraw-Hill.</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Hall, E. T. (Edward T. (1989). Beyond culture. Anchor Books.</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Hammer, M. R., Bennett, M. J., &amp; Wiseman, R. (2003). Measuring intercultural sensitivity: The intercultural development inventory. International Journal of Intercultural Relations, 27(4), 421-443.</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Hofstede, G., &amp; Michael H. Hoppe. (2004). Introduction: Geert Hofstede’s “Culture’s Consequences: International Differences in Work-Related Values.” The Academy of Management Executive (1993), 18(1), 73–74. https://doi.org/10.5465/AME.2004.12689661</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Hossain, M. S., Rahman, M. F., &amp; Zhou, X. (2021). Impact of customers’ interpersonal interactions in social commerce on customer relationship management performance. Journal of Contemporary Marketing Science, 4(1), 161–181. https://doi.org/10.1108/JCMARS-12-2020-0050</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Kim, Y. Y., &amp; Nikolarea, E. (2003). Becoming intercultural: an integrative theory of communication and cross-cultural adaptation [Review of Becoming intercultural: an integrative theory of communication and cross-cultural adaptation]. Journal of Ethnic and Migration Studies, 29(3), 573–574.</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Lutz, S. (2013). Business Communication: Building Critical Skills. Flat World Knowledge.</w:t>
      </w:r>
    </w:p>
    <w:p>
      <w:pPr>
        <w:keepNext w:val="0"/>
        <w:keepLines w:val="0"/>
        <w:widowControl/>
        <w:suppressLineNumbers w:val="0"/>
        <w:jc w:val="left"/>
        <w:rPr>
          <w:rFonts w:hint="default" w:ascii="Arial" w:hAnsi="Arial" w:cs="Arial"/>
          <w:sz w:val="24"/>
          <w:szCs w:val="24"/>
        </w:rPr>
      </w:pPr>
      <w:r>
        <w:rPr>
          <w:rFonts w:hint="default" w:ascii="Arial" w:hAnsi="Arial" w:eastAsia="宋体" w:cs="Arial"/>
          <w:kern w:val="0"/>
          <w:sz w:val="24"/>
          <w:szCs w:val="24"/>
          <w:lang w:val="en-US" w:eastAsia="zh-CN" w:bidi="ar"/>
        </w:rPr>
        <w:t xml:space="preserve">Mullany, L., &amp; Schnurr, S. (Eds.). (2023). </w:t>
      </w:r>
      <w:r>
        <w:rPr>
          <w:rFonts w:hint="default" w:ascii="Arial" w:hAnsi="Arial" w:eastAsia="宋体" w:cs="Arial"/>
          <w:i/>
          <w:iCs/>
          <w:kern w:val="0"/>
          <w:sz w:val="24"/>
          <w:szCs w:val="24"/>
          <w:lang w:val="en-US" w:eastAsia="zh-CN" w:bidi="ar"/>
        </w:rPr>
        <w:t>Globalisation, Geopolitics, and Gender in Professional Communication</w:t>
      </w:r>
      <w:r>
        <w:rPr>
          <w:rFonts w:hint="default" w:ascii="Arial" w:hAnsi="Arial" w:eastAsia="宋体" w:cs="Arial"/>
          <w:kern w:val="0"/>
          <w:sz w:val="24"/>
          <w:szCs w:val="24"/>
          <w:lang w:val="en-US" w:eastAsia="zh-CN" w:bidi="ar"/>
        </w:rPr>
        <w:t>. Taylor &amp; Francis.</w:t>
      </w:r>
    </w:p>
    <w:p>
      <w:pPr>
        <w:keepNext w:val="0"/>
        <w:keepLines w:val="0"/>
        <w:widowControl/>
        <w:suppressLineNumbers w:val="0"/>
        <w:jc w:val="left"/>
        <w:rPr>
          <w:rFonts w:hint="default" w:ascii="Arial" w:hAnsi="Arial" w:cs="Arial"/>
          <w:sz w:val="24"/>
          <w:szCs w:val="24"/>
        </w:rPr>
      </w:pPr>
      <w:r>
        <w:rPr>
          <w:rFonts w:hint="default" w:ascii="Arial" w:hAnsi="Arial" w:eastAsia="宋体" w:cs="Arial"/>
          <w:kern w:val="0"/>
          <w:sz w:val="24"/>
          <w:szCs w:val="24"/>
          <w:lang w:val="en-US" w:eastAsia="zh-CN" w:bidi="ar"/>
        </w:rPr>
        <w:t xml:space="preserve">Muriwai, G. (2006). The language of business, Kiwi-style: new international financial reporting standards due to start at the beginning of 2007 will impact on every business in New Zealand. Garry Muriwai explains what it all means. In </w:t>
      </w:r>
      <w:r>
        <w:rPr>
          <w:rFonts w:hint="default" w:ascii="Arial" w:hAnsi="Arial" w:eastAsia="宋体" w:cs="Arial"/>
          <w:i/>
          <w:iCs/>
          <w:kern w:val="0"/>
          <w:sz w:val="24"/>
          <w:szCs w:val="24"/>
          <w:lang w:val="en-US" w:eastAsia="zh-CN" w:bidi="ar"/>
        </w:rPr>
        <w:t>NZBusiness</w:t>
      </w:r>
      <w:r>
        <w:rPr>
          <w:rFonts w:hint="default" w:ascii="Arial" w:hAnsi="Arial" w:eastAsia="宋体" w:cs="Arial"/>
          <w:kern w:val="0"/>
          <w:sz w:val="24"/>
          <w:szCs w:val="24"/>
          <w:lang w:val="en-US" w:eastAsia="zh-CN" w:bidi="ar"/>
        </w:rPr>
        <w:t xml:space="preserve"> (Vol. 20, Issue 5, pp. 56-). Adrenalin Publishing Ltd.</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Olson, D. H., &amp; Olson, A. K. (2000). Empowering Couples: Building on Your Strengths. Life Innovations.</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Ray, C. M., &amp; Chalupa, M. R. (1994). Book Reviews : Business Communication: Process and Product. Mary Ellen Guffey. Belmont CA: Wadsworth Publishing Company, 1994. 558 pages. ISBN: 0-534-92898-6 [Review of Book Reviews : Business Communication: Process and Product. Mary Ellen Guffey. Belmont CA: Wadsworth Publishing Company, 1994. 558 pages. ISBN: 0-534-92898-6]. The Bulletin of the Association for Business Communication, 57(3), 43–43. SAGE Publications. https://doi.org/10.1177/108056999405700314</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Read, S. H. (2019). Academic writing skills for international students. Macmillan International Higher Education.</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Reichheld, F. F., &amp; Sasser, W. E. (1990). Zero defections: Quality comes to services. Harvard Business Review, 68(5), 105-111.</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Riggio, R. E., &amp; Tan, S. J. (2012). Leader Interpersonal and Influence Skills: The Soft Skills of Leadership. Routledge.</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Samovar, L. A., Porter, R. E., McDaniel, E. R., &amp; Roy, C. S. (2013). Communication between cultures (8th ed., International ed.). Wadsworth Cengage Learning.</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Shobiye, T., Uleanya, M. O., Taiwo, M. B., &amp; Uleanya, C. (2020). Impact of non-verbal communication skills on learning outcomes in English language among senior secondary school students. African Journal of Gender, Society &amp; Development, 9(2), 33–58. https://doi.org/10.31920/2634-3622/2020/9n2a2</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 xml:space="preserve">Tenzer, H., Terjesen, S., &amp; Harzing, A.-W. (2017). Language in International Business: A Review and Agenda for Future Research. Management International Review, 57(6), 815–854. </w:t>
      </w:r>
      <w:r>
        <w:rPr>
          <w:rFonts w:hint="default" w:ascii="Arial" w:hAnsi="Arial" w:eastAsia="宋体" w:cs="Arial"/>
          <w:kern w:val="0"/>
          <w:sz w:val="24"/>
          <w:szCs w:val="24"/>
          <w:lang w:val="en-US" w:eastAsia="zh-CN" w:bidi="ar"/>
        </w:rPr>
        <w:fldChar w:fldCharType="begin"/>
      </w:r>
      <w:r>
        <w:rPr>
          <w:rFonts w:hint="default" w:ascii="Arial" w:hAnsi="Arial" w:eastAsia="宋体" w:cs="Arial"/>
          <w:kern w:val="0"/>
          <w:sz w:val="24"/>
          <w:szCs w:val="24"/>
          <w:lang w:val="en-US" w:eastAsia="zh-CN" w:bidi="ar"/>
        </w:rPr>
        <w:instrText xml:space="preserve"> HYPERLINK "https://doi.org/10.1007/s11575-017-0319-x" </w:instrText>
      </w:r>
      <w:r>
        <w:rPr>
          <w:rFonts w:hint="default" w:ascii="Arial" w:hAnsi="Arial" w:eastAsia="宋体" w:cs="Arial"/>
          <w:kern w:val="0"/>
          <w:sz w:val="24"/>
          <w:szCs w:val="24"/>
          <w:lang w:val="en-US" w:eastAsia="zh-CN" w:bidi="ar"/>
        </w:rPr>
        <w:fldChar w:fldCharType="separate"/>
      </w:r>
      <w:r>
        <w:rPr>
          <w:rFonts w:hint="default" w:ascii="Arial" w:hAnsi="Arial" w:eastAsia="宋体" w:cs="Arial"/>
          <w:kern w:val="0"/>
          <w:sz w:val="24"/>
          <w:szCs w:val="24"/>
          <w:lang w:val="en-US" w:eastAsia="zh-CN" w:bidi="ar"/>
        </w:rPr>
        <w:t>https://doi.org/10.1007/s11575-017-0319-x</w:t>
      </w:r>
      <w:r>
        <w:rPr>
          <w:rFonts w:hint="default" w:ascii="Arial" w:hAnsi="Arial" w:eastAsia="宋体" w:cs="Arial"/>
          <w:kern w:val="0"/>
          <w:sz w:val="24"/>
          <w:szCs w:val="24"/>
          <w:lang w:val="en-US" w:eastAsia="zh-CN" w:bidi="ar"/>
        </w:rPr>
        <w:fldChar w:fldCharType="end"/>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Trompenaars, F., &amp; Hampden-Turner, C. (1997). Riding the Waves of Culture: Understanding Diversity in Global Business.</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Trompenaars, F., &amp; Woolliams, P. (2003). Business Across Cultures.</w:t>
      </w:r>
    </w:p>
    <w:p>
      <w:pPr>
        <w:keepNext w:val="0"/>
        <w:keepLines w:val="0"/>
        <w:widowControl/>
        <w:suppressLineNumbers w:val="0"/>
        <w:jc w:val="left"/>
        <w:rPr>
          <w:rFonts w:hint="default" w:ascii="Arial" w:hAnsi="Arial" w:cs="Arial"/>
          <w:sz w:val="24"/>
          <w:szCs w:val="24"/>
        </w:rPr>
      </w:pPr>
      <w:r>
        <w:rPr>
          <w:rFonts w:hint="default" w:ascii="Arial" w:hAnsi="Arial" w:eastAsia="宋体" w:cs="Arial"/>
          <w:kern w:val="0"/>
          <w:sz w:val="24"/>
          <w:szCs w:val="24"/>
          <w:lang w:val="en-US" w:eastAsia="zh-CN" w:bidi="ar"/>
        </w:rPr>
        <w:t xml:space="preserve">Usunier, J.-Claude., van Herk, H., &amp; Lee, J. Anne. (2017). </w:t>
      </w:r>
      <w:r>
        <w:rPr>
          <w:rFonts w:hint="default" w:ascii="Arial" w:hAnsi="Arial" w:eastAsia="宋体" w:cs="Arial"/>
          <w:i/>
          <w:iCs/>
          <w:kern w:val="0"/>
          <w:sz w:val="24"/>
          <w:szCs w:val="24"/>
          <w:lang w:val="en-US" w:eastAsia="zh-CN" w:bidi="ar"/>
        </w:rPr>
        <w:t>International and cross-cultural business research</w:t>
      </w:r>
      <w:r>
        <w:rPr>
          <w:rFonts w:hint="default" w:ascii="Arial" w:hAnsi="Arial" w:eastAsia="宋体" w:cs="Arial"/>
          <w:kern w:val="0"/>
          <w:sz w:val="24"/>
          <w:szCs w:val="24"/>
          <w:lang w:val="en-US" w:eastAsia="zh-CN" w:bidi="ar"/>
        </w:rPr>
        <w:t>. SAGE Ltd.</w:t>
      </w:r>
    </w:p>
    <w:p>
      <w:pPr>
        <w:keepNext w:val="0"/>
        <w:keepLines w:val="0"/>
        <w:widowControl/>
        <w:suppressLineNumbers w:val="0"/>
        <w:jc w:val="left"/>
        <w:rPr>
          <w:rFonts w:hint="default" w:ascii="Arial" w:hAnsi="Arial" w:eastAsia="宋体" w:cs="Arial"/>
          <w:kern w:val="0"/>
          <w:sz w:val="24"/>
          <w:szCs w:val="24"/>
          <w:lang w:val="en-US" w:eastAsia="zh-CN" w:bidi="ar"/>
        </w:rPr>
      </w:pPr>
      <w:r>
        <w:rPr>
          <w:rFonts w:hint="default" w:ascii="Arial" w:hAnsi="Arial" w:eastAsia="宋体" w:cs="Arial"/>
          <w:kern w:val="0"/>
          <w:sz w:val="24"/>
          <w:szCs w:val="24"/>
          <w:lang w:val="en-US" w:eastAsia="zh-CN" w:bidi="ar"/>
        </w:rPr>
        <w:t>Watzlawick, P., Beavin, J. H., &amp; Jackson, D. D. (2011). Pragmatics of Human Communication: A Study of Interactional Patterns, Pathologies, and Paradoxes. W. W. Norton &amp; Company.</w:t>
      </w:r>
    </w:p>
    <w:p>
      <w:pPr>
        <w:keepNext w:val="0"/>
        <w:keepLines w:val="0"/>
        <w:widowControl/>
        <w:suppressLineNumbers w:val="0"/>
        <w:jc w:val="left"/>
        <w:rPr>
          <w:rFonts w:hint="default" w:ascii="Arial" w:hAnsi="Arial" w:eastAsia="宋体" w:cs="Arial"/>
          <w:kern w:val="0"/>
          <w:sz w:val="24"/>
          <w:szCs w:val="24"/>
          <w:lang w:val="en-US" w:eastAsia="zh-CN" w:bidi="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Arial">
    <w:panose1 w:val="020B0604020202020204"/>
    <w:charset w:val="00"/>
    <w:family w:val="auto"/>
    <w:pitch w:val="default"/>
    <w:sig w:usb0="E0002EFF" w:usb1="C000785B" w:usb2="00000009" w:usb3="00000000" w:csb0="400001FF" w:csb1="FFFF0000"/>
  </w:font>
  <w:font w:name="Symbol">
    <w:panose1 w:val="05050102010706020507"/>
    <w:charset w:val="00"/>
    <w:family w:val="auto"/>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CAF10AA"/>
    <w:multiLevelType w:val="multilevel"/>
    <w:tmpl w:val="4CAF10AA"/>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JjNTE2ZmE2NWNhMGFiNzE1Y2VkNjM3MGFkYzJlMTYifQ=="/>
  </w:docVars>
  <w:rsids>
    <w:rsidRoot w:val="120A3AF8"/>
    <w:rsid w:val="120A3A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toc 1"/>
    <w:basedOn w:val="1"/>
    <w:next w:val="1"/>
    <w:uiPriority w:val="0"/>
  </w:style>
  <w:style w:type="paragraph" w:styleId="4">
    <w:name w:val="toc 2"/>
    <w:basedOn w:val="1"/>
    <w:next w:val="1"/>
    <w:uiPriority w:val="0"/>
    <w:pPr>
      <w:ind w:left="420" w:leftChars="200"/>
    </w:pPr>
  </w:style>
  <w:style w:type="character" w:styleId="7">
    <w:name w:val="Strong"/>
    <w:basedOn w:val="6"/>
    <w:qFormat/>
    <w:uiPriority w:val="0"/>
    <w:rPr>
      <w:b/>
    </w:rPr>
  </w:style>
  <w:style w:type="character" w:styleId="8">
    <w:name w:val="Hyperlink"/>
    <w:basedOn w:val="6"/>
    <w:uiPriority w:val="0"/>
    <w:rPr>
      <w:color w:val="0000FF"/>
      <w:u w:val="single"/>
    </w:rPr>
  </w:style>
  <w:style w:type="paragraph" w:styleId="9">
    <w:name w:val="List Paragraph"/>
    <w:basedOn w:val="1"/>
    <w:qFormat/>
    <w:uiPriority w:val="34"/>
    <w:pPr>
      <w:ind w:left="720"/>
      <w:contextualSpacing/>
    </w:pPr>
  </w:style>
  <w:style w:type="paragraph" w:styleId="1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11">
    <w:name w:val="WPSOffice手动目录 1"/>
    <w:uiPriority w:val="0"/>
    <w:pPr>
      <w:ind w:leftChars="0"/>
    </w:pPr>
    <w:rPr>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category>Module Handbook: BMBM6021 International Business Communication </cp:category>
  <dcterms:created xsi:type="dcterms:W3CDTF">2023-11-30T20:32:00Z</dcterms:created>
  <dc:creator>Yaotao Zhang 2307177</dc:creator>
  <cp:lastModifiedBy>Jeremy harwood</cp:lastModifiedBy>
  <dcterms:modified xsi:type="dcterms:W3CDTF">2023-12-01T08:05:08Z</dcterms:modified>
  <dc:subject>Fashion Company</dc:subject>
  <dc:title>Cultural Difference Research</dc:title>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482006F72193478E8E0D356FB16D49B4_11</vt:lpwstr>
  </property>
</Properties>
</file>