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404CDF" w14:textId="77777777" w:rsidR="002F1E1C" w:rsidRPr="002F1E1C" w:rsidRDefault="002F1E1C" w:rsidP="002F1E1C">
      <w:pPr>
        <w:rPr>
          <w:b/>
          <w:bCs/>
        </w:rPr>
      </w:pPr>
      <w:r w:rsidRPr="002F1E1C">
        <w:rPr>
          <w:b/>
          <w:bCs/>
        </w:rPr>
        <w:t>Comparison and Contrast of the Four Branches of the Mabinogi and the Táin Bó Cúailnge</w:t>
      </w:r>
    </w:p>
    <w:p w14:paraId="7BD1FDD8" w14:textId="6B23C627" w:rsidR="002F1E1C" w:rsidRPr="002F1E1C" w:rsidRDefault="002F1E1C" w:rsidP="002F1E1C">
      <w:r w:rsidRPr="002F1E1C">
        <w:t>The Four Branches of the Mabinogi and the Táin Bó Cúailnge (The Cattle Raid of Cooley) are two foundational texts in the Celtic literary tradition, representing the mythological and heroic sagas of Wales and Ireland, respectively. Though both narratives engage with themes of warfare, heroism, fate, and societal upheaval, their approaches to these subjects reflect the distinct cultural, historical, and philosophical perspectives</w:t>
      </w:r>
      <w:r w:rsidR="00FC107A" w:rsidRPr="00F232CB">
        <w:t xml:space="preserve"> within</w:t>
      </w:r>
      <w:r w:rsidRPr="002F1E1C">
        <w:t xml:space="preserve"> the societies from which they emerged. The Mabinogi, a Welsh mythological collection, tends to intertwine the supernatural with the human experience of war, presenting a more fatalistic and metaphysical approach</w:t>
      </w:r>
      <w:r w:rsidR="00F21C05" w:rsidRPr="00F232CB">
        <w:t>, though the work in its entirety is not necessarily based on warfare.</w:t>
      </w:r>
      <w:r w:rsidRPr="002F1E1C">
        <w:t xml:space="preserve"> In contrast, the Táin, rooted in the heroic tradition of Irish literature, presents warfare as a violent and tangible contest shaped by </w:t>
      </w:r>
      <w:r w:rsidR="00FC107A" w:rsidRPr="00F232CB">
        <w:t xml:space="preserve">the actions of individuals </w:t>
      </w:r>
      <w:r w:rsidRPr="002F1E1C">
        <w:t>and</w:t>
      </w:r>
      <w:r w:rsidR="00FC107A" w:rsidRPr="00F232CB">
        <w:t xml:space="preserve"> their</w:t>
      </w:r>
      <w:r w:rsidRPr="002F1E1C">
        <w:t xml:space="preserve"> personal </w:t>
      </w:r>
      <w:r w:rsidRPr="00F232CB">
        <w:t>honour</w:t>
      </w:r>
      <w:r w:rsidRPr="002F1E1C">
        <w:t>. This essay will explore the thematic and stylistic differences between the two works, considering how the social, political, and spiritual context of their creation might have influenced these disparities.</w:t>
      </w:r>
    </w:p>
    <w:p w14:paraId="40FF0E33" w14:textId="00F8A881" w:rsidR="002F1E1C" w:rsidRPr="002F1E1C" w:rsidRDefault="002F1E1C" w:rsidP="002F1E1C">
      <w:pPr>
        <w:rPr>
          <w:b/>
          <w:bCs/>
        </w:rPr>
      </w:pPr>
      <w:r w:rsidRPr="002F1E1C">
        <w:t xml:space="preserve">Warfare in the Mabinogi is not portrayed simply as a series of battles or heroic exploits but </w:t>
      </w:r>
      <w:r w:rsidRPr="00F232CB">
        <w:t>as</w:t>
      </w:r>
      <w:r w:rsidRPr="002F1E1C">
        <w:t xml:space="preserve"> a multi-dimensional force, entwined with personal grievances, mystical elements, and divine prophecies. The Second Branch (Branwen), for example, depicts the conflict between Britain and Ireland, instigated by the mistreatment of Branwen, the sister of King Bran.</w:t>
      </w:r>
      <w:r w:rsidR="001353A8">
        <w:rPr>
          <w:rStyle w:val="FootnoteReference"/>
        </w:rPr>
        <w:footnoteReference w:id="1"/>
      </w:r>
      <w:r w:rsidRPr="002F1E1C">
        <w:t xml:space="preserve"> This personal slight escalates into a full-scale war, the conflict is framed by prophetic visions that foreshadow inevitable doom</w:t>
      </w:r>
      <w:r w:rsidR="00903B55" w:rsidRPr="00F232CB">
        <w:t xml:space="preserve">, ensuring readers understand the basis of which to be less than merely </w:t>
      </w:r>
      <w:r w:rsidR="00957E1B" w:rsidRPr="00F232CB">
        <w:t>political</w:t>
      </w:r>
      <w:r w:rsidRPr="002F1E1C">
        <w:t>. Bran’s death, predicted by the prophecy, is a pivotal moment, reinforcing the deterministic nature of the narrative.</w:t>
      </w:r>
      <w:r w:rsidR="001353A8">
        <w:rPr>
          <w:rStyle w:val="FootnoteReference"/>
        </w:rPr>
        <w:footnoteReference w:id="2"/>
      </w:r>
      <w:r w:rsidRPr="002F1E1C">
        <w:t xml:space="preserve"> </w:t>
      </w:r>
      <w:r w:rsidR="00903B55" w:rsidRPr="00F232CB">
        <w:t xml:space="preserve">Fate and divine intervention </w:t>
      </w:r>
      <w:r w:rsidR="00957E1B" w:rsidRPr="00F232CB">
        <w:t>take</w:t>
      </w:r>
      <w:r w:rsidR="00903B55" w:rsidRPr="00F232CB">
        <w:t xml:space="preserve"> a central role to the narrative, expressing, though not directly that human interaction may be a secondary force, or even beyond mortal control. </w:t>
      </w:r>
      <w:r w:rsidRPr="002F1E1C">
        <w:t>Th</w:t>
      </w:r>
      <w:r w:rsidR="00903B55" w:rsidRPr="00F232CB">
        <w:t>is can be seen with the</w:t>
      </w:r>
      <w:r w:rsidRPr="002F1E1C">
        <w:t xml:space="preserve"> prophecy regarding Bran’s death</w:t>
      </w:r>
      <w:r w:rsidR="00903B55" w:rsidRPr="00F232CB">
        <w:t>, which</w:t>
      </w:r>
      <w:r w:rsidRPr="002F1E1C">
        <w:t xml:space="preserve"> illustrates the way warfare in the Mabinogi operates within a framework of inevitability, highlighting the complex interaction between human desires and larger </w:t>
      </w:r>
      <w:r w:rsidR="002144CD" w:rsidRPr="00F232CB">
        <w:t>otherworldly</w:t>
      </w:r>
      <w:r w:rsidRPr="002F1E1C">
        <w:t xml:space="preserve"> forces.</w:t>
      </w:r>
      <w:r w:rsidR="00957E1B" w:rsidRPr="00F232CB">
        <w:rPr>
          <w:b/>
          <w:bCs/>
        </w:rPr>
        <w:t xml:space="preserve"> </w:t>
      </w:r>
    </w:p>
    <w:p w14:paraId="14D67ACE" w14:textId="0D090C2C" w:rsidR="00A42D4F" w:rsidRPr="00F232CB" w:rsidRDefault="002F1E1C" w:rsidP="002F1E1C">
      <w:r w:rsidRPr="002F1E1C">
        <w:t>Furthermore, warfare in the Mabinogi often reflects not only human conflict but the disruption of the natural and supernatural realms</w:t>
      </w:r>
      <w:r w:rsidR="00A42D4F" w:rsidRPr="00F232CB">
        <w:t>, the theme of which maintains an intertwined state</w:t>
      </w:r>
      <w:r w:rsidRPr="002F1E1C">
        <w:t xml:space="preserve">. </w:t>
      </w:r>
      <w:r w:rsidR="00A42D4F" w:rsidRPr="00F232CB">
        <w:t>This can be seen by a curse i</w:t>
      </w:r>
      <w:r w:rsidRPr="002F1E1C">
        <w:t>n the Third Branch (Manawy</w:t>
      </w:r>
      <w:r w:rsidR="00BE4691">
        <w:t>d</w:t>
      </w:r>
      <w:r w:rsidRPr="002F1E1C">
        <w:t xml:space="preserve">dan), </w:t>
      </w:r>
      <w:r w:rsidR="00A42D4F" w:rsidRPr="00F232CB">
        <w:t xml:space="preserve">where, </w:t>
      </w:r>
      <w:r w:rsidRPr="002F1E1C">
        <w:t xml:space="preserve">for example, the desolation of a kingdom is brought about not by conventional warfare but through </w:t>
      </w:r>
      <w:r w:rsidR="00BE4691" w:rsidRPr="00BE4691">
        <w:t>the machinations of a magician, Llwyd,</w:t>
      </w:r>
      <w:r w:rsidRPr="002F1E1C">
        <w:t xml:space="preserve"> suggesting that the consequences </w:t>
      </w:r>
      <w:r w:rsidRPr="002F1E1C">
        <w:lastRenderedPageBreak/>
        <w:t xml:space="preserve">of conflict are not always bound to the physical world. This metaphysical dimension of war in the Mabinogi underscores the belief that the consequences of violence can reverberate across different planes of existence, affecting both the mortal and divine realms. </w:t>
      </w:r>
    </w:p>
    <w:p w14:paraId="6A4470AD" w14:textId="7278CE3A" w:rsidR="002F1E1C" w:rsidRPr="002F1E1C" w:rsidRDefault="002F1E1C" w:rsidP="002F1E1C">
      <w:pPr>
        <w:rPr>
          <w:b/>
          <w:bCs/>
        </w:rPr>
      </w:pPr>
      <w:r w:rsidRPr="002F1E1C">
        <w:t xml:space="preserve">In stark contrast, the Táin </w:t>
      </w:r>
      <w:r w:rsidRPr="00F232CB">
        <w:t>centres</w:t>
      </w:r>
      <w:r w:rsidRPr="002F1E1C">
        <w:t xml:space="preserve"> on more traditional, human-driven warfare,</w:t>
      </w:r>
      <w:r w:rsidRPr="002F1E1C">
        <w:rPr>
          <w:b/>
          <w:bCs/>
        </w:rPr>
        <w:t xml:space="preserve"> </w:t>
      </w:r>
      <w:r w:rsidRPr="002F1E1C">
        <w:t xml:space="preserve">where personal ambition, heroism, and martial prowess are paramount. The conflict in the Táin is sparked by Queen Medb’s desire to steal the Brown Bull of Cooley, an object of great wealth and prestige. The ensuing battle between Ulster and Connacht is primarily a war of pride and materialism, driven by individual motives rather than prophecies or divine will. The Táin </w:t>
      </w:r>
      <w:r w:rsidR="00A42D4F" w:rsidRPr="00F232CB">
        <w:t xml:space="preserve">serves as a testament to the actions of individuals, </w:t>
      </w:r>
      <w:r w:rsidRPr="002F1E1C">
        <w:t>where the motivations of characters</w:t>
      </w:r>
      <w:r w:rsidR="00A42D4F" w:rsidRPr="00F232CB">
        <w:t xml:space="preserve"> such as</w:t>
      </w:r>
      <w:r w:rsidRPr="002F1E1C">
        <w:t xml:space="preserve"> Medb’ </w:t>
      </w:r>
      <w:r w:rsidR="00A42D4F" w:rsidRPr="00F232CB">
        <w:t xml:space="preserve">and </w:t>
      </w:r>
      <w:r w:rsidR="00A42D4F" w:rsidRPr="002F1E1C">
        <w:t>Cú Chulainn</w:t>
      </w:r>
      <w:r w:rsidR="00A42D4F" w:rsidRPr="00F232CB">
        <w:t xml:space="preserve">, </w:t>
      </w:r>
      <w:r w:rsidR="00A42D4F" w:rsidRPr="002F1E1C">
        <w:t>shape the course of events</w:t>
      </w:r>
      <w:r w:rsidR="00A42D4F" w:rsidRPr="00F232CB">
        <w:t xml:space="preserve"> through</w:t>
      </w:r>
      <w:r w:rsidR="00A42D4F" w:rsidRPr="002F1E1C">
        <w:t xml:space="preserve"> </w:t>
      </w:r>
      <w:r w:rsidRPr="002F1E1C">
        <w:t xml:space="preserve">ambition and </w:t>
      </w:r>
      <w:r w:rsidR="00A42D4F" w:rsidRPr="00F232CB">
        <w:t>active defence, respectively.</w:t>
      </w:r>
      <w:r w:rsidRPr="002F1E1C">
        <w:t xml:space="preserve"> The Táin presents war as an immediate, human-</w:t>
      </w:r>
      <w:r w:rsidRPr="00F232CB">
        <w:t>centred</w:t>
      </w:r>
      <w:r w:rsidRPr="002F1E1C">
        <w:t xml:space="preserve"> contest, where success or failure is determined by the individual’s skill, </w:t>
      </w:r>
      <w:r w:rsidRPr="00F232CB">
        <w:t>valour</w:t>
      </w:r>
      <w:r w:rsidRPr="002F1E1C">
        <w:t xml:space="preserve">, and strategic </w:t>
      </w:r>
      <w:r w:rsidR="00A42D4F" w:rsidRPr="00F232CB">
        <w:t>prowess</w:t>
      </w:r>
      <w:r w:rsidRPr="002F1E1C">
        <w:t>.</w:t>
      </w:r>
      <w:r w:rsidR="00BE4691">
        <w:t xml:space="preserve"> The underlying motive behind this </w:t>
      </w:r>
      <w:r w:rsidR="00753456">
        <w:t>contest is heavily implied to be pride.</w:t>
      </w:r>
      <w:r w:rsidR="001353A8">
        <w:rPr>
          <w:rStyle w:val="FootnoteReference"/>
        </w:rPr>
        <w:footnoteReference w:id="3"/>
      </w:r>
    </w:p>
    <w:p w14:paraId="5EA3916F" w14:textId="2EB167B1" w:rsidR="002F1E1C" w:rsidRPr="002F1E1C" w:rsidRDefault="002F1E1C" w:rsidP="002F1E1C">
      <w:pPr>
        <w:rPr>
          <w:b/>
          <w:bCs/>
        </w:rPr>
      </w:pPr>
      <w:r w:rsidRPr="002F1E1C">
        <w:t>While the Táin does incorporate some supernatural elements, such as Cú Chulainn’s semi-divine status and his extraordinary feats on the battlefield, these elements serve more to enhance the hero’s reputation rather than drive the plot. The Táin is concerned with the physical and emotional consequences of war</w:t>
      </w:r>
      <w:r w:rsidR="00A42D4F" w:rsidRPr="00F232CB">
        <w:t xml:space="preserve"> and </w:t>
      </w:r>
      <w:r w:rsidRPr="002F1E1C">
        <w:t xml:space="preserve">its brutal, tangible impact on the body and the psyche. </w:t>
      </w:r>
      <w:r w:rsidR="00924FB3">
        <w:t>It</w:t>
      </w:r>
      <w:r w:rsidRPr="002F1E1C">
        <w:t xml:space="preserve"> </w:t>
      </w:r>
      <w:r w:rsidR="00A42D4F" w:rsidRPr="00F232CB">
        <w:t>specifically emphasises the effects of war, where it aims at presenting conflict as mutually destructive for both victors and vanquished.</w:t>
      </w:r>
      <w:r w:rsidRPr="002F1E1C">
        <w:t xml:space="preserve"> The Táin focuses on the immediate, personal consequences of war, where glory is achieved through personal sacrifice and the brutal realities of battle.</w:t>
      </w:r>
    </w:p>
    <w:p w14:paraId="560E475C" w14:textId="7CD4711B" w:rsidR="00C73D57" w:rsidRPr="00C04580" w:rsidRDefault="002F1E1C" w:rsidP="002F1E1C">
      <w:pPr>
        <w:rPr>
          <w:color w:val="000000" w:themeColor="text1"/>
        </w:rPr>
      </w:pPr>
      <w:r w:rsidRPr="002F1E1C">
        <w:t>In the Mabinogi, prophecy and fate play central roles in shaping the narrative and determining the outcomes of conflicts</w:t>
      </w:r>
      <w:r w:rsidR="00753456">
        <w:t>, whilst having a dual purpose of directing or warning their chosen audience.</w:t>
      </w:r>
      <w:r w:rsidRPr="002F1E1C">
        <w:t xml:space="preserve"> The text portrays a world where individuals are often caught in the web of fate, unable to escape their predestined roles.</w:t>
      </w:r>
      <w:r w:rsidR="001353A8">
        <w:rPr>
          <w:rStyle w:val="FootnoteReference"/>
        </w:rPr>
        <w:footnoteReference w:id="4"/>
      </w:r>
      <w:r w:rsidRPr="002F1E1C">
        <w:t xml:space="preserve"> Bran’s inevitable death, foretold by prophecy in Branwen, encapsulates this theme</w:t>
      </w:r>
      <w:r w:rsidR="00C04580" w:rsidRPr="00C04580">
        <w:t xml:space="preserve">, within the </w:t>
      </w:r>
      <w:r w:rsidR="00C04580" w:rsidRPr="00C04580">
        <w:rPr>
          <w:color w:val="000000" w:themeColor="text1"/>
        </w:rPr>
        <w:t>following:</w:t>
      </w:r>
    </w:p>
    <w:p w14:paraId="5BDA7D58" w14:textId="7BA484D0" w:rsidR="00C04580" w:rsidRDefault="00C04580" w:rsidP="002F1E1C">
      <w:pPr>
        <w:rPr>
          <w:i/>
          <w:iCs/>
          <w:color w:val="000000" w:themeColor="text1"/>
        </w:rPr>
      </w:pPr>
      <w:r w:rsidRPr="00FD1439">
        <w:rPr>
          <w:i/>
          <w:iCs/>
          <w:color w:val="000000" w:themeColor="text1"/>
        </w:rPr>
        <w:t xml:space="preserve">And I cannot be slain within a house, nor without. I cannot be slain on horseback nor on foot.” “Verily,” said she, “in what manner then canst thou be slain?” “I will tell thee,” said he. “By making a bath for me by the side of a river, and by putting a roof over the cauldron, and thatching it well and tightly, and bringing a buck, and putting it beside the cauldron. Then if I place one foot on the buck’s back, and the other on the edge of the </w:t>
      </w:r>
      <w:r w:rsidRPr="00FD1439">
        <w:rPr>
          <w:i/>
          <w:iCs/>
          <w:color w:val="000000" w:themeColor="text1"/>
        </w:rPr>
        <w:lastRenderedPageBreak/>
        <w:t>cauldron, whosoever strikes me thus will cause my death.” “Well,” said she, “I thank Heaven that it will be easy to avoid this.</w:t>
      </w:r>
      <w:r w:rsidR="001353A8">
        <w:rPr>
          <w:rStyle w:val="FootnoteReference"/>
          <w:i/>
          <w:iCs/>
          <w:color w:val="000000" w:themeColor="text1"/>
        </w:rPr>
        <w:footnoteReference w:id="5"/>
      </w:r>
    </w:p>
    <w:p w14:paraId="0AD91AC0" w14:textId="77777777" w:rsidR="00C73D57" w:rsidRPr="00C73D57" w:rsidRDefault="00C73D57" w:rsidP="002F1E1C">
      <w:pPr>
        <w:rPr>
          <w:i/>
          <w:iCs/>
          <w:color w:val="000000" w:themeColor="text1"/>
        </w:rPr>
      </w:pPr>
    </w:p>
    <w:p w14:paraId="1093E56E" w14:textId="1CEA6752" w:rsidR="002F1E1C" w:rsidRPr="002F1E1C" w:rsidRDefault="002F1E1C" w:rsidP="002F1E1C">
      <w:r w:rsidRPr="002F1E1C">
        <w:t xml:space="preserve"> The prophecy is not a mere prediction but a powerful force that guides the actions of the characters. The Mabinogi </w:t>
      </w:r>
      <w:r w:rsidR="00F21C05" w:rsidRPr="00F232CB">
        <w:t>provides indication that</w:t>
      </w:r>
      <w:r w:rsidRPr="002F1E1C">
        <w:t xml:space="preserve"> </w:t>
      </w:r>
      <w:r w:rsidR="00F232CB">
        <w:t xml:space="preserve">an </w:t>
      </w:r>
      <w:r w:rsidR="00C5091B" w:rsidRPr="00F232CB">
        <w:t>individual’s actions are secondary</w:t>
      </w:r>
      <w:r w:rsidRPr="002F1E1C">
        <w:t xml:space="preserve"> to </w:t>
      </w:r>
      <w:r w:rsidR="00F21C05" w:rsidRPr="00F232CB">
        <w:t>the otherworldly forces seemingly controlling their fate</w:t>
      </w:r>
      <w:r w:rsidRPr="002F1E1C">
        <w:t xml:space="preserve">, making individual actions seem </w:t>
      </w:r>
      <w:r w:rsidR="00C5091B" w:rsidRPr="00F232CB">
        <w:t>futile</w:t>
      </w:r>
      <w:r w:rsidR="00753456">
        <w:t xml:space="preserve">. While the characters seemingly can act within their own decisions, their ultimate </w:t>
      </w:r>
      <w:r w:rsidR="00FD796E">
        <w:t>destiny is pre</w:t>
      </w:r>
      <w:r w:rsidR="00B463B4">
        <w:t>-</w:t>
      </w:r>
      <w:r w:rsidR="00FD796E">
        <w:t>decided</w:t>
      </w:r>
      <w:r w:rsidR="00C5091B" w:rsidRPr="00F232CB">
        <w:t>.</w:t>
      </w:r>
      <w:r w:rsidRPr="002F1E1C">
        <w:t xml:space="preserve"> This deterministic view of fate implies that the tragic consequences of war, such as the destruction of Bran’s kingdom, are inescapable, regardless of the characters’ efforts.</w:t>
      </w:r>
    </w:p>
    <w:p w14:paraId="14D55B1F" w14:textId="6FDD2443" w:rsidR="002F1E1C" w:rsidRPr="002F1E1C" w:rsidRDefault="00C5091B" w:rsidP="002F1E1C">
      <w:r w:rsidRPr="00F232CB">
        <w:t>Equally, i</w:t>
      </w:r>
      <w:r w:rsidR="002F1E1C" w:rsidRPr="002F1E1C">
        <w:t>n Manawyd</w:t>
      </w:r>
      <w:r w:rsidR="00BE4691">
        <w:t>d</w:t>
      </w:r>
      <w:r w:rsidR="002F1E1C" w:rsidRPr="002F1E1C">
        <w:t xml:space="preserve">an, the destruction of the kingdom is not the result of a traditional military conflict but is brought about through magical means, reinforcing the idea that fate and supernatural forces shape the outcomes of human </w:t>
      </w:r>
      <w:r w:rsidR="002F1E1C" w:rsidRPr="00F232CB">
        <w:t>endeavours</w:t>
      </w:r>
      <w:r w:rsidR="002F1E1C" w:rsidRPr="002F1E1C">
        <w:t xml:space="preserve">. The Mabinogi suggests that warfare, in its most profound sense, </w:t>
      </w:r>
      <w:r w:rsidR="002F1E1C" w:rsidRPr="00F232CB">
        <w:t>reflects</w:t>
      </w:r>
      <w:r w:rsidR="002F1E1C" w:rsidRPr="002F1E1C">
        <w:t xml:space="preserve"> cosmic order, and human actions are often seen as powerless in the face of predetermined events. Prophecies in the Mabinogi are often tied to the broader structure of the universe, indicating that war is not just a human affair but an element of a greater cosmic drama.</w:t>
      </w:r>
      <w:r w:rsidR="001353A8">
        <w:rPr>
          <w:rStyle w:val="FootnoteReference"/>
        </w:rPr>
        <w:footnoteReference w:id="6"/>
      </w:r>
    </w:p>
    <w:p w14:paraId="43D55F64" w14:textId="51A75E51" w:rsidR="002F1E1C" w:rsidRPr="002F1E1C" w:rsidRDefault="002F1E1C" w:rsidP="002F1E1C">
      <w:pPr>
        <w:rPr>
          <w:b/>
          <w:bCs/>
        </w:rPr>
      </w:pPr>
      <w:r w:rsidRPr="002F1E1C">
        <w:t>In contrast, while prophecy and fate play a role in the Táin, the epic places a much greater emphasis on personal responsibility. The characters in the Táin shape their own destinies through their choices, actions, and abilities.</w:t>
      </w:r>
      <w:r w:rsidR="00FD796E">
        <w:t xml:space="preserve"> While their fate is still predetermined, there is greater emphasis on the freedom of control over their circumstances in comparison to the Mabinogi. </w:t>
      </w:r>
      <w:r w:rsidRPr="002F1E1C">
        <w:t>Cú Chulainn, the central hero of the Táin, embodies this principle</w:t>
      </w:r>
      <w:r w:rsidR="00420E31" w:rsidRPr="00F232CB">
        <w:t>. H</w:t>
      </w:r>
      <w:r w:rsidRPr="002F1E1C">
        <w:t>is actions and decisions are decisive in repelling the Connacht forces, and while his death is foretold, it is his heroic deeds that define his legacy</w:t>
      </w:r>
      <w:r w:rsidR="00FC107A" w:rsidRPr="00F232CB">
        <w:rPr>
          <w:b/>
          <w:bCs/>
        </w:rPr>
        <w:t>.</w:t>
      </w:r>
      <w:r w:rsidRPr="002F1E1C">
        <w:rPr>
          <w:b/>
          <w:bCs/>
        </w:rPr>
        <w:t xml:space="preserve"> </w:t>
      </w:r>
      <w:r w:rsidR="00420E31" w:rsidRPr="00F232CB">
        <w:t xml:space="preserve">It is implied that </w:t>
      </w:r>
      <w:r w:rsidRPr="002F1E1C">
        <w:t xml:space="preserve">Cú Chulainn </w:t>
      </w:r>
      <w:r w:rsidR="00420E31" w:rsidRPr="00F232CB">
        <w:t>bound by</w:t>
      </w:r>
      <w:r w:rsidR="00D71002" w:rsidRPr="00F232CB">
        <w:t xml:space="preserve"> his</w:t>
      </w:r>
      <w:r w:rsidR="00420E31" w:rsidRPr="00F232CB">
        <w:t xml:space="preserve"> fate, rather</w:t>
      </w:r>
      <w:r w:rsidRPr="002F1E1C">
        <w:t xml:space="preserve"> he is </w:t>
      </w:r>
      <w:r w:rsidR="00420E31" w:rsidRPr="00F232CB">
        <w:t>in control of his own destiny</w:t>
      </w:r>
      <w:r w:rsidRPr="002F1E1C">
        <w:t xml:space="preserve">, using his </w:t>
      </w:r>
      <w:r w:rsidR="00420E31" w:rsidRPr="00F232CB">
        <w:t>abilities</w:t>
      </w:r>
      <w:r w:rsidRPr="002F1E1C">
        <w:t xml:space="preserve"> to influence the </w:t>
      </w:r>
      <w:r w:rsidR="00420E31" w:rsidRPr="00F232CB">
        <w:t>outcomes within the war itself</w:t>
      </w:r>
      <w:r w:rsidR="00FC107A" w:rsidRPr="00F232CB">
        <w:t xml:space="preserve">. </w:t>
      </w:r>
      <w:r w:rsidRPr="002F1E1C">
        <w:t xml:space="preserve">The Táin celebrates the ability of the individual to shape the course of events, even in the face of inevitable tragedy. The warriors in the Táin fight not because they are driven by fate, but because they choose to do so in </w:t>
      </w:r>
      <w:r w:rsidRPr="00F232CB">
        <w:t>defence</w:t>
      </w:r>
      <w:r w:rsidRPr="002F1E1C">
        <w:t xml:space="preserve"> of their </w:t>
      </w:r>
      <w:r w:rsidRPr="00F232CB">
        <w:t>honour</w:t>
      </w:r>
      <w:r w:rsidRPr="002F1E1C">
        <w:t xml:space="preserve"> and people</w:t>
      </w:r>
      <w:r w:rsidR="00D71002" w:rsidRPr="00F232CB">
        <w:t>. In contrast to this,</w:t>
      </w:r>
      <w:r w:rsidRPr="002F1E1C">
        <w:t xml:space="preserve"> the Mabinogi portrays war as being shaped by </w:t>
      </w:r>
      <w:r w:rsidR="00420E31" w:rsidRPr="00F232CB">
        <w:t>superior entities</w:t>
      </w:r>
      <w:r w:rsidRPr="002F1E1C">
        <w:t>,</w:t>
      </w:r>
      <w:r w:rsidR="00BE4691">
        <w:t xml:space="preserve"> whereas</w:t>
      </w:r>
      <w:r w:rsidRPr="002F1E1C">
        <w:t xml:space="preserve"> the Táin reflects a worldview in which human action is central. The warriors’ fates are not sealed by prophecy, but their choices and deeds are what ultimately determine their successes and failures. This difference in emphasis</w:t>
      </w:r>
      <w:r w:rsidR="00420E31" w:rsidRPr="00F232CB">
        <w:t xml:space="preserve">, </w:t>
      </w:r>
      <w:r w:rsidRPr="002F1E1C">
        <w:t>human agency versus fatalism</w:t>
      </w:r>
      <w:r w:rsidR="00420E31" w:rsidRPr="00F232CB">
        <w:t xml:space="preserve">, </w:t>
      </w:r>
      <w:r w:rsidRPr="002F1E1C">
        <w:t>reflects the contrasting philosophical perspectives of Welsh and Irish traditions.</w:t>
      </w:r>
      <w:r w:rsidR="001353A8">
        <w:rPr>
          <w:rStyle w:val="FootnoteReference"/>
        </w:rPr>
        <w:footnoteReference w:id="7"/>
      </w:r>
    </w:p>
    <w:p w14:paraId="4A73284B" w14:textId="61905909" w:rsidR="002F1E1C" w:rsidRPr="00F232CB" w:rsidRDefault="002F1E1C" w:rsidP="002F1E1C">
      <w:r w:rsidRPr="002F1E1C">
        <w:lastRenderedPageBreak/>
        <w:t>In the Mabinogi, heroism is often portrayed as tragic or futile, as the protagonists find themselves caught in the inexorable tide of fate. Bran’s heroism in Branwen is driven by a sense of duty to his sister, yet it leads to the downfall of his kingdom. The Mabinogi suggests that, while heroism is virtuous, it is ultimately powerless to prevent the larger forces of fate from taking their course.</w:t>
      </w:r>
      <w:r w:rsidR="001353A8">
        <w:rPr>
          <w:rStyle w:val="FootnoteReference"/>
        </w:rPr>
        <w:footnoteReference w:id="8"/>
      </w:r>
      <w:r w:rsidRPr="002F1E1C">
        <w:t xml:space="preserve"> Bran’s sacrifice is not celebrated in the same way as Cú Chulainn’s, but rather serves as a reminder of the futility of human efforts in the face of prophecy. In the Mabinogi</w:t>
      </w:r>
      <w:r w:rsidR="00D71002" w:rsidRPr="00F232CB">
        <w:t>, the feats are focused more on their honour and duty than to their success in battle. This exemplifies their traits as virtuous in spite of</w:t>
      </w:r>
      <w:r w:rsidRPr="002F1E1C">
        <w:t xml:space="preserve"> the consequences that await them</w:t>
      </w:r>
      <w:r w:rsidR="00D71002" w:rsidRPr="00F232CB">
        <w:t>.</w:t>
      </w:r>
    </w:p>
    <w:p w14:paraId="3EDD90ED" w14:textId="36107ABF" w:rsidR="002F1E1C" w:rsidRPr="002F1E1C" w:rsidRDefault="002F1E1C" w:rsidP="002F1E1C">
      <w:r w:rsidRPr="002F1E1C">
        <w:t>In the Mabinogi, heroism is often framed within the larger, fatalistic structure of the universe. The heroic deeds of Bran and Manawy</w:t>
      </w:r>
      <w:r w:rsidR="00BE4691">
        <w:t>d</w:t>
      </w:r>
      <w:r w:rsidRPr="002F1E1C">
        <w:t>dan are overshadowed by the larger forces at play</w:t>
      </w:r>
      <w:r w:rsidR="00D71002" w:rsidRPr="00F232CB">
        <w:t xml:space="preserve">, for example, </w:t>
      </w:r>
      <w:r w:rsidRPr="002F1E1C">
        <w:t>prophecy, fate, and supernatural intervention. This view of heroism as part of a larger cosmic order contrasts with the more individualistic approach found in the Táin.</w:t>
      </w:r>
      <w:r w:rsidR="001353A8">
        <w:rPr>
          <w:rStyle w:val="FootnoteReference"/>
        </w:rPr>
        <w:footnoteReference w:id="9"/>
      </w:r>
    </w:p>
    <w:p w14:paraId="1B2D8AB2" w14:textId="5ED842EC" w:rsidR="00B463B4" w:rsidRDefault="002F1E1C" w:rsidP="002F1E1C">
      <w:r w:rsidRPr="002F1E1C">
        <w:t>Heroism in the Táin, by contrast, is defined by personal agency and the ability to shape one’s own destiny through action. Cú Chulainn, the epic’s central hero, embodies the ideal of heroic individualism. His courage, strength, and martial skill allow him to single-handedly defend Ulster against the forces of Connacht. The Táin emphasizes the physical and personal aspects of heroism, presenting Cú Chulainn as a paragon of human ability</w:t>
      </w:r>
      <w:r w:rsidR="00FD796E">
        <w:t>, whilst also highlighting his abilities as semi-divine</w:t>
      </w:r>
      <w:r w:rsidR="00D71002" w:rsidRPr="00F232CB">
        <w:t>.</w:t>
      </w:r>
      <w:r w:rsidR="00FD796E">
        <w:t xml:space="preserve"> The latter gives</w:t>
      </w:r>
      <w:r w:rsidR="00B463B4">
        <w:t xml:space="preserve"> him further connection to the supernatural that elevates him.</w:t>
      </w:r>
      <w:r w:rsidR="001353A8">
        <w:rPr>
          <w:rStyle w:val="FootnoteReference"/>
        </w:rPr>
        <w:footnoteReference w:id="10"/>
      </w:r>
    </w:p>
    <w:p w14:paraId="05B785D1" w14:textId="6CCE0B79" w:rsidR="002F1E1C" w:rsidRPr="002F1E1C" w:rsidRDefault="002F1E1C" w:rsidP="002F1E1C">
      <w:r w:rsidRPr="002F1E1C">
        <w:t>Cú Chulainn’s heroism</w:t>
      </w:r>
      <w:r w:rsidR="00D71002" w:rsidRPr="00F232CB">
        <w:t xml:space="preserve"> is countered by the physical costs war has on his body</w:t>
      </w:r>
      <w:r w:rsidRPr="002F1E1C">
        <w:t xml:space="preserve">, </w:t>
      </w:r>
      <w:r w:rsidR="00D71002" w:rsidRPr="00F232CB">
        <w:t xml:space="preserve">where his death becomes a direct outcome of his commitment to his goals. </w:t>
      </w:r>
      <w:r w:rsidRPr="002F1E1C">
        <w:t xml:space="preserve">The Táin presents heroism not as a cosmic necessity but as a human </w:t>
      </w:r>
      <w:r w:rsidRPr="00F232CB">
        <w:t>endeavour</w:t>
      </w:r>
      <w:r w:rsidRPr="002F1E1C">
        <w:t xml:space="preserve"> </w:t>
      </w:r>
      <w:r w:rsidR="00D71002" w:rsidRPr="00F232CB">
        <w:t>that identifies the obstacles as both</w:t>
      </w:r>
      <w:r w:rsidRPr="002F1E1C">
        <w:t xml:space="preserve"> glorious and destructive.</w:t>
      </w:r>
      <w:r w:rsidR="001353A8">
        <w:rPr>
          <w:rStyle w:val="FootnoteReference"/>
        </w:rPr>
        <w:footnoteReference w:id="11"/>
      </w:r>
    </w:p>
    <w:p w14:paraId="14D0FF35" w14:textId="48B09223" w:rsidR="002F1E1C" w:rsidRPr="002F1E1C" w:rsidRDefault="002F1E1C" w:rsidP="002F1E1C">
      <w:r w:rsidRPr="002F1E1C">
        <w:t>In the Mabinogi, the impact of warfare extends far beyond the battlefield, affecting the very structure of society and the natural order. In Branwen, the war between Britain and Ireland results in the destruction of Bran’s kingdom, symbolizing the disintegration of social and political order. Bran’s death, foretold by prophecy, marks the end of an era, and the collapse of his realm signifies a larger cosmic disruption.</w:t>
      </w:r>
      <w:r w:rsidRPr="002F1E1C">
        <w:rPr>
          <w:b/>
          <w:bCs/>
        </w:rPr>
        <w:t xml:space="preserve"> </w:t>
      </w:r>
      <w:r w:rsidRPr="002F1E1C">
        <w:t xml:space="preserve">Warfare, in the Mabinogi, does not merely affect the individuals who engage in it but reverberates through society and </w:t>
      </w:r>
      <w:r w:rsidR="00A50F34" w:rsidRPr="00F232CB">
        <w:t xml:space="preserve">heavily implies impact within </w:t>
      </w:r>
      <w:r w:rsidRPr="002F1E1C">
        <w:t>the universe</w:t>
      </w:r>
      <w:r w:rsidR="00A50F34" w:rsidRPr="00F232CB">
        <w:t xml:space="preserve"> itself</w:t>
      </w:r>
      <w:r w:rsidRPr="002F1E1C">
        <w:t>.</w:t>
      </w:r>
    </w:p>
    <w:p w14:paraId="69302D86" w14:textId="2B4D9D7F" w:rsidR="002F1E1C" w:rsidRPr="002F1E1C" w:rsidRDefault="002F1E1C" w:rsidP="002F1E1C">
      <w:pPr>
        <w:rPr>
          <w:b/>
          <w:bCs/>
        </w:rPr>
      </w:pPr>
      <w:r w:rsidRPr="002F1E1C">
        <w:t>In the Táin, the impact of war on society is more immediate and physical. The epic focuses</w:t>
      </w:r>
      <w:r w:rsidR="00B463B4">
        <w:t xml:space="preserve"> more</w:t>
      </w:r>
      <w:r w:rsidRPr="002F1E1C">
        <w:t xml:space="preserve"> on the human and social consequences of battle</w:t>
      </w:r>
      <w:r w:rsidR="00A50F34" w:rsidRPr="00F232CB">
        <w:t xml:space="preserve">, in </w:t>
      </w:r>
      <w:r w:rsidRPr="002F1E1C">
        <w:t xml:space="preserve">the loss of life, the </w:t>
      </w:r>
      <w:r w:rsidRPr="002F1E1C">
        <w:lastRenderedPageBreak/>
        <w:t xml:space="preserve">destruction of </w:t>
      </w:r>
      <w:r w:rsidRPr="00F232CB">
        <w:t>honour</w:t>
      </w:r>
      <w:r w:rsidRPr="002F1E1C">
        <w:t xml:space="preserve">, and the emotional toll on the warriors and their people. While the Táin emphasizes the glory of war and the heroism of its protagonists, it also underscores the devastating consequences of conflict. The war between Ulster and Connacht leaves a lasting legacy of grief, loss, and disillusionment. The Táin portrays war as a </w:t>
      </w:r>
      <w:r w:rsidR="00A130E7" w:rsidRPr="00F232CB">
        <w:t>relentless endeavour</w:t>
      </w:r>
      <w:r w:rsidRPr="002F1E1C">
        <w:t xml:space="preserve">, </w:t>
      </w:r>
      <w:r w:rsidR="00A130E7" w:rsidRPr="00F232CB">
        <w:t>where battles are catalysts for further battles, war is a constant cycle.</w:t>
      </w:r>
      <w:r w:rsidR="00FC107A" w:rsidRPr="00F232CB">
        <w:t xml:space="preserve"> </w:t>
      </w:r>
      <w:r w:rsidRPr="002F1E1C">
        <w:t>The Táin highlights the social disintegration that results from warfare, where personal pride and material ambition lead to widespread destruction and the breakdown of societal bonds.</w:t>
      </w:r>
      <w:r w:rsidR="001353A8">
        <w:rPr>
          <w:rStyle w:val="FootnoteReference"/>
        </w:rPr>
        <w:footnoteReference w:id="12"/>
      </w:r>
    </w:p>
    <w:p w14:paraId="7DA96346" w14:textId="1F774E54" w:rsidR="006065BC" w:rsidRDefault="002F1E1C" w:rsidP="002F1E1C">
      <w:r w:rsidRPr="002F1E1C">
        <w:t>The Four Branches of the Mabinogi and the Táin Bó Cúailnge represent two distinct approaches to the depiction of warfare in ancient Celtic literature. The Mabinogi presents war as a cosmic force, intertwined with prophecy, fate, and supernatural intervention</w:t>
      </w:r>
      <w:r w:rsidR="00F232CB">
        <w:t>;</w:t>
      </w:r>
      <w:r w:rsidRPr="002F1E1C">
        <w:t xml:space="preserve"> while the Táin emphasizes human agency, personal heroism, and the immediate, physical consequences of conflict. These differences reflect the unique cultural and philosophical perspectives of the Welsh and Irish societies that produced these texts. The Mabinogi emphasizes the fragility of human agency in the face of fate and divine will, while the Táin celebrates the </w:t>
      </w:r>
      <w:r w:rsidRPr="00F232CB">
        <w:t>valour</w:t>
      </w:r>
      <w:r w:rsidRPr="002F1E1C">
        <w:t xml:space="preserve"> of individuals who, despite the cost, actively shape their own destinies. Both epics, however, underscore the pervasive and far-reaching impact of war on both the individual and society, providing valuable insights into the ancient Celtic worldview and the complexities of war, </w:t>
      </w:r>
      <w:r w:rsidRPr="00F232CB">
        <w:t>honour</w:t>
      </w:r>
      <w:r w:rsidRPr="002F1E1C">
        <w:t>, and heroism.</w:t>
      </w:r>
    </w:p>
    <w:p w14:paraId="287C8A80" w14:textId="77777777" w:rsidR="003D35AB" w:rsidRDefault="003D35AB" w:rsidP="002F1E1C"/>
    <w:p w14:paraId="66863512" w14:textId="77777777" w:rsidR="003D35AB" w:rsidRDefault="003D35AB" w:rsidP="002F1E1C"/>
    <w:p w14:paraId="625F61FD" w14:textId="77777777" w:rsidR="003D35AB" w:rsidRDefault="003D35AB" w:rsidP="002F1E1C"/>
    <w:p w14:paraId="0F0EF4C4" w14:textId="77777777" w:rsidR="003D35AB" w:rsidRDefault="003D35AB" w:rsidP="002F1E1C"/>
    <w:p w14:paraId="22224410" w14:textId="77777777" w:rsidR="003D35AB" w:rsidRDefault="003D35AB" w:rsidP="002F1E1C"/>
    <w:p w14:paraId="03093A30" w14:textId="77777777" w:rsidR="003D35AB" w:rsidRDefault="003D35AB" w:rsidP="002F1E1C"/>
    <w:p w14:paraId="5C8BE99B" w14:textId="77777777" w:rsidR="003D35AB" w:rsidRDefault="003D35AB" w:rsidP="002F1E1C"/>
    <w:p w14:paraId="1E04B87B" w14:textId="77777777" w:rsidR="003D35AB" w:rsidRDefault="003D35AB" w:rsidP="002F1E1C"/>
    <w:p w14:paraId="69EF4915" w14:textId="77777777" w:rsidR="003D35AB" w:rsidRDefault="003D35AB" w:rsidP="002F1E1C"/>
    <w:p w14:paraId="1EF4E598" w14:textId="77777777" w:rsidR="003D35AB" w:rsidRDefault="003D35AB" w:rsidP="002F1E1C"/>
    <w:p w14:paraId="317F9D56" w14:textId="77777777" w:rsidR="003D35AB" w:rsidRDefault="003D35AB" w:rsidP="002F1E1C"/>
    <w:p w14:paraId="6DDE3147" w14:textId="77777777" w:rsidR="003D35AB" w:rsidRDefault="003D35AB" w:rsidP="002F1E1C"/>
    <w:p w14:paraId="4FD96CC3" w14:textId="78412989" w:rsidR="003D35AB" w:rsidRDefault="003D35AB" w:rsidP="002F1E1C">
      <w:r>
        <w:lastRenderedPageBreak/>
        <w:t>Bibliography:</w:t>
      </w:r>
    </w:p>
    <w:p w14:paraId="2FA8CC3C" w14:textId="77777777" w:rsidR="005A407F" w:rsidRDefault="005A407F" w:rsidP="005A407F">
      <w:r w:rsidRPr="005A407F">
        <w:t xml:space="preserve">Anon, </w:t>
      </w:r>
      <w:r w:rsidRPr="005A407F">
        <w:rPr>
          <w:i/>
          <w:iCs/>
        </w:rPr>
        <w:t>'The Four Branches of the Mabinogi'</w:t>
      </w:r>
      <w:r>
        <w:rPr>
          <w:i/>
          <w:iCs/>
        </w:rPr>
        <w:t xml:space="preserve"> </w:t>
      </w:r>
      <w:r w:rsidRPr="005A407F">
        <w:rPr>
          <w:i/>
          <w:iCs/>
        </w:rPr>
        <w:t>A Medieval Celtic Text</w:t>
      </w:r>
      <w:r>
        <w:rPr>
          <w:i/>
          <w:iCs/>
        </w:rPr>
        <w:t>, &lt;</w:t>
      </w:r>
      <w:r w:rsidRPr="005A407F">
        <w:t>https://www.mabinogi.net/bibliog_essay.htm#_edn24</w:t>
      </w:r>
      <w:r>
        <w:t>&gt; [</w:t>
      </w:r>
      <w:r w:rsidRPr="004A3030">
        <w:t>Accessed 9 March 2025</w:t>
      </w:r>
      <w:r>
        <w:t>]</w:t>
      </w:r>
    </w:p>
    <w:p w14:paraId="4BC22703" w14:textId="5AD658CD" w:rsidR="003D35AB" w:rsidRDefault="005A407F" w:rsidP="002F1E1C">
      <w:r>
        <w:t xml:space="preserve">Dunn, </w:t>
      </w:r>
      <w:r w:rsidR="003D35AB">
        <w:t xml:space="preserve">Joseph, </w:t>
      </w:r>
      <w:r w:rsidR="003D35AB" w:rsidRPr="003D35AB">
        <w:rPr>
          <w:i/>
          <w:iCs/>
        </w:rPr>
        <w:t>The Ancient Irish Epic Tale Táin Bó Cúalnge</w:t>
      </w:r>
      <w:r w:rsidR="003D35AB">
        <w:t>, (Project Gutenberg, August 2005) &lt;</w:t>
      </w:r>
      <w:r w:rsidR="003D35AB" w:rsidRPr="003D35AB">
        <w:t>https://www.gutenberg.org/files/16464/16464-h/16464-h.htm</w:t>
      </w:r>
      <w:r w:rsidR="003D35AB">
        <w:t>&gt; [</w:t>
      </w:r>
      <w:r w:rsidR="003D35AB" w:rsidRPr="004A3030">
        <w:t>Accessed 9 March 2025</w:t>
      </w:r>
      <w:r w:rsidR="003D35AB">
        <w:t>]</w:t>
      </w:r>
    </w:p>
    <w:p w14:paraId="0CA7ABEA" w14:textId="7CAC056F" w:rsidR="003D35AB" w:rsidRDefault="005A407F" w:rsidP="002F1E1C">
      <w:r>
        <w:t xml:space="preserve">Guest, </w:t>
      </w:r>
      <w:r w:rsidR="003D35AB">
        <w:t>Charlotte</w:t>
      </w:r>
      <w:r>
        <w:t>,</w:t>
      </w:r>
      <w:r w:rsidR="003D35AB">
        <w:t xml:space="preserve"> </w:t>
      </w:r>
      <w:r w:rsidR="003D35AB" w:rsidRPr="003D35AB">
        <w:rPr>
          <w:i/>
          <w:iCs/>
        </w:rPr>
        <w:t>The Mabinogion</w:t>
      </w:r>
      <w:r w:rsidR="003D35AB">
        <w:t>, (Project Gutenberg May 2002), &lt;</w:t>
      </w:r>
      <w:r w:rsidR="003D35AB" w:rsidRPr="003D35AB">
        <w:t>https://www.gutenberg.org/files/5160/5160-h/5160-h.htm#chap09</w:t>
      </w:r>
      <w:r w:rsidR="003D35AB">
        <w:t>&gt; [</w:t>
      </w:r>
      <w:r w:rsidR="003D35AB" w:rsidRPr="004A3030">
        <w:t>Accessed 9 March 2025</w:t>
      </w:r>
      <w:r w:rsidR="003D35AB">
        <w:t>].</w:t>
      </w:r>
    </w:p>
    <w:p w14:paraId="28A88103" w14:textId="1ACA9E9E" w:rsidR="003D35AB" w:rsidRDefault="005A407F" w:rsidP="002F1E1C">
      <w:r w:rsidRPr="004A3030">
        <w:t>Davies</w:t>
      </w:r>
      <w:r>
        <w:t xml:space="preserve">, </w:t>
      </w:r>
      <w:r w:rsidR="003D35AB">
        <w:t>Sioned</w:t>
      </w:r>
      <w:r w:rsidR="003D35AB" w:rsidRPr="004A3030">
        <w:t xml:space="preserve">, </w:t>
      </w:r>
      <w:r w:rsidR="003D35AB">
        <w:t>‘</w:t>
      </w:r>
      <w:r w:rsidR="003D35AB" w:rsidRPr="004A3030">
        <w:rPr>
          <w:i/>
          <w:iCs/>
        </w:rPr>
        <w:t>The Mabinogion</w:t>
      </w:r>
      <w:r w:rsidR="003D35AB">
        <w:rPr>
          <w:i/>
          <w:iCs/>
        </w:rPr>
        <w:t>’ (</w:t>
      </w:r>
      <w:r w:rsidR="003D35AB" w:rsidRPr="004A3030">
        <w:t>Oxford: OUP Oxford.</w:t>
      </w:r>
      <w:r w:rsidR="003D35AB">
        <w:t xml:space="preserve"> 2007) p.60</w:t>
      </w:r>
      <w:r w:rsidR="003D35AB" w:rsidRPr="004A3030">
        <w:t xml:space="preserve"> </w:t>
      </w:r>
      <w:r w:rsidR="003D35AB">
        <w:t>&lt;</w:t>
      </w:r>
      <w:r w:rsidR="003D35AB" w:rsidRPr="004A3030">
        <w:t>https://research-ebsco-com.ezproxy.uwtsd.ac.uk/linkprocessor/plink?id=ffd57ab0-26a4-3df6-929c-f20dc1e2a6ad</w:t>
      </w:r>
      <w:r w:rsidR="003D35AB">
        <w:t>&gt;</w:t>
      </w:r>
      <w:r w:rsidR="003D35AB" w:rsidRPr="004A3030">
        <w:t xml:space="preserve"> </w:t>
      </w:r>
      <w:r w:rsidR="003D35AB">
        <w:t>[</w:t>
      </w:r>
      <w:r w:rsidR="003D35AB" w:rsidRPr="004A3030">
        <w:t>Accessed 9 March 2025</w:t>
      </w:r>
      <w:r w:rsidR="003D35AB">
        <w:t>]</w:t>
      </w:r>
    </w:p>
    <w:p w14:paraId="7188BC6B" w14:textId="49DEDBD8" w:rsidR="003D35AB" w:rsidRDefault="005A407F" w:rsidP="002F1E1C">
      <w:r>
        <w:t>Winte</w:t>
      </w:r>
      <w:r>
        <w:t xml:space="preserve">r, </w:t>
      </w:r>
      <w:r>
        <w:t>Darren</w:t>
      </w:r>
      <w:r>
        <w:t>,</w:t>
      </w:r>
      <w:r w:rsidR="003D35AB">
        <w:t xml:space="preserve"> </w:t>
      </w:r>
      <w:r w:rsidR="003D35AB" w:rsidRPr="005A407F">
        <w:rPr>
          <w:i/>
          <w:iCs/>
        </w:rPr>
        <w:t>Enchantment, Treasures and the Otherworld in the Four Branches of Mabinogi</w:t>
      </w:r>
      <w:r>
        <w:rPr>
          <w:i/>
          <w:iCs/>
        </w:rPr>
        <w:t>,</w:t>
      </w:r>
      <w:r w:rsidR="003D35AB">
        <w:t xml:space="preserve"> </w:t>
      </w:r>
      <w:r>
        <w:t>(</w:t>
      </w:r>
      <w:r w:rsidR="003D35AB">
        <w:t>15</w:t>
      </w:r>
      <w:r w:rsidR="003D35AB" w:rsidRPr="003D35AB">
        <w:rPr>
          <w:vertAlign w:val="superscript"/>
        </w:rPr>
        <w:t>th</w:t>
      </w:r>
      <w:r w:rsidR="003D35AB">
        <w:t xml:space="preserve"> March 2017</w:t>
      </w:r>
      <w:r>
        <w:t>)</w:t>
      </w:r>
      <w:r w:rsidR="003D35AB">
        <w:t xml:space="preserve"> </w:t>
      </w:r>
      <w:r>
        <w:t>&lt;</w:t>
      </w:r>
      <w:r w:rsidRPr="005A407F">
        <w:t>https://repository.uwtsd.ac.uk/id/eprint/920/1/Winter,%20D.%20(2017)%20Enchantment,%20treasures%20and%20the%20otherworld.pdf</w:t>
      </w:r>
      <w:r>
        <w:t xml:space="preserve">&gt; </w:t>
      </w:r>
      <w:r>
        <w:t>[</w:t>
      </w:r>
      <w:r w:rsidRPr="004A3030">
        <w:t>Accessed 9 March 2025</w:t>
      </w:r>
      <w:r>
        <w:t>]</w:t>
      </w:r>
    </w:p>
    <w:p w14:paraId="09C1C70D" w14:textId="782DDD9E" w:rsidR="005A407F" w:rsidRPr="00F232CB" w:rsidRDefault="005A407F" w:rsidP="002F1E1C"/>
    <w:sectPr w:rsidR="005A407F" w:rsidRPr="00F232CB">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665956" w14:textId="77777777" w:rsidR="002866D5" w:rsidRDefault="002866D5" w:rsidP="001353A8">
      <w:pPr>
        <w:spacing w:after="0" w:line="240" w:lineRule="auto"/>
      </w:pPr>
      <w:r>
        <w:separator/>
      </w:r>
    </w:p>
  </w:endnote>
  <w:endnote w:type="continuationSeparator" w:id="0">
    <w:p w14:paraId="5E4D5496" w14:textId="77777777" w:rsidR="002866D5" w:rsidRDefault="002866D5" w:rsidP="001353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511F98" w14:textId="77777777" w:rsidR="002866D5" w:rsidRDefault="002866D5" w:rsidP="001353A8">
      <w:pPr>
        <w:spacing w:after="0" w:line="240" w:lineRule="auto"/>
      </w:pPr>
      <w:r>
        <w:separator/>
      </w:r>
    </w:p>
  </w:footnote>
  <w:footnote w:type="continuationSeparator" w:id="0">
    <w:p w14:paraId="47721A00" w14:textId="77777777" w:rsidR="002866D5" w:rsidRDefault="002866D5" w:rsidP="001353A8">
      <w:pPr>
        <w:spacing w:after="0" w:line="240" w:lineRule="auto"/>
      </w:pPr>
      <w:r>
        <w:continuationSeparator/>
      </w:r>
    </w:p>
  </w:footnote>
  <w:footnote w:id="1">
    <w:p w14:paraId="35B21890" w14:textId="35B17007" w:rsidR="001353A8" w:rsidRDefault="001353A8">
      <w:pPr>
        <w:pStyle w:val="FootnoteText"/>
      </w:pPr>
      <w:r>
        <w:rPr>
          <w:rStyle w:val="FootnoteReference"/>
        </w:rPr>
        <w:footnoteRef/>
      </w:r>
      <w:r>
        <w:t xml:space="preserve"> </w:t>
      </w:r>
      <w:r w:rsidR="00137F95">
        <w:t xml:space="preserve">Sioned </w:t>
      </w:r>
      <w:r w:rsidR="004A3030" w:rsidRPr="004A3030">
        <w:t xml:space="preserve">Davies, </w:t>
      </w:r>
      <w:r w:rsidR="00137F95">
        <w:t>‘</w:t>
      </w:r>
      <w:r w:rsidR="004A3030" w:rsidRPr="004A3030">
        <w:rPr>
          <w:i/>
          <w:iCs/>
        </w:rPr>
        <w:t>The Mabinogion</w:t>
      </w:r>
      <w:r w:rsidR="00137F95">
        <w:rPr>
          <w:i/>
          <w:iCs/>
        </w:rPr>
        <w:t>’ (</w:t>
      </w:r>
      <w:r w:rsidR="004A3030" w:rsidRPr="004A3030">
        <w:t>Oxford: OUP Oxford.</w:t>
      </w:r>
      <w:r w:rsidR="00137F95">
        <w:t xml:space="preserve"> 2007) p.28</w:t>
      </w:r>
      <w:r w:rsidR="004A3030" w:rsidRPr="004A3030">
        <w:t xml:space="preserve"> </w:t>
      </w:r>
      <w:r w:rsidR="00137F95">
        <w:t>&lt;</w:t>
      </w:r>
      <w:r w:rsidR="004A3030" w:rsidRPr="004A3030">
        <w:t>https://research-ebsco-com.ezproxy.uwtsd.ac.uk/linkprocessor/plink?id=ffd57ab0-26a4-3df6-929c-f20dc1e2a6ad</w:t>
      </w:r>
      <w:r w:rsidR="00137F95">
        <w:t>&gt;</w:t>
      </w:r>
      <w:r w:rsidR="004A3030" w:rsidRPr="004A3030">
        <w:t xml:space="preserve"> </w:t>
      </w:r>
      <w:r w:rsidR="00137F95">
        <w:t>[</w:t>
      </w:r>
      <w:r w:rsidR="004A3030" w:rsidRPr="004A3030">
        <w:t>Accessed 9 March 2025</w:t>
      </w:r>
      <w:r w:rsidR="00137F95">
        <w:t>].</w:t>
      </w:r>
    </w:p>
  </w:footnote>
  <w:footnote w:id="2">
    <w:p w14:paraId="5E65034D" w14:textId="6A12B72A" w:rsidR="001353A8" w:rsidRDefault="001353A8">
      <w:pPr>
        <w:pStyle w:val="FootnoteText"/>
      </w:pPr>
      <w:r>
        <w:rPr>
          <w:rStyle w:val="FootnoteReference"/>
        </w:rPr>
        <w:footnoteRef/>
      </w:r>
      <w:r>
        <w:t xml:space="preserve"> </w:t>
      </w:r>
      <w:r w:rsidR="00137F95">
        <w:t xml:space="preserve">Sioned </w:t>
      </w:r>
      <w:r w:rsidR="00137F95" w:rsidRPr="004A3030">
        <w:t xml:space="preserve">Davies, </w:t>
      </w:r>
      <w:r w:rsidR="00137F95">
        <w:t>‘</w:t>
      </w:r>
      <w:r w:rsidR="00137F95" w:rsidRPr="004A3030">
        <w:rPr>
          <w:i/>
          <w:iCs/>
        </w:rPr>
        <w:t>The Mabinogion</w:t>
      </w:r>
      <w:r w:rsidR="00137F95">
        <w:rPr>
          <w:i/>
          <w:iCs/>
        </w:rPr>
        <w:t>’ (</w:t>
      </w:r>
      <w:r w:rsidR="00137F95" w:rsidRPr="004A3030">
        <w:t>Oxford: OUP Oxford.</w:t>
      </w:r>
      <w:r w:rsidR="00137F95">
        <w:t xml:space="preserve"> 2007) p.</w:t>
      </w:r>
      <w:r w:rsidR="00137F95">
        <w:t>60</w:t>
      </w:r>
      <w:r w:rsidR="00137F95" w:rsidRPr="004A3030">
        <w:t xml:space="preserve"> </w:t>
      </w:r>
      <w:r w:rsidR="00137F95">
        <w:t>&lt;</w:t>
      </w:r>
      <w:r w:rsidR="00137F95" w:rsidRPr="004A3030">
        <w:t>https://research-ebsco-com.ezproxy.uwtsd.ac.uk/linkprocessor/plink?id=ffd57ab0-26a4-3df6-929c-f20dc1e2a6ad</w:t>
      </w:r>
      <w:r w:rsidR="00137F95">
        <w:t>&gt;</w:t>
      </w:r>
      <w:r w:rsidR="00137F95" w:rsidRPr="004A3030">
        <w:t xml:space="preserve"> </w:t>
      </w:r>
      <w:r w:rsidR="00137F95">
        <w:t>[</w:t>
      </w:r>
      <w:r w:rsidR="00137F95" w:rsidRPr="004A3030">
        <w:t>Accessed 9 March 2025</w:t>
      </w:r>
      <w:r w:rsidR="00137F95">
        <w:t>].</w:t>
      </w:r>
    </w:p>
  </w:footnote>
  <w:footnote w:id="3">
    <w:p w14:paraId="1F8C8DCC" w14:textId="19E2EBED" w:rsidR="001353A8" w:rsidRDefault="001353A8">
      <w:pPr>
        <w:pStyle w:val="FootnoteText"/>
      </w:pPr>
      <w:r>
        <w:rPr>
          <w:rStyle w:val="FootnoteReference"/>
        </w:rPr>
        <w:footnoteRef/>
      </w:r>
      <w:r>
        <w:t xml:space="preserve"> </w:t>
      </w:r>
      <w:r w:rsidR="004A3030">
        <w:t xml:space="preserve">Joseph Dunn, </w:t>
      </w:r>
      <w:r w:rsidR="004A3030" w:rsidRPr="003D35AB">
        <w:rPr>
          <w:i/>
          <w:iCs/>
        </w:rPr>
        <w:t>The Ancient Irish Epic Tale Táin Bó Cúalnge</w:t>
      </w:r>
      <w:r w:rsidR="004A3030">
        <w:t xml:space="preserve">, </w:t>
      </w:r>
      <w:r w:rsidR="003D35AB">
        <w:t>(</w:t>
      </w:r>
      <w:r w:rsidR="004A3030">
        <w:t>Project Gutenberg, August 2005</w:t>
      </w:r>
      <w:r w:rsidR="003D35AB">
        <w:t>) &lt;</w:t>
      </w:r>
      <w:r w:rsidR="003D35AB" w:rsidRPr="003D35AB">
        <w:t>https://www.gutenberg.org/files/16464/16464-h/16464-h.htm</w:t>
      </w:r>
      <w:r w:rsidR="003D35AB">
        <w:t xml:space="preserve">&gt; </w:t>
      </w:r>
      <w:r w:rsidR="003D35AB">
        <w:t>[</w:t>
      </w:r>
      <w:r w:rsidR="003D35AB" w:rsidRPr="004A3030">
        <w:t>Accessed 9 March 2025</w:t>
      </w:r>
      <w:r w:rsidR="003D35AB">
        <w:t>].</w:t>
      </w:r>
    </w:p>
  </w:footnote>
  <w:footnote w:id="4">
    <w:p w14:paraId="713C4994" w14:textId="0ACDF2A9" w:rsidR="003D35AB" w:rsidRDefault="001353A8" w:rsidP="003D35AB">
      <w:pPr>
        <w:pStyle w:val="FootnoteText"/>
      </w:pPr>
      <w:r>
        <w:rPr>
          <w:rStyle w:val="FootnoteReference"/>
        </w:rPr>
        <w:footnoteRef/>
      </w:r>
      <w:r>
        <w:t xml:space="preserve"> </w:t>
      </w:r>
      <w:r w:rsidR="004A3030">
        <w:t xml:space="preserve">Charlotte Guest, </w:t>
      </w:r>
      <w:r w:rsidR="004A3030" w:rsidRPr="003D35AB">
        <w:rPr>
          <w:i/>
          <w:iCs/>
        </w:rPr>
        <w:t>The Mabinogion</w:t>
      </w:r>
      <w:r w:rsidR="004A3030">
        <w:t>,</w:t>
      </w:r>
      <w:r w:rsidR="003D35AB">
        <w:t xml:space="preserve"> (</w:t>
      </w:r>
      <w:r w:rsidR="004A3030">
        <w:t>Project Gutenberg</w:t>
      </w:r>
      <w:r w:rsidR="003D35AB">
        <w:t xml:space="preserve"> </w:t>
      </w:r>
      <w:r w:rsidR="003D35AB">
        <w:t>May 2002</w:t>
      </w:r>
      <w:r w:rsidR="003D35AB">
        <w:t>)</w:t>
      </w:r>
      <w:r w:rsidR="004A3030">
        <w:t>,</w:t>
      </w:r>
      <w:r w:rsidR="00C73D57">
        <w:t xml:space="preserve"> </w:t>
      </w:r>
      <w:r w:rsidR="003D35AB">
        <w:t>&lt;</w:t>
      </w:r>
      <w:r w:rsidR="003D35AB" w:rsidRPr="003D35AB">
        <w:t>https://www.gutenberg.org/files/5160/5160-h/5160-h.htm#chap09</w:t>
      </w:r>
      <w:r w:rsidR="003D35AB">
        <w:t xml:space="preserve">&gt; </w:t>
      </w:r>
      <w:r w:rsidR="003D35AB">
        <w:t>[</w:t>
      </w:r>
      <w:r w:rsidR="003D35AB" w:rsidRPr="004A3030">
        <w:t>Accessed 9 March 2025</w:t>
      </w:r>
      <w:r w:rsidR="003D35AB">
        <w:t>].</w:t>
      </w:r>
    </w:p>
    <w:p w14:paraId="6C38B118" w14:textId="30DFA40F" w:rsidR="001353A8" w:rsidRDefault="001353A8">
      <w:pPr>
        <w:pStyle w:val="FootnoteText"/>
      </w:pPr>
    </w:p>
  </w:footnote>
  <w:footnote w:id="5">
    <w:p w14:paraId="1A67B39E" w14:textId="19FFDD3D" w:rsidR="001353A8" w:rsidRDefault="001353A8">
      <w:pPr>
        <w:pStyle w:val="FootnoteText"/>
      </w:pPr>
      <w:r>
        <w:rPr>
          <w:rStyle w:val="FootnoteReference"/>
        </w:rPr>
        <w:footnoteRef/>
      </w:r>
      <w:r>
        <w:t xml:space="preserve"> </w:t>
      </w:r>
      <w:r w:rsidR="00C73D57">
        <w:t>Ibid.</w:t>
      </w:r>
    </w:p>
  </w:footnote>
  <w:footnote w:id="6">
    <w:p w14:paraId="11C5218B" w14:textId="45EA7A93" w:rsidR="001353A8" w:rsidRDefault="001353A8">
      <w:pPr>
        <w:pStyle w:val="FootnoteText"/>
      </w:pPr>
      <w:r>
        <w:rPr>
          <w:rStyle w:val="FootnoteReference"/>
        </w:rPr>
        <w:footnoteRef/>
      </w:r>
      <w:r>
        <w:t xml:space="preserve"> </w:t>
      </w:r>
      <w:r w:rsidR="003D35AB">
        <w:t xml:space="preserve">Joseph Dunn, </w:t>
      </w:r>
      <w:r w:rsidR="003D35AB" w:rsidRPr="003D35AB">
        <w:rPr>
          <w:i/>
          <w:iCs/>
        </w:rPr>
        <w:t>The Ancient Irish Epic Tale Táin Bó Cúalnge</w:t>
      </w:r>
      <w:r w:rsidR="003D35AB">
        <w:t>, (Project Gutenberg, August 2005) &lt;</w:t>
      </w:r>
      <w:r w:rsidR="003D35AB" w:rsidRPr="003D35AB">
        <w:t>https://www.gutenberg.org/files/16464/16464-h/16464-h.htm</w:t>
      </w:r>
      <w:r w:rsidR="003D35AB">
        <w:t>&gt; [</w:t>
      </w:r>
      <w:r w:rsidR="003D35AB" w:rsidRPr="004A3030">
        <w:t>Accessed 9 March 2025</w:t>
      </w:r>
      <w:r w:rsidR="003D35AB">
        <w:t>].</w:t>
      </w:r>
    </w:p>
  </w:footnote>
  <w:footnote w:id="7">
    <w:p w14:paraId="1CDA2225" w14:textId="7A1CA22F" w:rsidR="001353A8" w:rsidRDefault="001353A8">
      <w:pPr>
        <w:pStyle w:val="FootnoteText"/>
      </w:pPr>
      <w:r>
        <w:rPr>
          <w:rStyle w:val="FootnoteReference"/>
        </w:rPr>
        <w:footnoteRef/>
      </w:r>
      <w:r>
        <w:t xml:space="preserve"> </w:t>
      </w:r>
      <w:r w:rsidR="003D35AB">
        <w:t xml:space="preserve">Charlotte Guest, </w:t>
      </w:r>
      <w:r w:rsidR="003D35AB" w:rsidRPr="003D35AB">
        <w:rPr>
          <w:i/>
          <w:iCs/>
        </w:rPr>
        <w:t>The Mabinogion</w:t>
      </w:r>
      <w:r w:rsidR="003D35AB">
        <w:t>, (Project Gutenberg May 2002), &lt;</w:t>
      </w:r>
      <w:r w:rsidR="003D35AB" w:rsidRPr="003D35AB">
        <w:t>https://www.gutenberg.org/files/5160/5160-h/5160-h.htm#chap09</w:t>
      </w:r>
      <w:r w:rsidR="003D35AB">
        <w:t>&gt; [</w:t>
      </w:r>
      <w:r w:rsidR="003D35AB" w:rsidRPr="004A3030">
        <w:t>Accessed 9 March 2025</w:t>
      </w:r>
      <w:r w:rsidR="003D35AB">
        <w:t>].</w:t>
      </w:r>
    </w:p>
  </w:footnote>
  <w:footnote w:id="8">
    <w:p w14:paraId="79B4966B" w14:textId="5105B2AF" w:rsidR="001353A8" w:rsidRDefault="001353A8">
      <w:pPr>
        <w:pStyle w:val="FootnoteText"/>
      </w:pPr>
      <w:r>
        <w:rPr>
          <w:rStyle w:val="FootnoteReference"/>
        </w:rPr>
        <w:footnoteRef/>
      </w:r>
      <w:r>
        <w:t xml:space="preserve"> </w:t>
      </w:r>
      <w:r w:rsidR="00C73D57">
        <w:t>Ibid.</w:t>
      </w:r>
    </w:p>
  </w:footnote>
  <w:footnote w:id="9">
    <w:p w14:paraId="3141CAED" w14:textId="4E2F5A3B" w:rsidR="001353A8" w:rsidRDefault="001353A8">
      <w:pPr>
        <w:pStyle w:val="FootnoteText"/>
      </w:pPr>
      <w:r>
        <w:rPr>
          <w:rStyle w:val="FootnoteReference"/>
        </w:rPr>
        <w:footnoteRef/>
      </w:r>
      <w:r>
        <w:t xml:space="preserve"> </w:t>
      </w:r>
      <w:r w:rsidR="003D35AB">
        <w:t xml:space="preserve">Joseph Dunn, </w:t>
      </w:r>
      <w:r w:rsidR="003D35AB" w:rsidRPr="003D35AB">
        <w:rPr>
          <w:i/>
          <w:iCs/>
        </w:rPr>
        <w:t>The Ancient Irish Epic Tale Táin Bó Cúalnge</w:t>
      </w:r>
      <w:r w:rsidR="003D35AB">
        <w:t>, (Project Gutenberg, August 2005) &lt;</w:t>
      </w:r>
      <w:r w:rsidR="003D35AB" w:rsidRPr="003D35AB">
        <w:t>https://www.gutenberg.org/files/16464/16464-h/16464-h.htm</w:t>
      </w:r>
      <w:r w:rsidR="003D35AB">
        <w:t>&gt; [</w:t>
      </w:r>
      <w:r w:rsidR="003D35AB" w:rsidRPr="004A3030">
        <w:t>Accessed 9 March 2025</w:t>
      </w:r>
      <w:r w:rsidR="003D35AB">
        <w:t>].</w:t>
      </w:r>
    </w:p>
  </w:footnote>
  <w:footnote w:id="10">
    <w:p w14:paraId="298C3193" w14:textId="17F01C89" w:rsidR="001353A8" w:rsidRDefault="001353A8">
      <w:pPr>
        <w:pStyle w:val="FootnoteText"/>
      </w:pPr>
      <w:r>
        <w:rPr>
          <w:rStyle w:val="FootnoteReference"/>
        </w:rPr>
        <w:footnoteRef/>
      </w:r>
      <w:r>
        <w:t xml:space="preserve"> </w:t>
      </w:r>
      <w:r w:rsidR="00C73D57">
        <w:t>Ibid</w:t>
      </w:r>
    </w:p>
  </w:footnote>
  <w:footnote w:id="11">
    <w:p w14:paraId="379B03B7" w14:textId="244A52B2" w:rsidR="001353A8" w:rsidRDefault="001353A8">
      <w:pPr>
        <w:pStyle w:val="FootnoteText"/>
      </w:pPr>
      <w:r>
        <w:rPr>
          <w:rStyle w:val="FootnoteReference"/>
        </w:rPr>
        <w:footnoteRef/>
      </w:r>
      <w:r>
        <w:t xml:space="preserve"> </w:t>
      </w:r>
      <w:r w:rsidR="00C73D57">
        <w:t>Ibid.</w:t>
      </w:r>
    </w:p>
  </w:footnote>
  <w:footnote w:id="12">
    <w:p w14:paraId="5B9FE08F" w14:textId="772FB0F4" w:rsidR="001353A8" w:rsidRDefault="001353A8">
      <w:pPr>
        <w:pStyle w:val="FootnoteText"/>
      </w:pPr>
      <w:r>
        <w:rPr>
          <w:rStyle w:val="FootnoteReference"/>
        </w:rPr>
        <w:footnoteRef/>
      </w:r>
      <w:r>
        <w:t xml:space="preserve"> </w:t>
      </w:r>
      <w:r w:rsidR="00C73D57">
        <w:t>Ibid.</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C2E96" w14:textId="20774F47" w:rsidR="005A407F" w:rsidRPr="005A407F" w:rsidRDefault="005A407F" w:rsidP="005A407F">
    <w:pPr>
      <w:pStyle w:val="Header"/>
      <w:numPr>
        <w:ilvl w:val="0"/>
        <w:numId w:val="1"/>
      </w:numPr>
    </w:pPr>
    <w:r>
      <w:t>Chris Guy</w:t>
    </w:r>
    <w:r>
      <w:tab/>
    </w:r>
    <w:r w:rsidRPr="005A407F">
      <w:t>An Introduction to Celtic Literatures</w:t>
    </w:r>
    <w:r>
      <w:tab/>
    </w:r>
    <w:r w:rsidRPr="005A407F">
      <w:t>HPCS4008</w:t>
    </w:r>
  </w:p>
  <w:p w14:paraId="613B2E45" w14:textId="7B7409E1" w:rsidR="005A407F" w:rsidRDefault="005A407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BE94B8B"/>
    <w:multiLevelType w:val="multilevel"/>
    <w:tmpl w:val="8F6491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227937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65BC"/>
    <w:rsid w:val="0007177E"/>
    <w:rsid w:val="001353A8"/>
    <w:rsid w:val="00137F95"/>
    <w:rsid w:val="002144CD"/>
    <w:rsid w:val="00227C92"/>
    <w:rsid w:val="002866D5"/>
    <w:rsid w:val="002F1E1C"/>
    <w:rsid w:val="003D35AB"/>
    <w:rsid w:val="00420E31"/>
    <w:rsid w:val="00446CFD"/>
    <w:rsid w:val="004A3030"/>
    <w:rsid w:val="004F10F7"/>
    <w:rsid w:val="005021C8"/>
    <w:rsid w:val="0058421B"/>
    <w:rsid w:val="005A407F"/>
    <w:rsid w:val="006065BC"/>
    <w:rsid w:val="007362EC"/>
    <w:rsid w:val="00753456"/>
    <w:rsid w:val="007E5958"/>
    <w:rsid w:val="00864005"/>
    <w:rsid w:val="00903B55"/>
    <w:rsid w:val="00924FB3"/>
    <w:rsid w:val="00957E1B"/>
    <w:rsid w:val="00A130E7"/>
    <w:rsid w:val="00A42D4F"/>
    <w:rsid w:val="00A50F34"/>
    <w:rsid w:val="00B463B4"/>
    <w:rsid w:val="00BE4691"/>
    <w:rsid w:val="00C04580"/>
    <w:rsid w:val="00C0633A"/>
    <w:rsid w:val="00C5091B"/>
    <w:rsid w:val="00C73D57"/>
    <w:rsid w:val="00CD60AA"/>
    <w:rsid w:val="00D71002"/>
    <w:rsid w:val="00F21C05"/>
    <w:rsid w:val="00F232CB"/>
    <w:rsid w:val="00FA119E"/>
    <w:rsid w:val="00FC107A"/>
    <w:rsid w:val="00FD1439"/>
    <w:rsid w:val="00FD796E"/>
    <w:rsid w:val="00FF78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E1E7D5"/>
  <w15:chartTrackingRefBased/>
  <w15:docId w15:val="{7C448C1B-329A-4FB3-BF75-C0A8F54FD3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65B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065B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065B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065B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065B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065B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065B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065B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065B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65B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065B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065B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065B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065B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065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65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65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65BC"/>
    <w:rPr>
      <w:rFonts w:eastAsiaTheme="majorEastAsia" w:cstheme="majorBidi"/>
      <w:color w:val="272727" w:themeColor="text1" w:themeTint="D8"/>
    </w:rPr>
  </w:style>
  <w:style w:type="paragraph" w:styleId="Title">
    <w:name w:val="Title"/>
    <w:basedOn w:val="Normal"/>
    <w:next w:val="Normal"/>
    <w:link w:val="TitleChar"/>
    <w:uiPriority w:val="10"/>
    <w:qFormat/>
    <w:rsid w:val="006065B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65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65B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65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65BC"/>
    <w:pPr>
      <w:spacing w:before="160"/>
      <w:jc w:val="center"/>
    </w:pPr>
    <w:rPr>
      <w:i/>
      <w:iCs/>
      <w:color w:val="404040" w:themeColor="text1" w:themeTint="BF"/>
    </w:rPr>
  </w:style>
  <w:style w:type="character" w:customStyle="1" w:styleId="QuoteChar">
    <w:name w:val="Quote Char"/>
    <w:basedOn w:val="DefaultParagraphFont"/>
    <w:link w:val="Quote"/>
    <w:uiPriority w:val="29"/>
    <w:rsid w:val="006065BC"/>
    <w:rPr>
      <w:i/>
      <w:iCs/>
      <w:color w:val="404040" w:themeColor="text1" w:themeTint="BF"/>
    </w:rPr>
  </w:style>
  <w:style w:type="paragraph" w:styleId="ListParagraph">
    <w:name w:val="List Paragraph"/>
    <w:basedOn w:val="Normal"/>
    <w:uiPriority w:val="34"/>
    <w:qFormat/>
    <w:rsid w:val="006065BC"/>
    <w:pPr>
      <w:ind w:left="720"/>
      <w:contextualSpacing/>
    </w:pPr>
  </w:style>
  <w:style w:type="character" w:styleId="IntenseEmphasis">
    <w:name w:val="Intense Emphasis"/>
    <w:basedOn w:val="DefaultParagraphFont"/>
    <w:uiPriority w:val="21"/>
    <w:qFormat/>
    <w:rsid w:val="006065BC"/>
    <w:rPr>
      <w:i/>
      <w:iCs/>
      <w:color w:val="0F4761" w:themeColor="accent1" w:themeShade="BF"/>
    </w:rPr>
  </w:style>
  <w:style w:type="paragraph" w:styleId="IntenseQuote">
    <w:name w:val="Intense Quote"/>
    <w:basedOn w:val="Normal"/>
    <w:next w:val="Normal"/>
    <w:link w:val="IntenseQuoteChar"/>
    <w:uiPriority w:val="30"/>
    <w:qFormat/>
    <w:rsid w:val="006065B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065BC"/>
    <w:rPr>
      <w:i/>
      <w:iCs/>
      <w:color w:val="0F4761" w:themeColor="accent1" w:themeShade="BF"/>
    </w:rPr>
  </w:style>
  <w:style w:type="character" w:styleId="IntenseReference">
    <w:name w:val="Intense Reference"/>
    <w:basedOn w:val="DefaultParagraphFont"/>
    <w:uiPriority w:val="32"/>
    <w:qFormat/>
    <w:rsid w:val="006065BC"/>
    <w:rPr>
      <w:b/>
      <w:bCs/>
      <w:smallCaps/>
      <w:color w:val="0F4761" w:themeColor="accent1" w:themeShade="BF"/>
      <w:spacing w:val="5"/>
    </w:rPr>
  </w:style>
  <w:style w:type="character" w:styleId="CommentReference">
    <w:name w:val="annotation reference"/>
    <w:basedOn w:val="DefaultParagraphFont"/>
    <w:uiPriority w:val="99"/>
    <w:semiHidden/>
    <w:unhideWhenUsed/>
    <w:rsid w:val="00864005"/>
    <w:rPr>
      <w:sz w:val="16"/>
      <w:szCs w:val="16"/>
    </w:rPr>
  </w:style>
  <w:style w:type="paragraph" w:styleId="CommentText">
    <w:name w:val="annotation text"/>
    <w:basedOn w:val="Normal"/>
    <w:link w:val="CommentTextChar"/>
    <w:uiPriority w:val="99"/>
    <w:unhideWhenUsed/>
    <w:rsid w:val="00864005"/>
    <w:pPr>
      <w:spacing w:line="240" w:lineRule="auto"/>
    </w:pPr>
    <w:rPr>
      <w:sz w:val="20"/>
      <w:szCs w:val="20"/>
    </w:rPr>
  </w:style>
  <w:style w:type="character" w:customStyle="1" w:styleId="CommentTextChar">
    <w:name w:val="Comment Text Char"/>
    <w:basedOn w:val="DefaultParagraphFont"/>
    <w:link w:val="CommentText"/>
    <w:uiPriority w:val="99"/>
    <w:rsid w:val="00864005"/>
    <w:rPr>
      <w:sz w:val="20"/>
      <w:szCs w:val="20"/>
    </w:rPr>
  </w:style>
  <w:style w:type="paragraph" w:styleId="CommentSubject">
    <w:name w:val="annotation subject"/>
    <w:basedOn w:val="CommentText"/>
    <w:next w:val="CommentText"/>
    <w:link w:val="CommentSubjectChar"/>
    <w:uiPriority w:val="99"/>
    <w:semiHidden/>
    <w:unhideWhenUsed/>
    <w:rsid w:val="00864005"/>
    <w:rPr>
      <w:b/>
      <w:bCs/>
    </w:rPr>
  </w:style>
  <w:style w:type="character" w:customStyle="1" w:styleId="CommentSubjectChar">
    <w:name w:val="Comment Subject Char"/>
    <w:basedOn w:val="CommentTextChar"/>
    <w:link w:val="CommentSubject"/>
    <w:uiPriority w:val="99"/>
    <w:semiHidden/>
    <w:rsid w:val="00864005"/>
    <w:rPr>
      <w:b/>
      <w:bCs/>
      <w:sz w:val="20"/>
      <w:szCs w:val="20"/>
    </w:rPr>
  </w:style>
  <w:style w:type="character" w:styleId="Hyperlink">
    <w:name w:val="Hyperlink"/>
    <w:basedOn w:val="DefaultParagraphFont"/>
    <w:uiPriority w:val="99"/>
    <w:unhideWhenUsed/>
    <w:rsid w:val="00864005"/>
    <w:rPr>
      <w:color w:val="467886" w:themeColor="hyperlink"/>
      <w:u w:val="single"/>
    </w:rPr>
  </w:style>
  <w:style w:type="character" w:styleId="UnresolvedMention">
    <w:name w:val="Unresolved Mention"/>
    <w:basedOn w:val="DefaultParagraphFont"/>
    <w:uiPriority w:val="99"/>
    <w:semiHidden/>
    <w:unhideWhenUsed/>
    <w:rsid w:val="00864005"/>
    <w:rPr>
      <w:color w:val="605E5C"/>
      <w:shd w:val="clear" w:color="auto" w:fill="E1DFDD"/>
    </w:rPr>
  </w:style>
  <w:style w:type="paragraph" w:styleId="FootnoteText">
    <w:name w:val="footnote text"/>
    <w:basedOn w:val="Normal"/>
    <w:link w:val="FootnoteTextChar"/>
    <w:uiPriority w:val="99"/>
    <w:semiHidden/>
    <w:unhideWhenUsed/>
    <w:rsid w:val="001353A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353A8"/>
    <w:rPr>
      <w:sz w:val="20"/>
      <w:szCs w:val="20"/>
    </w:rPr>
  </w:style>
  <w:style w:type="character" w:styleId="FootnoteReference">
    <w:name w:val="footnote reference"/>
    <w:basedOn w:val="DefaultParagraphFont"/>
    <w:uiPriority w:val="99"/>
    <w:semiHidden/>
    <w:unhideWhenUsed/>
    <w:rsid w:val="001353A8"/>
    <w:rPr>
      <w:vertAlign w:val="superscript"/>
    </w:rPr>
  </w:style>
  <w:style w:type="paragraph" w:styleId="Header">
    <w:name w:val="header"/>
    <w:basedOn w:val="Normal"/>
    <w:link w:val="HeaderChar"/>
    <w:uiPriority w:val="99"/>
    <w:unhideWhenUsed/>
    <w:rsid w:val="005A40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407F"/>
  </w:style>
  <w:style w:type="paragraph" w:styleId="Footer">
    <w:name w:val="footer"/>
    <w:basedOn w:val="Normal"/>
    <w:link w:val="FooterChar"/>
    <w:uiPriority w:val="99"/>
    <w:unhideWhenUsed/>
    <w:rsid w:val="005A40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40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5070848">
      <w:bodyDiv w:val="1"/>
      <w:marLeft w:val="0"/>
      <w:marRight w:val="0"/>
      <w:marTop w:val="0"/>
      <w:marBottom w:val="0"/>
      <w:divBdr>
        <w:top w:val="none" w:sz="0" w:space="0" w:color="auto"/>
        <w:left w:val="none" w:sz="0" w:space="0" w:color="auto"/>
        <w:bottom w:val="none" w:sz="0" w:space="0" w:color="auto"/>
        <w:right w:val="none" w:sz="0" w:space="0" w:color="auto"/>
      </w:divBdr>
    </w:div>
    <w:div w:id="330061687">
      <w:bodyDiv w:val="1"/>
      <w:marLeft w:val="0"/>
      <w:marRight w:val="0"/>
      <w:marTop w:val="0"/>
      <w:marBottom w:val="0"/>
      <w:divBdr>
        <w:top w:val="none" w:sz="0" w:space="0" w:color="auto"/>
        <w:left w:val="none" w:sz="0" w:space="0" w:color="auto"/>
        <w:bottom w:val="none" w:sz="0" w:space="0" w:color="auto"/>
        <w:right w:val="none" w:sz="0" w:space="0" w:color="auto"/>
      </w:divBdr>
      <w:divsChild>
        <w:div w:id="872839017">
          <w:marLeft w:val="0"/>
          <w:marRight w:val="0"/>
          <w:marTop w:val="0"/>
          <w:marBottom w:val="0"/>
          <w:divBdr>
            <w:top w:val="none" w:sz="0" w:space="0" w:color="auto"/>
            <w:left w:val="none" w:sz="0" w:space="0" w:color="auto"/>
            <w:bottom w:val="none" w:sz="0" w:space="0" w:color="auto"/>
            <w:right w:val="none" w:sz="0" w:space="0" w:color="auto"/>
          </w:divBdr>
          <w:divsChild>
            <w:div w:id="751852355">
              <w:marLeft w:val="0"/>
              <w:marRight w:val="0"/>
              <w:marTop w:val="0"/>
              <w:marBottom w:val="0"/>
              <w:divBdr>
                <w:top w:val="none" w:sz="0" w:space="0" w:color="auto"/>
                <w:left w:val="none" w:sz="0" w:space="0" w:color="auto"/>
                <w:bottom w:val="none" w:sz="0" w:space="0" w:color="auto"/>
                <w:right w:val="none" w:sz="0" w:space="0" w:color="auto"/>
              </w:divBdr>
              <w:divsChild>
                <w:div w:id="762140816">
                  <w:marLeft w:val="0"/>
                  <w:marRight w:val="0"/>
                  <w:marTop w:val="0"/>
                  <w:marBottom w:val="0"/>
                  <w:divBdr>
                    <w:top w:val="none" w:sz="0" w:space="0" w:color="auto"/>
                    <w:left w:val="none" w:sz="0" w:space="0" w:color="auto"/>
                    <w:bottom w:val="none" w:sz="0" w:space="0" w:color="auto"/>
                    <w:right w:val="none" w:sz="0" w:space="0" w:color="auto"/>
                  </w:divBdr>
                  <w:divsChild>
                    <w:div w:id="1451582559">
                      <w:marLeft w:val="0"/>
                      <w:marRight w:val="0"/>
                      <w:marTop w:val="0"/>
                      <w:marBottom w:val="0"/>
                      <w:divBdr>
                        <w:top w:val="none" w:sz="0" w:space="0" w:color="auto"/>
                        <w:left w:val="none" w:sz="0" w:space="0" w:color="auto"/>
                        <w:bottom w:val="none" w:sz="0" w:space="0" w:color="auto"/>
                        <w:right w:val="none" w:sz="0" w:space="0" w:color="auto"/>
                      </w:divBdr>
                      <w:divsChild>
                        <w:div w:id="81994283">
                          <w:marLeft w:val="0"/>
                          <w:marRight w:val="0"/>
                          <w:marTop w:val="0"/>
                          <w:marBottom w:val="0"/>
                          <w:divBdr>
                            <w:top w:val="none" w:sz="0" w:space="0" w:color="auto"/>
                            <w:left w:val="none" w:sz="0" w:space="0" w:color="auto"/>
                            <w:bottom w:val="none" w:sz="0" w:space="0" w:color="auto"/>
                            <w:right w:val="none" w:sz="0" w:space="0" w:color="auto"/>
                          </w:divBdr>
                          <w:divsChild>
                            <w:div w:id="1852448727">
                              <w:marLeft w:val="0"/>
                              <w:marRight w:val="0"/>
                              <w:marTop w:val="0"/>
                              <w:marBottom w:val="0"/>
                              <w:divBdr>
                                <w:top w:val="none" w:sz="0" w:space="0" w:color="auto"/>
                                <w:left w:val="none" w:sz="0" w:space="0" w:color="auto"/>
                                <w:bottom w:val="none" w:sz="0" w:space="0" w:color="auto"/>
                                <w:right w:val="none" w:sz="0" w:space="0" w:color="auto"/>
                              </w:divBdr>
                              <w:divsChild>
                                <w:div w:id="96951932">
                                  <w:marLeft w:val="0"/>
                                  <w:marRight w:val="0"/>
                                  <w:marTop w:val="0"/>
                                  <w:marBottom w:val="0"/>
                                  <w:divBdr>
                                    <w:top w:val="none" w:sz="0" w:space="0" w:color="auto"/>
                                    <w:left w:val="none" w:sz="0" w:space="0" w:color="auto"/>
                                    <w:bottom w:val="none" w:sz="0" w:space="0" w:color="auto"/>
                                    <w:right w:val="none" w:sz="0" w:space="0" w:color="auto"/>
                                  </w:divBdr>
                                  <w:divsChild>
                                    <w:div w:id="1029067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86145603">
      <w:bodyDiv w:val="1"/>
      <w:marLeft w:val="0"/>
      <w:marRight w:val="0"/>
      <w:marTop w:val="0"/>
      <w:marBottom w:val="0"/>
      <w:divBdr>
        <w:top w:val="none" w:sz="0" w:space="0" w:color="auto"/>
        <w:left w:val="none" w:sz="0" w:space="0" w:color="auto"/>
        <w:bottom w:val="none" w:sz="0" w:space="0" w:color="auto"/>
        <w:right w:val="none" w:sz="0" w:space="0" w:color="auto"/>
      </w:divBdr>
    </w:div>
    <w:div w:id="503396702">
      <w:bodyDiv w:val="1"/>
      <w:marLeft w:val="0"/>
      <w:marRight w:val="0"/>
      <w:marTop w:val="0"/>
      <w:marBottom w:val="0"/>
      <w:divBdr>
        <w:top w:val="none" w:sz="0" w:space="0" w:color="auto"/>
        <w:left w:val="none" w:sz="0" w:space="0" w:color="auto"/>
        <w:bottom w:val="none" w:sz="0" w:space="0" w:color="auto"/>
        <w:right w:val="none" w:sz="0" w:space="0" w:color="auto"/>
      </w:divBdr>
    </w:div>
    <w:div w:id="687874478">
      <w:bodyDiv w:val="1"/>
      <w:marLeft w:val="0"/>
      <w:marRight w:val="0"/>
      <w:marTop w:val="0"/>
      <w:marBottom w:val="0"/>
      <w:divBdr>
        <w:top w:val="none" w:sz="0" w:space="0" w:color="auto"/>
        <w:left w:val="none" w:sz="0" w:space="0" w:color="auto"/>
        <w:bottom w:val="none" w:sz="0" w:space="0" w:color="auto"/>
        <w:right w:val="none" w:sz="0" w:space="0" w:color="auto"/>
      </w:divBdr>
    </w:div>
    <w:div w:id="840319191">
      <w:bodyDiv w:val="1"/>
      <w:marLeft w:val="0"/>
      <w:marRight w:val="0"/>
      <w:marTop w:val="0"/>
      <w:marBottom w:val="0"/>
      <w:divBdr>
        <w:top w:val="none" w:sz="0" w:space="0" w:color="auto"/>
        <w:left w:val="none" w:sz="0" w:space="0" w:color="auto"/>
        <w:bottom w:val="none" w:sz="0" w:space="0" w:color="auto"/>
        <w:right w:val="none" w:sz="0" w:space="0" w:color="auto"/>
      </w:divBdr>
      <w:divsChild>
        <w:div w:id="1494176271">
          <w:marLeft w:val="0"/>
          <w:marRight w:val="0"/>
          <w:marTop w:val="0"/>
          <w:marBottom w:val="0"/>
          <w:divBdr>
            <w:top w:val="none" w:sz="0" w:space="0" w:color="auto"/>
            <w:left w:val="none" w:sz="0" w:space="0" w:color="auto"/>
            <w:bottom w:val="none" w:sz="0" w:space="0" w:color="auto"/>
            <w:right w:val="none" w:sz="0" w:space="0" w:color="auto"/>
          </w:divBdr>
          <w:divsChild>
            <w:div w:id="2125269141">
              <w:marLeft w:val="0"/>
              <w:marRight w:val="0"/>
              <w:marTop w:val="0"/>
              <w:marBottom w:val="0"/>
              <w:divBdr>
                <w:top w:val="none" w:sz="0" w:space="0" w:color="auto"/>
                <w:left w:val="none" w:sz="0" w:space="0" w:color="auto"/>
                <w:bottom w:val="none" w:sz="0" w:space="0" w:color="auto"/>
                <w:right w:val="none" w:sz="0" w:space="0" w:color="auto"/>
              </w:divBdr>
              <w:divsChild>
                <w:div w:id="563836689">
                  <w:marLeft w:val="0"/>
                  <w:marRight w:val="0"/>
                  <w:marTop w:val="0"/>
                  <w:marBottom w:val="0"/>
                  <w:divBdr>
                    <w:top w:val="none" w:sz="0" w:space="0" w:color="auto"/>
                    <w:left w:val="none" w:sz="0" w:space="0" w:color="auto"/>
                    <w:bottom w:val="none" w:sz="0" w:space="0" w:color="auto"/>
                    <w:right w:val="none" w:sz="0" w:space="0" w:color="auto"/>
                  </w:divBdr>
                  <w:divsChild>
                    <w:div w:id="232592446">
                      <w:marLeft w:val="0"/>
                      <w:marRight w:val="0"/>
                      <w:marTop w:val="0"/>
                      <w:marBottom w:val="0"/>
                      <w:divBdr>
                        <w:top w:val="none" w:sz="0" w:space="0" w:color="auto"/>
                        <w:left w:val="none" w:sz="0" w:space="0" w:color="auto"/>
                        <w:bottom w:val="none" w:sz="0" w:space="0" w:color="auto"/>
                        <w:right w:val="none" w:sz="0" w:space="0" w:color="auto"/>
                      </w:divBdr>
                      <w:divsChild>
                        <w:div w:id="1941840608">
                          <w:marLeft w:val="0"/>
                          <w:marRight w:val="0"/>
                          <w:marTop w:val="0"/>
                          <w:marBottom w:val="0"/>
                          <w:divBdr>
                            <w:top w:val="none" w:sz="0" w:space="0" w:color="auto"/>
                            <w:left w:val="none" w:sz="0" w:space="0" w:color="auto"/>
                            <w:bottom w:val="none" w:sz="0" w:space="0" w:color="auto"/>
                            <w:right w:val="none" w:sz="0" w:space="0" w:color="auto"/>
                          </w:divBdr>
                          <w:divsChild>
                            <w:div w:id="1658534115">
                              <w:marLeft w:val="0"/>
                              <w:marRight w:val="0"/>
                              <w:marTop w:val="0"/>
                              <w:marBottom w:val="0"/>
                              <w:divBdr>
                                <w:top w:val="none" w:sz="0" w:space="0" w:color="auto"/>
                                <w:left w:val="none" w:sz="0" w:space="0" w:color="auto"/>
                                <w:bottom w:val="none" w:sz="0" w:space="0" w:color="auto"/>
                                <w:right w:val="none" w:sz="0" w:space="0" w:color="auto"/>
                              </w:divBdr>
                              <w:divsChild>
                                <w:div w:id="311250355">
                                  <w:marLeft w:val="0"/>
                                  <w:marRight w:val="0"/>
                                  <w:marTop w:val="0"/>
                                  <w:marBottom w:val="0"/>
                                  <w:divBdr>
                                    <w:top w:val="none" w:sz="0" w:space="0" w:color="auto"/>
                                    <w:left w:val="none" w:sz="0" w:space="0" w:color="auto"/>
                                    <w:bottom w:val="none" w:sz="0" w:space="0" w:color="auto"/>
                                    <w:right w:val="none" w:sz="0" w:space="0" w:color="auto"/>
                                  </w:divBdr>
                                  <w:divsChild>
                                    <w:div w:id="1977561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78534441">
      <w:bodyDiv w:val="1"/>
      <w:marLeft w:val="0"/>
      <w:marRight w:val="0"/>
      <w:marTop w:val="0"/>
      <w:marBottom w:val="0"/>
      <w:divBdr>
        <w:top w:val="none" w:sz="0" w:space="0" w:color="auto"/>
        <w:left w:val="none" w:sz="0" w:space="0" w:color="auto"/>
        <w:bottom w:val="none" w:sz="0" w:space="0" w:color="auto"/>
        <w:right w:val="none" w:sz="0" w:space="0" w:color="auto"/>
      </w:divBdr>
    </w:div>
    <w:div w:id="1120107352">
      <w:bodyDiv w:val="1"/>
      <w:marLeft w:val="0"/>
      <w:marRight w:val="0"/>
      <w:marTop w:val="0"/>
      <w:marBottom w:val="0"/>
      <w:divBdr>
        <w:top w:val="none" w:sz="0" w:space="0" w:color="auto"/>
        <w:left w:val="none" w:sz="0" w:space="0" w:color="auto"/>
        <w:bottom w:val="none" w:sz="0" w:space="0" w:color="auto"/>
        <w:right w:val="none" w:sz="0" w:space="0" w:color="auto"/>
      </w:divBdr>
    </w:div>
    <w:div w:id="1127702781">
      <w:bodyDiv w:val="1"/>
      <w:marLeft w:val="0"/>
      <w:marRight w:val="0"/>
      <w:marTop w:val="0"/>
      <w:marBottom w:val="0"/>
      <w:divBdr>
        <w:top w:val="none" w:sz="0" w:space="0" w:color="auto"/>
        <w:left w:val="none" w:sz="0" w:space="0" w:color="auto"/>
        <w:bottom w:val="none" w:sz="0" w:space="0" w:color="auto"/>
        <w:right w:val="none" w:sz="0" w:space="0" w:color="auto"/>
      </w:divBdr>
    </w:div>
    <w:div w:id="1145898065">
      <w:bodyDiv w:val="1"/>
      <w:marLeft w:val="0"/>
      <w:marRight w:val="0"/>
      <w:marTop w:val="0"/>
      <w:marBottom w:val="0"/>
      <w:divBdr>
        <w:top w:val="none" w:sz="0" w:space="0" w:color="auto"/>
        <w:left w:val="none" w:sz="0" w:space="0" w:color="auto"/>
        <w:bottom w:val="none" w:sz="0" w:space="0" w:color="auto"/>
        <w:right w:val="none" w:sz="0" w:space="0" w:color="auto"/>
      </w:divBdr>
    </w:div>
    <w:div w:id="1211264770">
      <w:bodyDiv w:val="1"/>
      <w:marLeft w:val="0"/>
      <w:marRight w:val="0"/>
      <w:marTop w:val="0"/>
      <w:marBottom w:val="0"/>
      <w:divBdr>
        <w:top w:val="none" w:sz="0" w:space="0" w:color="auto"/>
        <w:left w:val="none" w:sz="0" w:space="0" w:color="auto"/>
        <w:bottom w:val="none" w:sz="0" w:space="0" w:color="auto"/>
        <w:right w:val="none" w:sz="0" w:space="0" w:color="auto"/>
      </w:divBdr>
    </w:div>
    <w:div w:id="1567841250">
      <w:bodyDiv w:val="1"/>
      <w:marLeft w:val="0"/>
      <w:marRight w:val="0"/>
      <w:marTop w:val="0"/>
      <w:marBottom w:val="0"/>
      <w:divBdr>
        <w:top w:val="none" w:sz="0" w:space="0" w:color="auto"/>
        <w:left w:val="none" w:sz="0" w:space="0" w:color="auto"/>
        <w:bottom w:val="none" w:sz="0" w:space="0" w:color="auto"/>
        <w:right w:val="none" w:sz="0" w:space="0" w:color="auto"/>
      </w:divBdr>
    </w:div>
    <w:div w:id="1602957391">
      <w:bodyDiv w:val="1"/>
      <w:marLeft w:val="0"/>
      <w:marRight w:val="0"/>
      <w:marTop w:val="0"/>
      <w:marBottom w:val="0"/>
      <w:divBdr>
        <w:top w:val="none" w:sz="0" w:space="0" w:color="auto"/>
        <w:left w:val="none" w:sz="0" w:space="0" w:color="auto"/>
        <w:bottom w:val="none" w:sz="0" w:space="0" w:color="auto"/>
        <w:right w:val="none" w:sz="0" w:space="0" w:color="auto"/>
      </w:divBdr>
    </w:div>
    <w:div w:id="1604217998">
      <w:bodyDiv w:val="1"/>
      <w:marLeft w:val="0"/>
      <w:marRight w:val="0"/>
      <w:marTop w:val="0"/>
      <w:marBottom w:val="0"/>
      <w:divBdr>
        <w:top w:val="none" w:sz="0" w:space="0" w:color="auto"/>
        <w:left w:val="none" w:sz="0" w:space="0" w:color="auto"/>
        <w:bottom w:val="none" w:sz="0" w:space="0" w:color="auto"/>
        <w:right w:val="none" w:sz="0" w:space="0" w:color="auto"/>
      </w:divBdr>
    </w:div>
    <w:div w:id="1883520675">
      <w:bodyDiv w:val="1"/>
      <w:marLeft w:val="0"/>
      <w:marRight w:val="0"/>
      <w:marTop w:val="0"/>
      <w:marBottom w:val="0"/>
      <w:divBdr>
        <w:top w:val="none" w:sz="0" w:space="0" w:color="auto"/>
        <w:left w:val="none" w:sz="0" w:space="0" w:color="auto"/>
        <w:bottom w:val="none" w:sz="0" w:space="0" w:color="auto"/>
        <w:right w:val="none" w:sz="0" w:space="0" w:color="auto"/>
      </w:divBdr>
    </w:div>
    <w:div w:id="20615874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1C45E1D-9EE6-4501-8D3A-65F3A1D6F9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1999</TotalTime>
  <Pages>6</Pages>
  <Words>2006</Words>
  <Characters>11436</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Guy (2404993)</dc:creator>
  <cp:keywords/>
  <dc:description/>
  <cp:lastModifiedBy>Chris Guy (2404993)</cp:lastModifiedBy>
  <cp:revision>2</cp:revision>
  <dcterms:created xsi:type="dcterms:W3CDTF">2025-03-08T15:28:00Z</dcterms:created>
  <dcterms:modified xsi:type="dcterms:W3CDTF">2025-03-10T00:51:00Z</dcterms:modified>
</cp:coreProperties>
</file>