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654A6" w14:textId="2597E3A1" w:rsidR="00F55D50" w:rsidRPr="00D07272" w:rsidRDefault="00D07272" w:rsidP="00F55D50">
      <w:pPr>
        <w:spacing w:line="360" w:lineRule="auto"/>
        <w:rPr>
          <w:rFonts w:ascii="Times New Roman" w:hAnsi="Times New Roman" w:cs="Times New Roman"/>
          <w:sz w:val="28"/>
          <w:szCs w:val="28"/>
        </w:rPr>
      </w:pPr>
      <w:r w:rsidRPr="00D07272">
        <w:rPr>
          <w:rFonts w:ascii="Times New Roman" w:hAnsi="Times New Roman" w:cs="Times New Roman"/>
          <w:b/>
          <w:sz w:val="28"/>
          <w:szCs w:val="28"/>
        </w:rPr>
        <w:t>Name:</w:t>
      </w:r>
      <w:r w:rsidRPr="00D07272">
        <w:rPr>
          <w:rFonts w:ascii="Times New Roman" w:hAnsi="Times New Roman" w:cs="Times New Roman"/>
          <w:sz w:val="28"/>
          <w:szCs w:val="28"/>
        </w:rPr>
        <w:t xml:space="preserve"> Lauren Nicole Clark </w:t>
      </w:r>
    </w:p>
    <w:p w14:paraId="4F045B73" w14:textId="4B90700F" w:rsidR="00D07272" w:rsidRPr="00D07272" w:rsidRDefault="00D07272" w:rsidP="00F55D50">
      <w:pPr>
        <w:spacing w:line="360" w:lineRule="auto"/>
        <w:rPr>
          <w:rFonts w:ascii="Times New Roman" w:hAnsi="Times New Roman" w:cs="Times New Roman"/>
          <w:sz w:val="28"/>
          <w:szCs w:val="28"/>
        </w:rPr>
      </w:pPr>
      <w:r w:rsidRPr="00D07272">
        <w:rPr>
          <w:rFonts w:ascii="Times New Roman" w:hAnsi="Times New Roman" w:cs="Times New Roman"/>
          <w:b/>
          <w:sz w:val="28"/>
          <w:szCs w:val="28"/>
        </w:rPr>
        <w:t xml:space="preserve">Student Number: </w:t>
      </w:r>
      <w:r w:rsidRPr="00D07272">
        <w:rPr>
          <w:rFonts w:ascii="Times New Roman" w:hAnsi="Times New Roman" w:cs="Times New Roman"/>
          <w:sz w:val="28"/>
          <w:szCs w:val="28"/>
        </w:rPr>
        <w:t>1802674</w:t>
      </w:r>
    </w:p>
    <w:p w14:paraId="31275C72" w14:textId="3724C5D5" w:rsidR="00325FE8" w:rsidRPr="00F55D50" w:rsidRDefault="000F223F" w:rsidP="000F223F">
      <w:pPr>
        <w:spacing w:line="360" w:lineRule="auto"/>
        <w:jc w:val="center"/>
        <w:rPr>
          <w:rFonts w:ascii="Times New Roman" w:hAnsi="Times New Roman" w:cs="Times New Roman"/>
          <w:b/>
          <w:sz w:val="28"/>
          <w:szCs w:val="28"/>
          <w:u w:val="single"/>
        </w:rPr>
      </w:pPr>
      <w:r w:rsidRPr="00F55D50">
        <w:rPr>
          <w:rFonts w:ascii="Times New Roman" w:hAnsi="Times New Roman" w:cs="Times New Roman"/>
          <w:b/>
          <w:sz w:val="28"/>
          <w:szCs w:val="28"/>
          <w:u w:val="single"/>
        </w:rPr>
        <w:t>Using a theme or traditional tale as a stimulus, consider how you might embed the six areas of learning and experience and the four purposes (Donaldson) in an integrated, cross</w:t>
      </w:r>
      <w:r w:rsidR="00F55D50">
        <w:rPr>
          <w:rFonts w:ascii="Times New Roman" w:hAnsi="Times New Roman" w:cs="Times New Roman"/>
          <w:b/>
          <w:sz w:val="28"/>
          <w:szCs w:val="28"/>
          <w:u w:val="single"/>
        </w:rPr>
        <w:t>-</w:t>
      </w:r>
      <w:r w:rsidRPr="00F55D50">
        <w:rPr>
          <w:rFonts w:ascii="Times New Roman" w:hAnsi="Times New Roman" w:cs="Times New Roman"/>
          <w:b/>
          <w:sz w:val="28"/>
          <w:szCs w:val="28"/>
          <w:u w:val="single"/>
        </w:rPr>
        <w:t>curricular approach.</w:t>
      </w:r>
    </w:p>
    <w:p w14:paraId="6447F23C" w14:textId="77777777" w:rsidR="00F55D50" w:rsidRDefault="00F55D50" w:rsidP="00194571">
      <w:pPr>
        <w:spacing w:line="360" w:lineRule="auto"/>
        <w:rPr>
          <w:rFonts w:ascii="Times New Roman" w:hAnsi="Times New Roman" w:cs="Times New Roman"/>
          <w:sz w:val="24"/>
          <w:szCs w:val="24"/>
        </w:rPr>
      </w:pPr>
    </w:p>
    <w:p w14:paraId="0D09237A"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This essay will explore how the traditional tale of “The Three Little Pigs” by Joseph Jacobs can be used as a stimulus for key stage two students aged seven and eight. This stimulus will be used to promote the six areas of learning along with the four learning purposes highlighted in Professor Graham Donaldson’s article “Successful Futures” through various activities created through a cross-curricular approach. These activities are designed to stimulate the children’s numeracy and literacy skills, along with their creative and personal and social skills through activities that can be done individually or in small groups. </w:t>
      </w:r>
    </w:p>
    <w:p w14:paraId="32A2AB4E"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Cross-curricular teaching was introduced in the early twentieth century by John Dewey. Dewey worked to overcome dysfunctional dualisms between the child and the curriculum, freedom and discipline, the individual and the society, body and mind (</w:t>
      </w:r>
      <w:proofErr w:type="spellStart"/>
      <w:r w:rsidRPr="00835FC8">
        <w:rPr>
          <w:rFonts w:ascii="Times New Roman" w:hAnsi="Times New Roman" w:cs="Times New Roman"/>
          <w:sz w:val="24"/>
          <w:szCs w:val="24"/>
        </w:rPr>
        <w:t>Berding</w:t>
      </w:r>
      <w:proofErr w:type="spellEnd"/>
      <w:r w:rsidRPr="00835FC8">
        <w:rPr>
          <w:rFonts w:ascii="Times New Roman" w:hAnsi="Times New Roman" w:cs="Times New Roman"/>
          <w:sz w:val="24"/>
          <w:szCs w:val="24"/>
        </w:rPr>
        <w:t xml:space="preserve">, </w:t>
      </w:r>
      <w:proofErr w:type="spellStart"/>
      <w:r w:rsidRPr="00835FC8">
        <w:rPr>
          <w:rFonts w:ascii="Times New Roman" w:hAnsi="Times New Roman" w:cs="Times New Roman"/>
          <w:sz w:val="24"/>
          <w:szCs w:val="24"/>
        </w:rPr>
        <w:t>Joop</w:t>
      </w:r>
      <w:proofErr w:type="spellEnd"/>
      <w:r w:rsidRPr="00835FC8">
        <w:rPr>
          <w:rFonts w:ascii="Times New Roman" w:hAnsi="Times New Roman" w:cs="Times New Roman"/>
          <w:sz w:val="24"/>
          <w:szCs w:val="24"/>
        </w:rPr>
        <w:t xml:space="preserve"> W. A. 1997). By introducing this new way of educating, teachers were given a lot more freedom </w:t>
      </w:r>
      <w:proofErr w:type="gramStart"/>
      <w:r w:rsidRPr="00835FC8">
        <w:rPr>
          <w:rFonts w:ascii="Times New Roman" w:hAnsi="Times New Roman" w:cs="Times New Roman"/>
          <w:sz w:val="24"/>
          <w:szCs w:val="24"/>
        </w:rPr>
        <w:t>in regard to</w:t>
      </w:r>
      <w:proofErr w:type="gramEnd"/>
      <w:r w:rsidRPr="00835FC8">
        <w:rPr>
          <w:rFonts w:ascii="Times New Roman" w:hAnsi="Times New Roman" w:cs="Times New Roman"/>
          <w:sz w:val="24"/>
          <w:szCs w:val="24"/>
        </w:rPr>
        <w:t xml:space="preserve"> planning and organising what they teach and how they are teaching it. According to Jonathan Barnes the term ‘cross-curricular’ is used to describe knowledge, activities, skills or initiatives that are applied across the curriculum and not confined to one subject (Barnes, J 2011). For example, a lesson in which children are required to investigate and gather information about another country they could be using aspects of Literacy and or ICT whilst using books and the internet to gather their information. To present their findings, children could use creative skills to make posters or information leaflets. If they were required to present their information to their peers, the students will be exercising their Personal and Social Education. All these skills are being promoted in what would usually be considered a lesson primarily learning about Geography. </w:t>
      </w:r>
    </w:p>
    <w:p w14:paraId="25929AB7"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According to Professor Graham Donaldson “children and young people only have a relatively short time at school. We must use that time judiciously and productively to help each one of them to grow as a capable, healthy, well-rounded individual who can thrive in the face of </w:t>
      </w:r>
      <w:r w:rsidRPr="00835FC8">
        <w:rPr>
          <w:rFonts w:ascii="Times New Roman" w:hAnsi="Times New Roman" w:cs="Times New Roman"/>
          <w:sz w:val="24"/>
          <w:szCs w:val="24"/>
        </w:rPr>
        <w:lastRenderedPageBreak/>
        <w:t xml:space="preserve">unknown future challenges” (Donaldson, G. 2015) by teaching subjects using a cross-curricular method children will be gaining knowledge from multiple areas of learning simultaneously. By using cross-curricular methods the time spent in school will be far more productive for the children as they will be learning numerous skills through one lesson or activity. This also will make the students far more prepared and adaptable for later life. There are numerous arguments about the true effectiveness of cross curricular teaching, for example the traditional subject-based curriculum is still being used in </w:t>
      </w:r>
      <w:proofErr w:type="gramStart"/>
      <w:r w:rsidRPr="00835FC8">
        <w:rPr>
          <w:rFonts w:ascii="Times New Roman" w:hAnsi="Times New Roman" w:cs="Times New Roman"/>
          <w:sz w:val="24"/>
          <w:szCs w:val="24"/>
        </w:rPr>
        <w:t>a large number of</w:t>
      </w:r>
      <w:proofErr w:type="gramEnd"/>
      <w:r w:rsidRPr="00835FC8">
        <w:rPr>
          <w:rFonts w:ascii="Times New Roman" w:hAnsi="Times New Roman" w:cs="Times New Roman"/>
          <w:sz w:val="24"/>
          <w:szCs w:val="24"/>
        </w:rPr>
        <w:t xml:space="preserve"> schools in Wales and across the United Kingdom. This curriculum is largely based on the behaviourist theories “skill and drill” exercises to provide the consistent repetition necessary for effective reinforcement of response patterns (Gsi.berkeley.edu. 2019), however this may become too repetitive and could possibly weaken the links between the learning in different subjects for the students. Behaviourist’s theories also heavily depend on assessing the learning through examinations and tests. This is a method that not all children can necessarily excel in, but it does allow the work to be specifically marked within each subject. While “methods have proven to be successful in teaching structured material such as facts and formulae, scientific concepts, and foreign language vocabulary, their efficacy in teaching comprehension, composition, and analytical abilities is questionable.” (Gsi.berkeley.edu. 2019). Although the cross-curricular teaching methods can be more challenging to assess, and can lack coherence and depth within specific subjects, it does however allow children to learn in experiential environments which are supported by Kolb’s cognitive learning models and Blooms taxonomy. Cross-curricular learning can also give students opportunities to be far more creative, an approach which can hugely support the learning of less able children such as those who have additional learning needs or for students whose second language is English.</w:t>
      </w:r>
    </w:p>
    <w:p w14:paraId="04462DFC"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Jonathan Barnes writes in ‘Cross-Curricular Teaching for ages 3-14’ that there are “eight distinct types of cross-curricular teaching and learning, these methods often overlap and sometimes projects can involve several styles, but the types of cross-curricular learning can be described as: tokenistic, hierarchical, single transferable subject, theme based, multi-disciplinary, inter-disciplinary, opportunistic and double focus (Barnes, J 2011 p.66).  Each of these different styles has a different aim; in opportunistic cross-curricular learning the child leads, hierarchical and multidisciplinary primarily focus on combining two or more subjects through enhancing the learning between them. All of these styles focus on combining and enhancing the different areas of learning apart from the tokenistic approach,  this style does not make real connections between subjects or develop learning in more than </w:t>
      </w:r>
      <w:r w:rsidRPr="00835FC8">
        <w:rPr>
          <w:rFonts w:ascii="Times New Roman" w:hAnsi="Times New Roman" w:cs="Times New Roman"/>
          <w:sz w:val="24"/>
          <w:szCs w:val="24"/>
        </w:rPr>
        <w:lastRenderedPageBreak/>
        <w:t>one subject, the learning is only increased in one subject whereas perhaps a song might introduce a history topic but nothing is made of the song and little done to enhance learning in music (Barnes, J. 2014).</w:t>
      </w:r>
    </w:p>
    <w:p w14:paraId="135EC550"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The first cross-curricular activity designed with a cross curricular approach is used with the book ‘The Three Little Wolves and the Big Bad Pig’ by Eugene </w:t>
      </w:r>
      <w:proofErr w:type="spellStart"/>
      <w:r w:rsidRPr="00835FC8">
        <w:rPr>
          <w:rFonts w:ascii="Times New Roman" w:hAnsi="Times New Roman" w:cs="Times New Roman"/>
          <w:sz w:val="24"/>
          <w:szCs w:val="24"/>
        </w:rPr>
        <w:t>Trivizas</w:t>
      </w:r>
      <w:proofErr w:type="spellEnd"/>
      <w:r w:rsidRPr="00835FC8">
        <w:rPr>
          <w:rFonts w:ascii="Times New Roman" w:hAnsi="Times New Roman" w:cs="Times New Roman"/>
          <w:sz w:val="24"/>
          <w:szCs w:val="24"/>
        </w:rPr>
        <w:t xml:space="preserve">. After the class has studied the original story, they will look at an alternative version of the tale in which the roles of the pigs and the wolves have been reversed. Whilst working in small groups the students will be asked to list the unfortunate things that happen in each story and then discuss how and why they happen in real life. For </w:t>
      </w:r>
      <w:proofErr w:type="gramStart"/>
      <w:r w:rsidRPr="00835FC8">
        <w:rPr>
          <w:rFonts w:ascii="Times New Roman" w:hAnsi="Times New Roman" w:cs="Times New Roman"/>
          <w:sz w:val="24"/>
          <w:szCs w:val="24"/>
        </w:rPr>
        <w:t>example</w:t>
      </w:r>
      <w:proofErr w:type="gramEnd"/>
      <w:r w:rsidRPr="00835FC8">
        <w:rPr>
          <w:rFonts w:ascii="Times New Roman" w:hAnsi="Times New Roman" w:cs="Times New Roman"/>
          <w:sz w:val="24"/>
          <w:szCs w:val="24"/>
        </w:rPr>
        <w:t xml:space="preserve"> the bullying portrayed in each story and having to move houses because of the unfortunate surroundings. The children will also be prompted to identify the “evil characters” in each story, and how their opinion of the wolf changed after reading the second version of the book. This part of the activity will promote both Personal and Social Education and literacy through identifying links between cause and effect whilst working with others to contribute to discussions, scanning texts for specific information and identify how texts differ in purpose, structure and layout (DCELLS 2008). Once the children feel they have identified they will then go on to write their own short story about an unfortunate event and what could be done to fix it, such as a child being picked on at school and then going to a parent or teacher for help and advice to resolve the problem. By writing these stories the children will be using language appropriate to writing, including standard forms of English and will be using punctuation to demarcate sentences and begin to use speech marks, commas to mark clauses and phrases, and apostrophes for omission (WAG 2013) while understanding the range of their own feelings and emotions (DCELLS 2008). “Choice is important in helping to engage children and young people in their learning.” (Donaldson, G. 2015) which is why the children </w:t>
      </w:r>
      <w:proofErr w:type="gramStart"/>
      <w:r w:rsidRPr="00835FC8">
        <w:rPr>
          <w:rFonts w:ascii="Times New Roman" w:hAnsi="Times New Roman" w:cs="Times New Roman"/>
          <w:sz w:val="24"/>
          <w:szCs w:val="24"/>
        </w:rPr>
        <w:t>are allowed to</w:t>
      </w:r>
      <w:proofErr w:type="gramEnd"/>
      <w:r w:rsidRPr="00835FC8">
        <w:rPr>
          <w:rFonts w:ascii="Times New Roman" w:hAnsi="Times New Roman" w:cs="Times New Roman"/>
          <w:sz w:val="24"/>
          <w:szCs w:val="24"/>
        </w:rPr>
        <w:t xml:space="preserve"> choose their own topic for their stories. If the children </w:t>
      </w:r>
      <w:proofErr w:type="gramStart"/>
      <w:r w:rsidRPr="00835FC8">
        <w:rPr>
          <w:rFonts w:ascii="Times New Roman" w:hAnsi="Times New Roman" w:cs="Times New Roman"/>
          <w:sz w:val="24"/>
          <w:szCs w:val="24"/>
        </w:rPr>
        <w:t>are allowed to</w:t>
      </w:r>
      <w:proofErr w:type="gramEnd"/>
      <w:r w:rsidRPr="00835FC8">
        <w:rPr>
          <w:rFonts w:ascii="Times New Roman" w:hAnsi="Times New Roman" w:cs="Times New Roman"/>
          <w:sz w:val="24"/>
          <w:szCs w:val="24"/>
        </w:rPr>
        <w:t xml:space="preserve"> write about a topic they are interested in, they will produce a greater standard of work.  This </w:t>
      </w:r>
      <w:proofErr w:type="gramStart"/>
      <w:r w:rsidRPr="00835FC8">
        <w:rPr>
          <w:rFonts w:ascii="Times New Roman" w:hAnsi="Times New Roman" w:cs="Times New Roman"/>
          <w:sz w:val="24"/>
          <w:szCs w:val="24"/>
        </w:rPr>
        <w:t>particular activity</w:t>
      </w:r>
      <w:proofErr w:type="gramEnd"/>
      <w:r w:rsidRPr="00835FC8">
        <w:rPr>
          <w:rFonts w:ascii="Times New Roman" w:hAnsi="Times New Roman" w:cs="Times New Roman"/>
          <w:sz w:val="24"/>
          <w:szCs w:val="24"/>
        </w:rPr>
        <w:t xml:space="preserve"> uses the single transferable subject style of cross-curricular teaching and learning by aiming to improve the student’s literacy and writing skills through the perspective of Personal and Social Education. It also uses the style of hierarchical cross-curricular learning through the activity, again promoting the dominant area of learning, literacy, through the introductory discussion of PSE topics such as bullying. </w:t>
      </w:r>
    </w:p>
    <w:p w14:paraId="35C43A59"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The second activity relating to this stimulus is an individual task in which the students will be creating model houses using similar materials of those used in the original tale of The Three </w:t>
      </w:r>
      <w:r w:rsidRPr="00835FC8">
        <w:rPr>
          <w:rFonts w:ascii="Times New Roman" w:hAnsi="Times New Roman" w:cs="Times New Roman"/>
          <w:sz w:val="24"/>
          <w:szCs w:val="24"/>
        </w:rPr>
        <w:lastRenderedPageBreak/>
        <w:t>Little Pigs. The students will be required to find and use recyclable materials from around the school such as cardboard boxes, lollypop sticks, straw and Lego bricks. They will then design and plan their model house firstly using the mathematical skill of ‘identifying the appropriate steps and information needed to complete the task or reach a solution, select appropriate mathematics and techniques to use and measure on a ruler to the nearest mm and record using a mix of units, e.g. 1cm 3mm’ (WAG 2013). Although the children will be using multiple mathematical skills, this activity also largely promotes Design and Technology skills whilst constructing their model houses. Through using recyclable materials, the students will be considering the safety, reliability and sustainability of their activities/products, they will also be developing a simple specification/recipe for their products indicating their intentions and approach through their designs (WAG 2013). This activity allows the children to use their mathematic skills in a more practical way that they can carry through to the next stages of their life helping these students become ‘enterprising, creative contributors’ through connecting and apply their knowledge and mathematics skills to create ideas and produce their model houses (Donaldson, G. 2015). Inter-disciplinary cross-curricular teaching is displayed in this activity as it promotes creative thinking and connection making between mathematic and design and technology.</w:t>
      </w:r>
    </w:p>
    <w:p w14:paraId="43FF2938" w14:textId="77777777" w:rsidR="00835FC8" w:rsidRPr="00835FC8"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The final activity </w:t>
      </w:r>
      <w:proofErr w:type="gramStart"/>
      <w:r w:rsidRPr="00835FC8">
        <w:rPr>
          <w:rFonts w:ascii="Times New Roman" w:hAnsi="Times New Roman" w:cs="Times New Roman"/>
          <w:sz w:val="24"/>
          <w:szCs w:val="24"/>
        </w:rPr>
        <w:t>in regard to</w:t>
      </w:r>
      <w:proofErr w:type="gramEnd"/>
      <w:r w:rsidRPr="00835FC8">
        <w:rPr>
          <w:rFonts w:ascii="Times New Roman" w:hAnsi="Times New Roman" w:cs="Times New Roman"/>
          <w:sz w:val="24"/>
          <w:szCs w:val="24"/>
        </w:rPr>
        <w:t xml:space="preserve"> this stimulus involves promoting music skills in the year four class. The task will be to create a sound sequence using instruments and voices to convey the story of The Three Little Pigs. The students will work in small groups, each child will select their instrument and then will use a sound board to write their musical sequence and perform it to the class for a show and tell. This will exercise the children’s music skills by playing instruments, using appropriate playing techniques and with increasing dexterity and control of sound and practising and evaluate their performing in order to improve (DCELLS 2008). Whilst using the sound boards the students will also be applying their mathematical skills into a different context; they will be counting in beats, half beats and quarter beats which </w:t>
      </w:r>
      <w:proofErr w:type="gramStart"/>
      <w:r w:rsidRPr="00835FC8">
        <w:rPr>
          <w:rFonts w:ascii="Times New Roman" w:hAnsi="Times New Roman" w:cs="Times New Roman"/>
          <w:sz w:val="24"/>
          <w:szCs w:val="24"/>
        </w:rPr>
        <w:t>are also fractions</w:t>
      </w:r>
      <w:proofErr w:type="gramEnd"/>
      <w:r w:rsidRPr="00835FC8">
        <w:rPr>
          <w:rFonts w:ascii="Times New Roman" w:hAnsi="Times New Roman" w:cs="Times New Roman"/>
          <w:sz w:val="24"/>
          <w:szCs w:val="24"/>
        </w:rPr>
        <w:t xml:space="preserve">. Finally, personal and social education is also promoted in this activity by reflecting upon progress; identifying strengths and weaknesses and setting targets for improvement through the ‘show and tell’ to their peers. They will have the opportunity to receive feedback from their performance which will then help them self-evaluate and improve for the next similar activity. This final activity promotes cross-curricular teaching through the double-focus style as the children are given freedom to create their own musical sequence, with the instruments of their choice, within the realm of the topic. Jonathan Barnes writes “Discovery, </w:t>
      </w:r>
      <w:r w:rsidRPr="00835FC8">
        <w:rPr>
          <w:rFonts w:ascii="Times New Roman" w:hAnsi="Times New Roman" w:cs="Times New Roman"/>
          <w:sz w:val="24"/>
          <w:szCs w:val="24"/>
        </w:rPr>
        <w:lastRenderedPageBreak/>
        <w:t>invention, physical involvement and creative activity often enthuse us and have probably always generated deep, committed and transferable learning” (Barnes, J. 2014) which is why this activity allows a large amount of freedom and creativity.</w:t>
      </w:r>
    </w:p>
    <w:p w14:paraId="2F00E61C" w14:textId="2EDD2EB9" w:rsidR="00644B03" w:rsidRDefault="00835FC8" w:rsidP="00835FC8">
      <w:pPr>
        <w:spacing w:line="360" w:lineRule="auto"/>
        <w:rPr>
          <w:rFonts w:ascii="Times New Roman" w:hAnsi="Times New Roman" w:cs="Times New Roman"/>
          <w:sz w:val="24"/>
          <w:szCs w:val="24"/>
        </w:rPr>
      </w:pPr>
      <w:r w:rsidRPr="00835FC8">
        <w:rPr>
          <w:rFonts w:ascii="Times New Roman" w:hAnsi="Times New Roman" w:cs="Times New Roman"/>
          <w:sz w:val="24"/>
          <w:szCs w:val="24"/>
        </w:rPr>
        <w:t xml:space="preserve">To conclude, by using a cross-curricular teaching and learning methods students and teachers are given a lot more freedom in the classroom. The cross-curricular method also makes the children’s time in schools far more productive as they are learning about multiple different subjects through one lesson or activity. By allowing the students to apply their knowledge into different areas of learning they will be far more prepared for life after school, as Professor Graham </w:t>
      </w:r>
      <w:proofErr w:type="spellStart"/>
      <w:r w:rsidRPr="00835FC8">
        <w:rPr>
          <w:rFonts w:ascii="Times New Roman" w:hAnsi="Times New Roman" w:cs="Times New Roman"/>
          <w:sz w:val="24"/>
          <w:szCs w:val="24"/>
        </w:rPr>
        <w:t>Donladson</w:t>
      </w:r>
      <w:proofErr w:type="spellEnd"/>
      <w:r w:rsidRPr="00835FC8">
        <w:rPr>
          <w:rFonts w:ascii="Times New Roman" w:hAnsi="Times New Roman" w:cs="Times New Roman"/>
          <w:sz w:val="24"/>
          <w:szCs w:val="24"/>
        </w:rPr>
        <w:t xml:space="preserve"> suggests. Since there are numerous styles of cross-curricular teaching, embedding it into lessons should not prove difficult. Perhaps teachers are already teaching in these styles without even realising. Through allowing creative responses, group work and class discussions the cross-curricular method has been embedded within these three activities that are focused around the stimuli of The Three Little Pigs.</w:t>
      </w:r>
      <w:bookmarkStart w:id="0" w:name="_GoBack"/>
      <w:bookmarkEnd w:id="0"/>
      <w:r w:rsidR="00644B03">
        <w:rPr>
          <w:rFonts w:ascii="Times New Roman" w:hAnsi="Times New Roman" w:cs="Times New Roman"/>
          <w:sz w:val="24"/>
          <w:szCs w:val="24"/>
        </w:rPr>
        <w:br w:type="page"/>
      </w:r>
    </w:p>
    <w:p w14:paraId="73D28015" w14:textId="50983A39" w:rsidR="00E00BF0" w:rsidRDefault="00644B03" w:rsidP="0089284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Reference list </w:t>
      </w:r>
    </w:p>
    <w:p w14:paraId="562A10EE" w14:textId="77777777" w:rsidR="00C434EA" w:rsidRDefault="00C434EA" w:rsidP="0079657D">
      <w:pPr>
        <w:pStyle w:val="ListParagraph"/>
        <w:numPr>
          <w:ilvl w:val="0"/>
          <w:numId w:val="1"/>
        </w:numPr>
        <w:spacing w:line="360" w:lineRule="auto"/>
        <w:rPr>
          <w:rFonts w:ascii="Times New Roman" w:hAnsi="Times New Roman" w:cs="Times New Roman"/>
          <w:sz w:val="24"/>
          <w:szCs w:val="24"/>
        </w:rPr>
      </w:pPr>
      <w:r w:rsidRPr="0079657D">
        <w:rPr>
          <w:rFonts w:ascii="Times New Roman" w:hAnsi="Times New Roman" w:cs="Times New Roman"/>
          <w:sz w:val="24"/>
          <w:szCs w:val="24"/>
        </w:rPr>
        <w:t xml:space="preserve">Barnes, J. (2011) </w:t>
      </w:r>
      <w:r w:rsidRPr="00CE0C09">
        <w:rPr>
          <w:rFonts w:ascii="Times New Roman" w:hAnsi="Times New Roman" w:cs="Times New Roman"/>
          <w:i/>
          <w:sz w:val="24"/>
          <w:szCs w:val="24"/>
        </w:rPr>
        <w:t>Cross-curricular learning 3-14</w:t>
      </w:r>
      <w:r w:rsidRPr="0079657D">
        <w:rPr>
          <w:rFonts w:ascii="Times New Roman" w:hAnsi="Times New Roman" w:cs="Times New Roman"/>
          <w:sz w:val="24"/>
          <w:szCs w:val="24"/>
        </w:rPr>
        <w:t xml:space="preserve">. 2nd </w:t>
      </w:r>
      <w:proofErr w:type="spellStart"/>
      <w:r w:rsidRPr="0079657D">
        <w:rPr>
          <w:rFonts w:ascii="Times New Roman" w:hAnsi="Times New Roman" w:cs="Times New Roman"/>
          <w:sz w:val="24"/>
          <w:szCs w:val="24"/>
        </w:rPr>
        <w:t>edn</w:t>
      </w:r>
      <w:proofErr w:type="spellEnd"/>
      <w:r w:rsidRPr="0079657D">
        <w:rPr>
          <w:rFonts w:ascii="Times New Roman" w:hAnsi="Times New Roman" w:cs="Times New Roman"/>
          <w:sz w:val="24"/>
          <w:szCs w:val="24"/>
        </w:rPr>
        <w:t>. London: Sage Publications.</w:t>
      </w:r>
    </w:p>
    <w:p w14:paraId="26D85FC4" w14:textId="77777777" w:rsidR="00C434EA" w:rsidRPr="00C70677" w:rsidRDefault="00C434EA" w:rsidP="00747A2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Barnes, J. (2014) </w:t>
      </w:r>
      <w:r>
        <w:rPr>
          <w:rFonts w:ascii="Times New Roman" w:hAnsi="Times New Roman" w:cs="Times New Roman"/>
          <w:i/>
          <w:sz w:val="24"/>
          <w:szCs w:val="24"/>
        </w:rPr>
        <w:t>Chapter 13. An Introduction to Cross-curricular Teaching.</w:t>
      </w:r>
    </w:p>
    <w:p w14:paraId="55DEABDB" w14:textId="77777777" w:rsidR="00C434EA" w:rsidRPr="00C434EA" w:rsidRDefault="00C434EA" w:rsidP="00C434EA">
      <w:pPr>
        <w:pStyle w:val="ListParagraph"/>
        <w:numPr>
          <w:ilvl w:val="0"/>
          <w:numId w:val="1"/>
        </w:numPr>
        <w:spacing w:line="360" w:lineRule="auto"/>
        <w:rPr>
          <w:rFonts w:ascii="Times New Roman" w:hAnsi="Times New Roman" w:cs="Times New Roman"/>
          <w:sz w:val="24"/>
          <w:szCs w:val="24"/>
        </w:rPr>
      </w:pPr>
      <w:proofErr w:type="spellStart"/>
      <w:r w:rsidRPr="00644B03">
        <w:rPr>
          <w:rFonts w:ascii="Times New Roman" w:hAnsi="Times New Roman" w:cs="Times New Roman"/>
          <w:sz w:val="24"/>
          <w:szCs w:val="24"/>
        </w:rPr>
        <w:t>Berding</w:t>
      </w:r>
      <w:proofErr w:type="spellEnd"/>
      <w:r w:rsidRPr="00644B03">
        <w:rPr>
          <w:rFonts w:ascii="Times New Roman" w:hAnsi="Times New Roman" w:cs="Times New Roman"/>
          <w:sz w:val="24"/>
          <w:szCs w:val="24"/>
        </w:rPr>
        <w:t xml:space="preserve">, </w:t>
      </w:r>
      <w:proofErr w:type="spellStart"/>
      <w:r w:rsidRPr="00644B03">
        <w:rPr>
          <w:rFonts w:ascii="Times New Roman" w:hAnsi="Times New Roman" w:cs="Times New Roman"/>
          <w:sz w:val="24"/>
          <w:szCs w:val="24"/>
        </w:rPr>
        <w:t>Joop</w:t>
      </w:r>
      <w:proofErr w:type="spellEnd"/>
      <w:r w:rsidRPr="00644B03">
        <w:rPr>
          <w:rFonts w:ascii="Times New Roman" w:hAnsi="Times New Roman" w:cs="Times New Roman"/>
          <w:sz w:val="24"/>
          <w:szCs w:val="24"/>
        </w:rPr>
        <w:t xml:space="preserve"> W. A. (1997) "</w:t>
      </w:r>
      <w:r w:rsidRPr="00CE0C09">
        <w:rPr>
          <w:rFonts w:ascii="Times New Roman" w:hAnsi="Times New Roman" w:cs="Times New Roman"/>
          <w:i/>
          <w:sz w:val="24"/>
          <w:szCs w:val="24"/>
        </w:rPr>
        <w:t>Towards a Flexible Curriculum: John Dewey's Theory of Experience and Learning,</w:t>
      </w:r>
      <w:r w:rsidRPr="00644B03">
        <w:rPr>
          <w:rFonts w:ascii="Times New Roman" w:hAnsi="Times New Roman" w:cs="Times New Roman"/>
          <w:sz w:val="24"/>
          <w:szCs w:val="24"/>
        </w:rPr>
        <w:t xml:space="preserve">" Education and Culture: Vol. </w:t>
      </w:r>
      <w:proofErr w:type="gramStart"/>
      <w:r w:rsidRPr="00644B03">
        <w:rPr>
          <w:rFonts w:ascii="Times New Roman" w:hAnsi="Times New Roman" w:cs="Times New Roman"/>
          <w:sz w:val="24"/>
          <w:szCs w:val="24"/>
        </w:rPr>
        <w:t>14 :</w:t>
      </w:r>
      <w:proofErr w:type="gramEnd"/>
      <w:r w:rsidRPr="00644B03">
        <w:rPr>
          <w:rFonts w:ascii="Times New Roman" w:hAnsi="Times New Roman" w:cs="Times New Roman"/>
          <w:sz w:val="24"/>
          <w:szCs w:val="24"/>
        </w:rPr>
        <w:t xml:space="preserve"> </w:t>
      </w:r>
      <w:proofErr w:type="spellStart"/>
      <w:r w:rsidRPr="00644B03">
        <w:rPr>
          <w:rFonts w:ascii="Times New Roman" w:hAnsi="Times New Roman" w:cs="Times New Roman"/>
          <w:sz w:val="24"/>
          <w:szCs w:val="24"/>
        </w:rPr>
        <w:t>Iss</w:t>
      </w:r>
      <w:proofErr w:type="spellEnd"/>
      <w:r w:rsidRPr="00644B03">
        <w:rPr>
          <w:rFonts w:ascii="Times New Roman" w:hAnsi="Times New Roman" w:cs="Times New Roman"/>
          <w:sz w:val="24"/>
          <w:szCs w:val="24"/>
        </w:rPr>
        <w:t xml:space="preserve">. </w:t>
      </w:r>
      <w:proofErr w:type="gramStart"/>
      <w:r w:rsidRPr="00644B03">
        <w:rPr>
          <w:rFonts w:ascii="Times New Roman" w:hAnsi="Times New Roman" w:cs="Times New Roman"/>
          <w:sz w:val="24"/>
          <w:szCs w:val="24"/>
        </w:rPr>
        <w:t>1 ,</w:t>
      </w:r>
      <w:proofErr w:type="gramEnd"/>
      <w:r w:rsidRPr="00644B03">
        <w:rPr>
          <w:rFonts w:ascii="Times New Roman" w:hAnsi="Times New Roman" w:cs="Times New Roman"/>
          <w:sz w:val="24"/>
          <w:szCs w:val="24"/>
        </w:rPr>
        <w:t xml:space="preserve"> Article 5.</w:t>
      </w:r>
      <w:r>
        <w:rPr>
          <w:rFonts w:ascii="Times New Roman" w:hAnsi="Times New Roman" w:cs="Times New Roman"/>
          <w:sz w:val="24"/>
          <w:szCs w:val="24"/>
        </w:rPr>
        <w:t xml:space="preserve"> </w:t>
      </w:r>
      <w:r w:rsidRPr="00C434EA">
        <w:rPr>
          <w:rFonts w:ascii="Times New Roman" w:hAnsi="Times New Roman" w:cs="Times New Roman"/>
          <w:sz w:val="24"/>
          <w:szCs w:val="24"/>
        </w:rPr>
        <w:t xml:space="preserve">Available at: </w:t>
      </w:r>
      <w:hyperlink r:id="rId8" w:history="1">
        <w:r w:rsidRPr="00C434EA">
          <w:rPr>
            <w:rStyle w:val="Hyperlink"/>
            <w:rFonts w:ascii="Times New Roman" w:hAnsi="Times New Roman" w:cs="Times New Roman"/>
            <w:sz w:val="24"/>
            <w:szCs w:val="24"/>
          </w:rPr>
          <w:t>https://docs.lib.purdue.edu/eandc/vol14/iss1/art5</w:t>
        </w:r>
      </w:hyperlink>
    </w:p>
    <w:p w14:paraId="5A73DF9A" w14:textId="77777777" w:rsidR="00C434EA" w:rsidRPr="00953576" w:rsidRDefault="00C434EA" w:rsidP="00747A2C">
      <w:pPr>
        <w:pStyle w:val="ListParagraph"/>
        <w:numPr>
          <w:ilvl w:val="0"/>
          <w:numId w:val="1"/>
        </w:numPr>
        <w:rPr>
          <w:rFonts w:ascii="Times New Roman" w:hAnsi="Times New Roman" w:cs="Times New Roman"/>
          <w:i/>
          <w:sz w:val="24"/>
          <w:szCs w:val="24"/>
        </w:rPr>
      </w:pPr>
      <w:r w:rsidRPr="00747A2C">
        <w:rPr>
          <w:rFonts w:ascii="Times New Roman" w:hAnsi="Times New Roman" w:cs="Times New Roman"/>
          <w:sz w:val="24"/>
          <w:szCs w:val="24"/>
        </w:rPr>
        <w:t xml:space="preserve">DCELLS (2008) </w:t>
      </w:r>
      <w:r w:rsidRPr="00747A2C">
        <w:rPr>
          <w:rFonts w:ascii="Times New Roman" w:hAnsi="Times New Roman" w:cs="Times New Roman"/>
          <w:i/>
          <w:sz w:val="24"/>
          <w:szCs w:val="24"/>
        </w:rPr>
        <w:t xml:space="preserve">Personal and social education framework for 7 to 19-year-olds in Wales Cardiff: </w:t>
      </w:r>
      <w:bookmarkStart w:id="1" w:name="_Hlk534653475"/>
      <w:r w:rsidRPr="00747A2C">
        <w:rPr>
          <w:rFonts w:ascii="Times New Roman" w:hAnsi="Times New Roman" w:cs="Times New Roman"/>
          <w:sz w:val="24"/>
          <w:szCs w:val="24"/>
        </w:rPr>
        <w:t>Welsh Assembly Government</w:t>
      </w:r>
      <w:bookmarkEnd w:id="1"/>
      <w:r>
        <w:rPr>
          <w:rFonts w:ascii="Times New Roman" w:hAnsi="Times New Roman" w:cs="Times New Roman"/>
          <w:sz w:val="24"/>
          <w:szCs w:val="24"/>
        </w:rPr>
        <w:t>.</w:t>
      </w:r>
    </w:p>
    <w:p w14:paraId="2A55F821" w14:textId="77777777" w:rsidR="00C434EA" w:rsidRDefault="00C434EA" w:rsidP="00747A2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DECELLS (2008) </w:t>
      </w:r>
      <w:r w:rsidRPr="00C70677">
        <w:rPr>
          <w:rFonts w:ascii="Times New Roman" w:hAnsi="Times New Roman" w:cs="Times New Roman"/>
          <w:i/>
          <w:sz w:val="24"/>
          <w:szCs w:val="24"/>
        </w:rPr>
        <w:t>Music in the National Curriculum for Wales</w:t>
      </w:r>
      <w:r>
        <w:rPr>
          <w:rFonts w:ascii="Times New Roman" w:hAnsi="Times New Roman" w:cs="Times New Roman"/>
          <w:i/>
          <w:sz w:val="24"/>
          <w:szCs w:val="24"/>
        </w:rPr>
        <w:t xml:space="preserve">. </w:t>
      </w:r>
      <w:r w:rsidRPr="00C70677">
        <w:rPr>
          <w:rFonts w:ascii="Times New Roman" w:hAnsi="Times New Roman" w:cs="Times New Roman"/>
          <w:sz w:val="24"/>
          <w:szCs w:val="24"/>
        </w:rPr>
        <w:t>Welsh Assembly Government</w:t>
      </w:r>
    </w:p>
    <w:p w14:paraId="3F1CD405" w14:textId="77777777" w:rsidR="00C434EA" w:rsidRDefault="00C434EA" w:rsidP="0079657D">
      <w:pPr>
        <w:pStyle w:val="ListParagraph"/>
        <w:numPr>
          <w:ilvl w:val="0"/>
          <w:numId w:val="1"/>
        </w:numPr>
        <w:spacing w:line="360" w:lineRule="auto"/>
        <w:rPr>
          <w:rFonts w:ascii="Times New Roman" w:hAnsi="Times New Roman" w:cs="Times New Roman"/>
          <w:sz w:val="24"/>
          <w:szCs w:val="24"/>
        </w:rPr>
      </w:pPr>
      <w:r w:rsidRPr="0079657D">
        <w:rPr>
          <w:rFonts w:ascii="Times New Roman" w:hAnsi="Times New Roman" w:cs="Times New Roman"/>
          <w:sz w:val="24"/>
          <w:szCs w:val="24"/>
        </w:rPr>
        <w:t xml:space="preserve">Donaldson, G. (2015) </w:t>
      </w:r>
      <w:r w:rsidRPr="00CE0C09">
        <w:rPr>
          <w:rFonts w:ascii="Times New Roman" w:hAnsi="Times New Roman" w:cs="Times New Roman"/>
          <w:i/>
          <w:sz w:val="24"/>
          <w:szCs w:val="24"/>
        </w:rPr>
        <w:t>Successful Futures; Independent Review of Curriculum and Assessment Arrangements in Wales</w:t>
      </w:r>
      <w:r w:rsidRPr="0079657D">
        <w:rPr>
          <w:rFonts w:ascii="Times New Roman" w:hAnsi="Times New Roman" w:cs="Times New Roman"/>
          <w:sz w:val="24"/>
          <w:szCs w:val="24"/>
        </w:rPr>
        <w:t>. OGL: Crown Copyright 2015</w:t>
      </w:r>
    </w:p>
    <w:p w14:paraId="4FFE88F9" w14:textId="77777777" w:rsidR="00C434EA" w:rsidRDefault="00C434EA" w:rsidP="0079657D">
      <w:pPr>
        <w:pStyle w:val="ListParagraph"/>
        <w:numPr>
          <w:ilvl w:val="0"/>
          <w:numId w:val="1"/>
        </w:numPr>
        <w:spacing w:line="360" w:lineRule="auto"/>
        <w:rPr>
          <w:rFonts w:ascii="Times New Roman" w:hAnsi="Times New Roman" w:cs="Times New Roman"/>
          <w:sz w:val="24"/>
          <w:szCs w:val="24"/>
        </w:rPr>
      </w:pPr>
      <w:bookmarkStart w:id="2" w:name="_Hlk534561951"/>
      <w:r w:rsidRPr="00C87D7A">
        <w:rPr>
          <w:rFonts w:ascii="Times New Roman" w:hAnsi="Times New Roman" w:cs="Times New Roman"/>
          <w:sz w:val="24"/>
          <w:szCs w:val="24"/>
        </w:rPr>
        <w:t>Gsi.berkeley.edu. (2019)</w:t>
      </w:r>
      <w:bookmarkEnd w:id="2"/>
      <w:r w:rsidRPr="00C87D7A">
        <w:rPr>
          <w:rFonts w:ascii="Times New Roman" w:hAnsi="Times New Roman" w:cs="Times New Roman"/>
          <w:sz w:val="24"/>
          <w:szCs w:val="24"/>
        </w:rPr>
        <w:t xml:space="preserve">. </w:t>
      </w:r>
      <w:proofErr w:type="spellStart"/>
      <w:r w:rsidRPr="00C87D7A">
        <w:rPr>
          <w:rFonts w:ascii="Times New Roman" w:hAnsi="Times New Roman" w:cs="Times New Roman"/>
          <w:sz w:val="24"/>
          <w:szCs w:val="24"/>
        </w:rPr>
        <w:t>Behaviorism</w:t>
      </w:r>
      <w:proofErr w:type="spellEnd"/>
      <w:r w:rsidRPr="00C87D7A">
        <w:rPr>
          <w:rFonts w:ascii="Times New Roman" w:hAnsi="Times New Roman" w:cs="Times New Roman"/>
          <w:sz w:val="24"/>
          <w:szCs w:val="24"/>
        </w:rPr>
        <w:t xml:space="preserve"> | GSI Teaching &amp; Resource </w:t>
      </w:r>
      <w:proofErr w:type="spellStart"/>
      <w:r w:rsidRPr="00C87D7A">
        <w:rPr>
          <w:rFonts w:ascii="Times New Roman" w:hAnsi="Times New Roman" w:cs="Times New Roman"/>
          <w:sz w:val="24"/>
          <w:szCs w:val="24"/>
        </w:rPr>
        <w:t>Center</w:t>
      </w:r>
      <w:proofErr w:type="spellEnd"/>
      <w:r w:rsidRPr="00C87D7A">
        <w:rPr>
          <w:rFonts w:ascii="Times New Roman" w:hAnsi="Times New Roman" w:cs="Times New Roman"/>
          <w:sz w:val="24"/>
          <w:szCs w:val="24"/>
        </w:rPr>
        <w:t>. [online] Available at: https://gsi.berkeley.edu/gsi-guide-contents/learning-theory-research/behaviorism/ [Accessed 6 Jan. 2019].</w:t>
      </w:r>
      <w:r>
        <w:rPr>
          <w:rFonts w:ascii="Times New Roman" w:hAnsi="Times New Roman" w:cs="Times New Roman"/>
          <w:sz w:val="24"/>
          <w:szCs w:val="24"/>
        </w:rPr>
        <w:t xml:space="preserve"> </w:t>
      </w:r>
    </w:p>
    <w:p w14:paraId="72D9AB65" w14:textId="77777777" w:rsidR="00C434EA" w:rsidRPr="00C70677" w:rsidRDefault="00C434EA" w:rsidP="00747A2C">
      <w:pPr>
        <w:pStyle w:val="ListParagraph"/>
        <w:numPr>
          <w:ilvl w:val="0"/>
          <w:numId w:val="1"/>
        </w:numPr>
        <w:rPr>
          <w:rFonts w:ascii="Times New Roman" w:hAnsi="Times New Roman" w:cs="Times New Roman"/>
          <w:i/>
          <w:sz w:val="24"/>
          <w:szCs w:val="24"/>
        </w:rPr>
      </w:pPr>
      <w:r>
        <w:rPr>
          <w:rFonts w:ascii="Times New Roman" w:hAnsi="Times New Roman" w:cs="Times New Roman"/>
          <w:sz w:val="24"/>
          <w:szCs w:val="24"/>
        </w:rPr>
        <w:t xml:space="preserve">Welsh Government (2013) </w:t>
      </w:r>
      <w:r>
        <w:rPr>
          <w:rFonts w:ascii="Times New Roman" w:hAnsi="Times New Roman" w:cs="Times New Roman"/>
          <w:i/>
          <w:sz w:val="24"/>
          <w:szCs w:val="24"/>
        </w:rPr>
        <w:t xml:space="preserve">Literacy and Numeracy Framework. </w:t>
      </w:r>
      <w:r>
        <w:rPr>
          <w:rFonts w:ascii="Times New Roman" w:hAnsi="Times New Roman" w:cs="Times New Roman"/>
          <w:sz w:val="24"/>
          <w:szCs w:val="24"/>
        </w:rPr>
        <w:t>Cardiff. Welsh Assembly Government.</w:t>
      </w:r>
      <w:r w:rsidRPr="00004B22">
        <w:rPr>
          <w:rFonts w:ascii="Times New Roman" w:hAnsi="Times New Roman" w:cs="Times New Roman"/>
          <w:sz w:val="24"/>
          <w:szCs w:val="24"/>
        </w:rPr>
        <w:t xml:space="preserve"> </w:t>
      </w:r>
      <w:r w:rsidRPr="00747A2C">
        <w:rPr>
          <w:rFonts w:ascii="Times New Roman" w:hAnsi="Times New Roman" w:cs="Times New Roman"/>
          <w:sz w:val="24"/>
          <w:szCs w:val="24"/>
        </w:rPr>
        <w:t>(WAG).</w:t>
      </w:r>
    </w:p>
    <w:sectPr w:rsidR="00C434EA" w:rsidRPr="00C7067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8340E" w14:textId="77777777" w:rsidR="000405E4" w:rsidRDefault="000405E4" w:rsidP="00747A2C">
      <w:pPr>
        <w:spacing w:after="0" w:line="240" w:lineRule="auto"/>
      </w:pPr>
      <w:r>
        <w:separator/>
      </w:r>
    </w:p>
  </w:endnote>
  <w:endnote w:type="continuationSeparator" w:id="0">
    <w:p w14:paraId="41DB00FA" w14:textId="77777777" w:rsidR="000405E4" w:rsidRDefault="000405E4" w:rsidP="00747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709578"/>
      <w:docPartObj>
        <w:docPartGallery w:val="Page Numbers (Bottom of Page)"/>
        <w:docPartUnique/>
      </w:docPartObj>
    </w:sdtPr>
    <w:sdtEndPr>
      <w:rPr>
        <w:noProof/>
      </w:rPr>
    </w:sdtEndPr>
    <w:sdtContent>
      <w:p w14:paraId="103C5CE2" w14:textId="58DB1D50" w:rsidR="00747A2C" w:rsidRDefault="00747A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3B15E" w14:textId="77777777" w:rsidR="00747A2C" w:rsidRDefault="00747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10616" w14:textId="77777777" w:rsidR="000405E4" w:rsidRDefault="000405E4" w:rsidP="00747A2C">
      <w:pPr>
        <w:spacing w:after="0" w:line="240" w:lineRule="auto"/>
      </w:pPr>
      <w:r>
        <w:separator/>
      </w:r>
    </w:p>
  </w:footnote>
  <w:footnote w:type="continuationSeparator" w:id="0">
    <w:p w14:paraId="2A822E9A" w14:textId="77777777" w:rsidR="000405E4" w:rsidRDefault="000405E4" w:rsidP="00747A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2C6280"/>
    <w:multiLevelType w:val="hybridMultilevel"/>
    <w:tmpl w:val="5DC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CC"/>
    <w:rsid w:val="00004B22"/>
    <w:rsid w:val="000405E4"/>
    <w:rsid w:val="00066123"/>
    <w:rsid w:val="000C527C"/>
    <w:rsid w:val="000D7CA9"/>
    <w:rsid w:val="000F0DD3"/>
    <w:rsid w:val="000F223F"/>
    <w:rsid w:val="001368FC"/>
    <w:rsid w:val="00187E77"/>
    <w:rsid w:val="00194571"/>
    <w:rsid w:val="001A1466"/>
    <w:rsid w:val="001A32DA"/>
    <w:rsid w:val="001A4FCC"/>
    <w:rsid w:val="001B11A1"/>
    <w:rsid w:val="002263BB"/>
    <w:rsid w:val="00237B3D"/>
    <w:rsid w:val="002401A7"/>
    <w:rsid w:val="00274BB8"/>
    <w:rsid w:val="00294D4A"/>
    <w:rsid w:val="002E01A7"/>
    <w:rsid w:val="0032048D"/>
    <w:rsid w:val="00325FE8"/>
    <w:rsid w:val="00332F64"/>
    <w:rsid w:val="00341450"/>
    <w:rsid w:val="0035718B"/>
    <w:rsid w:val="003611AC"/>
    <w:rsid w:val="00377A0D"/>
    <w:rsid w:val="00383CF7"/>
    <w:rsid w:val="0038439D"/>
    <w:rsid w:val="003C1811"/>
    <w:rsid w:val="003C56DD"/>
    <w:rsid w:val="00453256"/>
    <w:rsid w:val="004617DC"/>
    <w:rsid w:val="0047361E"/>
    <w:rsid w:val="004A01E4"/>
    <w:rsid w:val="004B0649"/>
    <w:rsid w:val="004D501F"/>
    <w:rsid w:val="004F6C29"/>
    <w:rsid w:val="00530F37"/>
    <w:rsid w:val="00550A2E"/>
    <w:rsid w:val="005827F6"/>
    <w:rsid w:val="00584849"/>
    <w:rsid w:val="005A0B55"/>
    <w:rsid w:val="005A2767"/>
    <w:rsid w:val="005B2929"/>
    <w:rsid w:val="005B5386"/>
    <w:rsid w:val="005C4F62"/>
    <w:rsid w:val="005D0635"/>
    <w:rsid w:val="005D5034"/>
    <w:rsid w:val="00622627"/>
    <w:rsid w:val="0062407C"/>
    <w:rsid w:val="00644B03"/>
    <w:rsid w:val="00660C0A"/>
    <w:rsid w:val="00666017"/>
    <w:rsid w:val="006B4C5E"/>
    <w:rsid w:val="00747325"/>
    <w:rsid w:val="00747A2C"/>
    <w:rsid w:val="00755FFD"/>
    <w:rsid w:val="00761F2C"/>
    <w:rsid w:val="007828F7"/>
    <w:rsid w:val="00786BB2"/>
    <w:rsid w:val="0079657D"/>
    <w:rsid w:val="007C6581"/>
    <w:rsid w:val="007D596C"/>
    <w:rsid w:val="00835FC8"/>
    <w:rsid w:val="008532B3"/>
    <w:rsid w:val="00855276"/>
    <w:rsid w:val="00883F87"/>
    <w:rsid w:val="00892846"/>
    <w:rsid w:val="008A6A93"/>
    <w:rsid w:val="00953576"/>
    <w:rsid w:val="009B32BE"/>
    <w:rsid w:val="009E32F4"/>
    <w:rsid w:val="00A35B68"/>
    <w:rsid w:val="00AE7714"/>
    <w:rsid w:val="00B06632"/>
    <w:rsid w:val="00B109C7"/>
    <w:rsid w:val="00B62E12"/>
    <w:rsid w:val="00B747ED"/>
    <w:rsid w:val="00BB32AC"/>
    <w:rsid w:val="00BE4DD6"/>
    <w:rsid w:val="00BF63C6"/>
    <w:rsid w:val="00C0404F"/>
    <w:rsid w:val="00C21D3A"/>
    <w:rsid w:val="00C239D8"/>
    <w:rsid w:val="00C32DDF"/>
    <w:rsid w:val="00C434EA"/>
    <w:rsid w:val="00C473B9"/>
    <w:rsid w:val="00C57022"/>
    <w:rsid w:val="00C70677"/>
    <w:rsid w:val="00C7214E"/>
    <w:rsid w:val="00C84C2F"/>
    <w:rsid w:val="00C860B1"/>
    <w:rsid w:val="00C87D7A"/>
    <w:rsid w:val="00C9048B"/>
    <w:rsid w:val="00C97B03"/>
    <w:rsid w:val="00CA631E"/>
    <w:rsid w:val="00CB1B11"/>
    <w:rsid w:val="00CD04E2"/>
    <w:rsid w:val="00CE0C09"/>
    <w:rsid w:val="00D07272"/>
    <w:rsid w:val="00D22406"/>
    <w:rsid w:val="00D42AB0"/>
    <w:rsid w:val="00D44E01"/>
    <w:rsid w:val="00D558EE"/>
    <w:rsid w:val="00D60B79"/>
    <w:rsid w:val="00D76B2D"/>
    <w:rsid w:val="00DB2852"/>
    <w:rsid w:val="00E00BF0"/>
    <w:rsid w:val="00E06592"/>
    <w:rsid w:val="00E1346E"/>
    <w:rsid w:val="00E509E1"/>
    <w:rsid w:val="00E559B6"/>
    <w:rsid w:val="00EA168B"/>
    <w:rsid w:val="00EB474A"/>
    <w:rsid w:val="00EB7C78"/>
    <w:rsid w:val="00EF40FB"/>
    <w:rsid w:val="00F40B98"/>
    <w:rsid w:val="00F55D50"/>
    <w:rsid w:val="00F97212"/>
    <w:rsid w:val="00FB12F2"/>
    <w:rsid w:val="00FC7C82"/>
    <w:rsid w:val="00FD4223"/>
    <w:rsid w:val="00FF4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14F04D"/>
  <w15:chartTrackingRefBased/>
  <w15:docId w15:val="{C85D7EC4-4D74-4EDD-AB98-6BC90E20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B03"/>
    <w:pPr>
      <w:ind w:left="720"/>
      <w:contextualSpacing/>
    </w:pPr>
  </w:style>
  <w:style w:type="character" w:styleId="Hyperlink">
    <w:name w:val="Hyperlink"/>
    <w:basedOn w:val="DefaultParagraphFont"/>
    <w:uiPriority w:val="99"/>
    <w:unhideWhenUsed/>
    <w:rsid w:val="0079657D"/>
    <w:rPr>
      <w:color w:val="0563C1" w:themeColor="hyperlink"/>
      <w:u w:val="single"/>
    </w:rPr>
  </w:style>
  <w:style w:type="character" w:styleId="UnresolvedMention">
    <w:name w:val="Unresolved Mention"/>
    <w:basedOn w:val="DefaultParagraphFont"/>
    <w:uiPriority w:val="99"/>
    <w:semiHidden/>
    <w:unhideWhenUsed/>
    <w:rsid w:val="0079657D"/>
    <w:rPr>
      <w:color w:val="605E5C"/>
      <w:shd w:val="clear" w:color="auto" w:fill="E1DFDD"/>
    </w:rPr>
  </w:style>
  <w:style w:type="paragraph" w:styleId="Header">
    <w:name w:val="header"/>
    <w:basedOn w:val="Normal"/>
    <w:link w:val="HeaderChar"/>
    <w:uiPriority w:val="99"/>
    <w:unhideWhenUsed/>
    <w:rsid w:val="00747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A2C"/>
  </w:style>
  <w:style w:type="paragraph" w:styleId="Footer">
    <w:name w:val="footer"/>
    <w:basedOn w:val="Normal"/>
    <w:link w:val="FooterChar"/>
    <w:uiPriority w:val="99"/>
    <w:unhideWhenUsed/>
    <w:rsid w:val="00747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A2C"/>
  </w:style>
  <w:style w:type="paragraph" w:styleId="NoSpacing">
    <w:name w:val="No Spacing"/>
    <w:uiPriority w:val="1"/>
    <w:qFormat/>
    <w:rsid w:val="006660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lib.purdue.edu/eandc/vol14/iss1/art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8D014-962E-4C9F-89EC-B8E0560C0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5</cp:revision>
  <dcterms:created xsi:type="dcterms:W3CDTF">2019-01-07T21:23:00Z</dcterms:created>
  <dcterms:modified xsi:type="dcterms:W3CDTF">2019-01-07T21:56:00Z</dcterms:modified>
</cp:coreProperties>
</file>