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09F038" w14:textId="3F03D7CB" w:rsidR="003F474F" w:rsidRDefault="00A11DE9" w:rsidP="00A11DE9">
      <w:r>
        <w:rPr>
          <w:noProof/>
        </w:rPr>
        <w:drawing>
          <wp:inline distT="0" distB="0" distL="0" distR="0" wp14:anchorId="6365AB22" wp14:editId="28978DAC">
            <wp:extent cx="2883535" cy="11341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3535" cy="1134110"/>
                    </a:xfrm>
                    <a:prstGeom prst="rect">
                      <a:avLst/>
                    </a:prstGeom>
                    <a:noFill/>
                  </pic:spPr>
                </pic:pic>
              </a:graphicData>
            </a:graphic>
          </wp:inline>
        </w:drawing>
      </w:r>
    </w:p>
    <w:p w14:paraId="3868253C" w14:textId="77777777" w:rsidR="00713AC2" w:rsidRDefault="00713AC2" w:rsidP="00A11DE9">
      <w:pPr>
        <w:jc w:val="center"/>
        <w:rPr>
          <w:b/>
          <w:bCs/>
          <w:sz w:val="28"/>
        </w:rPr>
      </w:pPr>
    </w:p>
    <w:p w14:paraId="08832730" w14:textId="77777777" w:rsidR="00713AC2" w:rsidRPr="00FB3BFB" w:rsidRDefault="00713AC2" w:rsidP="00713AC2">
      <w:pPr>
        <w:spacing w:line="240" w:lineRule="auto"/>
        <w:jc w:val="right"/>
        <w:rPr>
          <w:b/>
          <w:bCs/>
          <w:sz w:val="36"/>
          <w:szCs w:val="36"/>
        </w:rPr>
      </w:pPr>
      <w:r w:rsidRPr="00FB3BFB">
        <w:rPr>
          <w:b/>
          <w:bCs/>
          <w:sz w:val="36"/>
          <w:szCs w:val="36"/>
        </w:rPr>
        <w:t>Module Handbook</w:t>
      </w:r>
    </w:p>
    <w:p w14:paraId="0ABC9733" w14:textId="4AD78A79" w:rsidR="001F0423" w:rsidRPr="001F0423" w:rsidRDefault="001F0423" w:rsidP="00EA57B7">
      <w:pPr>
        <w:jc w:val="right"/>
        <w:rPr>
          <w:b/>
          <w:sz w:val="36"/>
          <w:szCs w:val="36"/>
        </w:rPr>
      </w:pPr>
      <w:r>
        <w:rPr>
          <w:b/>
          <w:sz w:val="28"/>
        </w:rPr>
        <w:t xml:space="preserve"> </w:t>
      </w:r>
      <w:r w:rsidRPr="001F0423">
        <w:rPr>
          <w:b/>
          <w:sz w:val="36"/>
          <w:szCs w:val="36"/>
        </w:rPr>
        <w:t>Finance for Business Manager</w:t>
      </w:r>
    </w:p>
    <w:p w14:paraId="02BB4207" w14:textId="77777777" w:rsidR="00713AC2" w:rsidRPr="00FB3BFB" w:rsidRDefault="00713AC2" w:rsidP="00713AC2">
      <w:pPr>
        <w:spacing w:before="0" w:after="0"/>
        <w:ind w:left="5040"/>
        <w:jc w:val="right"/>
        <w:rPr>
          <w:b/>
          <w:bCs/>
          <w:sz w:val="36"/>
          <w:szCs w:val="36"/>
        </w:rPr>
      </w:pPr>
      <w:r w:rsidRPr="00FB3BFB">
        <w:rPr>
          <w:b/>
          <w:bCs/>
          <w:sz w:val="36"/>
          <w:szCs w:val="36"/>
        </w:rPr>
        <w:t xml:space="preserve">  Title of the Assignment:</w:t>
      </w:r>
    </w:p>
    <w:p w14:paraId="64E0ACFB" w14:textId="3AC6EE51" w:rsidR="00713AC2" w:rsidRPr="00FB3BFB" w:rsidRDefault="00713AC2" w:rsidP="00713AC2">
      <w:pPr>
        <w:spacing w:before="0" w:after="0" w:line="480" w:lineRule="auto"/>
        <w:jc w:val="right"/>
        <w:rPr>
          <w:b/>
          <w:bCs/>
          <w:sz w:val="36"/>
          <w:szCs w:val="36"/>
        </w:rPr>
      </w:pPr>
      <w:r w:rsidRPr="00FB3BFB">
        <w:rPr>
          <w:b/>
          <w:bCs/>
          <w:sz w:val="36"/>
          <w:szCs w:val="36"/>
        </w:rPr>
        <w:t xml:space="preserve">            </w:t>
      </w:r>
      <w:r w:rsidR="00EA57B7">
        <w:rPr>
          <w:b/>
          <w:bCs/>
          <w:sz w:val="36"/>
          <w:szCs w:val="36"/>
        </w:rPr>
        <w:t>Westward PLC</w:t>
      </w:r>
    </w:p>
    <w:p w14:paraId="1A58F9FF" w14:textId="77777777" w:rsidR="00713AC2" w:rsidRDefault="00713AC2" w:rsidP="00713AC2">
      <w:pPr>
        <w:spacing w:before="0" w:after="0" w:line="276" w:lineRule="auto"/>
        <w:ind w:left="2880" w:firstLine="720"/>
        <w:jc w:val="right"/>
        <w:rPr>
          <w:b/>
          <w:bCs/>
          <w:sz w:val="36"/>
          <w:szCs w:val="36"/>
        </w:rPr>
      </w:pPr>
      <w:r w:rsidRPr="00FB3BFB">
        <w:rPr>
          <w:b/>
          <w:bCs/>
          <w:sz w:val="36"/>
          <w:szCs w:val="36"/>
        </w:rPr>
        <w:t xml:space="preserve">            Module code:</w:t>
      </w:r>
    </w:p>
    <w:p w14:paraId="627B69D3" w14:textId="3CE72A1E" w:rsidR="00713AC2" w:rsidRPr="00FB3BFB" w:rsidRDefault="00713AC2" w:rsidP="00713AC2">
      <w:pPr>
        <w:spacing w:before="0" w:after="0"/>
        <w:ind w:left="2880" w:firstLine="720"/>
        <w:jc w:val="right"/>
        <w:rPr>
          <w:b/>
          <w:bCs/>
          <w:sz w:val="36"/>
          <w:szCs w:val="36"/>
        </w:rPr>
      </w:pPr>
      <w:r w:rsidRPr="00FB3BFB">
        <w:rPr>
          <w:b/>
          <w:bCs/>
          <w:sz w:val="36"/>
          <w:szCs w:val="36"/>
        </w:rPr>
        <w:t xml:space="preserve"> BM</w:t>
      </w:r>
      <w:r w:rsidR="0033199D">
        <w:rPr>
          <w:b/>
          <w:bCs/>
          <w:sz w:val="36"/>
          <w:szCs w:val="36"/>
        </w:rPr>
        <w:t>MB7005D</w:t>
      </w:r>
    </w:p>
    <w:p w14:paraId="3397BAB7" w14:textId="77777777" w:rsidR="00713AC2" w:rsidRPr="00FB3BFB" w:rsidRDefault="00713AC2" w:rsidP="00713AC2">
      <w:pPr>
        <w:spacing w:line="240" w:lineRule="auto"/>
        <w:jc w:val="right"/>
        <w:rPr>
          <w:rFonts w:eastAsia="Times New Roman"/>
          <w:b/>
          <w:bCs/>
          <w:sz w:val="36"/>
          <w:szCs w:val="36"/>
          <w:lang w:val="en-US"/>
        </w:rPr>
      </w:pPr>
      <w:r w:rsidRPr="00FB3BFB">
        <w:rPr>
          <w:rFonts w:eastAsia="Times New Roman"/>
          <w:b/>
          <w:bCs/>
          <w:sz w:val="36"/>
          <w:szCs w:val="36"/>
          <w:lang w:val="en-US"/>
        </w:rPr>
        <w:t>Semester 1 2025/26</w:t>
      </w:r>
    </w:p>
    <w:p w14:paraId="5EE2CA02" w14:textId="77777777" w:rsidR="00713AC2" w:rsidRPr="001647D0" w:rsidRDefault="00713AC2" w:rsidP="00713AC2">
      <w:pPr>
        <w:spacing w:line="240" w:lineRule="auto"/>
        <w:jc w:val="right"/>
        <w:rPr>
          <w:b/>
          <w:bCs/>
          <w:sz w:val="36"/>
          <w:szCs w:val="36"/>
        </w:rPr>
      </w:pPr>
      <w:r w:rsidRPr="00FB3BFB">
        <w:rPr>
          <w:b/>
          <w:bCs/>
          <w:sz w:val="36"/>
          <w:szCs w:val="36"/>
        </w:rPr>
        <w:t>September 2025</w:t>
      </w:r>
    </w:p>
    <w:p w14:paraId="3D6C8C2A" w14:textId="77777777" w:rsidR="00713AC2" w:rsidRDefault="00713AC2" w:rsidP="00713AC2">
      <w:pPr>
        <w:spacing w:before="0" w:after="0"/>
        <w:jc w:val="center"/>
        <w:rPr>
          <w:b/>
          <w:bCs/>
          <w:sz w:val="32"/>
          <w:szCs w:val="28"/>
        </w:rPr>
      </w:pPr>
      <w:r>
        <w:rPr>
          <w:b/>
          <w:bCs/>
          <w:sz w:val="32"/>
          <w:szCs w:val="28"/>
        </w:rPr>
        <w:t>Submitted by:</w:t>
      </w:r>
    </w:p>
    <w:p w14:paraId="0849EE25" w14:textId="77777777" w:rsidR="00713AC2" w:rsidRDefault="00713AC2" w:rsidP="00713AC2">
      <w:pPr>
        <w:spacing w:before="0" w:after="0"/>
        <w:jc w:val="center"/>
        <w:rPr>
          <w:sz w:val="28"/>
          <w:szCs w:val="28"/>
        </w:rPr>
      </w:pPr>
      <w:r w:rsidRPr="00BD002A">
        <w:rPr>
          <w:sz w:val="28"/>
          <w:szCs w:val="28"/>
        </w:rPr>
        <w:t>Md Sakib Ahmed</w:t>
      </w:r>
    </w:p>
    <w:p w14:paraId="2265FCF1" w14:textId="4EC32DB6" w:rsidR="00A11DE9" w:rsidRPr="0033199D" w:rsidRDefault="00713AC2" w:rsidP="0033199D">
      <w:pPr>
        <w:spacing w:before="0" w:after="0"/>
        <w:jc w:val="center"/>
        <w:rPr>
          <w:sz w:val="28"/>
          <w:szCs w:val="28"/>
        </w:rPr>
      </w:pPr>
      <w:r w:rsidRPr="00BD002A">
        <w:rPr>
          <w:sz w:val="28"/>
          <w:szCs w:val="28"/>
        </w:rPr>
        <w:t>Student number:25037</w:t>
      </w:r>
      <w:r w:rsidR="00B31ECA">
        <w:rPr>
          <w:sz w:val="28"/>
          <w:szCs w:val="28"/>
        </w:rPr>
        <w:t>67</w:t>
      </w:r>
    </w:p>
    <w:p w14:paraId="411E94DF" w14:textId="2306A579" w:rsidR="00A11DE9" w:rsidRPr="00A11DE9" w:rsidRDefault="00A11DE9" w:rsidP="00B31ECA">
      <w:pPr>
        <w:rPr>
          <w:b/>
          <w:sz w:val="28"/>
        </w:rPr>
      </w:pPr>
    </w:p>
    <w:p w14:paraId="47576D37" w14:textId="5C726184" w:rsidR="00A11DE9" w:rsidRPr="00A11DE9" w:rsidRDefault="00A11DE9" w:rsidP="00B31ECA">
      <w:pPr>
        <w:jc w:val="center"/>
        <w:rPr>
          <w:b/>
          <w:sz w:val="28"/>
        </w:rPr>
      </w:pPr>
    </w:p>
    <w:p w14:paraId="6FB2CD47" w14:textId="39BFD03E" w:rsidR="00A11DE9" w:rsidRDefault="00A11DE9">
      <w:r>
        <w:br w:type="page"/>
      </w:r>
    </w:p>
    <w:sdt>
      <w:sdtPr>
        <w:rPr>
          <w:rFonts w:ascii="Arial" w:eastAsiaTheme="minorHAnsi" w:hAnsi="Arial" w:cstheme="minorBidi"/>
          <w:color w:val="auto"/>
          <w:sz w:val="22"/>
          <w:szCs w:val="24"/>
          <w:lang w:val="en-GB"/>
        </w:rPr>
        <w:id w:val="1399242810"/>
        <w:docPartObj>
          <w:docPartGallery w:val="Table of Contents"/>
          <w:docPartUnique/>
        </w:docPartObj>
      </w:sdtPr>
      <w:sdtEndPr>
        <w:rPr>
          <w:b/>
          <w:bCs/>
          <w:noProof/>
        </w:rPr>
      </w:sdtEndPr>
      <w:sdtContent>
        <w:p w14:paraId="1019EEDC" w14:textId="09269F20" w:rsidR="009D02B9" w:rsidRPr="009D02B9" w:rsidRDefault="009D02B9" w:rsidP="009D02B9">
          <w:pPr>
            <w:pStyle w:val="TOCHeading"/>
            <w:jc w:val="center"/>
            <w:rPr>
              <w:rFonts w:ascii="Arial" w:hAnsi="Arial" w:cs="Arial"/>
              <w:b/>
              <w:bCs/>
              <w:color w:val="000000" w:themeColor="text1"/>
              <w:sz w:val="28"/>
              <w:szCs w:val="28"/>
            </w:rPr>
          </w:pPr>
          <w:r w:rsidRPr="009D02B9">
            <w:rPr>
              <w:rFonts w:ascii="Arial" w:hAnsi="Arial" w:cs="Arial"/>
              <w:b/>
              <w:bCs/>
              <w:color w:val="000000" w:themeColor="text1"/>
              <w:sz w:val="28"/>
              <w:szCs w:val="28"/>
            </w:rPr>
            <w:t>Table of Contents</w:t>
          </w:r>
        </w:p>
        <w:p w14:paraId="43C46C43" w14:textId="1E9A180B" w:rsidR="009D02B9" w:rsidRPr="009D02B9" w:rsidRDefault="009D02B9">
          <w:pPr>
            <w:pStyle w:val="TOC1"/>
            <w:tabs>
              <w:tab w:val="right" w:leader="dot" w:pos="9350"/>
            </w:tabs>
            <w:rPr>
              <w:rFonts w:asciiTheme="minorHAnsi" w:eastAsiaTheme="minorEastAsia" w:hAnsiTheme="minorHAnsi"/>
              <w:noProof/>
              <w:sz w:val="20"/>
              <w:szCs w:val="20"/>
              <w:lang w:eastAsia="en-GB"/>
            </w:rPr>
          </w:pPr>
          <w:r w:rsidRPr="009D02B9">
            <w:rPr>
              <w:sz w:val="20"/>
              <w:szCs w:val="22"/>
            </w:rPr>
            <w:fldChar w:fldCharType="begin"/>
          </w:r>
          <w:r w:rsidRPr="009D02B9">
            <w:rPr>
              <w:sz w:val="20"/>
              <w:szCs w:val="22"/>
            </w:rPr>
            <w:instrText xml:space="preserve"> TOC \o "1-3" \h \z \u </w:instrText>
          </w:r>
          <w:r w:rsidRPr="009D02B9">
            <w:rPr>
              <w:sz w:val="20"/>
              <w:szCs w:val="22"/>
            </w:rPr>
            <w:fldChar w:fldCharType="separate"/>
          </w:r>
          <w:hyperlink w:anchor="_Toc218269016" w:history="1">
            <w:r w:rsidRPr="009D02B9">
              <w:rPr>
                <w:rStyle w:val="Hyperlink"/>
                <w:noProof/>
                <w:sz w:val="20"/>
                <w:szCs w:val="22"/>
              </w:rPr>
              <w:t>PART 1 — Business report to Directors (Tesco PLC, FTSE 100)</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_Toc218269016 \h </w:instrText>
            </w:r>
            <w:r w:rsidRPr="009D02B9">
              <w:rPr>
                <w:noProof/>
                <w:webHidden/>
                <w:sz w:val="20"/>
                <w:szCs w:val="22"/>
              </w:rPr>
            </w:r>
            <w:r w:rsidRPr="009D02B9">
              <w:rPr>
                <w:noProof/>
                <w:webHidden/>
                <w:sz w:val="20"/>
                <w:szCs w:val="22"/>
              </w:rPr>
              <w:fldChar w:fldCharType="separate"/>
            </w:r>
            <w:r w:rsidRPr="009D02B9">
              <w:rPr>
                <w:noProof/>
                <w:webHidden/>
                <w:sz w:val="20"/>
                <w:szCs w:val="22"/>
              </w:rPr>
              <w:t>3</w:t>
            </w:r>
            <w:r w:rsidRPr="009D02B9">
              <w:rPr>
                <w:noProof/>
                <w:webHidden/>
                <w:sz w:val="20"/>
                <w:szCs w:val="22"/>
              </w:rPr>
              <w:fldChar w:fldCharType="end"/>
            </w:r>
          </w:hyperlink>
        </w:p>
        <w:p w14:paraId="617A12EA" w14:textId="78B3E100" w:rsidR="009D02B9" w:rsidRPr="009D02B9" w:rsidRDefault="009D02B9">
          <w:pPr>
            <w:pStyle w:val="TOC2"/>
            <w:tabs>
              <w:tab w:val="right" w:leader="dot" w:pos="9350"/>
            </w:tabs>
            <w:rPr>
              <w:rFonts w:asciiTheme="minorHAnsi" w:eastAsiaTheme="minorEastAsia" w:hAnsiTheme="minorHAnsi"/>
              <w:noProof/>
              <w:sz w:val="20"/>
              <w:szCs w:val="20"/>
              <w:lang w:eastAsia="en-GB"/>
            </w:rPr>
          </w:pPr>
          <w:hyperlink w:anchor="_Toc218269017" w:history="1">
            <w:r w:rsidRPr="009D02B9">
              <w:rPr>
                <w:rStyle w:val="Hyperlink"/>
                <w:noProof/>
                <w:sz w:val="20"/>
                <w:szCs w:val="22"/>
              </w:rPr>
              <w:t>1. Introduction</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_Toc218269017 \h </w:instrText>
            </w:r>
            <w:r w:rsidRPr="009D02B9">
              <w:rPr>
                <w:noProof/>
                <w:webHidden/>
                <w:sz w:val="20"/>
                <w:szCs w:val="22"/>
              </w:rPr>
            </w:r>
            <w:r w:rsidRPr="009D02B9">
              <w:rPr>
                <w:noProof/>
                <w:webHidden/>
                <w:sz w:val="20"/>
                <w:szCs w:val="22"/>
              </w:rPr>
              <w:fldChar w:fldCharType="separate"/>
            </w:r>
            <w:r w:rsidRPr="009D02B9">
              <w:rPr>
                <w:noProof/>
                <w:webHidden/>
                <w:sz w:val="20"/>
                <w:szCs w:val="22"/>
              </w:rPr>
              <w:t>3</w:t>
            </w:r>
            <w:r w:rsidRPr="009D02B9">
              <w:rPr>
                <w:noProof/>
                <w:webHidden/>
                <w:sz w:val="20"/>
                <w:szCs w:val="22"/>
              </w:rPr>
              <w:fldChar w:fldCharType="end"/>
            </w:r>
          </w:hyperlink>
        </w:p>
        <w:p w14:paraId="23348D47" w14:textId="48B947E6" w:rsidR="009D02B9" w:rsidRPr="009D02B9" w:rsidRDefault="009D02B9">
          <w:pPr>
            <w:pStyle w:val="TOC2"/>
            <w:tabs>
              <w:tab w:val="right" w:leader="dot" w:pos="9350"/>
            </w:tabs>
            <w:rPr>
              <w:rFonts w:asciiTheme="minorHAnsi" w:eastAsiaTheme="minorEastAsia" w:hAnsiTheme="minorHAnsi"/>
              <w:noProof/>
              <w:sz w:val="20"/>
              <w:szCs w:val="20"/>
              <w:lang w:eastAsia="en-GB"/>
            </w:rPr>
          </w:pPr>
          <w:hyperlink w:anchor="_Toc218269018" w:history="1">
            <w:r w:rsidRPr="009D02B9">
              <w:rPr>
                <w:rStyle w:val="Hyperlink"/>
                <w:noProof/>
                <w:sz w:val="20"/>
                <w:szCs w:val="22"/>
              </w:rPr>
              <w:t>2. Company selected and source</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_Toc218269018 \h </w:instrText>
            </w:r>
            <w:r w:rsidRPr="009D02B9">
              <w:rPr>
                <w:noProof/>
                <w:webHidden/>
                <w:sz w:val="20"/>
                <w:szCs w:val="22"/>
              </w:rPr>
            </w:r>
            <w:r w:rsidRPr="009D02B9">
              <w:rPr>
                <w:noProof/>
                <w:webHidden/>
                <w:sz w:val="20"/>
                <w:szCs w:val="22"/>
              </w:rPr>
              <w:fldChar w:fldCharType="separate"/>
            </w:r>
            <w:r w:rsidRPr="009D02B9">
              <w:rPr>
                <w:noProof/>
                <w:webHidden/>
                <w:sz w:val="20"/>
                <w:szCs w:val="22"/>
              </w:rPr>
              <w:t>3</w:t>
            </w:r>
            <w:r w:rsidRPr="009D02B9">
              <w:rPr>
                <w:noProof/>
                <w:webHidden/>
                <w:sz w:val="20"/>
                <w:szCs w:val="22"/>
              </w:rPr>
              <w:fldChar w:fldCharType="end"/>
            </w:r>
          </w:hyperlink>
        </w:p>
        <w:p w14:paraId="321C9058" w14:textId="43BC033F" w:rsidR="009D02B9" w:rsidRPr="009D02B9" w:rsidRDefault="009D02B9">
          <w:pPr>
            <w:pStyle w:val="TOC2"/>
            <w:tabs>
              <w:tab w:val="right" w:leader="dot" w:pos="9350"/>
            </w:tabs>
            <w:rPr>
              <w:rFonts w:asciiTheme="minorHAnsi" w:eastAsiaTheme="minorEastAsia" w:hAnsiTheme="minorHAnsi"/>
              <w:noProof/>
              <w:sz w:val="20"/>
              <w:szCs w:val="20"/>
              <w:lang w:eastAsia="en-GB"/>
            </w:rPr>
          </w:pPr>
          <w:hyperlink w:anchor="_Toc218269019" w:history="1">
            <w:r w:rsidRPr="009D02B9">
              <w:rPr>
                <w:rStyle w:val="Hyperlink"/>
                <w:noProof/>
                <w:sz w:val="20"/>
                <w:szCs w:val="22"/>
              </w:rPr>
              <w:t>3. Financial ratio calculations</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_Toc218269019 \h </w:instrText>
            </w:r>
            <w:r w:rsidRPr="009D02B9">
              <w:rPr>
                <w:noProof/>
                <w:webHidden/>
                <w:sz w:val="20"/>
                <w:szCs w:val="22"/>
              </w:rPr>
            </w:r>
            <w:r w:rsidRPr="009D02B9">
              <w:rPr>
                <w:noProof/>
                <w:webHidden/>
                <w:sz w:val="20"/>
                <w:szCs w:val="22"/>
              </w:rPr>
              <w:fldChar w:fldCharType="separate"/>
            </w:r>
            <w:r w:rsidRPr="009D02B9">
              <w:rPr>
                <w:noProof/>
                <w:webHidden/>
                <w:sz w:val="20"/>
                <w:szCs w:val="22"/>
              </w:rPr>
              <w:t>4</w:t>
            </w:r>
            <w:r w:rsidRPr="009D02B9">
              <w:rPr>
                <w:noProof/>
                <w:webHidden/>
                <w:sz w:val="20"/>
                <w:szCs w:val="22"/>
              </w:rPr>
              <w:fldChar w:fldCharType="end"/>
            </w:r>
          </w:hyperlink>
        </w:p>
        <w:p w14:paraId="0CDA589D" w14:textId="43DDFD4A" w:rsidR="009D02B9" w:rsidRPr="009D02B9" w:rsidRDefault="009D02B9">
          <w:pPr>
            <w:pStyle w:val="TOC3"/>
            <w:tabs>
              <w:tab w:val="right" w:leader="dot" w:pos="9350"/>
            </w:tabs>
            <w:rPr>
              <w:rFonts w:asciiTheme="minorHAnsi" w:eastAsiaTheme="minorEastAsia" w:hAnsiTheme="minorHAnsi"/>
              <w:noProof/>
              <w:sz w:val="20"/>
              <w:szCs w:val="20"/>
              <w:lang w:eastAsia="en-GB"/>
            </w:rPr>
          </w:pPr>
          <w:hyperlink w:anchor="_Toc218269020" w:history="1">
            <w:r w:rsidRPr="009D02B9">
              <w:rPr>
                <w:rStyle w:val="Hyperlink"/>
                <w:noProof/>
                <w:sz w:val="20"/>
                <w:szCs w:val="22"/>
              </w:rPr>
              <w:t>3.1 Input figures</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_Toc218269020 \h </w:instrText>
            </w:r>
            <w:r w:rsidRPr="009D02B9">
              <w:rPr>
                <w:noProof/>
                <w:webHidden/>
                <w:sz w:val="20"/>
                <w:szCs w:val="22"/>
              </w:rPr>
            </w:r>
            <w:r w:rsidRPr="009D02B9">
              <w:rPr>
                <w:noProof/>
                <w:webHidden/>
                <w:sz w:val="20"/>
                <w:szCs w:val="22"/>
              </w:rPr>
              <w:fldChar w:fldCharType="separate"/>
            </w:r>
            <w:r w:rsidRPr="009D02B9">
              <w:rPr>
                <w:noProof/>
                <w:webHidden/>
                <w:sz w:val="20"/>
                <w:szCs w:val="22"/>
              </w:rPr>
              <w:t>4</w:t>
            </w:r>
            <w:r w:rsidRPr="009D02B9">
              <w:rPr>
                <w:noProof/>
                <w:webHidden/>
                <w:sz w:val="20"/>
                <w:szCs w:val="22"/>
              </w:rPr>
              <w:fldChar w:fldCharType="end"/>
            </w:r>
          </w:hyperlink>
        </w:p>
        <w:p w14:paraId="2F862DF1" w14:textId="62290020" w:rsidR="009D02B9" w:rsidRPr="009D02B9" w:rsidRDefault="009D02B9">
          <w:pPr>
            <w:pStyle w:val="TOC3"/>
            <w:tabs>
              <w:tab w:val="right" w:leader="dot" w:pos="9350"/>
            </w:tabs>
            <w:rPr>
              <w:rFonts w:asciiTheme="minorHAnsi" w:eastAsiaTheme="minorEastAsia" w:hAnsiTheme="minorHAnsi"/>
              <w:noProof/>
              <w:sz w:val="20"/>
              <w:szCs w:val="20"/>
              <w:lang w:eastAsia="en-GB"/>
            </w:rPr>
          </w:pPr>
          <w:hyperlink w:anchor="_Toc218269021" w:history="1">
            <w:r w:rsidRPr="009D02B9">
              <w:rPr>
                <w:rStyle w:val="Hyperlink"/>
                <w:noProof/>
                <w:sz w:val="20"/>
                <w:szCs w:val="22"/>
              </w:rPr>
              <w:t>3.2 Ratio table (minimum two years)</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_Toc218269021 \h </w:instrText>
            </w:r>
            <w:r w:rsidRPr="009D02B9">
              <w:rPr>
                <w:noProof/>
                <w:webHidden/>
                <w:sz w:val="20"/>
                <w:szCs w:val="22"/>
              </w:rPr>
            </w:r>
            <w:r w:rsidRPr="009D02B9">
              <w:rPr>
                <w:noProof/>
                <w:webHidden/>
                <w:sz w:val="20"/>
                <w:szCs w:val="22"/>
              </w:rPr>
              <w:fldChar w:fldCharType="separate"/>
            </w:r>
            <w:r w:rsidRPr="009D02B9">
              <w:rPr>
                <w:noProof/>
                <w:webHidden/>
                <w:sz w:val="20"/>
                <w:szCs w:val="22"/>
              </w:rPr>
              <w:t>5</w:t>
            </w:r>
            <w:r w:rsidRPr="009D02B9">
              <w:rPr>
                <w:noProof/>
                <w:webHidden/>
                <w:sz w:val="20"/>
                <w:szCs w:val="22"/>
              </w:rPr>
              <w:fldChar w:fldCharType="end"/>
            </w:r>
          </w:hyperlink>
        </w:p>
        <w:p w14:paraId="499D4526" w14:textId="64490A42" w:rsidR="009D02B9" w:rsidRPr="009D02B9" w:rsidRDefault="009D02B9">
          <w:pPr>
            <w:pStyle w:val="TOC2"/>
            <w:tabs>
              <w:tab w:val="right" w:leader="dot" w:pos="9350"/>
            </w:tabs>
            <w:rPr>
              <w:rFonts w:asciiTheme="minorHAnsi" w:eastAsiaTheme="minorEastAsia" w:hAnsiTheme="minorHAnsi"/>
              <w:noProof/>
              <w:sz w:val="20"/>
              <w:szCs w:val="20"/>
              <w:lang w:eastAsia="en-GB"/>
            </w:rPr>
          </w:pPr>
          <w:hyperlink w:anchor="_Toc218269022" w:history="1">
            <w:r w:rsidRPr="009D02B9">
              <w:rPr>
                <w:rStyle w:val="Hyperlink"/>
                <w:noProof/>
                <w:sz w:val="20"/>
                <w:szCs w:val="22"/>
              </w:rPr>
              <w:t>4. Critical evaluation of ratio movements</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_Toc218269022 \h </w:instrText>
            </w:r>
            <w:r w:rsidRPr="009D02B9">
              <w:rPr>
                <w:noProof/>
                <w:webHidden/>
                <w:sz w:val="20"/>
                <w:szCs w:val="22"/>
              </w:rPr>
            </w:r>
            <w:r w:rsidRPr="009D02B9">
              <w:rPr>
                <w:noProof/>
                <w:webHidden/>
                <w:sz w:val="20"/>
                <w:szCs w:val="22"/>
              </w:rPr>
              <w:fldChar w:fldCharType="separate"/>
            </w:r>
            <w:r w:rsidRPr="009D02B9">
              <w:rPr>
                <w:noProof/>
                <w:webHidden/>
                <w:sz w:val="20"/>
                <w:szCs w:val="22"/>
              </w:rPr>
              <w:t>11</w:t>
            </w:r>
            <w:r w:rsidRPr="009D02B9">
              <w:rPr>
                <w:noProof/>
                <w:webHidden/>
                <w:sz w:val="20"/>
                <w:szCs w:val="22"/>
              </w:rPr>
              <w:fldChar w:fldCharType="end"/>
            </w:r>
          </w:hyperlink>
        </w:p>
        <w:p w14:paraId="3172B166" w14:textId="00F2BD3A" w:rsidR="009D02B9" w:rsidRPr="009D02B9" w:rsidRDefault="009D02B9">
          <w:pPr>
            <w:pStyle w:val="TOC3"/>
            <w:tabs>
              <w:tab w:val="right" w:leader="dot" w:pos="9350"/>
            </w:tabs>
            <w:rPr>
              <w:rFonts w:asciiTheme="minorHAnsi" w:eastAsiaTheme="minorEastAsia" w:hAnsiTheme="minorHAnsi"/>
              <w:noProof/>
              <w:sz w:val="20"/>
              <w:szCs w:val="20"/>
              <w:lang w:eastAsia="en-GB"/>
            </w:rPr>
          </w:pPr>
          <w:hyperlink w:anchor="_Toc218269023" w:history="1">
            <w:r w:rsidRPr="009D02B9">
              <w:rPr>
                <w:rStyle w:val="Hyperlink"/>
                <w:noProof/>
                <w:sz w:val="20"/>
                <w:szCs w:val="22"/>
              </w:rPr>
              <w:t>4.1 Profitability: stable gross margin, weaker operating margin</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_Toc218269023 \h </w:instrText>
            </w:r>
            <w:r w:rsidRPr="009D02B9">
              <w:rPr>
                <w:noProof/>
                <w:webHidden/>
                <w:sz w:val="20"/>
                <w:szCs w:val="22"/>
              </w:rPr>
            </w:r>
            <w:r w:rsidRPr="009D02B9">
              <w:rPr>
                <w:noProof/>
                <w:webHidden/>
                <w:sz w:val="20"/>
                <w:szCs w:val="22"/>
              </w:rPr>
              <w:fldChar w:fldCharType="separate"/>
            </w:r>
            <w:r w:rsidRPr="009D02B9">
              <w:rPr>
                <w:noProof/>
                <w:webHidden/>
                <w:sz w:val="20"/>
                <w:szCs w:val="22"/>
              </w:rPr>
              <w:t>11</w:t>
            </w:r>
            <w:r w:rsidRPr="009D02B9">
              <w:rPr>
                <w:noProof/>
                <w:webHidden/>
                <w:sz w:val="20"/>
                <w:szCs w:val="22"/>
              </w:rPr>
              <w:fldChar w:fldCharType="end"/>
            </w:r>
          </w:hyperlink>
        </w:p>
        <w:p w14:paraId="180C73CB" w14:textId="2B003D45" w:rsidR="009D02B9" w:rsidRPr="009D02B9" w:rsidRDefault="009D02B9">
          <w:pPr>
            <w:pStyle w:val="TOC3"/>
            <w:tabs>
              <w:tab w:val="right" w:leader="dot" w:pos="9350"/>
            </w:tabs>
            <w:rPr>
              <w:rFonts w:asciiTheme="minorHAnsi" w:eastAsiaTheme="minorEastAsia" w:hAnsiTheme="minorHAnsi"/>
              <w:noProof/>
              <w:sz w:val="20"/>
              <w:szCs w:val="20"/>
              <w:lang w:eastAsia="en-GB"/>
            </w:rPr>
          </w:pPr>
          <w:hyperlink w:anchor="_Toc218269024" w:history="1">
            <w:r w:rsidRPr="009D02B9">
              <w:rPr>
                <w:rStyle w:val="Hyperlink"/>
                <w:noProof/>
                <w:sz w:val="20"/>
                <w:szCs w:val="22"/>
              </w:rPr>
              <w:t>4.2 Liquidity: structurally low, slightly weakening</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_Toc218269024 \h </w:instrText>
            </w:r>
            <w:r w:rsidRPr="009D02B9">
              <w:rPr>
                <w:noProof/>
                <w:webHidden/>
                <w:sz w:val="20"/>
                <w:szCs w:val="22"/>
              </w:rPr>
            </w:r>
            <w:r w:rsidRPr="009D02B9">
              <w:rPr>
                <w:noProof/>
                <w:webHidden/>
                <w:sz w:val="20"/>
                <w:szCs w:val="22"/>
              </w:rPr>
              <w:fldChar w:fldCharType="separate"/>
            </w:r>
            <w:r w:rsidRPr="009D02B9">
              <w:rPr>
                <w:noProof/>
                <w:webHidden/>
                <w:sz w:val="20"/>
                <w:szCs w:val="22"/>
              </w:rPr>
              <w:t>12</w:t>
            </w:r>
            <w:r w:rsidRPr="009D02B9">
              <w:rPr>
                <w:noProof/>
                <w:webHidden/>
                <w:sz w:val="20"/>
                <w:szCs w:val="22"/>
              </w:rPr>
              <w:fldChar w:fldCharType="end"/>
            </w:r>
          </w:hyperlink>
        </w:p>
        <w:p w14:paraId="30C2EF24" w14:textId="4BCDDA85" w:rsidR="009D02B9" w:rsidRPr="009D02B9" w:rsidRDefault="009D02B9">
          <w:pPr>
            <w:pStyle w:val="TOC3"/>
            <w:tabs>
              <w:tab w:val="right" w:leader="dot" w:pos="9350"/>
            </w:tabs>
            <w:rPr>
              <w:rFonts w:asciiTheme="minorHAnsi" w:eastAsiaTheme="minorEastAsia" w:hAnsiTheme="minorHAnsi"/>
              <w:noProof/>
              <w:sz w:val="20"/>
              <w:szCs w:val="20"/>
              <w:lang w:eastAsia="en-GB"/>
            </w:rPr>
          </w:pPr>
          <w:hyperlink w:anchor="_Toc218269025" w:history="1">
            <w:r w:rsidRPr="009D02B9">
              <w:rPr>
                <w:rStyle w:val="Hyperlink"/>
                <w:noProof/>
                <w:sz w:val="20"/>
                <w:szCs w:val="22"/>
              </w:rPr>
              <w:t>4.3 Efficiency: working-capital model remains strong</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_Toc218269025 \h </w:instrText>
            </w:r>
            <w:r w:rsidRPr="009D02B9">
              <w:rPr>
                <w:noProof/>
                <w:webHidden/>
                <w:sz w:val="20"/>
                <w:szCs w:val="22"/>
              </w:rPr>
            </w:r>
            <w:r w:rsidRPr="009D02B9">
              <w:rPr>
                <w:noProof/>
                <w:webHidden/>
                <w:sz w:val="20"/>
                <w:szCs w:val="22"/>
              </w:rPr>
              <w:fldChar w:fldCharType="separate"/>
            </w:r>
            <w:r w:rsidRPr="009D02B9">
              <w:rPr>
                <w:noProof/>
                <w:webHidden/>
                <w:sz w:val="20"/>
                <w:szCs w:val="22"/>
              </w:rPr>
              <w:t>12</w:t>
            </w:r>
            <w:r w:rsidRPr="009D02B9">
              <w:rPr>
                <w:noProof/>
                <w:webHidden/>
                <w:sz w:val="20"/>
                <w:szCs w:val="22"/>
              </w:rPr>
              <w:fldChar w:fldCharType="end"/>
            </w:r>
          </w:hyperlink>
        </w:p>
        <w:p w14:paraId="415CFAFD" w14:textId="08D080FE" w:rsidR="009D02B9" w:rsidRPr="009D02B9" w:rsidRDefault="009D02B9">
          <w:pPr>
            <w:pStyle w:val="TOC3"/>
            <w:tabs>
              <w:tab w:val="right" w:leader="dot" w:pos="9350"/>
            </w:tabs>
            <w:rPr>
              <w:rFonts w:asciiTheme="minorHAnsi" w:eastAsiaTheme="minorEastAsia" w:hAnsiTheme="minorHAnsi"/>
              <w:noProof/>
              <w:sz w:val="20"/>
              <w:szCs w:val="20"/>
              <w:lang w:eastAsia="en-GB"/>
            </w:rPr>
          </w:pPr>
          <w:hyperlink w:anchor="_Toc218269026" w:history="1">
            <w:r w:rsidRPr="009D02B9">
              <w:rPr>
                <w:rStyle w:val="Hyperlink"/>
                <w:noProof/>
                <w:sz w:val="20"/>
                <w:szCs w:val="22"/>
              </w:rPr>
              <w:t>4.4 Gearing: slightly improved net debt position, cover stable</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_Toc218269026 \h </w:instrText>
            </w:r>
            <w:r w:rsidRPr="009D02B9">
              <w:rPr>
                <w:noProof/>
                <w:webHidden/>
                <w:sz w:val="20"/>
                <w:szCs w:val="22"/>
              </w:rPr>
            </w:r>
            <w:r w:rsidRPr="009D02B9">
              <w:rPr>
                <w:noProof/>
                <w:webHidden/>
                <w:sz w:val="20"/>
                <w:szCs w:val="22"/>
              </w:rPr>
              <w:fldChar w:fldCharType="separate"/>
            </w:r>
            <w:r w:rsidRPr="009D02B9">
              <w:rPr>
                <w:noProof/>
                <w:webHidden/>
                <w:sz w:val="20"/>
                <w:szCs w:val="22"/>
              </w:rPr>
              <w:t>13</w:t>
            </w:r>
            <w:r w:rsidRPr="009D02B9">
              <w:rPr>
                <w:noProof/>
                <w:webHidden/>
                <w:sz w:val="20"/>
                <w:szCs w:val="22"/>
              </w:rPr>
              <w:fldChar w:fldCharType="end"/>
            </w:r>
          </w:hyperlink>
        </w:p>
        <w:p w14:paraId="27159D9E" w14:textId="14672C38" w:rsidR="009D02B9" w:rsidRPr="009D02B9" w:rsidRDefault="009D02B9">
          <w:pPr>
            <w:pStyle w:val="TOC2"/>
            <w:tabs>
              <w:tab w:val="right" w:leader="dot" w:pos="9350"/>
            </w:tabs>
            <w:rPr>
              <w:rFonts w:asciiTheme="minorHAnsi" w:eastAsiaTheme="minorEastAsia" w:hAnsiTheme="minorHAnsi"/>
              <w:noProof/>
              <w:sz w:val="20"/>
              <w:szCs w:val="20"/>
              <w:lang w:eastAsia="en-GB"/>
            </w:rPr>
          </w:pPr>
          <w:hyperlink w:anchor="_Toc218269027" w:history="1">
            <w:r w:rsidRPr="009D02B9">
              <w:rPr>
                <w:rStyle w:val="Hyperlink"/>
                <w:noProof/>
                <w:sz w:val="20"/>
                <w:szCs w:val="22"/>
              </w:rPr>
              <w:t>5. Limitations of ratio analysis</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_Toc218269027 \h </w:instrText>
            </w:r>
            <w:r w:rsidRPr="009D02B9">
              <w:rPr>
                <w:noProof/>
                <w:webHidden/>
                <w:sz w:val="20"/>
                <w:szCs w:val="22"/>
              </w:rPr>
            </w:r>
            <w:r w:rsidRPr="009D02B9">
              <w:rPr>
                <w:noProof/>
                <w:webHidden/>
                <w:sz w:val="20"/>
                <w:szCs w:val="22"/>
              </w:rPr>
              <w:fldChar w:fldCharType="separate"/>
            </w:r>
            <w:r w:rsidRPr="009D02B9">
              <w:rPr>
                <w:noProof/>
                <w:webHidden/>
                <w:sz w:val="20"/>
                <w:szCs w:val="22"/>
              </w:rPr>
              <w:t>13</w:t>
            </w:r>
            <w:r w:rsidRPr="009D02B9">
              <w:rPr>
                <w:noProof/>
                <w:webHidden/>
                <w:sz w:val="20"/>
                <w:szCs w:val="22"/>
              </w:rPr>
              <w:fldChar w:fldCharType="end"/>
            </w:r>
          </w:hyperlink>
        </w:p>
        <w:p w14:paraId="034C8AD9" w14:textId="222DA169" w:rsidR="009D02B9" w:rsidRPr="009D02B9" w:rsidRDefault="009D02B9">
          <w:pPr>
            <w:pStyle w:val="TOC2"/>
            <w:tabs>
              <w:tab w:val="right" w:leader="dot" w:pos="9350"/>
            </w:tabs>
            <w:rPr>
              <w:rFonts w:asciiTheme="minorHAnsi" w:eastAsiaTheme="minorEastAsia" w:hAnsiTheme="minorHAnsi"/>
              <w:noProof/>
              <w:sz w:val="20"/>
              <w:szCs w:val="20"/>
              <w:lang w:eastAsia="en-GB"/>
            </w:rPr>
          </w:pPr>
          <w:hyperlink w:anchor="_Toc218269028" w:history="1">
            <w:r w:rsidRPr="009D02B9">
              <w:rPr>
                <w:rStyle w:val="Hyperlink"/>
                <w:noProof/>
                <w:sz w:val="20"/>
                <w:szCs w:val="22"/>
              </w:rPr>
              <w:t>6. Recommendations to improve Tesco’s financial management</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_Toc218269028 \h </w:instrText>
            </w:r>
            <w:r w:rsidRPr="009D02B9">
              <w:rPr>
                <w:noProof/>
                <w:webHidden/>
                <w:sz w:val="20"/>
                <w:szCs w:val="22"/>
              </w:rPr>
            </w:r>
            <w:r w:rsidRPr="009D02B9">
              <w:rPr>
                <w:noProof/>
                <w:webHidden/>
                <w:sz w:val="20"/>
                <w:szCs w:val="22"/>
              </w:rPr>
              <w:fldChar w:fldCharType="separate"/>
            </w:r>
            <w:r w:rsidRPr="009D02B9">
              <w:rPr>
                <w:noProof/>
                <w:webHidden/>
                <w:sz w:val="20"/>
                <w:szCs w:val="22"/>
              </w:rPr>
              <w:t>14</w:t>
            </w:r>
            <w:r w:rsidRPr="009D02B9">
              <w:rPr>
                <w:noProof/>
                <w:webHidden/>
                <w:sz w:val="20"/>
                <w:szCs w:val="22"/>
              </w:rPr>
              <w:fldChar w:fldCharType="end"/>
            </w:r>
          </w:hyperlink>
        </w:p>
        <w:p w14:paraId="2A774F25" w14:textId="74540154" w:rsidR="009D02B9" w:rsidRPr="009D02B9" w:rsidRDefault="009D02B9">
          <w:pPr>
            <w:pStyle w:val="TOC2"/>
            <w:tabs>
              <w:tab w:val="right" w:leader="dot" w:pos="9350"/>
            </w:tabs>
            <w:rPr>
              <w:rFonts w:asciiTheme="minorHAnsi" w:eastAsiaTheme="minorEastAsia" w:hAnsiTheme="minorHAnsi"/>
              <w:noProof/>
              <w:sz w:val="20"/>
              <w:szCs w:val="20"/>
              <w:lang w:eastAsia="en-GB"/>
            </w:rPr>
          </w:pPr>
          <w:hyperlink w:anchor="_Toc218269029" w:history="1">
            <w:r w:rsidRPr="009D02B9">
              <w:rPr>
                <w:rStyle w:val="Hyperlink"/>
                <w:noProof/>
                <w:sz w:val="20"/>
                <w:szCs w:val="22"/>
              </w:rPr>
              <w:t>7. Conclusion</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_Toc218269029 \h </w:instrText>
            </w:r>
            <w:r w:rsidRPr="009D02B9">
              <w:rPr>
                <w:noProof/>
                <w:webHidden/>
                <w:sz w:val="20"/>
                <w:szCs w:val="22"/>
              </w:rPr>
            </w:r>
            <w:r w:rsidRPr="009D02B9">
              <w:rPr>
                <w:noProof/>
                <w:webHidden/>
                <w:sz w:val="20"/>
                <w:szCs w:val="22"/>
              </w:rPr>
              <w:fldChar w:fldCharType="separate"/>
            </w:r>
            <w:r w:rsidRPr="009D02B9">
              <w:rPr>
                <w:noProof/>
                <w:webHidden/>
                <w:sz w:val="20"/>
                <w:szCs w:val="22"/>
              </w:rPr>
              <w:t>15</w:t>
            </w:r>
            <w:r w:rsidRPr="009D02B9">
              <w:rPr>
                <w:noProof/>
                <w:webHidden/>
                <w:sz w:val="20"/>
                <w:szCs w:val="22"/>
              </w:rPr>
              <w:fldChar w:fldCharType="end"/>
            </w:r>
          </w:hyperlink>
        </w:p>
        <w:p w14:paraId="3E240DA5" w14:textId="2F190C91" w:rsidR="009D02B9" w:rsidRPr="009D02B9" w:rsidRDefault="009D02B9">
          <w:pPr>
            <w:pStyle w:val="TOC1"/>
            <w:tabs>
              <w:tab w:val="right" w:leader="dot" w:pos="9350"/>
            </w:tabs>
            <w:rPr>
              <w:rFonts w:asciiTheme="minorHAnsi" w:eastAsiaTheme="minorEastAsia" w:hAnsiTheme="minorHAnsi"/>
              <w:noProof/>
              <w:sz w:val="20"/>
              <w:szCs w:val="20"/>
              <w:lang w:eastAsia="en-GB"/>
            </w:rPr>
          </w:pPr>
          <w:hyperlink w:anchor="_Toc218269030" w:history="1">
            <w:r w:rsidRPr="009D02B9">
              <w:rPr>
                <w:rStyle w:val="Hyperlink"/>
                <w:noProof/>
                <w:sz w:val="20"/>
                <w:szCs w:val="22"/>
              </w:rPr>
              <w:t>PART 2 — Westward Plc investment appraisal report</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_Toc218269030 \h </w:instrText>
            </w:r>
            <w:r w:rsidRPr="009D02B9">
              <w:rPr>
                <w:noProof/>
                <w:webHidden/>
                <w:sz w:val="20"/>
                <w:szCs w:val="22"/>
              </w:rPr>
            </w:r>
            <w:r w:rsidRPr="009D02B9">
              <w:rPr>
                <w:noProof/>
                <w:webHidden/>
                <w:sz w:val="20"/>
                <w:szCs w:val="22"/>
              </w:rPr>
              <w:fldChar w:fldCharType="separate"/>
            </w:r>
            <w:r w:rsidRPr="009D02B9">
              <w:rPr>
                <w:noProof/>
                <w:webHidden/>
                <w:sz w:val="20"/>
                <w:szCs w:val="22"/>
              </w:rPr>
              <w:t>16</w:t>
            </w:r>
            <w:r w:rsidRPr="009D02B9">
              <w:rPr>
                <w:noProof/>
                <w:webHidden/>
                <w:sz w:val="20"/>
                <w:szCs w:val="22"/>
              </w:rPr>
              <w:fldChar w:fldCharType="end"/>
            </w:r>
          </w:hyperlink>
        </w:p>
        <w:p w14:paraId="082C3D33" w14:textId="35249C12" w:rsidR="009D02B9" w:rsidRPr="009D02B9" w:rsidRDefault="009D02B9">
          <w:pPr>
            <w:pStyle w:val="TOC2"/>
            <w:tabs>
              <w:tab w:val="right" w:leader="dot" w:pos="9350"/>
            </w:tabs>
            <w:rPr>
              <w:rFonts w:asciiTheme="minorHAnsi" w:eastAsiaTheme="minorEastAsia" w:hAnsiTheme="minorHAnsi"/>
              <w:noProof/>
              <w:sz w:val="20"/>
              <w:szCs w:val="20"/>
              <w:lang w:eastAsia="en-GB"/>
            </w:rPr>
          </w:pPr>
          <w:hyperlink w:anchor="_Toc218269031" w:history="1">
            <w:r w:rsidRPr="009D02B9">
              <w:rPr>
                <w:rStyle w:val="Hyperlink"/>
                <w:noProof/>
                <w:sz w:val="20"/>
                <w:szCs w:val="22"/>
              </w:rPr>
              <w:t>1. Project Data and Tax Treatment</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_Toc218269031 \h </w:instrText>
            </w:r>
            <w:r w:rsidRPr="009D02B9">
              <w:rPr>
                <w:noProof/>
                <w:webHidden/>
                <w:sz w:val="20"/>
                <w:szCs w:val="22"/>
              </w:rPr>
            </w:r>
            <w:r w:rsidRPr="009D02B9">
              <w:rPr>
                <w:noProof/>
                <w:webHidden/>
                <w:sz w:val="20"/>
                <w:szCs w:val="22"/>
              </w:rPr>
              <w:fldChar w:fldCharType="separate"/>
            </w:r>
            <w:r w:rsidRPr="009D02B9">
              <w:rPr>
                <w:noProof/>
                <w:webHidden/>
                <w:sz w:val="20"/>
                <w:szCs w:val="22"/>
              </w:rPr>
              <w:t>16</w:t>
            </w:r>
            <w:r w:rsidRPr="009D02B9">
              <w:rPr>
                <w:noProof/>
                <w:webHidden/>
                <w:sz w:val="20"/>
                <w:szCs w:val="22"/>
              </w:rPr>
              <w:fldChar w:fldCharType="end"/>
            </w:r>
          </w:hyperlink>
        </w:p>
        <w:p w14:paraId="2434813B" w14:textId="6E6302A9" w:rsidR="009D02B9" w:rsidRPr="009D02B9" w:rsidRDefault="009D02B9">
          <w:pPr>
            <w:pStyle w:val="TOC2"/>
            <w:tabs>
              <w:tab w:val="right" w:leader="dot" w:pos="9350"/>
            </w:tabs>
            <w:rPr>
              <w:rFonts w:asciiTheme="minorHAnsi" w:eastAsiaTheme="minorEastAsia" w:hAnsiTheme="minorHAnsi"/>
              <w:noProof/>
              <w:sz w:val="20"/>
              <w:szCs w:val="20"/>
              <w:lang w:eastAsia="en-GB"/>
            </w:rPr>
          </w:pPr>
          <w:hyperlink w:anchor="_Toc218269032" w:history="1">
            <w:r w:rsidRPr="009D02B9">
              <w:rPr>
                <w:rStyle w:val="Hyperlink"/>
                <w:noProof/>
                <w:sz w:val="20"/>
                <w:szCs w:val="22"/>
              </w:rPr>
              <w:t>2. (a) Net Present Value (NPV) and Recommendation</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_Toc218269032 \h </w:instrText>
            </w:r>
            <w:r w:rsidRPr="009D02B9">
              <w:rPr>
                <w:noProof/>
                <w:webHidden/>
                <w:sz w:val="20"/>
                <w:szCs w:val="22"/>
              </w:rPr>
            </w:r>
            <w:r w:rsidRPr="009D02B9">
              <w:rPr>
                <w:noProof/>
                <w:webHidden/>
                <w:sz w:val="20"/>
                <w:szCs w:val="22"/>
              </w:rPr>
              <w:fldChar w:fldCharType="separate"/>
            </w:r>
            <w:r w:rsidRPr="009D02B9">
              <w:rPr>
                <w:noProof/>
                <w:webHidden/>
                <w:sz w:val="20"/>
                <w:szCs w:val="22"/>
              </w:rPr>
              <w:t>18</w:t>
            </w:r>
            <w:r w:rsidRPr="009D02B9">
              <w:rPr>
                <w:noProof/>
                <w:webHidden/>
                <w:sz w:val="20"/>
                <w:szCs w:val="22"/>
              </w:rPr>
              <w:fldChar w:fldCharType="end"/>
            </w:r>
          </w:hyperlink>
        </w:p>
        <w:p w14:paraId="0D4E74A7" w14:textId="0AA5BFBC" w:rsidR="009D02B9" w:rsidRPr="009D02B9" w:rsidRDefault="009D02B9">
          <w:pPr>
            <w:pStyle w:val="TOC3"/>
            <w:tabs>
              <w:tab w:val="right" w:leader="dot" w:pos="9350"/>
            </w:tabs>
            <w:rPr>
              <w:rFonts w:asciiTheme="minorHAnsi" w:eastAsiaTheme="minorEastAsia" w:hAnsiTheme="minorHAnsi"/>
              <w:noProof/>
              <w:sz w:val="20"/>
              <w:szCs w:val="20"/>
              <w:lang w:eastAsia="en-GB"/>
            </w:rPr>
          </w:pPr>
          <w:hyperlink w:anchor="_Toc218269033" w:history="1">
            <w:r w:rsidRPr="009D02B9">
              <w:rPr>
                <w:rStyle w:val="Hyperlink"/>
                <w:noProof/>
                <w:sz w:val="20"/>
                <w:szCs w:val="22"/>
              </w:rPr>
              <w:t>Recommendation</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_Toc218269033 \h </w:instrText>
            </w:r>
            <w:r w:rsidRPr="009D02B9">
              <w:rPr>
                <w:noProof/>
                <w:webHidden/>
                <w:sz w:val="20"/>
                <w:szCs w:val="22"/>
              </w:rPr>
            </w:r>
            <w:r w:rsidRPr="009D02B9">
              <w:rPr>
                <w:noProof/>
                <w:webHidden/>
                <w:sz w:val="20"/>
                <w:szCs w:val="22"/>
              </w:rPr>
              <w:fldChar w:fldCharType="separate"/>
            </w:r>
            <w:r w:rsidRPr="009D02B9">
              <w:rPr>
                <w:noProof/>
                <w:webHidden/>
                <w:sz w:val="20"/>
                <w:szCs w:val="22"/>
              </w:rPr>
              <w:t>19</w:t>
            </w:r>
            <w:r w:rsidRPr="009D02B9">
              <w:rPr>
                <w:noProof/>
                <w:webHidden/>
                <w:sz w:val="20"/>
                <w:szCs w:val="22"/>
              </w:rPr>
              <w:fldChar w:fldCharType="end"/>
            </w:r>
          </w:hyperlink>
        </w:p>
        <w:p w14:paraId="15DDD155" w14:textId="0733CA9C" w:rsidR="009D02B9" w:rsidRPr="009D02B9" w:rsidRDefault="009D02B9">
          <w:pPr>
            <w:pStyle w:val="TOC2"/>
            <w:tabs>
              <w:tab w:val="right" w:leader="dot" w:pos="9350"/>
            </w:tabs>
            <w:rPr>
              <w:rFonts w:asciiTheme="minorHAnsi" w:eastAsiaTheme="minorEastAsia" w:hAnsiTheme="minorHAnsi"/>
              <w:noProof/>
              <w:sz w:val="20"/>
              <w:szCs w:val="20"/>
              <w:lang w:eastAsia="en-GB"/>
            </w:rPr>
          </w:pPr>
          <w:hyperlink w:anchor="_Toc218269034" w:history="1">
            <w:r w:rsidRPr="009D02B9">
              <w:rPr>
                <w:rStyle w:val="Hyperlink"/>
                <w:noProof/>
                <w:sz w:val="20"/>
                <w:szCs w:val="22"/>
              </w:rPr>
              <w:t>3. (b) Approximate Internal Rate of Return (IRR) for Option B</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_Toc218269034 \h </w:instrText>
            </w:r>
            <w:r w:rsidRPr="009D02B9">
              <w:rPr>
                <w:noProof/>
                <w:webHidden/>
                <w:sz w:val="20"/>
                <w:szCs w:val="22"/>
              </w:rPr>
            </w:r>
            <w:r w:rsidRPr="009D02B9">
              <w:rPr>
                <w:noProof/>
                <w:webHidden/>
                <w:sz w:val="20"/>
                <w:szCs w:val="22"/>
              </w:rPr>
              <w:fldChar w:fldCharType="separate"/>
            </w:r>
            <w:r w:rsidRPr="009D02B9">
              <w:rPr>
                <w:noProof/>
                <w:webHidden/>
                <w:sz w:val="20"/>
                <w:szCs w:val="22"/>
              </w:rPr>
              <w:t>19</w:t>
            </w:r>
            <w:r w:rsidRPr="009D02B9">
              <w:rPr>
                <w:noProof/>
                <w:webHidden/>
                <w:sz w:val="20"/>
                <w:szCs w:val="22"/>
              </w:rPr>
              <w:fldChar w:fldCharType="end"/>
            </w:r>
          </w:hyperlink>
        </w:p>
        <w:p w14:paraId="79B4793A" w14:textId="06343B1E" w:rsidR="009D02B9" w:rsidRPr="009D02B9" w:rsidRDefault="009D02B9">
          <w:pPr>
            <w:pStyle w:val="TOC2"/>
            <w:tabs>
              <w:tab w:val="right" w:leader="dot" w:pos="9350"/>
            </w:tabs>
            <w:rPr>
              <w:rFonts w:asciiTheme="minorHAnsi" w:eastAsiaTheme="minorEastAsia" w:hAnsiTheme="minorHAnsi"/>
              <w:noProof/>
              <w:sz w:val="20"/>
              <w:szCs w:val="20"/>
              <w:lang w:eastAsia="en-GB"/>
            </w:rPr>
          </w:pPr>
          <w:hyperlink w:anchor="_Toc218269035" w:history="1">
            <w:r w:rsidRPr="009D02B9">
              <w:rPr>
                <w:rStyle w:val="Hyperlink"/>
                <w:noProof/>
                <w:sz w:val="20"/>
                <w:szCs w:val="22"/>
              </w:rPr>
              <w:t>4. (c) Interpretation for Management</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_Toc218269035 \h </w:instrText>
            </w:r>
            <w:r w:rsidRPr="009D02B9">
              <w:rPr>
                <w:noProof/>
                <w:webHidden/>
                <w:sz w:val="20"/>
                <w:szCs w:val="22"/>
              </w:rPr>
            </w:r>
            <w:r w:rsidRPr="009D02B9">
              <w:rPr>
                <w:noProof/>
                <w:webHidden/>
                <w:sz w:val="20"/>
                <w:szCs w:val="22"/>
              </w:rPr>
              <w:fldChar w:fldCharType="separate"/>
            </w:r>
            <w:r w:rsidRPr="009D02B9">
              <w:rPr>
                <w:noProof/>
                <w:webHidden/>
                <w:sz w:val="20"/>
                <w:szCs w:val="22"/>
              </w:rPr>
              <w:t>20</w:t>
            </w:r>
            <w:r w:rsidRPr="009D02B9">
              <w:rPr>
                <w:noProof/>
                <w:webHidden/>
                <w:sz w:val="20"/>
                <w:szCs w:val="22"/>
              </w:rPr>
              <w:fldChar w:fldCharType="end"/>
            </w:r>
          </w:hyperlink>
        </w:p>
        <w:p w14:paraId="1B9B8DA0" w14:textId="07981B4B" w:rsidR="009D02B9" w:rsidRPr="009D02B9" w:rsidRDefault="009D02B9">
          <w:pPr>
            <w:pStyle w:val="TOC2"/>
            <w:tabs>
              <w:tab w:val="right" w:leader="dot" w:pos="9350"/>
            </w:tabs>
            <w:rPr>
              <w:rFonts w:asciiTheme="minorHAnsi" w:eastAsiaTheme="minorEastAsia" w:hAnsiTheme="minorHAnsi"/>
              <w:noProof/>
              <w:sz w:val="20"/>
              <w:szCs w:val="20"/>
              <w:lang w:eastAsia="en-GB"/>
            </w:rPr>
          </w:pPr>
          <w:hyperlink w:anchor="_Toc218269036" w:history="1">
            <w:r w:rsidRPr="009D02B9">
              <w:rPr>
                <w:rStyle w:val="Hyperlink"/>
                <w:noProof/>
                <w:sz w:val="20"/>
                <w:szCs w:val="22"/>
              </w:rPr>
              <w:t>5. (d) Capital Rationing: Optimal Investment Policy</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_Toc218269036 \h </w:instrText>
            </w:r>
            <w:r w:rsidRPr="009D02B9">
              <w:rPr>
                <w:noProof/>
                <w:webHidden/>
                <w:sz w:val="20"/>
                <w:szCs w:val="22"/>
              </w:rPr>
            </w:r>
            <w:r w:rsidRPr="009D02B9">
              <w:rPr>
                <w:noProof/>
                <w:webHidden/>
                <w:sz w:val="20"/>
                <w:szCs w:val="22"/>
              </w:rPr>
              <w:fldChar w:fldCharType="separate"/>
            </w:r>
            <w:r w:rsidRPr="009D02B9">
              <w:rPr>
                <w:noProof/>
                <w:webHidden/>
                <w:sz w:val="20"/>
                <w:szCs w:val="22"/>
              </w:rPr>
              <w:t>22</w:t>
            </w:r>
            <w:r w:rsidRPr="009D02B9">
              <w:rPr>
                <w:noProof/>
                <w:webHidden/>
                <w:sz w:val="20"/>
                <w:szCs w:val="22"/>
              </w:rPr>
              <w:fldChar w:fldCharType="end"/>
            </w:r>
          </w:hyperlink>
        </w:p>
        <w:p w14:paraId="3994E7CD" w14:textId="0C48CA00" w:rsidR="009D02B9" w:rsidRPr="009D02B9" w:rsidRDefault="009D02B9">
          <w:pPr>
            <w:pStyle w:val="TOC2"/>
            <w:tabs>
              <w:tab w:val="right" w:leader="dot" w:pos="9350"/>
            </w:tabs>
            <w:rPr>
              <w:rFonts w:asciiTheme="minorHAnsi" w:eastAsiaTheme="minorEastAsia" w:hAnsiTheme="minorHAnsi"/>
              <w:noProof/>
              <w:sz w:val="20"/>
              <w:szCs w:val="20"/>
              <w:lang w:eastAsia="en-GB"/>
            </w:rPr>
          </w:pPr>
          <w:hyperlink w:anchor="_Toc218269037" w:history="1">
            <w:r w:rsidRPr="009D02B9">
              <w:rPr>
                <w:rStyle w:val="Hyperlink"/>
                <w:noProof/>
                <w:sz w:val="20"/>
                <w:szCs w:val="22"/>
              </w:rPr>
              <w:t>6. Conclusion</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_Toc218269037 \h </w:instrText>
            </w:r>
            <w:r w:rsidRPr="009D02B9">
              <w:rPr>
                <w:noProof/>
                <w:webHidden/>
                <w:sz w:val="20"/>
                <w:szCs w:val="22"/>
              </w:rPr>
            </w:r>
            <w:r w:rsidRPr="009D02B9">
              <w:rPr>
                <w:noProof/>
                <w:webHidden/>
                <w:sz w:val="20"/>
                <w:szCs w:val="22"/>
              </w:rPr>
              <w:fldChar w:fldCharType="separate"/>
            </w:r>
            <w:r w:rsidRPr="009D02B9">
              <w:rPr>
                <w:noProof/>
                <w:webHidden/>
                <w:sz w:val="20"/>
                <w:szCs w:val="22"/>
              </w:rPr>
              <w:t>23</w:t>
            </w:r>
            <w:r w:rsidRPr="009D02B9">
              <w:rPr>
                <w:noProof/>
                <w:webHidden/>
                <w:sz w:val="20"/>
                <w:szCs w:val="22"/>
              </w:rPr>
              <w:fldChar w:fldCharType="end"/>
            </w:r>
          </w:hyperlink>
        </w:p>
        <w:p w14:paraId="208D718D" w14:textId="1BE33DD3" w:rsidR="009D02B9" w:rsidRPr="009D02B9" w:rsidRDefault="009D02B9">
          <w:pPr>
            <w:pStyle w:val="TOC3"/>
            <w:tabs>
              <w:tab w:val="right" w:leader="dot" w:pos="9350"/>
            </w:tabs>
            <w:rPr>
              <w:rFonts w:asciiTheme="minorHAnsi" w:eastAsiaTheme="minorEastAsia" w:hAnsiTheme="minorHAnsi"/>
              <w:noProof/>
              <w:sz w:val="20"/>
              <w:szCs w:val="20"/>
              <w:lang w:eastAsia="en-GB"/>
            </w:rPr>
          </w:pPr>
          <w:hyperlink w:anchor="_Toc218269038" w:history="1">
            <w:r w:rsidRPr="009D02B9">
              <w:rPr>
                <w:rStyle w:val="Hyperlink"/>
                <w:noProof/>
                <w:sz w:val="20"/>
                <w:szCs w:val="22"/>
              </w:rPr>
              <w:t>Recommendation</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_Toc218269038 \h </w:instrText>
            </w:r>
            <w:r w:rsidRPr="009D02B9">
              <w:rPr>
                <w:noProof/>
                <w:webHidden/>
                <w:sz w:val="20"/>
                <w:szCs w:val="22"/>
              </w:rPr>
            </w:r>
            <w:r w:rsidRPr="009D02B9">
              <w:rPr>
                <w:noProof/>
                <w:webHidden/>
                <w:sz w:val="20"/>
                <w:szCs w:val="22"/>
              </w:rPr>
              <w:fldChar w:fldCharType="separate"/>
            </w:r>
            <w:r w:rsidRPr="009D02B9">
              <w:rPr>
                <w:noProof/>
                <w:webHidden/>
                <w:sz w:val="20"/>
                <w:szCs w:val="22"/>
              </w:rPr>
              <w:t>24</w:t>
            </w:r>
            <w:r w:rsidRPr="009D02B9">
              <w:rPr>
                <w:noProof/>
                <w:webHidden/>
                <w:sz w:val="20"/>
                <w:szCs w:val="22"/>
              </w:rPr>
              <w:fldChar w:fldCharType="end"/>
            </w:r>
          </w:hyperlink>
        </w:p>
        <w:p w14:paraId="6D49EC09" w14:textId="16C8863A" w:rsidR="009D02B9" w:rsidRPr="009D02B9" w:rsidRDefault="009D02B9">
          <w:pPr>
            <w:pStyle w:val="TOC1"/>
            <w:tabs>
              <w:tab w:val="right" w:leader="dot" w:pos="9350"/>
            </w:tabs>
            <w:rPr>
              <w:rFonts w:asciiTheme="minorHAnsi" w:eastAsiaTheme="minorEastAsia" w:hAnsiTheme="minorHAnsi"/>
              <w:noProof/>
              <w:sz w:val="20"/>
              <w:szCs w:val="20"/>
              <w:lang w:eastAsia="en-GB"/>
            </w:rPr>
          </w:pPr>
          <w:hyperlink w:anchor="_Toc218269039" w:history="1">
            <w:r w:rsidRPr="009D02B9">
              <w:rPr>
                <w:rStyle w:val="Hyperlink"/>
                <w:noProof/>
                <w:sz w:val="20"/>
                <w:szCs w:val="22"/>
              </w:rPr>
              <w:t>References</w:t>
            </w:r>
            <w:r w:rsidRPr="009D02B9">
              <w:rPr>
                <w:noProof/>
                <w:webHidden/>
                <w:sz w:val="20"/>
                <w:szCs w:val="22"/>
              </w:rPr>
              <w:tab/>
            </w:r>
            <w:r w:rsidRPr="009D02B9">
              <w:rPr>
                <w:noProof/>
                <w:webHidden/>
                <w:sz w:val="20"/>
                <w:szCs w:val="22"/>
              </w:rPr>
              <w:fldChar w:fldCharType="begin"/>
            </w:r>
            <w:r w:rsidRPr="009D02B9">
              <w:rPr>
                <w:noProof/>
                <w:webHidden/>
                <w:sz w:val="20"/>
                <w:szCs w:val="22"/>
              </w:rPr>
              <w:instrText xml:space="preserve"> PAGEREF _Toc218269039 \h </w:instrText>
            </w:r>
            <w:r w:rsidRPr="009D02B9">
              <w:rPr>
                <w:noProof/>
                <w:webHidden/>
                <w:sz w:val="20"/>
                <w:szCs w:val="22"/>
              </w:rPr>
            </w:r>
            <w:r w:rsidRPr="009D02B9">
              <w:rPr>
                <w:noProof/>
                <w:webHidden/>
                <w:sz w:val="20"/>
                <w:szCs w:val="22"/>
              </w:rPr>
              <w:fldChar w:fldCharType="separate"/>
            </w:r>
            <w:r w:rsidRPr="009D02B9">
              <w:rPr>
                <w:noProof/>
                <w:webHidden/>
                <w:sz w:val="20"/>
                <w:szCs w:val="22"/>
              </w:rPr>
              <w:t>26</w:t>
            </w:r>
            <w:r w:rsidRPr="009D02B9">
              <w:rPr>
                <w:noProof/>
                <w:webHidden/>
                <w:sz w:val="20"/>
                <w:szCs w:val="22"/>
              </w:rPr>
              <w:fldChar w:fldCharType="end"/>
            </w:r>
          </w:hyperlink>
        </w:p>
        <w:p w14:paraId="4DED1E40" w14:textId="25D2201C" w:rsidR="009D02B9" w:rsidRDefault="009D02B9">
          <w:r w:rsidRPr="009D02B9">
            <w:rPr>
              <w:b/>
              <w:bCs/>
              <w:noProof/>
              <w:sz w:val="20"/>
              <w:szCs w:val="22"/>
            </w:rPr>
            <w:fldChar w:fldCharType="end"/>
          </w:r>
        </w:p>
      </w:sdtContent>
    </w:sdt>
    <w:p w14:paraId="0D4EA45B" w14:textId="49279F60" w:rsidR="009D02B9" w:rsidRDefault="009D02B9" w:rsidP="009D02B9"/>
    <w:p w14:paraId="56A4B94C" w14:textId="3C71A4BE" w:rsidR="00A11DE9" w:rsidRDefault="00A11DE9" w:rsidP="009D02B9">
      <w:pPr>
        <w:pStyle w:val="Heading1"/>
      </w:pPr>
      <w:r>
        <w:br w:type="page"/>
      </w:r>
      <w:bookmarkStart w:id="0" w:name="_Toc218268950"/>
      <w:bookmarkStart w:id="1" w:name="_Toc218269016"/>
      <w:r w:rsidR="00295EC0" w:rsidRPr="00295EC0">
        <w:lastRenderedPageBreak/>
        <w:t xml:space="preserve">PART 1 — Business </w:t>
      </w:r>
      <w:r w:rsidR="00295EC0" w:rsidRPr="00392463">
        <w:t>report</w:t>
      </w:r>
      <w:r w:rsidR="00295EC0" w:rsidRPr="00295EC0">
        <w:t xml:space="preserve"> to Directors (Tesco PLC, FTSE 100)</w:t>
      </w:r>
      <w:bookmarkEnd w:id="0"/>
      <w:bookmarkEnd w:id="1"/>
    </w:p>
    <w:p w14:paraId="73984860" w14:textId="1E23AA48" w:rsidR="00295EC0" w:rsidRDefault="000D7794" w:rsidP="00392463">
      <w:pPr>
        <w:pStyle w:val="Heading2"/>
      </w:pPr>
      <w:bookmarkStart w:id="2" w:name="_Toc218268951"/>
      <w:bookmarkStart w:id="3" w:name="_Toc218269017"/>
      <w:r>
        <w:t xml:space="preserve">1. </w:t>
      </w:r>
      <w:r w:rsidR="002871D0">
        <w:t>Introduction</w:t>
      </w:r>
      <w:bookmarkEnd w:id="2"/>
      <w:bookmarkEnd w:id="3"/>
    </w:p>
    <w:p w14:paraId="0398C26E" w14:textId="3C846BC1" w:rsidR="002871D0" w:rsidRDefault="002871D0" w:rsidP="00295EC0">
      <w:r>
        <w:t>In this report, the financial performance of Tesco PLC during FY2025 (52 weeks ended 22 February 2025) and FY2024 (52 weeks ended 24 February 2024) will be reviewed. It applies the important ratios on profitability, liquidity, efficiency, gearing and investor returns. This is to assist the board in coming up with improved decisions on performance and financial control</w:t>
      </w:r>
      <w:r w:rsidR="00822922">
        <w:t xml:space="preserve"> (</w:t>
      </w:r>
      <w:r w:rsidR="00822922" w:rsidRPr="005A7FB1">
        <w:t>Tesco PLC</w:t>
      </w:r>
      <w:r w:rsidR="00822922">
        <w:t xml:space="preserve">, </w:t>
      </w:r>
      <w:r w:rsidR="00822922" w:rsidRPr="005A7FB1">
        <w:t>2025)</w:t>
      </w:r>
      <w:r>
        <w:t>. The total sales only went up with mixed performance. The gross margin remained at approximately 7.1- 7.2. This implies that Tesco shielded product margin even in the competitive market. Operating margin however decreased by approximately 4.14 to 3.88. This follows because it implies increased operating expenses, or tougher competition on the price. The net profit margin bettered to 2.33 as compared to 1.75. This depicts that the profit realisation was higher than in the last year. The liquidity ratios of Tesco are less than 1. This happens in big supermarkets as they are sold fast and paid to suppliers after some time. Despite this, there may be sensitization of cash shocks by low liquidity. The net debt of Tesco decreased, and the interest cover was enhanced</w:t>
      </w:r>
      <w:r w:rsidR="00032136">
        <w:t>.</w:t>
      </w:r>
      <w:r>
        <w:t xml:space="preserve"> This implies they are slightly better financially, yet leverage should be observed. Tesco is also dependent on supplier credit as indicated by days outstanding payables at about 59 days. This will help the cash flow, yet it may pose risk when suppliers vary payment terms. The principal suggestions include the need to defend operating margin by means of costs control, enhance working capital efficiency, employ stringent investment appraisal guidelines and maintain a robust liquidity buffer to handle competition and cost variability.</w:t>
      </w:r>
    </w:p>
    <w:p w14:paraId="261A8779" w14:textId="2289B5AF" w:rsidR="000D7794" w:rsidRDefault="000D7794" w:rsidP="00392463">
      <w:pPr>
        <w:pStyle w:val="Heading2"/>
      </w:pPr>
      <w:bookmarkStart w:id="4" w:name="_Toc218268952"/>
      <w:bookmarkStart w:id="5" w:name="_Toc218269018"/>
      <w:r w:rsidRPr="000D7794">
        <w:t>2. Company selected and source</w:t>
      </w:r>
      <w:bookmarkEnd w:id="4"/>
      <w:bookmarkEnd w:id="5"/>
      <w:r w:rsidRPr="000D7794">
        <w:t xml:space="preserve"> </w:t>
      </w:r>
    </w:p>
    <w:p w14:paraId="3852EFAB" w14:textId="77777777" w:rsidR="000D7794" w:rsidRDefault="000D7794" w:rsidP="000D7794">
      <w:r w:rsidRPr="000D7794">
        <w:rPr>
          <w:b/>
          <w:bCs/>
        </w:rPr>
        <w:t>Company:</w:t>
      </w:r>
      <w:r>
        <w:t xml:space="preserve"> Tesco PLC (FTSE 100, London Stock Exchange).</w:t>
      </w:r>
    </w:p>
    <w:p w14:paraId="023B931F" w14:textId="37BEE207" w:rsidR="004D2F6B" w:rsidRDefault="000D7794" w:rsidP="004D2F6B">
      <w:r w:rsidRPr="000D7794">
        <w:rPr>
          <w:b/>
          <w:bCs/>
        </w:rPr>
        <w:t>Financial statement source:</w:t>
      </w:r>
      <w:r>
        <w:t xml:space="preserve"> Tesco PLC Annual Report and Financial Statements 2025 (contains FY2025 and FY2024 comparative financial statements).</w:t>
      </w:r>
      <w:r w:rsidR="004D2F6B">
        <w:t xml:space="preserve"> </w:t>
      </w:r>
      <w:hyperlink r:id="rId9" w:history="1">
        <w:r w:rsidR="004D2F6B" w:rsidRPr="005C534C">
          <w:rPr>
            <w:rStyle w:val="Hyperlink"/>
          </w:rPr>
          <w:t>https://financialreports.eu/filings/tesco-plc/annual-report/2025/5894772/</w:t>
        </w:r>
      </w:hyperlink>
    </w:p>
    <w:p w14:paraId="30F1F7CE" w14:textId="6EB20CA8" w:rsidR="004D2F6B" w:rsidRDefault="007C0F32" w:rsidP="004D2F6B">
      <w:r w:rsidRPr="007C0F32">
        <w:t>Tesco PLC has been chosen due to the reason that it is a FTSE 100 organisation and also traded shares on the London Stock Exchange. It is also among the biggest retailers in the UK and hence its performance is handy in comprehending the financial performance in a competitive market. Tesco provides comprehensive and credible financial reports to the general users</w:t>
      </w:r>
      <w:r w:rsidR="00822922">
        <w:t xml:space="preserve"> (</w:t>
      </w:r>
      <w:r w:rsidR="00822922" w:rsidRPr="005A7FB1">
        <w:t>Segal</w:t>
      </w:r>
      <w:r w:rsidR="00822922">
        <w:t xml:space="preserve"> and</w:t>
      </w:r>
      <w:r w:rsidR="00822922" w:rsidRPr="005A7FB1">
        <w:t xml:space="preserve"> Naik,</w:t>
      </w:r>
      <w:r w:rsidR="00822922">
        <w:t xml:space="preserve"> </w:t>
      </w:r>
      <w:r w:rsidR="00822922" w:rsidRPr="005A7FB1">
        <w:t>2019)</w:t>
      </w:r>
      <w:r w:rsidRPr="007C0F32">
        <w:t xml:space="preserve">. The primary source is the Tesco PLC Annual Report and Financial Statements 2025. </w:t>
      </w:r>
      <w:r w:rsidRPr="007C0F32">
        <w:lastRenderedPageBreak/>
        <w:t>In this report, audited accounts of FY2025 are presented, as well as comparative accounts of FY2024. Two-year data would be helpful in trend analysis and the comparison of ratios.</w:t>
      </w:r>
    </w:p>
    <w:p w14:paraId="4EC04746" w14:textId="1E4AE5AA" w:rsidR="004D2F6B" w:rsidRDefault="004D2F6B" w:rsidP="00392463">
      <w:pPr>
        <w:pStyle w:val="Heading2"/>
      </w:pPr>
      <w:bookmarkStart w:id="6" w:name="_Toc218268953"/>
      <w:bookmarkStart w:id="7" w:name="_Toc218269019"/>
      <w:r w:rsidRPr="004D2F6B">
        <w:t>3. Financial ratio calculations</w:t>
      </w:r>
      <w:bookmarkEnd w:id="6"/>
      <w:bookmarkEnd w:id="7"/>
    </w:p>
    <w:p w14:paraId="3A597982" w14:textId="4F501831" w:rsidR="004D2F6B" w:rsidRPr="00392463" w:rsidRDefault="004D2F6B" w:rsidP="00392463">
      <w:pPr>
        <w:pStyle w:val="Heading3"/>
      </w:pPr>
      <w:bookmarkStart w:id="8" w:name="_Toc218268954"/>
      <w:bookmarkStart w:id="9" w:name="_Toc218269020"/>
      <w:r w:rsidRPr="00392463">
        <w:t>3.1 Input figures</w:t>
      </w:r>
      <w:bookmarkEnd w:id="8"/>
      <w:bookmarkEnd w:id="9"/>
    </w:p>
    <w:p w14:paraId="4EBCE60B" w14:textId="012BF364" w:rsidR="004D2F6B" w:rsidRPr="00392463" w:rsidRDefault="003276EF" w:rsidP="004D2F6B">
      <w:pPr>
        <w:rPr>
          <w:b/>
          <w:bCs/>
        </w:rPr>
      </w:pPr>
      <w:r w:rsidRPr="00392463">
        <w:rPr>
          <w:b/>
          <w:bCs/>
        </w:rPr>
        <w:t>Income statement</w:t>
      </w:r>
    </w:p>
    <w:tbl>
      <w:tblPr>
        <w:tblStyle w:val="TableGrid"/>
        <w:tblW w:w="0" w:type="auto"/>
        <w:tblInd w:w="108" w:type="dxa"/>
        <w:tblLook w:val="04A0" w:firstRow="1" w:lastRow="0" w:firstColumn="1" w:lastColumn="0" w:noHBand="0" w:noVBand="1"/>
      </w:tblPr>
      <w:tblGrid>
        <w:gridCol w:w="2970"/>
        <w:gridCol w:w="3078"/>
        <w:gridCol w:w="3078"/>
      </w:tblGrid>
      <w:tr w:rsidR="001D09D7" w14:paraId="46F0668F" w14:textId="77777777" w:rsidTr="00D50A50">
        <w:trPr>
          <w:trHeight w:val="661"/>
        </w:trPr>
        <w:tc>
          <w:tcPr>
            <w:tcW w:w="2970" w:type="dxa"/>
          </w:tcPr>
          <w:p w14:paraId="067C1C45" w14:textId="77777777" w:rsidR="001D09D7" w:rsidRPr="003276EF" w:rsidRDefault="001D09D7" w:rsidP="004D2F6B"/>
        </w:tc>
        <w:tc>
          <w:tcPr>
            <w:tcW w:w="3078" w:type="dxa"/>
          </w:tcPr>
          <w:p w14:paraId="62553AF6" w14:textId="7A7594EE" w:rsidR="001D09D7" w:rsidRPr="001D09D7" w:rsidRDefault="001D09D7" w:rsidP="004D2F6B">
            <w:pPr>
              <w:rPr>
                <w:b/>
                <w:bCs/>
              </w:rPr>
            </w:pPr>
            <w:r w:rsidRPr="001D09D7">
              <w:rPr>
                <w:b/>
                <w:bCs/>
              </w:rPr>
              <w:t>FY2025</w:t>
            </w:r>
          </w:p>
        </w:tc>
        <w:tc>
          <w:tcPr>
            <w:tcW w:w="3078" w:type="dxa"/>
          </w:tcPr>
          <w:p w14:paraId="7AC3DC89" w14:textId="4B00881A" w:rsidR="001D09D7" w:rsidRPr="001D09D7" w:rsidRDefault="001D09D7" w:rsidP="004D2F6B">
            <w:pPr>
              <w:rPr>
                <w:b/>
                <w:bCs/>
              </w:rPr>
            </w:pPr>
            <w:r w:rsidRPr="001D09D7">
              <w:rPr>
                <w:b/>
                <w:bCs/>
              </w:rPr>
              <w:t>FY2024</w:t>
            </w:r>
          </w:p>
        </w:tc>
      </w:tr>
      <w:tr w:rsidR="003276EF" w14:paraId="0B86CFE3" w14:textId="77777777" w:rsidTr="00D50A50">
        <w:trPr>
          <w:trHeight w:val="661"/>
        </w:trPr>
        <w:tc>
          <w:tcPr>
            <w:tcW w:w="2970" w:type="dxa"/>
          </w:tcPr>
          <w:p w14:paraId="5B823571" w14:textId="40E76E65" w:rsidR="003276EF" w:rsidRDefault="003276EF" w:rsidP="004D2F6B">
            <w:r w:rsidRPr="003276EF">
              <w:t>Revenue</w:t>
            </w:r>
          </w:p>
        </w:tc>
        <w:tc>
          <w:tcPr>
            <w:tcW w:w="3078" w:type="dxa"/>
          </w:tcPr>
          <w:p w14:paraId="2D491C66" w14:textId="79A6AFFC" w:rsidR="003276EF" w:rsidRDefault="001D09D7" w:rsidP="004D2F6B">
            <w:r w:rsidRPr="003276EF">
              <w:t>£69,916m</w:t>
            </w:r>
          </w:p>
        </w:tc>
        <w:tc>
          <w:tcPr>
            <w:tcW w:w="3078" w:type="dxa"/>
          </w:tcPr>
          <w:p w14:paraId="68D3418E" w14:textId="26463913" w:rsidR="003276EF" w:rsidRDefault="001D09D7" w:rsidP="004D2F6B">
            <w:r w:rsidRPr="003276EF">
              <w:t>£68,187m</w:t>
            </w:r>
          </w:p>
        </w:tc>
      </w:tr>
      <w:tr w:rsidR="001D09D7" w14:paraId="0477A5BE" w14:textId="77777777" w:rsidTr="00D50A50">
        <w:trPr>
          <w:trHeight w:val="688"/>
        </w:trPr>
        <w:tc>
          <w:tcPr>
            <w:tcW w:w="2970" w:type="dxa"/>
          </w:tcPr>
          <w:p w14:paraId="4DE1EF23" w14:textId="276455B0" w:rsidR="001D09D7" w:rsidRDefault="001D09D7" w:rsidP="001D09D7">
            <w:r w:rsidRPr="003276EF">
              <w:t>Cost of sales (total)</w:t>
            </w:r>
          </w:p>
        </w:tc>
        <w:tc>
          <w:tcPr>
            <w:tcW w:w="3078" w:type="dxa"/>
          </w:tcPr>
          <w:p w14:paraId="6F9FE9FA" w14:textId="44E30819" w:rsidR="001D09D7" w:rsidRDefault="001D09D7" w:rsidP="001D09D7">
            <w:r w:rsidRPr="003276EF">
              <w:t>£ (64,205) m</w:t>
            </w:r>
          </w:p>
        </w:tc>
        <w:tc>
          <w:tcPr>
            <w:tcW w:w="3078" w:type="dxa"/>
          </w:tcPr>
          <w:p w14:paraId="64E01AF9" w14:textId="182FA803" w:rsidR="001D09D7" w:rsidRDefault="001D09D7" w:rsidP="001D09D7">
            <w:r w:rsidRPr="003276EF">
              <w:t>£ (62,836) m</w:t>
            </w:r>
          </w:p>
        </w:tc>
      </w:tr>
      <w:tr w:rsidR="001D09D7" w14:paraId="788A5D1B" w14:textId="77777777" w:rsidTr="00D50A50">
        <w:trPr>
          <w:trHeight w:val="661"/>
        </w:trPr>
        <w:tc>
          <w:tcPr>
            <w:tcW w:w="2970" w:type="dxa"/>
          </w:tcPr>
          <w:p w14:paraId="7D1E10FC" w14:textId="3D48B6B7" w:rsidR="001D09D7" w:rsidRDefault="001D09D7" w:rsidP="001D09D7">
            <w:r w:rsidRPr="003276EF">
              <w:t>Gross profit</w:t>
            </w:r>
          </w:p>
        </w:tc>
        <w:tc>
          <w:tcPr>
            <w:tcW w:w="3078" w:type="dxa"/>
          </w:tcPr>
          <w:p w14:paraId="057E7EC6" w14:textId="5C992E80" w:rsidR="001D09D7" w:rsidRDefault="001D09D7" w:rsidP="001D09D7">
            <w:r w:rsidRPr="003276EF">
              <w:t>£5,051m</w:t>
            </w:r>
          </w:p>
        </w:tc>
        <w:tc>
          <w:tcPr>
            <w:tcW w:w="3078" w:type="dxa"/>
          </w:tcPr>
          <w:p w14:paraId="60D222B5" w14:textId="533A0314" w:rsidR="001D09D7" w:rsidRDefault="001D09D7" w:rsidP="001D09D7">
            <w:r w:rsidRPr="003276EF">
              <w:t>£4,849m</w:t>
            </w:r>
          </w:p>
        </w:tc>
      </w:tr>
      <w:tr w:rsidR="001D09D7" w14:paraId="67F8D76A" w14:textId="77777777" w:rsidTr="00D50A50">
        <w:trPr>
          <w:trHeight w:val="661"/>
        </w:trPr>
        <w:tc>
          <w:tcPr>
            <w:tcW w:w="2970" w:type="dxa"/>
          </w:tcPr>
          <w:p w14:paraId="6F22CF77" w14:textId="2D50500F" w:rsidR="001D09D7" w:rsidRDefault="001D09D7" w:rsidP="001D09D7">
            <w:r w:rsidRPr="003276EF">
              <w:t>Operating profit</w:t>
            </w:r>
          </w:p>
        </w:tc>
        <w:tc>
          <w:tcPr>
            <w:tcW w:w="3078" w:type="dxa"/>
          </w:tcPr>
          <w:p w14:paraId="257DEF69" w14:textId="5178154B" w:rsidR="001D09D7" w:rsidRDefault="001D09D7" w:rsidP="001D09D7">
            <w:r>
              <w:t>£2,711m</w:t>
            </w:r>
          </w:p>
        </w:tc>
        <w:tc>
          <w:tcPr>
            <w:tcW w:w="3078" w:type="dxa"/>
          </w:tcPr>
          <w:p w14:paraId="6B564743" w14:textId="5615A226" w:rsidR="001D09D7" w:rsidRDefault="001D09D7" w:rsidP="001D09D7">
            <w:r>
              <w:t>£2,821m</w:t>
            </w:r>
          </w:p>
        </w:tc>
      </w:tr>
      <w:tr w:rsidR="001D09D7" w14:paraId="44FA9A7A" w14:textId="77777777" w:rsidTr="00D50A50">
        <w:trPr>
          <w:trHeight w:val="661"/>
        </w:trPr>
        <w:tc>
          <w:tcPr>
            <w:tcW w:w="2970" w:type="dxa"/>
          </w:tcPr>
          <w:p w14:paraId="506CE3EF" w14:textId="334BDB0B" w:rsidR="001D09D7" w:rsidRDefault="001D09D7" w:rsidP="001D09D7">
            <w:r w:rsidRPr="003276EF">
              <w:t>Profit for the year</w:t>
            </w:r>
          </w:p>
        </w:tc>
        <w:tc>
          <w:tcPr>
            <w:tcW w:w="3078" w:type="dxa"/>
          </w:tcPr>
          <w:p w14:paraId="7C712D46" w14:textId="5C1B5EB1" w:rsidR="001D09D7" w:rsidRDefault="001D09D7" w:rsidP="001D09D7">
            <w:r>
              <w:t>£1,630m</w:t>
            </w:r>
          </w:p>
        </w:tc>
        <w:tc>
          <w:tcPr>
            <w:tcW w:w="3078" w:type="dxa"/>
          </w:tcPr>
          <w:p w14:paraId="1CE2D463" w14:textId="3E06CD80" w:rsidR="001D09D7" w:rsidRDefault="001D09D7" w:rsidP="001D09D7">
            <w:r>
              <w:t>£1,192m</w:t>
            </w:r>
          </w:p>
        </w:tc>
      </w:tr>
      <w:tr w:rsidR="001D09D7" w14:paraId="3FBCA128" w14:textId="77777777" w:rsidTr="00D50A50">
        <w:trPr>
          <w:trHeight w:val="688"/>
        </w:trPr>
        <w:tc>
          <w:tcPr>
            <w:tcW w:w="2970" w:type="dxa"/>
          </w:tcPr>
          <w:p w14:paraId="5D052338" w14:textId="2E5707AD" w:rsidR="001D09D7" w:rsidRDefault="001D09D7" w:rsidP="001D09D7">
            <w:r w:rsidRPr="003276EF">
              <w:t>Finance costs</w:t>
            </w:r>
          </w:p>
        </w:tc>
        <w:tc>
          <w:tcPr>
            <w:tcW w:w="3078" w:type="dxa"/>
          </w:tcPr>
          <w:p w14:paraId="29250093" w14:textId="2175B45A" w:rsidR="001D09D7" w:rsidRDefault="001D09D7" w:rsidP="001D09D7">
            <w:r>
              <w:t>£ (746) m</w:t>
            </w:r>
          </w:p>
        </w:tc>
        <w:tc>
          <w:tcPr>
            <w:tcW w:w="3078" w:type="dxa"/>
          </w:tcPr>
          <w:p w14:paraId="0B93CA18" w14:textId="44F8E145" w:rsidR="001D09D7" w:rsidRDefault="001D09D7" w:rsidP="001D09D7">
            <w:r w:rsidRPr="001D09D7">
              <w:t>£ (805) m</w:t>
            </w:r>
          </w:p>
        </w:tc>
      </w:tr>
    </w:tbl>
    <w:p w14:paraId="0E2504F8" w14:textId="02486B12" w:rsidR="003276EF" w:rsidRPr="00392463" w:rsidRDefault="00D50A50" w:rsidP="004D2F6B">
      <w:pPr>
        <w:rPr>
          <w:b/>
          <w:bCs/>
        </w:rPr>
      </w:pPr>
      <w:r w:rsidRPr="00392463">
        <w:rPr>
          <w:b/>
          <w:bCs/>
        </w:rPr>
        <w:t>Balance sheet</w:t>
      </w:r>
    </w:p>
    <w:tbl>
      <w:tblPr>
        <w:tblStyle w:val="TableGrid"/>
        <w:tblW w:w="0" w:type="auto"/>
        <w:tblInd w:w="108" w:type="dxa"/>
        <w:tblLook w:val="04A0" w:firstRow="1" w:lastRow="0" w:firstColumn="1" w:lastColumn="0" w:noHBand="0" w:noVBand="1"/>
      </w:tblPr>
      <w:tblGrid>
        <w:gridCol w:w="2970"/>
        <w:gridCol w:w="3078"/>
        <w:gridCol w:w="3078"/>
      </w:tblGrid>
      <w:tr w:rsidR="00D50A50" w14:paraId="4DB499A0" w14:textId="77777777" w:rsidTr="00DE20A4">
        <w:trPr>
          <w:trHeight w:val="661"/>
        </w:trPr>
        <w:tc>
          <w:tcPr>
            <w:tcW w:w="2970" w:type="dxa"/>
          </w:tcPr>
          <w:p w14:paraId="5205E0B6" w14:textId="77777777" w:rsidR="00D50A50" w:rsidRPr="003276EF" w:rsidRDefault="00D50A50" w:rsidP="00DE20A4"/>
        </w:tc>
        <w:tc>
          <w:tcPr>
            <w:tcW w:w="3078" w:type="dxa"/>
          </w:tcPr>
          <w:p w14:paraId="468A78D7" w14:textId="77777777" w:rsidR="00D50A50" w:rsidRPr="001D09D7" w:rsidRDefault="00D50A50" w:rsidP="00DE20A4">
            <w:pPr>
              <w:rPr>
                <w:b/>
                <w:bCs/>
              </w:rPr>
            </w:pPr>
            <w:r w:rsidRPr="001D09D7">
              <w:rPr>
                <w:b/>
                <w:bCs/>
              </w:rPr>
              <w:t>FY2025</w:t>
            </w:r>
          </w:p>
        </w:tc>
        <w:tc>
          <w:tcPr>
            <w:tcW w:w="3078" w:type="dxa"/>
          </w:tcPr>
          <w:p w14:paraId="494A97F6" w14:textId="77777777" w:rsidR="00D50A50" w:rsidRPr="001D09D7" w:rsidRDefault="00D50A50" w:rsidP="00DE20A4">
            <w:pPr>
              <w:rPr>
                <w:b/>
                <w:bCs/>
              </w:rPr>
            </w:pPr>
            <w:r w:rsidRPr="001D09D7">
              <w:rPr>
                <w:b/>
                <w:bCs/>
              </w:rPr>
              <w:t>FY2024</w:t>
            </w:r>
          </w:p>
        </w:tc>
      </w:tr>
      <w:tr w:rsidR="00D50A50" w14:paraId="20E64893" w14:textId="77777777" w:rsidTr="00DE20A4">
        <w:trPr>
          <w:trHeight w:val="661"/>
        </w:trPr>
        <w:tc>
          <w:tcPr>
            <w:tcW w:w="2970" w:type="dxa"/>
          </w:tcPr>
          <w:p w14:paraId="24766020" w14:textId="33E21172" w:rsidR="00D50A50" w:rsidRDefault="00D50A50" w:rsidP="00DE20A4">
            <w:r>
              <w:t>Current assets</w:t>
            </w:r>
          </w:p>
        </w:tc>
        <w:tc>
          <w:tcPr>
            <w:tcW w:w="3078" w:type="dxa"/>
          </w:tcPr>
          <w:p w14:paraId="6C526CA9" w14:textId="43B78489" w:rsidR="00D50A50" w:rsidRDefault="00EE3DD6" w:rsidP="00DE20A4">
            <w:r>
              <w:t>£8,806m</w:t>
            </w:r>
          </w:p>
        </w:tc>
        <w:tc>
          <w:tcPr>
            <w:tcW w:w="3078" w:type="dxa"/>
          </w:tcPr>
          <w:p w14:paraId="311F82B6" w14:textId="5DD8E280" w:rsidR="00D50A50" w:rsidRDefault="00EE3DD6" w:rsidP="00DE20A4">
            <w:r>
              <w:t>£8,823m</w:t>
            </w:r>
          </w:p>
        </w:tc>
      </w:tr>
      <w:tr w:rsidR="00D50A50" w14:paraId="59F2251C" w14:textId="77777777" w:rsidTr="00DE20A4">
        <w:trPr>
          <w:trHeight w:val="688"/>
        </w:trPr>
        <w:tc>
          <w:tcPr>
            <w:tcW w:w="2970" w:type="dxa"/>
          </w:tcPr>
          <w:p w14:paraId="3D7AFBAE" w14:textId="78E15678" w:rsidR="00D50A50" w:rsidRDefault="00D50A50" w:rsidP="00DE20A4">
            <w:r>
              <w:t>Inventories</w:t>
            </w:r>
          </w:p>
        </w:tc>
        <w:tc>
          <w:tcPr>
            <w:tcW w:w="3078" w:type="dxa"/>
          </w:tcPr>
          <w:p w14:paraId="3216189B" w14:textId="5CAB4F45" w:rsidR="00D50A50" w:rsidRDefault="00EE3DD6" w:rsidP="00DE20A4">
            <w:r>
              <w:t>£2,768m</w:t>
            </w:r>
          </w:p>
        </w:tc>
        <w:tc>
          <w:tcPr>
            <w:tcW w:w="3078" w:type="dxa"/>
          </w:tcPr>
          <w:p w14:paraId="14BAB659" w14:textId="06238DE8" w:rsidR="00D50A50" w:rsidRDefault="00EE3DD6" w:rsidP="00DE20A4">
            <w:r>
              <w:t>£2,635m</w:t>
            </w:r>
          </w:p>
        </w:tc>
      </w:tr>
      <w:tr w:rsidR="00D50A50" w14:paraId="57CCCE69" w14:textId="77777777" w:rsidTr="00DE20A4">
        <w:trPr>
          <w:trHeight w:val="661"/>
        </w:trPr>
        <w:tc>
          <w:tcPr>
            <w:tcW w:w="2970" w:type="dxa"/>
          </w:tcPr>
          <w:p w14:paraId="39868687" w14:textId="3A7B0A13" w:rsidR="00D50A50" w:rsidRDefault="00D50A50" w:rsidP="00DE20A4">
            <w:r>
              <w:t>Trade &amp; other receivables (current)</w:t>
            </w:r>
          </w:p>
        </w:tc>
        <w:tc>
          <w:tcPr>
            <w:tcW w:w="3078" w:type="dxa"/>
          </w:tcPr>
          <w:p w14:paraId="78E3BD56" w14:textId="201DBB11" w:rsidR="00D50A50" w:rsidRDefault="00EE3DD6" w:rsidP="00DE20A4">
            <w:r>
              <w:t>£1,210m</w:t>
            </w:r>
          </w:p>
        </w:tc>
        <w:tc>
          <w:tcPr>
            <w:tcW w:w="3078" w:type="dxa"/>
          </w:tcPr>
          <w:p w14:paraId="53E37358" w14:textId="5185B498" w:rsidR="00D50A50" w:rsidRDefault="00EE3DD6" w:rsidP="00DE20A4">
            <w:r>
              <w:t>£1,349m</w:t>
            </w:r>
          </w:p>
        </w:tc>
      </w:tr>
      <w:tr w:rsidR="00D50A50" w14:paraId="4BD324E3" w14:textId="77777777" w:rsidTr="00DE20A4">
        <w:trPr>
          <w:trHeight w:val="661"/>
        </w:trPr>
        <w:tc>
          <w:tcPr>
            <w:tcW w:w="2970" w:type="dxa"/>
          </w:tcPr>
          <w:p w14:paraId="67176B02" w14:textId="19BED445" w:rsidR="00D50A50" w:rsidRDefault="00D50A50" w:rsidP="00DE20A4">
            <w:r>
              <w:t>Trade &amp; other payables (current)</w:t>
            </w:r>
          </w:p>
        </w:tc>
        <w:tc>
          <w:tcPr>
            <w:tcW w:w="3078" w:type="dxa"/>
          </w:tcPr>
          <w:p w14:paraId="087115E7" w14:textId="0585FDD9" w:rsidR="00D50A50" w:rsidRDefault="00EE3DD6" w:rsidP="00DE20A4">
            <w:r w:rsidRPr="00EE3DD6">
              <w:t>£ (10,364) m</w:t>
            </w:r>
          </w:p>
        </w:tc>
        <w:tc>
          <w:tcPr>
            <w:tcW w:w="3078" w:type="dxa"/>
          </w:tcPr>
          <w:p w14:paraId="75620127" w14:textId="35973574" w:rsidR="00D50A50" w:rsidRDefault="00EE3DD6" w:rsidP="00DE20A4">
            <w:r w:rsidRPr="00EE3DD6">
              <w:t>£ (10,264) m</w:t>
            </w:r>
          </w:p>
        </w:tc>
      </w:tr>
      <w:tr w:rsidR="00D50A50" w14:paraId="16B51506" w14:textId="77777777" w:rsidTr="00DE20A4">
        <w:trPr>
          <w:trHeight w:val="661"/>
        </w:trPr>
        <w:tc>
          <w:tcPr>
            <w:tcW w:w="2970" w:type="dxa"/>
          </w:tcPr>
          <w:p w14:paraId="7E3AEBB5" w14:textId="7B634CE5" w:rsidR="00D50A50" w:rsidRDefault="00D50A50" w:rsidP="00DE20A4">
            <w:r>
              <w:t>Current liabilities (total)</w:t>
            </w:r>
          </w:p>
        </w:tc>
        <w:tc>
          <w:tcPr>
            <w:tcW w:w="3078" w:type="dxa"/>
          </w:tcPr>
          <w:p w14:paraId="35717764" w14:textId="13773BE0" w:rsidR="00D50A50" w:rsidRDefault="00EE3DD6" w:rsidP="00DE20A4">
            <w:r w:rsidRPr="00EE3DD6">
              <w:t>£ (13,820) m</w:t>
            </w:r>
          </w:p>
        </w:tc>
        <w:tc>
          <w:tcPr>
            <w:tcW w:w="3078" w:type="dxa"/>
          </w:tcPr>
          <w:p w14:paraId="5CFDFBE3" w14:textId="1FC446F0" w:rsidR="00D50A50" w:rsidRDefault="00EE3DD6" w:rsidP="00DE20A4">
            <w:r w:rsidRPr="00EE3DD6">
              <w:t>£ (13,350) m</w:t>
            </w:r>
          </w:p>
        </w:tc>
      </w:tr>
      <w:tr w:rsidR="00D50A50" w14:paraId="4DF53462" w14:textId="77777777" w:rsidTr="00DE20A4">
        <w:trPr>
          <w:trHeight w:val="688"/>
        </w:trPr>
        <w:tc>
          <w:tcPr>
            <w:tcW w:w="2970" w:type="dxa"/>
          </w:tcPr>
          <w:p w14:paraId="3BF44DB0" w14:textId="3D8DDBB5" w:rsidR="00D50A50" w:rsidRDefault="00D50A50" w:rsidP="00DE20A4">
            <w:r>
              <w:t>Total equity</w:t>
            </w:r>
          </w:p>
        </w:tc>
        <w:tc>
          <w:tcPr>
            <w:tcW w:w="3078" w:type="dxa"/>
          </w:tcPr>
          <w:p w14:paraId="26552FDB" w14:textId="7CC70173" w:rsidR="00D50A50" w:rsidRDefault="00EE3DD6" w:rsidP="00DE20A4">
            <w:r w:rsidRPr="00EE3DD6">
              <w:t>£11,662m</w:t>
            </w:r>
          </w:p>
        </w:tc>
        <w:tc>
          <w:tcPr>
            <w:tcW w:w="3078" w:type="dxa"/>
          </w:tcPr>
          <w:p w14:paraId="2D19B303" w14:textId="5E716B64" w:rsidR="00D50A50" w:rsidRDefault="00EE3DD6" w:rsidP="00DE20A4">
            <w:r w:rsidRPr="00EE3DD6">
              <w:t>£11,665m</w:t>
            </w:r>
          </w:p>
        </w:tc>
      </w:tr>
      <w:tr w:rsidR="00D50A50" w14:paraId="7F9E821F" w14:textId="77777777" w:rsidTr="00DE20A4">
        <w:trPr>
          <w:trHeight w:val="688"/>
        </w:trPr>
        <w:tc>
          <w:tcPr>
            <w:tcW w:w="2970" w:type="dxa"/>
          </w:tcPr>
          <w:p w14:paraId="5E7DB3A1" w14:textId="16D7D372" w:rsidR="00D50A50" w:rsidRDefault="00EE3DD6" w:rsidP="00DE20A4">
            <w:r>
              <w:lastRenderedPageBreak/>
              <w:t>Net debt</w:t>
            </w:r>
          </w:p>
        </w:tc>
        <w:tc>
          <w:tcPr>
            <w:tcW w:w="3078" w:type="dxa"/>
          </w:tcPr>
          <w:p w14:paraId="176120A6" w14:textId="1FE9C416" w:rsidR="00D50A50" w:rsidRDefault="00A85157" w:rsidP="00DE20A4">
            <w:r w:rsidRPr="00A85157">
              <w:t>£ (9,454) m</w:t>
            </w:r>
          </w:p>
        </w:tc>
        <w:tc>
          <w:tcPr>
            <w:tcW w:w="3078" w:type="dxa"/>
          </w:tcPr>
          <w:p w14:paraId="042E4F22" w14:textId="0ADA7D31" w:rsidR="00D50A50" w:rsidRPr="001D09D7" w:rsidRDefault="00A85157" w:rsidP="00DE20A4">
            <w:r w:rsidRPr="00A85157">
              <w:t>£ (9,684) m</w:t>
            </w:r>
          </w:p>
        </w:tc>
      </w:tr>
    </w:tbl>
    <w:p w14:paraId="41C9BB53" w14:textId="42A292A3" w:rsidR="004D2F6B" w:rsidRPr="00392463" w:rsidRDefault="00A85157" w:rsidP="00392463">
      <w:pPr>
        <w:pStyle w:val="Heading3"/>
      </w:pPr>
      <w:bookmarkStart w:id="10" w:name="_Toc218268955"/>
      <w:bookmarkStart w:id="11" w:name="_Toc218269021"/>
      <w:r w:rsidRPr="00392463">
        <w:t>3.2 Ratio table (minimum two years)</w:t>
      </w:r>
      <w:bookmarkEnd w:id="10"/>
      <w:bookmarkEnd w:id="11"/>
    </w:p>
    <w:p w14:paraId="71E043B7" w14:textId="04BAC3E8" w:rsidR="00A85157" w:rsidRPr="00A85157" w:rsidRDefault="00A85157" w:rsidP="004D2F6B">
      <w:pPr>
        <w:rPr>
          <w:b/>
          <w:bCs/>
        </w:rPr>
      </w:pPr>
      <w:r w:rsidRPr="00A85157">
        <w:rPr>
          <w:b/>
          <w:bCs/>
        </w:rPr>
        <w:t>Profitability</w:t>
      </w:r>
    </w:p>
    <w:p w14:paraId="26EDFE3C" w14:textId="0C4C9410" w:rsidR="00A60248" w:rsidRDefault="00A85157" w:rsidP="004D2F6B">
      <w:r w:rsidRPr="00A60248">
        <w:rPr>
          <w:b/>
          <w:bCs/>
        </w:rPr>
        <w:t>Gross margin</w:t>
      </w:r>
      <w:r w:rsidR="00A60248" w:rsidRPr="00A60248">
        <w:rPr>
          <w:b/>
          <w:bCs/>
        </w:rPr>
        <w:t>:</w:t>
      </w:r>
      <w:r w:rsidR="00A60248">
        <w:t xml:space="preserve"> </w:t>
      </w:r>
      <w:r w:rsidR="00A60248" w:rsidRPr="00A60248">
        <w:t xml:space="preserve">Gross margin is used to display the profit that a firm attains after the cost of goods sold. </w:t>
      </w:r>
    </w:p>
    <w:p w14:paraId="3EEAC395" w14:textId="51B39A57" w:rsidR="00A60248" w:rsidRDefault="00FF18F1" w:rsidP="004D2F6B">
      <w:r>
        <w:t xml:space="preserve">Formula </w:t>
      </w:r>
      <w:r w:rsidRPr="00FF18F1">
        <w:t>= Gross profit / Revenue</w:t>
      </w:r>
    </w:p>
    <w:p w14:paraId="7234DFEF" w14:textId="05619063" w:rsidR="00FF18F1" w:rsidRDefault="00361920" w:rsidP="004D2F6B">
      <w:r>
        <w:rPr>
          <w:noProof/>
        </w:rPr>
        <w:drawing>
          <wp:inline distT="0" distB="0" distL="0" distR="0" wp14:anchorId="2909509D" wp14:editId="5BBDBB2F">
            <wp:extent cx="5943600" cy="12534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253490"/>
                    </a:xfrm>
                    <a:prstGeom prst="rect">
                      <a:avLst/>
                    </a:prstGeom>
                  </pic:spPr>
                </pic:pic>
              </a:graphicData>
            </a:graphic>
          </wp:inline>
        </w:drawing>
      </w:r>
      <w:r w:rsidR="008E6BC9" w:rsidRPr="008E6BC9">
        <w:t>Gross margin improved marginally by increasing by 7.11 percent in FY2024 to 7.22 percent in FY2025. Tesco safeguarded the product margins using prices, purchasing conditions and combinations</w:t>
      </w:r>
      <w:r w:rsidR="00822922">
        <w:t xml:space="preserve"> (</w:t>
      </w:r>
      <w:proofErr w:type="spellStart"/>
      <w:r w:rsidR="00822922" w:rsidRPr="005A7FB1">
        <w:t>Atrill</w:t>
      </w:r>
      <w:proofErr w:type="spellEnd"/>
      <w:r w:rsidR="00822922" w:rsidRPr="005A7FB1">
        <w:t>, 2017)</w:t>
      </w:r>
      <w:r w:rsidR="008E6BC9" w:rsidRPr="008E6BC9">
        <w:t>. The growth is minimal yet favourable.</w:t>
      </w:r>
    </w:p>
    <w:p w14:paraId="36853966" w14:textId="15F50F1E" w:rsidR="00A85157" w:rsidRDefault="00A85157" w:rsidP="004D2F6B">
      <w:r w:rsidRPr="00A60248">
        <w:rPr>
          <w:b/>
          <w:bCs/>
        </w:rPr>
        <w:t>Operating margin</w:t>
      </w:r>
      <w:r w:rsidR="00A60248" w:rsidRPr="00A60248">
        <w:rPr>
          <w:b/>
          <w:bCs/>
        </w:rPr>
        <w:t>:</w:t>
      </w:r>
      <w:r w:rsidR="00A60248">
        <w:t xml:space="preserve"> </w:t>
      </w:r>
      <w:r w:rsidR="00A60248" w:rsidRPr="00A60248">
        <w:t xml:space="preserve">The operating margin indicates the profit achieved due to normal business operations without interest and tax. </w:t>
      </w:r>
    </w:p>
    <w:p w14:paraId="7551BA5A" w14:textId="1F9CEA98" w:rsidR="007962EF" w:rsidRDefault="007962EF" w:rsidP="004D2F6B">
      <w:r>
        <w:t xml:space="preserve">Formula: </w:t>
      </w:r>
      <w:r w:rsidRPr="007962EF">
        <w:t>Operating profit / Revenue</w:t>
      </w:r>
    </w:p>
    <w:p w14:paraId="69FEFDE2" w14:textId="1DACB906" w:rsidR="00A60248" w:rsidRDefault="00361920" w:rsidP="004D2F6B">
      <w:r w:rsidRPr="00361920">
        <w:rPr>
          <w:noProof/>
        </w:rPr>
        <w:drawing>
          <wp:inline distT="0" distB="0" distL="0" distR="0" wp14:anchorId="0D06F7E1" wp14:editId="1BCCDFA7">
            <wp:extent cx="5943600" cy="12128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1212850"/>
                    </a:xfrm>
                    <a:prstGeom prst="rect">
                      <a:avLst/>
                    </a:prstGeom>
                  </pic:spPr>
                </pic:pic>
              </a:graphicData>
            </a:graphic>
          </wp:inline>
        </w:drawing>
      </w:r>
      <w:r w:rsidR="008E6BC9" w:rsidRPr="008E6BC9">
        <w:t>The operating margin dropped to 3.88% down to 4.14%. This indicates that the increase in operating costs was higher than the gross profit. Probably the reasons are higher wages, energy, logistics or increased price investment.</w:t>
      </w:r>
    </w:p>
    <w:p w14:paraId="1A0A28F5" w14:textId="61E0871C" w:rsidR="00A85157" w:rsidRDefault="00A85157" w:rsidP="004D2F6B">
      <w:r w:rsidRPr="00A60248">
        <w:rPr>
          <w:b/>
          <w:bCs/>
        </w:rPr>
        <w:t>Net profit margin</w:t>
      </w:r>
      <w:r w:rsidR="00A60248" w:rsidRPr="00A60248">
        <w:rPr>
          <w:b/>
          <w:bCs/>
        </w:rPr>
        <w:t>:</w:t>
      </w:r>
      <w:r w:rsidR="00A60248">
        <w:t xml:space="preserve"> </w:t>
      </w:r>
      <w:r w:rsidR="00A60248" w:rsidRPr="00A60248">
        <w:t xml:space="preserve">Net profit margin indicates the profit that is left after all the expenses including interest, and tax. </w:t>
      </w:r>
    </w:p>
    <w:p w14:paraId="7DAC185B" w14:textId="0665D3FD" w:rsidR="007962EF" w:rsidRDefault="007962EF" w:rsidP="004D2F6B">
      <w:r>
        <w:lastRenderedPageBreak/>
        <w:t xml:space="preserve">Formula: </w:t>
      </w:r>
      <w:r w:rsidRPr="007962EF">
        <w:t>Profit for year / Revenue</w:t>
      </w:r>
    </w:p>
    <w:p w14:paraId="2B2822FF" w14:textId="0F63C585" w:rsidR="00A60248" w:rsidRDefault="00361920" w:rsidP="004D2F6B">
      <w:r w:rsidRPr="00361920">
        <w:rPr>
          <w:noProof/>
        </w:rPr>
        <w:drawing>
          <wp:inline distT="0" distB="0" distL="0" distR="0" wp14:anchorId="7AF35B5A" wp14:editId="78A3AC2B">
            <wp:extent cx="5943600" cy="12185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218565"/>
                    </a:xfrm>
                    <a:prstGeom prst="rect">
                      <a:avLst/>
                    </a:prstGeom>
                  </pic:spPr>
                </pic:pic>
              </a:graphicData>
            </a:graphic>
          </wp:inline>
        </w:drawing>
      </w:r>
      <w:r w:rsidR="008E6BC9" w:rsidRPr="008E6BC9">
        <w:t xml:space="preserve">Net margin </w:t>
      </w:r>
      <w:r w:rsidR="008E6BC9">
        <w:t>improved</w:t>
      </w:r>
      <w:r w:rsidR="008E6BC9" w:rsidRPr="008E6BC9">
        <w:t xml:space="preserve"> from 1.75% to 2.33%. Tesco transformed more sales into profit after all-costs and tax</w:t>
      </w:r>
      <w:r w:rsidR="00822922">
        <w:t xml:space="preserve"> (</w:t>
      </w:r>
      <w:proofErr w:type="spellStart"/>
      <w:r w:rsidR="00822922" w:rsidRPr="005A7FB1">
        <w:t>Beladi</w:t>
      </w:r>
      <w:proofErr w:type="spellEnd"/>
      <w:r w:rsidR="00822922">
        <w:t xml:space="preserve"> et al., 2021)</w:t>
      </w:r>
      <w:r w:rsidR="008E6BC9" w:rsidRPr="008E6BC9">
        <w:t>. This implies higher total earning performance even with poor operating margin.</w:t>
      </w:r>
    </w:p>
    <w:p w14:paraId="218437F8" w14:textId="51CA27C7" w:rsidR="00A85157" w:rsidRDefault="00A85157" w:rsidP="004D2F6B">
      <w:r w:rsidRPr="00A60248">
        <w:rPr>
          <w:b/>
          <w:bCs/>
        </w:rPr>
        <w:t>ROE (simple)</w:t>
      </w:r>
      <w:r w:rsidR="00A60248" w:rsidRPr="00A60248">
        <w:rPr>
          <w:b/>
          <w:bCs/>
        </w:rPr>
        <w:t>:</w:t>
      </w:r>
      <w:r w:rsidR="00A60248">
        <w:t xml:space="preserve"> </w:t>
      </w:r>
      <w:r w:rsidR="00A60248" w:rsidRPr="00A60248">
        <w:t xml:space="preserve">ROE is the performance of a company that determines the efficiency of its utilisation of shareholders’ funds to make profit. </w:t>
      </w:r>
    </w:p>
    <w:p w14:paraId="5364E0B9" w14:textId="2E24A5FF" w:rsidR="007962EF" w:rsidRDefault="007962EF" w:rsidP="004D2F6B">
      <w:r>
        <w:t xml:space="preserve">Formula: </w:t>
      </w:r>
      <w:r w:rsidRPr="007962EF">
        <w:t>Profit for year / Equity</w:t>
      </w:r>
    </w:p>
    <w:p w14:paraId="6E58CDA7" w14:textId="5B8195F8" w:rsidR="00A60248" w:rsidRDefault="00361920" w:rsidP="004D2F6B">
      <w:r>
        <w:rPr>
          <w:noProof/>
        </w:rPr>
        <w:drawing>
          <wp:inline distT="0" distB="0" distL="0" distR="0" wp14:anchorId="2B75B595" wp14:editId="65D5F0BE">
            <wp:extent cx="5943600" cy="128206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282065"/>
                    </a:xfrm>
                    <a:prstGeom prst="rect">
                      <a:avLst/>
                    </a:prstGeom>
                  </pic:spPr>
                </pic:pic>
              </a:graphicData>
            </a:graphic>
          </wp:inline>
        </w:drawing>
      </w:r>
      <w:r w:rsidR="008E6BC9" w:rsidRPr="008E6BC9">
        <w:t xml:space="preserve">ROE </w:t>
      </w:r>
      <w:r w:rsidR="008E6BC9">
        <w:t>increased</w:t>
      </w:r>
      <w:r w:rsidR="008E6BC9" w:rsidRPr="008E6BC9">
        <w:t xml:space="preserve"> from 10.22% to 13.98%. Tesco generated greater profitability using the capital of shareholders. This reflects more returns to equity holders, which are largely due to increased profit in the year.</w:t>
      </w:r>
    </w:p>
    <w:p w14:paraId="2B170E14" w14:textId="59662EB1" w:rsidR="00A85157" w:rsidRDefault="00A85157" w:rsidP="004D2F6B">
      <w:r w:rsidRPr="00A60248">
        <w:rPr>
          <w:b/>
          <w:bCs/>
        </w:rPr>
        <w:t>ROCE (proxy</w:t>
      </w:r>
      <w:r w:rsidR="00A60248" w:rsidRPr="00A60248">
        <w:rPr>
          <w:b/>
          <w:bCs/>
        </w:rPr>
        <w:t>):</w:t>
      </w:r>
      <w:r w:rsidR="00A60248">
        <w:t xml:space="preserve"> </w:t>
      </w:r>
      <w:r w:rsidR="00A60248" w:rsidRPr="00A60248">
        <w:t xml:space="preserve">ROCE indicates the effectiveness of the use of long-term capital by a company to come up with operating profit. </w:t>
      </w:r>
    </w:p>
    <w:p w14:paraId="401A3430" w14:textId="4C294281" w:rsidR="007962EF" w:rsidRDefault="007962EF" w:rsidP="004D2F6B">
      <w:r>
        <w:t xml:space="preserve">Formula: </w:t>
      </w:r>
      <w:r w:rsidRPr="007962EF">
        <w:t>EBIT / (Equity + Net debt)</w:t>
      </w:r>
    </w:p>
    <w:p w14:paraId="14AA21B0" w14:textId="27A4630C" w:rsidR="00A85157" w:rsidRDefault="00361920" w:rsidP="008E6BC9">
      <w:r w:rsidRPr="00361920">
        <w:rPr>
          <w:noProof/>
        </w:rPr>
        <w:lastRenderedPageBreak/>
        <w:drawing>
          <wp:inline distT="0" distB="0" distL="0" distR="0" wp14:anchorId="07174B64" wp14:editId="34CFC398">
            <wp:extent cx="5943600" cy="1183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1183640"/>
                    </a:xfrm>
                    <a:prstGeom prst="rect">
                      <a:avLst/>
                    </a:prstGeom>
                  </pic:spPr>
                </pic:pic>
              </a:graphicData>
            </a:graphic>
          </wp:inline>
        </w:drawing>
      </w:r>
      <w:r w:rsidR="008E6BC9">
        <w:t>ROCE decreased from 13.21% to 12.84%. This demonstrates somewhat lesser efficiency of capital in terms of long-term capital to generate operating profit</w:t>
      </w:r>
      <w:r w:rsidR="00822922">
        <w:t xml:space="preserve"> (</w:t>
      </w:r>
      <w:r w:rsidR="00822922" w:rsidRPr="005A7FB1">
        <w:t>Koller</w:t>
      </w:r>
      <w:r w:rsidR="00822922">
        <w:t xml:space="preserve"> et al., 2025)</w:t>
      </w:r>
      <w:r w:rsidR="008E6BC9">
        <w:t>. This can be either a lower operating margin or higher capital used.</w:t>
      </w:r>
    </w:p>
    <w:p w14:paraId="3BDD1878" w14:textId="2A9480C2" w:rsidR="00A85157" w:rsidRPr="00A85157" w:rsidRDefault="00A85157" w:rsidP="004D2F6B">
      <w:pPr>
        <w:rPr>
          <w:b/>
          <w:bCs/>
        </w:rPr>
      </w:pPr>
      <w:r w:rsidRPr="00A85157">
        <w:rPr>
          <w:b/>
          <w:bCs/>
        </w:rPr>
        <w:t>Liquidity</w:t>
      </w:r>
    </w:p>
    <w:p w14:paraId="1E1C4A86" w14:textId="0F9BD0EC" w:rsidR="00A85157" w:rsidRDefault="00A85157" w:rsidP="004D2F6B">
      <w:r w:rsidRPr="00A60248">
        <w:rPr>
          <w:b/>
          <w:bCs/>
        </w:rPr>
        <w:t>Current ratio</w:t>
      </w:r>
      <w:r w:rsidR="00A60248" w:rsidRPr="00A60248">
        <w:rPr>
          <w:b/>
          <w:bCs/>
        </w:rPr>
        <w:t>:</w:t>
      </w:r>
      <w:r w:rsidR="00A60248">
        <w:t xml:space="preserve"> </w:t>
      </w:r>
      <w:r w:rsidR="00A60248" w:rsidRPr="00A60248">
        <w:t xml:space="preserve">The current ratio indicates the capacity of a company to cover the short-term liabilities with current assets. </w:t>
      </w:r>
    </w:p>
    <w:p w14:paraId="67AA9C0A" w14:textId="48DD77D1" w:rsidR="007962EF" w:rsidRDefault="007962EF" w:rsidP="004D2F6B">
      <w:r>
        <w:t xml:space="preserve">Formula: </w:t>
      </w:r>
      <w:r w:rsidRPr="007962EF">
        <w:t>Current assets / Current liabilities</w:t>
      </w:r>
    </w:p>
    <w:p w14:paraId="26B2B456" w14:textId="07637569" w:rsidR="00A60248" w:rsidRDefault="00361920" w:rsidP="004D2F6B">
      <w:r w:rsidRPr="00361920">
        <w:rPr>
          <w:noProof/>
        </w:rPr>
        <w:drawing>
          <wp:inline distT="0" distB="0" distL="0" distR="0" wp14:anchorId="23C3049E" wp14:editId="443D86A6">
            <wp:extent cx="5943600" cy="1257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1257300"/>
                    </a:xfrm>
                    <a:prstGeom prst="rect">
                      <a:avLst/>
                    </a:prstGeom>
                  </pic:spPr>
                </pic:pic>
              </a:graphicData>
            </a:graphic>
          </wp:inline>
        </w:drawing>
      </w:r>
      <w:r w:rsidR="008E6BC9" w:rsidRPr="008E6BC9">
        <w:t>The current ratio fell to 0.64, which remained lower than 1. This is typical in the retail food industry. Tesco is banking on rapid sales and credit supplier to finance its operations.</w:t>
      </w:r>
    </w:p>
    <w:p w14:paraId="7EF90300" w14:textId="46FC764D" w:rsidR="00A85157" w:rsidRDefault="00A85157" w:rsidP="004D2F6B">
      <w:r w:rsidRPr="00A60248">
        <w:rPr>
          <w:b/>
          <w:bCs/>
        </w:rPr>
        <w:t>Quick ratio</w:t>
      </w:r>
      <w:r w:rsidR="00A60248" w:rsidRPr="00A60248">
        <w:rPr>
          <w:b/>
          <w:bCs/>
        </w:rPr>
        <w:t>:</w:t>
      </w:r>
      <w:r w:rsidR="00A60248">
        <w:t xml:space="preserve"> </w:t>
      </w:r>
      <w:r w:rsidR="00A60248" w:rsidRPr="00A60248">
        <w:t xml:space="preserve">Quick ratio is a measure of liquidity in the short run but it does not take into account the inventories. </w:t>
      </w:r>
    </w:p>
    <w:p w14:paraId="5E534781" w14:textId="18997F99" w:rsidR="00870215" w:rsidRDefault="00870215" w:rsidP="004D2F6B">
      <w:r>
        <w:t xml:space="preserve">Formula: </w:t>
      </w:r>
      <w:r w:rsidRPr="00870215">
        <w:t>(Current assets − Inventories) / Current liabilities</w:t>
      </w:r>
    </w:p>
    <w:p w14:paraId="60675D27" w14:textId="5FA52602" w:rsidR="00A85157" w:rsidRPr="00A85157" w:rsidRDefault="00361920" w:rsidP="00A85157">
      <w:r w:rsidRPr="00361920">
        <w:rPr>
          <w:noProof/>
        </w:rPr>
        <w:drawing>
          <wp:inline distT="0" distB="0" distL="0" distR="0" wp14:anchorId="265BC8D2" wp14:editId="3D7EEDAD">
            <wp:extent cx="5943600" cy="12211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1221105"/>
                    </a:xfrm>
                    <a:prstGeom prst="rect">
                      <a:avLst/>
                    </a:prstGeom>
                  </pic:spPr>
                </pic:pic>
              </a:graphicData>
            </a:graphic>
          </wp:inline>
        </w:drawing>
      </w:r>
      <w:r w:rsidR="008E6BC9" w:rsidRPr="008E6BC9">
        <w:t xml:space="preserve">The quick ratio </w:t>
      </w:r>
      <w:r w:rsidR="008E6BC9">
        <w:t>reduced</w:t>
      </w:r>
      <w:r w:rsidR="008E6BC9" w:rsidRPr="008E6BC9">
        <w:t xml:space="preserve"> from 0.46 to 0.44. Tesco has low liquid assets following the process of </w:t>
      </w:r>
      <w:r w:rsidR="008E6BC9" w:rsidRPr="008E6BC9">
        <w:lastRenderedPageBreak/>
        <w:t>inventory removal</w:t>
      </w:r>
      <w:r w:rsidR="00822922">
        <w:t xml:space="preserve"> (</w:t>
      </w:r>
      <w:proofErr w:type="spellStart"/>
      <w:r w:rsidR="00822922" w:rsidRPr="005A7FB1">
        <w:t>Affes</w:t>
      </w:r>
      <w:proofErr w:type="spellEnd"/>
      <w:r w:rsidR="00822922">
        <w:t xml:space="preserve"> and </w:t>
      </w:r>
      <w:proofErr w:type="spellStart"/>
      <w:r w:rsidR="00822922" w:rsidRPr="005A7FB1">
        <w:t>Jarboui</w:t>
      </w:r>
      <w:proofErr w:type="spellEnd"/>
      <w:r w:rsidR="00822922" w:rsidRPr="005A7FB1">
        <w:t>, 2023)</w:t>
      </w:r>
      <w:r w:rsidR="008E6BC9" w:rsidRPr="008E6BC9">
        <w:t>. This exposes them to cash shocks in case sales decelerate or terms of suppliers are tightened.</w:t>
      </w:r>
    </w:p>
    <w:p w14:paraId="1ED7C214" w14:textId="7E69B0C6" w:rsidR="00A85157" w:rsidRPr="00A85157" w:rsidRDefault="00A85157" w:rsidP="004D2F6B">
      <w:pPr>
        <w:rPr>
          <w:b/>
          <w:bCs/>
        </w:rPr>
      </w:pPr>
      <w:r w:rsidRPr="00A85157">
        <w:rPr>
          <w:b/>
          <w:bCs/>
        </w:rPr>
        <w:t>Gearing / solvency</w:t>
      </w:r>
    </w:p>
    <w:p w14:paraId="37AFA772" w14:textId="13B15570" w:rsidR="00A85157" w:rsidRDefault="00A85157" w:rsidP="004D2F6B">
      <w:r w:rsidRPr="00A60248">
        <w:rPr>
          <w:b/>
          <w:bCs/>
        </w:rPr>
        <w:t>Net debt / equity</w:t>
      </w:r>
      <w:r w:rsidR="00A60248" w:rsidRPr="00A60248">
        <w:rPr>
          <w:b/>
          <w:bCs/>
        </w:rPr>
        <w:t>:</w:t>
      </w:r>
      <w:r w:rsidR="00A60248">
        <w:t xml:space="preserve"> </w:t>
      </w:r>
      <w:r w:rsidR="00A60248" w:rsidRPr="00A60248">
        <w:t xml:space="preserve">This ratio demonstrates the extent of financial risk through the net debt to equity of the shareholders. </w:t>
      </w:r>
    </w:p>
    <w:p w14:paraId="699C9F08" w14:textId="110D3AAA" w:rsidR="00A60248" w:rsidRDefault="00361920" w:rsidP="004D2F6B">
      <w:r w:rsidRPr="00361920">
        <w:rPr>
          <w:noProof/>
        </w:rPr>
        <w:drawing>
          <wp:inline distT="0" distB="0" distL="0" distR="0" wp14:anchorId="5748ADB2" wp14:editId="7ADFB5A5">
            <wp:extent cx="5943600" cy="12534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1253490"/>
                    </a:xfrm>
                    <a:prstGeom prst="rect">
                      <a:avLst/>
                    </a:prstGeom>
                  </pic:spPr>
                </pic:pic>
              </a:graphicData>
            </a:graphic>
          </wp:inline>
        </w:drawing>
      </w:r>
      <w:r w:rsidR="008E6BC9" w:rsidRPr="008E6BC9">
        <w:t>The net debt to equity decreased by 0.83 to 0.81. It shows a minor decrease in leverage. Compared to the shareholder funding, Tesco is marginally reliant on net borrowing</w:t>
      </w:r>
      <w:r w:rsidR="00822922">
        <w:t xml:space="preserve"> (</w:t>
      </w:r>
      <w:r w:rsidR="00822922" w:rsidRPr="005A7FB1">
        <w:t>Sureshchandar, 2023)</w:t>
      </w:r>
      <w:r w:rsidR="008E6BC9" w:rsidRPr="008E6BC9">
        <w:t>.</w:t>
      </w:r>
    </w:p>
    <w:p w14:paraId="0C093570" w14:textId="2DF9EA2F" w:rsidR="00A85157" w:rsidRDefault="00A85157" w:rsidP="004D2F6B">
      <w:r w:rsidRPr="00A60248">
        <w:rPr>
          <w:b/>
          <w:bCs/>
        </w:rPr>
        <w:t>Interest cover</w:t>
      </w:r>
      <w:r w:rsidR="00A60248" w:rsidRPr="00A60248">
        <w:rPr>
          <w:b/>
          <w:bCs/>
        </w:rPr>
        <w:t>:</w:t>
      </w:r>
      <w:r w:rsidR="00A60248">
        <w:t xml:space="preserve"> </w:t>
      </w:r>
      <w:r w:rsidR="00A60248" w:rsidRPr="00A60248">
        <w:t>Interest cover the interest cover is used to determine the ease with which an operating profit can be used to pay interest.</w:t>
      </w:r>
    </w:p>
    <w:p w14:paraId="74B90141" w14:textId="5A875E9A" w:rsidR="00361920" w:rsidRDefault="00361920" w:rsidP="004D2F6B">
      <w:r w:rsidRPr="00361920">
        <w:rPr>
          <w:noProof/>
        </w:rPr>
        <w:drawing>
          <wp:inline distT="0" distB="0" distL="0" distR="0" wp14:anchorId="16452911" wp14:editId="7A63C2F1">
            <wp:extent cx="5943600" cy="124269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1242695"/>
                    </a:xfrm>
                    <a:prstGeom prst="rect">
                      <a:avLst/>
                    </a:prstGeom>
                  </pic:spPr>
                </pic:pic>
              </a:graphicData>
            </a:graphic>
          </wp:inline>
        </w:drawing>
      </w:r>
    </w:p>
    <w:p w14:paraId="2CB74ED1" w14:textId="3C1109FD" w:rsidR="00A85157" w:rsidRDefault="008E6BC9" w:rsidP="004D2F6B">
      <w:r w:rsidRPr="008E6BC9">
        <w:t>The interest coverage went up to 3.63 times as compared to 3.50 times. Tesco made stronger operating profit per pound of interest. This reduces short term solvency risk yet cover is low.</w:t>
      </w:r>
    </w:p>
    <w:p w14:paraId="035FC329" w14:textId="4FDFF039" w:rsidR="00A85157" w:rsidRPr="009C10FA" w:rsidRDefault="00A85157" w:rsidP="004D2F6B">
      <w:pPr>
        <w:rPr>
          <w:b/>
          <w:bCs/>
        </w:rPr>
      </w:pPr>
      <w:r w:rsidRPr="009C10FA">
        <w:rPr>
          <w:b/>
          <w:bCs/>
        </w:rPr>
        <w:t>Efficiency</w:t>
      </w:r>
    </w:p>
    <w:p w14:paraId="5D0F97D7" w14:textId="44B9AE72" w:rsidR="00A85157" w:rsidRDefault="009C10FA" w:rsidP="004D2F6B">
      <w:r w:rsidRPr="00A60248">
        <w:rPr>
          <w:b/>
          <w:bCs/>
        </w:rPr>
        <w:t>Inventory days</w:t>
      </w:r>
      <w:r w:rsidR="00A60248" w:rsidRPr="00A60248">
        <w:rPr>
          <w:b/>
          <w:bCs/>
        </w:rPr>
        <w:t>:</w:t>
      </w:r>
      <w:r w:rsidR="00A60248">
        <w:t xml:space="preserve"> </w:t>
      </w:r>
      <w:r w:rsidR="00A60248" w:rsidRPr="00A60248">
        <w:t xml:space="preserve">Inventory days display the length of time the stock is held to be sold. </w:t>
      </w:r>
    </w:p>
    <w:p w14:paraId="226612AC" w14:textId="603A8193" w:rsidR="00C11206" w:rsidRDefault="00C11206" w:rsidP="004D2F6B">
      <w:r>
        <w:t xml:space="preserve">Formula: </w:t>
      </w:r>
      <w:r w:rsidRPr="00C11206">
        <w:t>(Inventories / Cost of sales) × 365</w:t>
      </w:r>
    </w:p>
    <w:p w14:paraId="2C58300B" w14:textId="65B48E4A" w:rsidR="00A60248" w:rsidRDefault="00361920" w:rsidP="004D2F6B">
      <w:r w:rsidRPr="00361920">
        <w:rPr>
          <w:noProof/>
        </w:rPr>
        <w:lastRenderedPageBreak/>
        <w:drawing>
          <wp:inline distT="0" distB="0" distL="0" distR="0" wp14:anchorId="0E267945" wp14:editId="516E390D">
            <wp:extent cx="5943600" cy="117856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1178560"/>
                    </a:xfrm>
                    <a:prstGeom prst="rect">
                      <a:avLst/>
                    </a:prstGeom>
                  </pic:spPr>
                </pic:pic>
              </a:graphicData>
            </a:graphic>
          </wp:inline>
        </w:drawing>
      </w:r>
      <w:r w:rsidR="008E6BC9" w:rsidRPr="008E6BC9">
        <w:t>The inventory days went up to 15.31 to 15.74 days. Stock remained a little bit longer before sale. The difference is not significant, and it may hike the holding costs and elevate the risk of waste</w:t>
      </w:r>
      <w:r w:rsidR="00822922">
        <w:t xml:space="preserve"> (</w:t>
      </w:r>
      <w:r w:rsidR="00822922" w:rsidRPr="005A7FB1">
        <w:t>Parrino</w:t>
      </w:r>
      <w:r w:rsidR="00822922">
        <w:t xml:space="preserve"> et al., 2025)</w:t>
      </w:r>
      <w:r w:rsidR="008E6BC9" w:rsidRPr="008E6BC9">
        <w:t>.</w:t>
      </w:r>
    </w:p>
    <w:p w14:paraId="4519A330" w14:textId="4F2E0CDF" w:rsidR="009C10FA" w:rsidRDefault="009C10FA" w:rsidP="004D2F6B">
      <w:r w:rsidRPr="00A60248">
        <w:rPr>
          <w:b/>
          <w:bCs/>
        </w:rPr>
        <w:t>Receivable’s days (proxy)</w:t>
      </w:r>
      <w:r w:rsidR="00A60248" w:rsidRPr="00A60248">
        <w:rPr>
          <w:b/>
          <w:bCs/>
        </w:rPr>
        <w:t>:</w:t>
      </w:r>
      <w:r w:rsidR="00A60248">
        <w:t xml:space="preserve"> </w:t>
      </w:r>
      <w:r w:rsidR="00A60248" w:rsidRPr="00A60248">
        <w:t>The receivables days are the measurement of the speed at which the customers pay their due.</w:t>
      </w:r>
    </w:p>
    <w:p w14:paraId="34B0A6B2" w14:textId="7934D6B7" w:rsidR="00C11206" w:rsidRDefault="00C11206" w:rsidP="004D2F6B">
      <w:r>
        <w:t xml:space="preserve">Formula: </w:t>
      </w:r>
      <w:r w:rsidRPr="00C11206">
        <w:t>(Trade receivables / Revenue) × 365</w:t>
      </w:r>
    </w:p>
    <w:p w14:paraId="0A662D4A" w14:textId="23635077" w:rsidR="00A60248" w:rsidRDefault="00361920" w:rsidP="004D2F6B">
      <w:r w:rsidRPr="00361920">
        <w:rPr>
          <w:noProof/>
        </w:rPr>
        <w:drawing>
          <wp:inline distT="0" distB="0" distL="0" distR="0" wp14:anchorId="33BCD2F4" wp14:editId="48A6C92E">
            <wp:extent cx="5943600" cy="12287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1228725"/>
                    </a:xfrm>
                    <a:prstGeom prst="rect">
                      <a:avLst/>
                    </a:prstGeom>
                  </pic:spPr>
                </pic:pic>
              </a:graphicData>
            </a:graphic>
          </wp:inline>
        </w:drawing>
      </w:r>
      <w:r w:rsidR="008E6BC9" w:rsidRPr="008E6BC9">
        <w:t>There was a decrease in receivables days to 6.32 days. Tesco took shorter time to collect cash. This helps in supporting liquidity and auguring good card-based sales, as well as effective settlement and billing procedures</w:t>
      </w:r>
      <w:r w:rsidR="00822922">
        <w:t xml:space="preserve"> (</w:t>
      </w:r>
      <w:r w:rsidR="00822922" w:rsidRPr="005A7FB1">
        <w:t>Fraser</w:t>
      </w:r>
      <w:r w:rsidR="00822922">
        <w:t xml:space="preserve"> et al., 2016)</w:t>
      </w:r>
      <w:r w:rsidR="008E6BC9" w:rsidRPr="008E6BC9">
        <w:t>.</w:t>
      </w:r>
    </w:p>
    <w:p w14:paraId="6270C4A6" w14:textId="2AA6715B" w:rsidR="009C10FA" w:rsidRDefault="009C10FA" w:rsidP="004D2F6B">
      <w:r w:rsidRPr="00A60248">
        <w:rPr>
          <w:b/>
          <w:bCs/>
        </w:rPr>
        <w:t>Payable’s days (proxy)</w:t>
      </w:r>
      <w:r w:rsidR="00A60248" w:rsidRPr="00A60248">
        <w:rPr>
          <w:b/>
          <w:bCs/>
        </w:rPr>
        <w:t>:</w:t>
      </w:r>
      <w:r w:rsidR="00A60248">
        <w:t xml:space="preserve"> </w:t>
      </w:r>
      <w:r w:rsidR="00A60248" w:rsidRPr="00A60248">
        <w:t xml:space="preserve">Payable’s days indicate the number of days the company takes to be paid to the suppliers. </w:t>
      </w:r>
    </w:p>
    <w:p w14:paraId="4E577957" w14:textId="13FDF4D9" w:rsidR="00C11206" w:rsidRDefault="00C11206" w:rsidP="004D2F6B">
      <w:r>
        <w:t xml:space="preserve">Formula: </w:t>
      </w:r>
      <w:r w:rsidRPr="00C11206">
        <w:t>(Trade payables / Cost of sales) × 365</w:t>
      </w:r>
    </w:p>
    <w:p w14:paraId="184F7BCD" w14:textId="3A6D1B50" w:rsidR="009C10FA" w:rsidRDefault="00361920" w:rsidP="004D2F6B">
      <w:r w:rsidRPr="00361920">
        <w:rPr>
          <w:noProof/>
        </w:rPr>
        <w:drawing>
          <wp:inline distT="0" distB="0" distL="0" distR="0" wp14:anchorId="1EFFE40D" wp14:editId="15A01C5F">
            <wp:extent cx="5943600" cy="12852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1285240"/>
                    </a:xfrm>
                    <a:prstGeom prst="rect">
                      <a:avLst/>
                    </a:prstGeom>
                  </pic:spPr>
                </pic:pic>
              </a:graphicData>
            </a:graphic>
          </wp:inline>
        </w:drawing>
      </w:r>
      <w:r w:rsidR="008E6BC9" w:rsidRPr="008E6BC9">
        <w:t xml:space="preserve">The number of payables days decreased to 58.92 days. Tesco was paying suppliers slightly </w:t>
      </w:r>
      <w:r w:rsidR="008E6BC9" w:rsidRPr="008E6BC9">
        <w:lastRenderedPageBreak/>
        <w:t>higher. This can be effective to strengthen relations with suppliers, yet, it decreases the free cash flow as well as the working-capital relief.</w:t>
      </w:r>
    </w:p>
    <w:p w14:paraId="5CF9EC2B" w14:textId="3C4D2FB4" w:rsidR="009C10FA" w:rsidRDefault="009C10FA" w:rsidP="004D2F6B">
      <w:r w:rsidRPr="009C10FA">
        <w:t>Investor indicators (directly evidenced)</w:t>
      </w:r>
    </w:p>
    <w:p w14:paraId="637B36B0" w14:textId="603F3AFF" w:rsidR="00A60248" w:rsidRDefault="009C10FA" w:rsidP="004D2F6B">
      <w:r w:rsidRPr="00A60248">
        <w:rPr>
          <w:b/>
          <w:bCs/>
        </w:rPr>
        <w:t>Dividend per share (DPS):</w:t>
      </w:r>
      <w:r w:rsidRPr="009C10FA">
        <w:t xml:space="preserve"> </w:t>
      </w:r>
      <w:r w:rsidR="00A60248" w:rsidRPr="00A60248">
        <w:t xml:space="preserve">DPS presents the amount of cash dividend paid to the shareholders per share. </w:t>
      </w:r>
    </w:p>
    <w:tbl>
      <w:tblPr>
        <w:tblStyle w:val="GridTable1Light-Accent5"/>
        <w:tblW w:w="6285" w:type="dxa"/>
        <w:tblLook w:val="04A0" w:firstRow="1" w:lastRow="0" w:firstColumn="1" w:lastColumn="0" w:noHBand="0" w:noVBand="1"/>
      </w:tblPr>
      <w:tblGrid>
        <w:gridCol w:w="3142"/>
        <w:gridCol w:w="3143"/>
      </w:tblGrid>
      <w:tr w:rsidR="00D73B10" w14:paraId="51425AD5" w14:textId="77777777" w:rsidTr="00D73B10">
        <w:trPr>
          <w:cnfStyle w:val="100000000000" w:firstRow="1" w:lastRow="0" w:firstColumn="0" w:lastColumn="0" w:oddVBand="0" w:evenVBand="0" w:oddHBand="0" w:evenHBand="0" w:firstRowFirstColumn="0" w:firstRowLastColumn="0" w:lastRowFirstColumn="0" w:lastRowLastColumn="0"/>
          <w:trHeight w:val="895"/>
        </w:trPr>
        <w:tc>
          <w:tcPr>
            <w:cnfStyle w:val="001000000000" w:firstRow="0" w:lastRow="0" w:firstColumn="1" w:lastColumn="0" w:oddVBand="0" w:evenVBand="0" w:oddHBand="0" w:evenHBand="0" w:firstRowFirstColumn="0" w:firstRowLastColumn="0" w:lastRowFirstColumn="0" w:lastRowLastColumn="0"/>
            <w:tcW w:w="3142" w:type="dxa"/>
          </w:tcPr>
          <w:p w14:paraId="18D85918" w14:textId="77777777" w:rsidR="00D73B10" w:rsidRDefault="00D73B10" w:rsidP="00DE20A4">
            <w:pPr>
              <w:jc w:val="center"/>
            </w:pPr>
            <w:r w:rsidRPr="00FF18F1">
              <w:t>FY2025</w:t>
            </w:r>
          </w:p>
        </w:tc>
        <w:tc>
          <w:tcPr>
            <w:tcW w:w="3143" w:type="dxa"/>
          </w:tcPr>
          <w:p w14:paraId="3EDEBA12" w14:textId="7CD362C3" w:rsidR="00D73B10" w:rsidRPr="00C11206" w:rsidRDefault="00D73B10" w:rsidP="00DE20A4">
            <w:pPr>
              <w:jc w:val="center"/>
              <w:cnfStyle w:val="100000000000" w:firstRow="1" w:lastRow="0" w:firstColumn="0" w:lastColumn="0" w:oddVBand="0" w:evenVBand="0" w:oddHBand="0" w:evenHBand="0" w:firstRowFirstColumn="0" w:firstRowLastColumn="0" w:lastRowFirstColumn="0" w:lastRowLastColumn="0"/>
              <w:rPr>
                <w:b w:val="0"/>
                <w:bCs w:val="0"/>
              </w:rPr>
            </w:pPr>
            <w:r w:rsidRPr="00D73B10">
              <w:rPr>
                <w:b w:val="0"/>
                <w:bCs w:val="0"/>
              </w:rPr>
              <w:t>13.70p</w:t>
            </w:r>
          </w:p>
        </w:tc>
      </w:tr>
      <w:tr w:rsidR="00D73B10" w14:paraId="5081E2AE" w14:textId="77777777" w:rsidTr="00D73B10">
        <w:trPr>
          <w:trHeight w:val="932"/>
        </w:trPr>
        <w:tc>
          <w:tcPr>
            <w:cnfStyle w:val="001000000000" w:firstRow="0" w:lastRow="0" w:firstColumn="1" w:lastColumn="0" w:oddVBand="0" w:evenVBand="0" w:oddHBand="0" w:evenHBand="0" w:firstRowFirstColumn="0" w:firstRowLastColumn="0" w:lastRowFirstColumn="0" w:lastRowLastColumn="0"/>
            <w:tcW w:w="3142" w:type="dxa"/>
          </w:tcPr>
          <w:p w14:paraId="79A374E5" w14:textId="77777777" w:rsidR="00D73B10" w:rsidRDefault="00D73B10" w:rsidP="00DE20A4">
            <w:pPr>
              <w:jc w:val="center"/>
            </w:pPr>
            <w:r w:rsidRPr="00FF18F1">
              <w:t>FY2024</w:t>
            </w:r>
          </w:p>
        </w:tc>
        <w:tc>
          <w:tcPr>
            <w:tcW w:w="3143" w:type="dxa"/>
          </w:tcPr>
          <w:p w14:paraId="0EC8607E" w14:textId="30E7BB68" w:rsidR="00D73B10" w:rsidRDefault="00D73B10" w:rsidP="00DE20A4">
            <w:pPr>
              <w:jc w:val="center"/>
              <w:cnfStyle w:val="000000000000" w:firstRow="0" w:lastRow="0" w:firstColumn="0" w:lastColumn="0" w:oddVBand="0" w:evenVBand="0" w:oddHBand="0" w:evenHBand="0" w:firstRowFirstColumn="0" w:firstRowLastColumn="0" w:lastRowFirstColumn="0" w:lastRowLastColumn="0"/>
            </w:pPr>
            <w:r w:rsidRPr="00D73B10">
              <w:t xml:space="preserve">12.10p </w:t>
            </w:r>
          </w:p>
        </w:tc>
      </w:tr>
    </w:tbl>
    <w:p w14:paraId="74C7320F" w14:textId="01ADE88E" w:rsidR="00FF18F1" w:rsidRDefault="008E6BC9" w:rsidP="004D2F6B">
      <w:r w:rsidRPr="008E6BC9">
        <w:t xml:space="preserve">DPS </w:t>
      </w:r>
      <w:r>
        <w:t>improved</w:t>
      </w:r>
      <w:r w:rsidRPr="008E6BC9">
        <w:t xml:space="preserve"> from 12.10p to 13.70p. Tesco paid back more cash to shareholders</w:t>
      </w:r>
      <w:r w:rsidR="00822922">
        <w:t xml:space="preserve"> (</w:t>
      </w:r>
      <w:r w:rsidR="00822922" w:rsidRPr="005A7FB1">
        <w:t>Babalola</w:t>
      </w:r>
      <w:r w:rsidR="00822922">
        <w:t xml:space="preserve"> and </w:t>
      </w:r>
      <w:r w:rsidR="00822922" w:rsidRPr="005A7FB1">
        <w:t>Abiola, 2013)</w:t>
      </w:r>
      <w:r w:rsidRPr="008E6BC9">
        <w:t>. This is an indication of confidence; however, it raises cash expenditure and decreases cash held to be re-invested.</w:t>
      </w:r>
    </w:p>
    <w:p w14:paraId="69A397CF" w14:textId="21E20601" w:rsidR="00A60248" w:rsidRDefault="009C10FA" w:rsidP="004D2F6B">
      <w:r w:rsidRPr="00A60248">
        <w:rPr>
          <w:b/>
          <w:bCs/>
        </w:rPr>
        <w:t>EPS (continuing operations, basic):</w:t>
      </w:r>
      <w:r w:rsidRPr="009C10FA">
        <w:t xml:space="preserve"> </w:t>
      </w:r>
      <w:r w:rsidR="00A60248" w:rsidRPr="00A60248">
        <w:t xml:space="preserve">EPS explains the profit earned per share of ordinary stock. </w:t>
      </w:r>
    </w:p>
    <w:tbl>
      <w:tblPr>
        <w:tblStyle w:val="GridTable1Light-Accent5"/>
        <w:tblW w:w="6285" w:type="dxa"/>
        <w:tblLook w:val="04A0" w:firstRow="1" w:lastRow="0" w:firstColumn="1" w:lastColumn="0" w:noHBand="0" w:noVBand="1"/>
      </w:tblPr>
      <w:tblGrid>
        <w:gridCol w:w="3142"/>
        <w:gridCol w:w="3143"/>
      </w:tblGrid>
      <w:tr w:rsidR="00D73B10" w14:paraId="494EC93D" w14:textId="77777777" w:rsidTr="00D73B10">
        <w:trPr>
          <w:cnfStyle w:val="100000000000" w:firstRow="1" w:lastRow="0" w:firstColumn="0" w:lastColumn="0" w:oddVBand="0" w:evenVBand="0" w:oddHBand="0" w:evenHBand="0" w:firstRowFirstColumn="0" w:firstRowLastColumn="0" w:lastRowFirstColumn="0" w:lastRowLastColumn="0"/>
          <w:trHeight w:val="895"/>
        </w:trPr>
        <w:tc>
          <w:tcPr>
            <w:cnfStyle w:val="001000000000" w:firstRow="0" w:lastRow="0" w:firstColumn="1" w:lastColumn="0" w:oddVBand="0" w:evenVBand="0" w:oddHBand="0" w:evenHBand="0" w:firstRowFirstColumn="0" w:firstRowLastColumn="0" w:lastRowFirstColumn="0" w:lastRowLastColumn="0"/>
            <w:tcW w:w="3142" w:type="dxa"/>
          </w:tcPr>
          <w:p w14:paraId="4B59E49C" w14:textId="77777777" w:rsidR="00D73B10" w:rsidRDefault="00D73B10" w:rsidP="00DE20A4">
            <w:pPr>
              <w:jc w:val="center"/>
            </w:pPr>
            <w:r w:rsidRPr="00FF18F1">
              <w:t>FY2025</w:t>
            </w:r>
          </w:p>
        </w:tc>
        <w:tc>
          <w:tcPr>
            <w:tcW w:w="3143" w:type="dxa"/>
          </w:tcPr>
          <w:p w14:paraId="52A42417" w14:textId="2F59F5DA" w:rsidR="00D73B10" w:rsidRPr="00D73B10" w:rsidRDefault="00D73B10" w:rsidP="00DE20A4">
            <w:pPr>
              <w:jc w:val="center"/>
              <w:cnfStyle w:val="100000000000" w:firstRow="1" w:lastRow="0" w:firstColumn="0" w:lastColumn="0" w:oddVBand="0" w:evenVBand="0" w:oddHBand="0" w:evenHBand="0" w:firstRowFirstColumn="0" w:firstRowLastColumn="0" w:lastRowFirstColumn="0" w:lastRowLastColumn="0"/>
              <w:rPr>
                <w:b w:val="0"/>
                <w:bCs w:val="0"/>
              </w:rPr>
            </w:pPr>
            <w:r w:rsidRPr="00D73B10">
              <w:rPr>
                <w:b w:val="0"/>
                <w:bCs w:val="0"/>
              </w:rPr>
              <w:t>23.41p</w:t>
            </w:r>
          </w:p>
        </w:tc>
      </w:tr>
      <w:tr w:rsidR="00D73B10" w14:paraId="72565FB9" w14:textId="77777777" w:rsidTr="00D73B10">
        <w:trPr>
          <w:trHeight w:val="932"/>
        </w:trPr>
        <w:tc>
          <w:tcPr>
            <w:cnfStyle w:val="001000000000" w:firstRow="0" w:lastRow="0" w:firstColumn="1" w:lastColumn="0" w:oddVBand="0" w:evenVBand="0" w:oddHBand="0" w:evenHBand="0" w:firstRowFirstColumn="0" w:firstRowLastColumn="0" w:lastRowFirstColumn="0" w:lastRowLastColumn="0"/>
            <w:tcW w:w="3142" w:type="dxa"/>
          </w:tcPr>
          <w:p w14:paraId="6E8B16A1" w14:textId="77777777" w:rsidR="00D73B10" w:rsidRDefault="00D73B10" w:rsidP="00DE20A4">
            <w:pPr>
              <w:jc w:val="center"/>
            </w:pPr>
            <w:r w:rsidRPr="00FF18F1">
              <w:t>FY2024</w:t>
            </w:r>
          </w:p>
        </w:tc>
        <w:tc>
          <w:tcPr>
            <w:tcW w:w="3143" w:type="dxa"/>
          </w:tcPr>
          <w:p w14:paraId="68F006C9" w14:textId="763993CE" w:rsidR="00D73B10" w:rsidRDefault="00D73B10" w:rsidP="00DE20A4">
            <w:pPr>
              <w:jc w:val="center"/>
              <w:cnfStyle w:val="000000000000" w:firstRow="0" w:lastRow="0" w:firstColumn="0" w:lastColumn="0" w:oddVBand="0" w:evenVBand="0" w:oddHBand="0" w:evenHBand="0" w:firstRowFirstColumn="0" w:firstRowLastColumn="0" w:lastRowFirstColumn="0" w:lastRowLastColumn="0"/>
            </w:pPr>
            <w:r w:rsidRPr="00D73B10">
              <w:t>24.80p</w:t>
            </w:r>
          </w:p>
        </w:tc>
      </w:tr>
    </w:tbl>
    <w:p w14:paraId="770D1134" w14:textId="28192C80" w:rsidR="00FF18F1" w:rsidRDefault="008E6BC9" w:rsidP="004D2F6B">
      <w:r w:rsidRPr="008E6BC9">
        <w:t>Basic EPS fell from 24.80p to 23.41p. There was a small reduction in the profit per share. This can be an indicator of cost pressures, alteration in the share numbers or any other effects of profit distribution.</w:t>
      </w:r>
    </w:p>
    <w:p w14:paraId="68CCFF8B" w14:textId="3371F2AA" w:rsidR="009C6CF3" w:rsidRDefault="009C6CF3" w:rsidP="004D2F6B">
      <w:r w:rsidRPr="009C6CF3">
        <w:t>Although the statutory profit increased in FY2025, the basic earnings per share (EPS) decreased by 24.80p to 23.41p. Such inconsistency is probably attributed to variations in the weighted average number of ordinary shares in issue during the year, which could have been as a result of share-based payments, scrip dividends or share issues</w:t>
      </w:r>
      <w:r w:rsidR="00E572C0">
        <w:t xml:space="preserve"> (</w:t>
      </w:r>
      <w:r w:rsidR="00E572C0" w:rsidRPr="005906B5">
        <w:t>Bhimani, 2022)</w:t>
      </w:r>
      <w:r w:rsidRPr="009C6CF3">
        <w:t>. Besides this, statutory profit comprises properties that cannot be entirely allocated to ordinary shareholders. Consequently, the increase in total profit may not imply the rise in earnings per share.</w:t>
      </w:r>
    </w:p>
    <w:p w14:paraId="12BA26EC" w14:textId="76A32C5F" w:rsidR="009C10FA" w:rsidRDefault="009C10FA" w:rsidP="004D2F6B">
      <w:r w:rsidRPr="009C10FA">
        <w:t>Dividend cover (proxy) = EPS / DPS</w:t>
      </w:r>
    </w:p>
    <w:p w14:paraId="76675F54" w14:textId="5FBD6B56" w:rsidR="009C10FA" w:rsidRDefault="00810837" w:rsidP="004D2F6B">
      <w:r w:rsidRPr="00810837">
        <w:rPr>
          <w:noProof/>
        </w:rPr>
        <w:lastRenderedPageBreak/>
        <w:drawing>
          <wp:inline distT="0" distB="0" distL="0" distR="0" wp14:anchorId="0E92B01B" wp14:editId="0DA07537">
            <wp:extent cx="5943600" cy="12477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1247775"/>
                    </a:xfrm>
                    <a:prstGeom prst="rect">
                      <a:avLst/>
                    </a:prstGeom>
                  </pic:spPr>
                </pic:pic>
              </a:graphicData>
            </a:graphic>
          </wp:inline>
        </w:drawing>
      </w:r>
      <w:r w:rsidR="008E6BC9" w:rsidRPr="008E6BC9">
        <w:t>The dividend cover declined to 1.71 times. In FY2025, a greater proportion of earnings went on dividends. This decreases safety in case the profits are down in later years.</w:t>
      </w:r>
    </w:p>
    <w:p w14:paraId="3D0B0C92" w14:textId="73915D8C" w:rsidR="009C10FA" w:rsidRDefault="009C10FA" w:rsidP="00392463">
      <w:pPr>
        <w:pStyle w:val="Heading2"/>
      </w:pPr>
      <w:bookmarkStart w:id="12" w:name="_Toc218268956"/>
      <w:bookmarkStart w:id="13" w:name="_Toc218269022"/>
      <w:r w:rsidRPr="009C10FA">
        <w:t>4. Critical evaluation of ratio movements</w:t>
      </w:r>
      <w:bookmarkEnd w:id="12"/>
      <w:bookmarkEnd w:id="13"/>
    </w:p>
    <w:p w14:paraId="4EC5A2C9" w14:textId="6A253DFF" w:rsidR="00D93500" w:rsidRPr="00392463" w:rsidRDefault="00D93500" w:rsidP="00392463">
      <w:pPr>
        <w:pStyle w:val="Heading3"/>
      </w:pPr>
      <w:bookmarkStart w:id="14" w:name="_Toc218268957"/>
      <w:bookmarkStart w:id="15" w:name="_Toc218269023"/>
      <w:r w:rsidRPr="00392463">
        <w:t>4.1 Profitability: stable gross margin, weaker operating margin</w:t>
      </w:r>
      <w:bookmarkEnd w:id="14"/>
      <w:bookmarkEnd w:id="15"/>
    </w:p>
    <w:p w14:paraId="7929A18F" w14:textId="75036A22" w:rsidR="00D93500" w:rsidRDefault="00D93500" w:rsidP="00D93500">
      <w:pPr>
        <w:pStyle w:val="ListParagraph"/>
        <w:numPr>
          <w:ilvl w:val="0"/>
          <w:numId w:val="1"/>
        </w:numPr>
      </w:pPr>
      <w:r>
        <w:t>Gross margin was marginally improved (7.11- 7.22). This implies pricing/mix and/or buying terms that have been maintained amid the inflationary pressures</w:t>
      </w:r>
      <w:r w:rsidR="00E572C0">
        <w:t xml:space="preserve"> (</w:t>
      </w:r>
      <w:r w:rsidR="00E572C0" w:rsidRPr="005906B5">
        <w:t>Drury, 2020)</w:t>
      </w:r>
      <w:r>
        <w:t>. It is also a sign that Tesco cushioned product-level profitability amidst a very competitive market.</w:t>
      </w:r>
    </w:p>
    <w:p w14:paraId="0D196414" w14:textId="6A2F2508" w:rsidR="00D93500" w:rsidRDefault="00D93500" w:rsidP="00D93500">
      <w:pPr>
        <w:pStyle w:val="ListParagraph"/>
        <w:numPr>
          <w:ilvl w:val="0"/>
          <w:numId w:val="1"/>
        </w:numPr>
      </w:pPr>
      <w:r>
        <w:t>The operating margin also dropped (4.14%-3.88) although the revenue was increased. It is probably due to increased operating expenses (wages, energy, logistics, shrink) and/or strategic reinvestment in price position; supermarkets will defend volume/market share even at the expense of operating margin. It means that the pressure of costs is shifting out of cost of sales, to operation expenses.</w:t>
      </w:r>
    </w:p>
    <w:p w14:paraId="667CEAAB" w14:textId="42F674E8" w:rsidR="00D93500" w:rsidRDefault="00D93500" w:rsidP="00D93500">
      <w:pPr>
        <w:pStyle w:val="ListParagraph"/>
        <w:numPr>
          <w:ilvl w:val="0"/>
          <w:numId w:val="1"/>
        </w:numPr>
      </w:pPr>
      <w:r>
        <w:t>The net margin has improved (1.75 level-2.33 level) as FY2025 provides a higher profit statutory than FY2024 does. An interpretation of this at the board level is that, despite tightening of the operating margin, below -the-line elements and/or comparatives enhanced overall earnings</w:t>
      </w:r>
      <w:r w:rsidR="00E572C0">
        <w:t xml:space="preserve"> (</w:t>
      </w:r>
      <w:r w:rsidR="00E572C0" w:rsidRPr="005906B5">
        <w:t>Kersten, 2017)</w:t>
      </w:r>
      <w:r>
        <w:t>. This may involve changes in the costs of finance, taxation or one-off items that influence profit after operating result.</w:t>
      </w:r>
    </w:p>
    <w:p w14:paraId="33B31348" w14:textId="6C55E4B5" w:rsidR="00394441" w:rsidRDefault="00394441" w:rsidP="00D93500">
      <w:pPr>
        <w:pStyle w:val="ListParagraph"/>
        <w:numPr>
          <w:ilvl w:val="0"/>
          <w:numId w:val="1"/>
        </w:numPr>
      </w:pPr>
      <w:r w:rsidRPr="00394441">
        <w:t>Tesco has an operating margin of about 3.9% in FY2025, which is better in comparison with the UK grocery market, which operates on an average of between 2-4% and slightly higher than that of Sainsbury, which is operating near the lower end of the spectrum. This shows that even with the pressure on margins, Tesco still has some relative cost efficiency and economies of scale.</w:t>
      </w:r>
    </w:p>
    <w:p w14:paraId="2ABEAC50" w14:textId="44159FB9" w:rsidR="009C10FA" w:rsidRDefault="00D93500" w:rsidP="00E222B9">
      <w:r>
        <w:t>Management implication: Tesco is in a low-margin but high-volume business. Minimal changes in margins matter in financial terms and thus it is important to maintain operating margin so that it can support long-term returns.</w:t>
      </w:r>
    </w:p>
    <w:p w14:paraId="0C9D44F7" w14:textId="233DB45C" w:rsidR="00D93500" w:rsidRDefault="00D93500" w:rsidP="00392463">
      <w:pPr>
        <w:pStyle w:val="Heading3"/>
      </w:pPr>
      <w:bookmarkStart w:id="16" w:name="_Toc218268958"/>
      <w:bookmarkStart w:id="17" w:name="_Toc218269024"/>
      <w:r w:rsidRPr="00D93500">
        <w:lastRenderedPageBreak/>
        <w:t>4.2 Liquidity: structurally low, slightly weakening</w:t>
      </w:r>
      <w:bookmarkEnd w:id="16"/>
      <w:bookmarkEnd w:id="17"/>
    </w:p>
    <w:p w14:paraId="57AD0A57" w14:textId="65647907" w:rsidR="00D93500" w:rsidRDefault="00D93500" w:rsidP="00E222B9">
      <w:pPr>
        <w:pStyle w:val="ListParagraph"/>
        <w:numPr>
          <w:ilvl w:val="0"/>
          <w:numId w:val="3"/>
        </w:numPr>
      </w:pPr>
      <w:r>
        <w:t>The current ratio and quick ratio are less than 1 in both years (</w:t>
      </w:r>
      <w:r w:rsidR="00446C6A" w:rsidRPr="00446C6A">
        <w:t>grocery retailers</w:t>
      </w:r>
      <w:r>
        <w:t>, which operate negative working capital through supplier terms). The current ratio decreased (0.66-0.64) and the quick ratio decreased (0.46-0.44), which showed a little stricter short-term liquidity status</w:t>
      </w:r>
      <w:r w:rsidR="00E572C0">
        <w:t xml:space="preserve"> (</w:t>
      </w:r>
      <w:r w:rsidR="00E572C0" w:rsidRPr="005906B5">
        <w:t>Lipson</w:t>
      </w:r>
      <w:r w:rsidR="00E572C0">
        <w:t xml:space="preserve"> and </w:t>
      </w:r>
      <w:r w:rsidR="00E572C0" w:rsidRPr="005906B5">
        <w:t>Mortal, 2009)</w:t>
      </w:r>
      <w:r>
        <w:t>.</w:t>
      </w:r>
    </w:p>
    <w:p w14:paraId="2B235AF3" w14:textId="787C8B14" w:rsidR="00394441" w:rsidRDefault="00394441" w:rsidP="00E222B9">
      <w:pPr>
        <w:pStyle w:val="ListParagraph"/>
        <w:numPr>
          <w:ilvl w:val="0"/>
          <w:numId w:val="3"/>
        </w:numPr>
      </w:pPr>
      <w:r w:rsidRPr="00394441">
        <w:t>Tesco has a current ratio of 0.64 which is in line with the industry and peer performance since operating major grocery companies have current ratios less than 1 since working capital is unproductively used. This indicates a low liquidity position at Tesco is not because the company is in the state of financial distress.</w:t>
      </w:r>
    </w:p>
    <w:p w14:paraId="594DCE63" w14:textId="113CFAC0" w:rsidR="00D93500" w:rsidRDefault="00D93500" w:rsidP="00D93500">
      <w:r>
        <w:t>But low quick ratio means increased sensitivity to:</w:t>
      </w:r>
    </w:p>
    <w:p w14:paraId="50FC6609" w14:textId="14F82824" w:rsidR="00D93500" w:rsidRDefault="00D93500" w:rsidP="00D93500">
      <w:pPr>
        <w:pStyle w:val="ListParagraph"/>
        <w:numPr>
          <w:ilvl w:val="0"/>
          <w:numId w:val="2"/>
        </w:numPr>
      </w:pPr>
      <w:r>
        <w:t>Supplier term tightening.</w:t>
      </w:r>
    </w:p>
    <w:p w14:paraId="10D2D188" w14:textId="25DAAB4B" w:rsidR="00D93500" w:rsidRDefault="00D93500" w:rsidP="00D93500">
      <w:pPr>
        <w:pStyle w:val="ListParagraph"/>
        <w:numPr>
          <w:ilvl w:val="0"/>
          <w:numId w:val="2"/>
        </w:numPr>
      </w:pPr>
      <w:r>
        <w:t>Sudden cost shocks.</w:t>
      </w:r>
    </w:p>
    <w:p w14:paraId="271DD6DD" w14:textId="3633F3A8" w:rsidR="00D93500" w:rsidRDefault="00D93500" w:rsidP="00D93500">
      <w:pPr>
        <w:pStyle w:val="ListParagraph"/>
        <w:numPr>
          <w:ilvl w:val="0"/>
          <w:numId w:val="2"/>
        </w:numPr>
      </w:pPr>
      <w:r>
        <w:t>Consumer demand volatility.</w:t>
      </w:r>
    </w:p>
    <w:p w14:paraId="1CC09598" w14:textId="48EC398C" w:rsidR="00D93500" w:rsidRDefault="00D93500" w:rsidP="00D93500">
      <w:r w:rsidRPr="00D93500">
        <w:rPr>
          <w:b/>
          <w:bCs/>
        </w:rPr>
        <w:t>Management implication:</w:t>
      </w:r>
      <w:r>
        <w:t xml:space="preserve"> This business model is not associated with bad liquidity, rather it holds on to high cash discipline, good forecasting and good management of supplier relations to prevent the stress in the face of a shock.</w:t>
      </w:r>
    </w:p>
    <w:p w14:paraId="29688761" w14:textId="7867F47A" w:rsidR="00D93500" w:rsidRDefault="00D93500" w:rsidP="00392463">
      <w:pPr>
        <w:pStyle w:val="Heading3"/>
      </w:pPr>
      <w:bookmarkStart w:id="18" w:name="_Toc218268959"/>
      <w:bookmarkStart w:id="19" w:name="_Toc218269025"/>
      <w:r w:rsidRPr="00D93500">
        <w:t>4.3 Efficiency: working-capital model remains strong</w:t>
      </w:r>
      <w:bookmarkEnd w:id="18"/>
      <w:bookmarkEnd w:id="19"/>
    </w:p>
    <w:p w14:paraId="70EC516D" w14:textId="200F489B" w:rsidR="00D93500" w:rsidRDefault="00D93500" w:rsidP="00E222B9">
      <w:pPr>
        <w:pStyle w:val="ListParagraph"/>
        <w:numPr>
          <w:ilvl w:val="0"/>
          <w:numId w:val="4"/>
        </w:numPr>
      </w:pPr>
      <w:r>
        <w:t>Payable’s days of approximately 59 days/receivables days of approximately 6-7 days show that Tesco is financing operations on supplier credit (industry-normal)</w:t>
      </w:r>
      <w:r w:rsidR="00E572C0">
        <w:t xml:space="preserve"> (</w:t>
      </w:r>
      <w:r w:rsidR="00E572C0" w:rsidRPr="005A7FB1">
        <w:t xml:space="preserve">Rashid, </w:t>
      </w:r>
      <w:r w:rsidR="00E572C0">
        <w:t>2018</w:t>
      </w:r>
      <w:r w:rsidR="00E572C0" w:rsidRPr="005A7FB1">
        <w:t>)</w:t>
      </w:r>
      <w:r>
        <w:t>. This helps in generating cash flow since payments to suppliers are delayed when compared to receiving cash involving the customers.</w:t>
      </w:r>
    </w:p>
    <w:p w14:paraId="5BC21292" w14:textId="06C3FC92" w:rsidR="00D93500" w:rsidRDefault="00D93500" w:rsidP="00E222B9">
      <w:pPr>
        <w:pStyle w:val="ListParagraph"/>
        <w:numPr>
          <w:ilvl w:val="0"/>
          <w:numId w:val="4"/>
        </w:numPr>
      </w:pPr>
      <w:r>
        <w:t xml:space="preserve">Days to receivables have </w:t>
      </w:r>
      <w:r w:rsidR="00446C6A">
        <w:t>de</w:t>
      </w:r>
      <w:r>
        <w:t>creased (7.22-6.32) in line with high trends of cash collection (card payment, short settlement cycle). This enhances the liquidity and minimises the cash held in receivables</w:t>
      </w:r>
      <w:r w:rsidR="00E572C0">
        <w:t xml:space="preserve"> (</w:t>
      </w:r>
      <w:r w:rsidR="00E572C0" w:rsidRPr="005906B5">
        <w:t>Seth</w:t>
      </w:r>
      <w:r w:rsidR="00E572C0">
        <w:t xml:space="preserve"> et al., 2020)</w:t>
      </w:r>
      <w:r>
        <w:t>.</w:t>
      </w:r>
    </w:p>
    <w:p w14:paraId="1016E005" w14:textId="66F741A5" w:rsidR="00394441" w:rsidRDefault="00394441" w:rsidP="00E222B9">
      <w:pPr>
        <w:pStyle w:val="ListParagraph"/>
        <w:numPr>
          <w:ilvl w:val="0"/>
          <w:numId w:val="4"/>
        </w:numPr>
      </w:pPr>
      <w:r w:rsidRPr="00394441">
        <w:t>Tesco has an average payables period of about 59 days, which is generally within the sector practise (50-65 days) and equal to that of Sainsbury. This proves that Tesco is still financing operations efficiently using supplier credit and does not materially deviate the industry standards.</w:t>
      </w:r>
    </w:p>
    <w:p w14:paraId="471AE6D4" w14:textId="52133FE2" w:rsidR="00D93500" w:rsidRDefault="00D93500" w:rsidP="00D93500">
      <w:r>
        <w:t xml:space="preserve">The inventory days remained effective with a range of 15-16 days but were slightly higher (15.31-15.74). This implies a slightly slower moving stock, perhaps the season mix, product range </w:t>
      </w:r>
      <w:r>
        <w:lastRenderedPageBreak/>
        <w:t>strategy or stock availability. This change is minimal; however, it must be tracked because of the risk of waste and holding-cost.</w:t>
      </w:r>
    </w:p>
    <w:p w14:paraId="63ACA043" w14:textId="2F5CB7E5" w:rsidR="00D93500" w:rsidRDefault="00D93500" w:rsidP="00392463">
      <w:pPr>
        <w:pStyle w:val="Heading3"/>
      </w:pPr>
      <w:bookmarkStart w:id="20" w:name="_Toc218268960"/>
      <w:bookmarkStart w:id="21" w:name="_Toc218269026"/>
      <w:r w:rsidRPr="00D93500">
        <w:t>4.4 Gearing: slightly improved net debt position, cover stable</w:t>
      </w:r>
      <w:bookmarkEnd w:id="20"/>
      <w:bookmarkEnd w:id="21"/>
    </w:p>
    <w:p w14:paraId="0D70709E" w14:textId="33D6DC18" w:rsidR="00E222B9" w:rsidRDefault="00E222B9" w:rsidP="00E222B9">
      <w:pPr>
        <w:pStyle w:val="ListParagraph"/>
        <w:numPr>
          <w:ilvl w:val="0"/>
          <w:numId w:val="5"/>
        </w:numPr>
      </w:pPr>
      <w:r>
        <w:t>Net debt was decreased marginally (</w:t>
      </w:r>
      <w:r w:rsidRPr="00E222B9">
        <w:t>£9.684bn</w:t>
      </w:r>
      <w:r>
        <w:t xml:space="preserve">- </w:t>
      </w:r>
      <w:r w:rsidRPr="00E222B9">
        <w:t>£9.454bn)</w:t>
      </w:r>
      <w:r>
        <w:t>). This means that its financial position has slightly improved and its dependency on borrowing has also reduced as compared to the past year</w:t>
      </w:r>
      <w:r w:rsidR="00E572C0">
        <w:t xml:space="preserve"> (</w:t>
      </w:r>
      <w:proofErr w:type="spellStart"/>
      <w:r w:rsidR="00E572C0" w:rsidRPr="005906B5">
        <w:t>Siyanbola</w:t>
      </w:r>
      <w:proofErr w:type="spellEnd"/>
      <w:r w:rsidR="00E572C0">
        <w:t xml:space="preserve"> et al., 2015)</w:t>
      </w:r>
      <w:r>
        <w:t>.</w:t>
      </w:r>
    </w:p>
    <w:p w14:paraId="7BBA48C5" w14:textId="369E4204" w:rsidR="00E222B9" w:rsidRDefault="00E222B9" w:rsidP="00E222B9">
      <w:pPr>
        <w:pStyle w:val="ListParagraph"/>
        <w:numPr>
          <w:ilvl w:val="0"/>
          <w:numId w:val="5"/>
        </w:numPr>
      </w:pPr>
      <w:r>
        <w:t>Interest covers also grew slightly (3.50 -3.63). This demonstrates that operating profit is able to cover interest costs more comfortably in the FY2025 as compared to the FY2024 and this decreases the short-term solvency risk.</w:t>
      </w:r>
    </w:p>
    <w:p w14:paraId="70575C95" w14:textId="6167AD06" w:rsidR="00394441" w:rsidRDefault="00394441" w:rsidP="00E222B9">
      <w:pPr>
        <w:pStyle w:val="ListParagraph"/>
        <w:numPr>
          <w:ilvl w:val="0"/>
          <w:numId w:val="5"/>
        </w:numPr>
      </w:pPr>
      <w:r w:rsidRPr="00394441">
        <w:t>Tesco has a net debt-to-equity ratio of approximately 0.81, which is typical of its competitors in the retail industry and reflects average financial leverage due to the capital intensity of the grocery industry.</w:t>
      </w:r>
    </w:p>
    <w:p w14:paraId="1307A4C2" w14:textId="4B5D1DE1" w:rsidR="00E222B9" w:rsidRDefault="00E222B9" w:rsidP="00E222B9">
      <w:r w:rsidRPr="00E222B9">
        <w:rPr>
          <w:b/>
          <w:bCs/>
        </w:rPr>
        <w:t>Management implication:</w:t>
      </w:r>
      <w:r>
        <w:t xml:space="preserve"> Leverage is not so high; cover is not so high, however, access to debt markets and discipline in leases is important, particularly in a business with cost inflation exposure and price competition.</w:t>
      </w:r>
    </w:p>
    <w:p w14:paraId="4E501E2C" w14:textId="40DC7B48" w:rsidR="00394441" w:rsidRDefault="00394441" w:rsidP="00394441">
      <w:r>
        <w:rPr>
          <w:noProof/>
        </w:rPr>
        <w:drawing>
          <wp:inline distT="0" distB="0" distL="0" distR="0" wp14:anchorId="481DB4B4" wp14:editId="6CE5A449">
            <wp:extent cx="5943600" cy="179641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1796415"/>
                    </a:xfrm>
                    <a:prstGeom prst="rect">
                      <a:avLst/>
                    </a:prstGeom>
                  </pic:spPr>
                </pic:pic>
              </a:graphicData>
            </a:graphic>
          </wp:inline>
        </w:drawing>
      </w:r>
    </w:p>
    <w:p w14:paraId="65724F3F" w14:textId="7C57A339" w:rsidR="00394441" w:rsidRDefault="00394441" w:rsidP="00394441">
      <w:r w:rsidRPr="00394441">
        <w:t>The operating margin of Tesco is competitive to the standards of the UK grocery industry and biggest market players like J Sainsbury plc</w:t>
      </w:r>
      <w:r>
        <w:t xml:space="preserve"> (</w:t>
      </w:r>
      <w:r w:rsidRPr="00394441">
        <w:t>Tesco PLC, 2025; J Sainsbury plc, 2024; IBISWorld, 2024</w:t>
      </w:r>
      <w:r>
        <w:t>).</w:t>
      </w:r>
    </w:p>
    <w:p w14:paraId="4720EDD6" w14:textId="1DCD242E" w:rsidR="009C10FA" w:rsidRDefault="009C10FA" w:rsidP="009C6CF3">
      <w:pPr>
        <w:pStyle w:val="Heading2"/>
      </w:pPr>
      <w:bookmarkStart w:id="22" w:name="_Toc218268961"/>
      <w:bookmarkStart w:id="23" w:name="_Toc218269027"/>
      <w:r w:rsidRPr="009C10FA">
        <w:t>5. Limitations of ratio analysis</w:t>
      </w:r>
      <w:bookmarkEnd w:id="22"/>
      <w:bookmarkEnd w:id="23"/>
    </w:p>
    <w:p w14:paraId="0946D2D1" w14:textId="1C7A399A" w:rsidR="008C495E" w:rsidRDefault="008C495E" w:rsidP="008C495E">
      <w:r w:rsidRPr="008C495E">
        <w:rPr>
          <w:b/>
          <w:bCs/>
        </w:rPr>
        <w:t>Effects on accounting policies:</w:t>
      </w:r>
      <w:r>
        <w:t xml:space="preserve"> IFRS lease accounting inflates assets and liabilities, leverage ratios may appear poor compared to periods before the IFRS 16 (comparability issue). This </w:t>
      </w:r>
      <w:r>
        <w:lastRenderedPageBreak/>
        <w:t>hinders comparability between years and between firms which employ varied lease and property strategies</w:t>
      </w:r>
      <w:r w:rsidR="00032136">
        <w:t xml:space="preserve"> (</w:t>
      </w:r>
      <w:r w:rsidR="00032136" w:rsidRPr="005A7FB1">
        <w:t>IFRS Foundation</w:t>
      </w:r>
      <w:r w:rsidR="00032136">
        <w:t xml:space="preserve">, </w:t>
      </w:r>
      <w:r w:rsidR="00032136" w:rsidRPr="005A7FB1">
        <w:t>2021)</w:t>
      </w:r>
      <w:r w:rsidR="00032136">
        <w:t>.</w:t>
      </w:r>
    </w:p>
    <w:p w14:paraId="407D4B1C" w14:textId="4C6638CF" w:rsidR="008C495E" w:rsidRDefault="008C495E" w:rsidP="008C495E">
      <w:r w:rsidRPr="008C495E">
        <w:rPr>
          <w:b/>
          <w:bCs/>
        </w:rPr>
        <w:t>Discontinued/held-for-sale distortion:</w:t>
      </w:r>
      <w:r>
        <w:t xml:space="preserve"> </w:t>
      </w:r>
      <w:r w:rsidRPr="00392463">
        <w:rPr>
          <w:color w:val="000000" w:themeColor="text1"/>
        </w:rPr>
        <w:t xml:space="preserve">FY2024 has disposal-group line items which distort asset-based ratios and turnover comparisons. </w:t>
      </w:r>
      <w:r>
        <w:t>This implies that ratios can be an indication of change of classification and not actual performance of operations.</w:t>
      </w:r>
    </w:p>
    <w:p w14:paraId="10667C86" w14:textId="2CED5AF3" w:rsidR="008C495E" w:rsidRDefault="008C495E" w:rsidP="008C495E">
      <w:r w:rsidRPr="008C495E">
        <w:rPr>
          <w:b/>
          <w:bCs/>
        </w:rPr>
        <w:t>Timing &amp; seasonality:</w:t>
      </w:r>
      <w:r>
        <w:t xml:space="preserve"> Year-end working capital working in the retail business is seasonal (inventory, payables) and may fluctuate radically around holidays. One position at the end of the year cannot reflect usual trading conditions throughout the year.</w:t>
      </w:r>
    </w:p>
    <w:p w14:paraId="61869603" w14:textId="093645AD" w:rsidR="008C495E" w:rsidRDefault="008C495E" w:rsidP="008C495E">
      <w:r w:rsidRPr="008C495E">
        <w:rPr>
          <w:b/>
          <w:bCs/>
        </w:rPr>
        <w:t>Sector standards are significant:</w:t>
      </w:r>
      <w:r>
        <w:t xml:space="preserve"> Grocery has structurally low margins, low liquidity ratios; cross-sector comparison is usually illusory. The benchmarks should be industry based and not business averages in order to prevent drawing a false conclusion.</w:t>
      </w:r>
    </w:p>
    <w:p w14:paraId="61F1C356" w14:textId="092C15ED" w:rsidR="009C10FA" w:rsidRDefault="008C495E" w:rsidP="008C495E">
      <w:r w:rsidRPr="008C495E">
        <w:rPr>
          <w:b/>
          <w:bCs/>
        </w:rPr>
        <w:t>No causality:</w:t>
      </w:r>
      <w:r>
        <w:t xml:space="preserve"> Ratios indicate the symptoms (e.g., compression of margins) but not the cause of the symptoms without a detailed view of operations (pricing, category mix, shrink, wage inflation, etc.). Qualitative explanation and management information should therefore support ratio analysis.</w:t>
      </w:r>
    </w:p>
    <w:p w14:paraId="2B81FEC7" w14:textId="6042CACE" w:rsidR="009C10FA" w:rsidRDefault="009C10FA" w:rsidP="00392463">
      <w:pPr>
        <w:pStyle w:val="Heading2"/>
      </w:pPr>
      <w:bookmarkStart w:id="24" w:name="_Toc218268962"/>
      <w:bookmarkStart w:id="25" w:name="_Toc218269028"/>
      <w:r w:rsidRPr="009C10FA">
        <w:t>6. Recommendations to improve Tesco’s financial management</w:t>
      </w:r>
      <w:bookmarkEnd w:id="24"/>
      <w:bookmarkEnd w:id="25"/>
    </w:p>
    <w:p w14:paraId="0309F4C9" w14:textId="23EB3182" w:rsidR="00234BC0" w:rsidRPr="00234BC0" w:rsidRDefault="00234BC0" w:rsidP="00234BC0">
      <w:pPr>
        <w:rPr>
          <w:b/>
          <w:bCs/>
        </w:rPr>
      </w:pPr>
      <w:r w:rsidRPr="00234BC0">
        <w:rPr>
          <w:b/>
          <w:bCs/>
        </w:rPr>
        <w:t>Recommendation 1: Protect operating margin</w:t>
      </w:r>
    </w:p>
    <w:p w14:paraId="1F585A96" w14:textId="78C8F16D" w:rsidR="00234BC0" w:rsidRDefault="00234BC0" w:rsidP="00234BC0">
      <w:r>
        <w:t>Tesco ought to intensify activity-based cost-to-serve analysis in major stores, convenience format and online format. This will be used to determine the unprofitable patterns of fulfilment and delivery</w:t>
      </w:r>
      <w:r w:rsidR="00032136">
        <w:t xml:space="preserve"> (</w:t>
      </w:r>
      <w:r w:rsidR="00032136" w:rsidRPr="00512817">
        <w:t>Fortune, 2000)</w:t>
      </w:r>
      <w:r>
        <w:t>. Management must decrease the shrink and waste through predictive refill and more intimate collaboration with the suppliers. More efficient forecasting will reduce the markdowns and losses. Such measures enhance profitability without raising prices. High-cost visibility enhances improved decision making in pricing and promotions and safeguard customer value.</w:t>
      </w:r>
    </w:p>
    <w:p w14:paraId="2E410A34" w14:textId="2F4FD7A3" w:rsidR="00234BC0" w:rsidRPr="00234BC0" w:rsidRDefault="00234BC0" w:rsidP="00234BC0">
      <w:pPr>
        <w:rPr>
          <w:b/>
          <w:bCs/>
        </w:rPr>
      </w:pPr>
      <w:r w:rsidRPr="00234BC0">
        <w:rPr>
          <w:b/>
          <w:bCs/>
        </w:rPr>
        <w:t>Recommendation 2: Improve cash resilience</w:t>
      </w:r>
    </w:p>
    <w:p w14:paraId="4CEC2BAF" w14:textId="3AAA178C" w:rsidR="00234BC0" w:rsidRDefault="00234BC0" w:rsidP="00234BC0">
      <w:r>
        <w:t xml:space="preserve">Tesco ought to have negative working capital but minimise the liquidity risk. The cash forecasting that is done in the short-term is supposed to be tight and updated on a regular basis. The terms of supplier payments should be subjected to a stress test during various demand conditions. The </w:t>
      </w:r>
      <w:r>
        <w:lastRenderedPageBreak/>
        <w:t>lines of funding need to be diversified and adequate headroom is to be ensured. These measures mitigate the cost or sales surprises</w:t>
      </w:r>
      <w:r w:rsidR="00032136">
        <w:t xml:space="preserve"> (</w:t>
      </w:r>
      <w:r w:rsidR="00032136" w:rsidRPr="00512817">
        <w:t>Agrawal</w:t>
      </w:r>
      <w:r w:rsidR="00032136">
        <w:t xml:space="preserve"> et al., 2020)</w:t>
      </w:r>
      <w:r>
        <w:t>. Good liquidity planning ensures that the operations are safeguarded and at the same time maintaining the current system of the retail funding.</w:t>
      </w:r>
    </w:p>
    <w:p w14:paraId="1B83FBBA" w14:textId="5AC2B990" w:rsidR="00234BC0" w:rsidRPr="00234BC0" w:rsidRDefault="00234BC0" w:rsidP="00234BC0">
      <w:pPr>
        <w:rPr>
          <w:b/>
          <w:bCs/>
        </w:rPr>
      </w:pPr>
      <w:r w:rsidRPr="00234BC0">
        <w:rPr>
          <w:b/>
          <w:bCs/>
        </w:rPr>
        <w:t>Recommendation 3: Strengthen investment control</w:t>
      </w:r>
    </w:p>
    <w:p w14:paraId="4E3F7B86" w14:textId="364E36DF" w:rsidR="00234BC0" w:rsidRDefault="00234BC0" w:rsidP="00234BC0">
      <w:r>
        <w:t>Tesco ought to use stringent NPV and IRR analysis of all significant capital investments. An audit at the end of the completion period should be comparing actual and forecast results. The lessons learnt ought to be capitalised on in future hurdle rates and investment judgments. This enhances accountability and minimises misallocation of capital. Increased discipline in investment enhances greater returns in the long-term and promotes sustainable ROCE operations throughout the business.</w:t>
      </w:r>
    </w:p>
    <w:p w14:paraId="6B6DF05C" w14:textId="584737B9" w:rsidR="00234BC0" w:rsidRPr="00392463" w:rsidRDefault="00234BC0" w:rsidP="00234BC0">
      <w:pPr>
        <w:rPr>
          <w:b/>
          <w:bCs/>
        </w:rPr>
      </w:pPr>
      <w:r w:rsidRPr="00392463">
        <w:rPr>
          <w:b/>
          <w:bCs/>
        </w:rPr>
        <w:t>Recommendation 4: Align shareholder returns</w:t>
      </w:r>
    </w:p>
    <w:p w14:paraId="7D6B3DBD" w14:textId="73AAD79B" w:rsidR="009C10FA" w:rsidRDefault="00234BC0" w:rsidP="00234BC0">
      <w:r>
        <w:t>The dividend cover was reduced to 1.71 instead of 2.05 hence capital returns should be well coordinated with cash generation. The decisions related to dividends and buyback will have to indicate the medium-term free cash flow, investment requirements, and debt engagements. Distributions should not be overstretched by the management. A moderate course of action will safeguard the fiscal flexibility without compromising the investor confidence and consistent shareholder payoffs.</w:t>
      </w:r>
    </w:p>
    <w:p w14:paraId="426ACCB0" w14:textId="4B9745A4" w:rsidR="009C10FA" w:rsidRDefault="00234BC0" w:rsidP="00392463">
      <w:pPr>
        <w:pStyle w:val="Heading2"/>
      </w:pPr>
      <w:bookmarkStart w:id="26" w:name="_Toc218268963"/>
      <w:bookmarkStart w:id="27" w:name="_Toc218269029"/>
      <w:r>
        <w:t>7. Conclusion</w:t>
      </w:r>
      <w:bookmarkEnd w:id="26"/>
      <w:bookmarkEnd w:id="27"/>
    </w:p>
    <w:p w14:paraId="055785C4" w14:textId="36145471" w:rsidR="002C2F6C" w:rsidRDefault="002C2F6C" w:rsidP="004D2F6B">
      <w:r w:rsidRPr="002C2F6C">
        <w:t>Conclusively, Tesco has a mixed financial performance</w:t>
      </w:r>
      <w:r w:rsidR="00032136">
        <w:t xml:space="preserve"> (</w:t>
      </w:r>
      <w:r w:rsidR="00032136" w:rsidRPr="00512817">
        <w:t>Moore</w:t>
      </w:r>
      <w:r w:rsidR="00032136">
        <w:t xml:space="preserve"> and </w:t>
      </w:r>
      <w:r w:rsidR="00032136" w:rsidRPr="00512817">
        <w:t>Robson, 2002)</w:t>
      </w:r>
      <w:r w:rsidRPr="002C2F6C">
        <w:t>. The operating level weakened its profitability and the total earnings were improved. Liquidity is structurally low but suitable to the retail industry. Productivity and leverage are widely stable. Tesco needs to safeguard operating margins, enhance cash discipline, implement a stringent investment appraisal and match shareholder returns with long-term financial stability to maintain performance.</w:t>
      </w:r>
    </w:p>
    <w:p w14:paraId="1A45017B" w14:textId="77777777" w:rsidR="002C2F6C" w:rsidRDefault="002C2F6C">
      <w:r>
        <w:br w:type="page"/>
      </w:r>
    </w:p>
    <w:p w14:paraId="285F8D4E" w14:textId="0B48295D" w:rsidR="00A85157" w:rsidRDefault="00330A37" w:rsidP="003D76DA">
      <w:pPr>
        <w:pStyle w:val="Heading1"/>
      </w:pPr>
      <w:bookmarkStart w:id="28" w:name="_Toc218268964"/>
      <w:bookmarkStart w:id="29" w:name="_Toc218269030"/>
      <w:r w:rsidRPr="00330A37">
        <w:lastRenderedPageBreak/>
        <w:t>PART 2 — Westward Plc investment appraisal report</w:t>
      </w:r>
      <w:bookmarkEnd w:id="28"/>
      <w:bookmarkEnd w:id="29"/>
    </w:p>
    <w:p w14:paraId="6A6786FC" w14:textId="707F3BAC" w:rsidR="00330A37" w:rsidRDefault="005B184E" w:rsidP="003D76DA">
      <w:pPr>
        <w:pStyle w:val="Heading2"/>
      </w:pPr>
      <w:bookmarkStart w:id="30" w:name="_Toc218268965"/>
      <w:bookmarkStart w:id="31" w:name="_Toc218269031"/>
      <w:r w:rsidRPr="005B184E">
        <w:t>1. Project Data and Tax Treatment</w:t>
      </w:r>
      <w:bookmarkEnd w:id="30"/>
      <w:bookmarkEnd w:id="31"/>
    </w:p>
    <w:p w14:paraId="5C213516" w14:textId="5FDB427B" w:rsidR="005B184E" w:rsidRPr="003D76DA" w:rsidRDefault="005B184E" w:rsidP="00330A37">
      <w:pPr>
        <w:rPr>
          <w:b/>
          <w:bCs/>
        </w:rPr>
      </w:pPr>
      <w:r w:rsidRPr="003D76DA">
        <w:rPr>
          <w:b/>
          <w:bCs/>
        </w:rPr>
        <w:t>Initial Outlays and Forecast Cash Flows</w:t>
      </w:r>
    </w:p>
    <w:p w14:paraId="79925387" w14:textId="5A4DE896" w:rsidR="00E1550F" w:rsidRDefault="00E1550F" w:rsidP="00330A37">
      <w:r w:rsidRPr="00E1550F">
        <w:t>Westward Plc has three investment opportunities, which have various initial investments and predicts cash inflows after four years</w:t>
      </w:r>
      <w:r w:rsidR="00137015">
        <w:t xml:space="preserve"> (</w:t>
      </w:r>
      <w:r w:rsidR="00137015" w:rsidRPr="005A7FB1">
        <w:t>Ross, 2023)</w:t>
      </w:r>
      <w:r w:rsidRPr="00E1550F">
        <w:t>.</w:t>
      </w:r>
    </w:p>
    <w:tbl>
      <w:tblPr>
        <w:tblStyle w:val="GridTable1Light-Accent4"/>
        <w:tblW w:w="9932" w:type="dxa"/>
        <w:tblLook w:val="04A0" w:firstRow="1" w:lastRow="0" w:firstColumn="1" w:lastColumn="0" w:noHBand="0" w:noVBand="1"/>
      </w:tblPr>
      <w:tblGrid>
        <w:gridCol w:w="925"/>
        <w:gridCol w:w="2809"/>
        <w:gridCol w:w="1603"/>
        <w:gridCol w:w="1131"/>
        <w:gridCol w:w="1131"/>
        <w:gridCol w:w="1131"/>
        <w:gridCol w:w="1202"/>
      </w:tblGrid>
      <w:tr w:rsidR="005B184E" w:rsidRPr="005B184E" w14:paraId="6C38270A" w14:textId="77777777" w:rsidTr="005B184E">
        <w:trPr>
          <w:cnfStyle w:val="100000000000" w:firstRow="1" w:lastRow="0" w:firstColumn="0" w:lastColumn="0" w:oddVBand="0" w:evenVBand="0" w:oddHBand="0" w:evenHBand="0" w:firstRowFirstColumn="0" w:firstRowLastColumn="0" w:lastRowFirstColumn="0" w:lastRowLastColumn="0"/>
          <w:trHeight w:val="1328"/>
        </w:trPr>
        <w:tc>
          <w:tcPr>
            <w:cnfStyle w:val="001000000000" w:firstRow="0" w:lastRow="0" w:firstColumn="1" w:lastColumn="0" w:oddVBand="0" w:evenVBand="0" w:oddHBand="0" w:evenHBand="0" w:firstRowFirstColumn="0" w:firstRowLastColumn="0" w:lastRowFirstColumn="0" w:lastRowLastColumn="0"/>
            <w:tcW w:w="0" w:type="auto"/>
            <w:hideMark/>
          </w:tcPr>
          <w:p w14:paraId="2B3E7DC5" w14:textId="77777777" w:rsidR="005B184E" w:rsidRPr="005B184E" w:rsidRDefault="005B184E" w:rsidP="002C4242">
            <w:pPr>
              <w:rPr>
                <w:lang w:eastAsia="en-GB"/>
              </w:rPr>
            </w:pPr>
            <w:r w:rsidRPr="005B184E">
              <w:rPr>
                <w:lang w:eastAsia="en-GB"/>
              </w:rPr>
              <w:t>Option</w:t>
            </w:r>
          </w:p>
        </w:tc>
        <w:tc>
          <w:tcPr>
            <w:tcW w:w="0" w:type="auto"/>
            <w:hideMark/>
          </w:tcPr>
          <w:p w14:paraId="176BAF75" w14:textId="77777777" w:rsidR="005B184E" w:rsidRPr="005B184E" w:rsidRDefault="005B184E" w:rsidP="002C4242">
            <w:pPr>
              <w:cnfStyle w:val="100000000000" w:firstRow="1" w:lastRow="0" w:firstColumn="0" w:lastColumn="0" w:oddVBand="0" w:evenVBand="0" w:oddHBand="0" w:evenHBand="0" w:firstRowFirstColumn="0" w:firstRowLastColumn="0" w:lastRowFirstColumn="0" w:lastRowLastColumn="0"/>
              <w:rPr>
                <w:lang w:eastAsia="en-GB"/>
              </w:rPr>
            </w:pPr>
            <w:r w:rsidRPr="005B184E">
              <w:rPr>
                <w:lang w:eastAsia="en-GB"/>
              </w:rPr>
              <w:t>Project Description</w:t>
            </w:r>
          </w:p>
        </w:tc>
        <w:tc>
          <w:tcPr>
            <w:tcW w:w="0" w:type="auto"/>
            <w:hideMark/>
          </w:tcPr>
          <w:p w14:paraId="1936DA85" w14:textId="77777777" w:rsidR="005B184E" w:rsidRPr="005B184E" w:rsidRDefault="005B184E" w:rsidP="002C4242">
            <w:pPr>
              <w:cnfStyle w:val="100000000000" w:firstRow="1" w:lastRow="0" w:firstColumn="0" w:lastColumn="0" w:oddVBand="0" w:evenVBand="0" w:oddHBand="0" w:evenHBand="0" w:firstRowFirstColumn="0" w:firstRowLastColumn="0" w:lastRowFirstColumn="0" w:lastRowLastColumn="0"/>
              <w:rPr>
                <w:lang w:eastAsia="en-GB"/>
              </w:rPr>
            </w:pPr>
            <w:r w:rsidRPr="005B184E">
              <w:rPr>
                <w:lang w:eastAsia="en-GB"/>
              </w:rPr>
              <w:t>Initial Outlay (£)</w:t>
            </w:r>
          </w:p>
        </w:tc>
        <w:tc>
          <w:tcPr>
            <w:tcW w:w="0" w:type="auto"/>
            <w:hideMark/>
          </w:tcPr>
          <w:p w14:paraId="6869F0F0" w14:textId="77777777" w:rsidR="005B184E" w:rsidRPr="005B184E" w:rsidRDefault="005B184E" w:rsidP="002C4242">
            <w:pPr>
              <w:cnfStyle w:val="100000000000" w:firstRow="1" w:lastRow="0" w:firstColumn="0" w:lastColumn="0" w:oddVBand="0" w:evenVBand="0" w:oddHBand="0" w:evenHBand="0" w:firstRowFirstColumn="0" w:firstRowLastColumn="0" w:lastRowFirstColumn="0" w:lastRowLastColumn="0"/>
              <w:rPr>
                <w:lang w:eastAsia="en-GB"/>
              </w:rPr>
            </w:pPr>
            <w:r w:rsidRPr="005B184E">
              <w:rPr>
                <w:lang w:eastAsia="en-GB"/>
              </w:rPr>
              <w:t>Year 1 (£)</w:t>
            </w:r>
          </w:p>
        </w:tc>
        <w:tc>
          <w:tcPr>
            <w:tcW w:w="0" w:type="auto"/>
            <w:hideMark/>
          </w:tcPr>
          <w:p w14:paraId="434D121C" w14:textId="77777777" w:rsidR="005B184E" w:rsidRPr="005B184E" w:rsidRDefault="005B184E" w:rsidP="002C4242">
            <w:pPr>
              <w:cnfStyle w:val="100000000000" w:firstRow="1" w:lastRow="0" w:firstColumn="0" w:lastColumn="0" w:oddVBand="0" w:evenVBand="0" w:oddHBand="0" w:evenHBand="0" w:firstRowFirstColumn="0" w:firstRowLastColumn="0" w:lastRowFirstColumn="0" w:lastRowLastColumn="0"/>
              <w:rPr>
                <w:lang w:eastAsia="en-GB"/>
              </w:rPr>
            </w:pPr>
            <w:r w:rsidRPr="005B184E">
              <w:rPr>
                <w:lang w:eastAsia="en-GB"/>
              </w:rPr>
              <w:t>Year 2 (£)</w:t>
            </w:r>
          </w:p>
        </w:tc>
        <w:tc>
          <w:tcPr>
            <w:tcW w:w="0" w:type="auto"/>
            <w:hideMark/>
          </w:tcPr>
          <w:p w14:paraId="7EBC9DBA" w14:textId="77777777" w:rsidR="005B184E" w:rsidRPr="005B184E" w:rsidRDefault="005B184E" w:rsidP="002C4242">
            <w:pPr>
              <w:cnfStyle w:val="100000000000" w:firstRow="1" w:lastRow="0" w:firstColumn="0" w:lastColumn="0" w:oddVBand="0" w:evenVBand="0" w:oddHBand="0" w:evenHBand="0" w:firstRowFirstColumn="0" w:firstRowLastColumn="0" w:lastRowFirstColumn="0" w:lastRowLastColumn="0"/>
              <w:rPr>
                <w:lang w:eastAsia="en-GB"/>
              </w:rPr>
            </w:pPr>
            <w:r w:rsidRPr="005B184E">
              <w:rPr>
                <w:lang w:eastAsia="en-GB"/>
              </w:rPr>
              <w:t>Year 3 (£)</w:t>
            </w:r>
          </w:p>
        </w:tc>
        <w:tc>
          <w:tcPr>
            <w:tcW w:w="0" w:type="auto"/>
            <w:hideMark/>
          </w:tcPr>
          <w:p w14:paraId="24FBD571" w14:textId="77777777" w:rsidR="005B184E" w:rsidRPr="005B184E" w:rsidRDefault="005B184E" w:rsidP="002C4242">
            <w:pPr>
              <w:cnfStyle w:val="100000000000" w:firstRow="1" w:lastRow="0" w:firstColumn="0" w:lastColumn="0" w:oddVBand="0" w:evenVBand="0" w:oddHBand="0" w:evenHBand="0" w:firstRowFirstColumn="0" w:firstRowLastColumn="0" w:lastRowFirstColumn="0" w:lastRowLastColumn="0"/>
              <w:rPr>
                <w:lang w:eastAsia="en-GB"/>
              </w:rPr>
            </w:pPr>
            <w:r w:rsidRPr="005B184E">
              <w:rPr>
                <w:lang w:eastAsia="en-GB"/>
              </w:rPr>
              <w:t>Year 4 (£)</w:t>
            </w:r>
          </w:p>
        </w:tc>
      </w:tr>
      <w:tr w:rsidR="005B184E" w:rsidRPr="005B184E" w14:paraId="6F2F607F" w14:textId="77777777" w:rsidTr="005B184E">
        <w:trPr>
          <w:trHeight w:val="1001"/>
        </w:trPr>
        <w:tc>
          <w:tcPr>
            <w:cnfStyle w:val="001000000000" w:firstRow="0" w:lastRow="0" w:firstColumn="1" w:lastColumn="0" w:oddVBand="0" w:evenVBand="0" w:oddHBand="0" w:evenHBand="0" w:firstRowFirstColumn="0" w:firstRowLastColumn="0" w:lastRowFirstColumn="0" w:lastRowLastColumn="0"/>
            <w:tcW w:w="0" w:type="auto"/>
            <w:hideMark/>
          </w:tcPr>
          <w:p w14:paraId="413EA66A" w14:textId="77777777" w:rsidR="005B184E" w:rsidRPr="005B184E" w:rsidRDefault="005B184E" w:rsidP="002C4242">
            <w:pPr>
              <w:rPr>
                <w:lang w:eastAsia="en-GB"/>
              </w:rPr>
            </w:pPr>
            <w:r w:rsidRPr="005B184E">
              <w:rPr>
                <w:lang w:eastAsia="en-GB"/>
              </w:rPr>
              <w:t>A</w:t>
            </w:r>
          </w:p>
        </w:tc>
        <w:tc>
          <w:tcPr>
            <w:tcW w:w="0" w:type="auto"/>
            <w:hideMark/>
          </w:tcPr>
          <w:p w14:paraId="1B830D0C"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Expand retail outlet</w:t>
            </w:r>
          </w:p>
        </w:tc>
        <w:tc>
          <w:tcPr>
            <w:tcW w:w="0" w:type="auto"/>
            <w:hideMark/>
          </w:tcPr>
          <w:p w14:paraId="0D98455A"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600,000</w:t>
            </w:r>
          </w:p>
        </w:tc>
        <w:tc>
          <w:tcPr>
            <w:tcW w:w="0" w:type="auto"/>
            <w:hideMark/>
          </w:tcPr>
          <w:p w14:paraId="25A945D2"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200,000</w:t>
            </w:r>
          </w:p>
        </w:tc>
        <w:tc>
          <w:tcPr>
            <w:tcW w:w="0" w:type="auto"/>
            <w:hideMark/>
          </w:tcPr>
          <w:p w14:paraId="69E83EA3"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400,000</w:t>
            </w:r>
          </w:p>
        </w:tc>
        <w:tc>
          <w:tcPr>
            <w:tcW w:w="0" w:type="auto"/>
            <w:hideMark/>
          </w:tcPr>
          <w:p w14:paraId="0DB7D9A5"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500,000</w:t>
            </w:r>
          </w:p>
        </w:tc>
        <w:tc>
          <w:tcPr>
            <w:tcW w:w="0" w:type="auto"/>
            <w:hideMark/>
          </w:tcPr>
          <w:p w14:paraId="61254E08"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700,000</w:t>
            </w:r>
          </w:p>
        </w:tc>
      </w:tr>
      <w:tr w:rsidR="005B184E" w:rsidRPr="005B184E" w14:paraId="73F968CF" w14:textId="77777777" w:rsidTr="005B184E">
        <w:trPr>
          <w:trHeight w:val="936"/>
        </w:trPr>
        <w:tc>
          <w:tcPr>
            <w:cnfStyle w:val="001000000000" w:firstRow="0" w:lastRow="0" w:firstColumn="1" w:lastColumn="0" w:oddVBand="0" w:evenVBand="0" w:oddHBand="0" w:evenHBand="0" w:firstRowFirstColumn="0" w:firstRowLastColumn="0" w:lastRowFirstColumn="0" w:lastRowLastColumn="0"/>
            <w:tcW w:w="0" w:type="auto"/>
            <w:hideMark/>
          </w:tcPr>
          <w:p w14:paraId="0795CEF1" w14:textId="77777777" w:rsidR="005B184E" w:rsidRPr="005B184E" w:rsidRDefault="005B184E" w:rsidP="002C4242">
            <w:pPr>
              <w:rPr>
                <w:lang w:eastAsia="en-GB"/>
              </w:rPr>
            </w:pPr>
            <w:r w:rsidRPr="005B184E">
              <w:rPr>
                <w:lang w:eastAsia="en-GB"/>
              </w:rPr>
              <w:t>B</w:t>
            </w:r>
          </w:p>
        </w:tc>
        <w:tc>
          <w:tcPr>
            <w:tcW w:w="0" w:type="auto"/>
            <w:hideMark/>
          </w:tcPr>
          <w:p w14:paraId="1930AF1F"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Develop into internet sales</w:t>
            </w:r>
          </w:p>
        </w:tc>
        <w:tc>
          <w:tcPr>
            <w:tcW w:w="0" w:type="auto"/>
            <w:hideMark/>
          </w:tcPr>
          <w:p w14:paraId="7BBAFB3F"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1,000,000</w:t>
            </w:r>
          </w:p>
        </w:tc>
        <w:tc>
          <w:tcPr>
            <w:tcW w:w="0" w:type="auto"/>
            <w:hideMark/>
          </w:tcPr>
          <w:p w14:paraId="4F458890"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400,000</w:t>
            </w:r>
          </w:p>
        </w:tc>
        <w:tc>
          <w:tcPr>
            <w:tcW w:w="0" w:type="auto"/>
            <w:hideMark/>
          </w:tcPr>
          <w:p w14:paraId="3994CCB6"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450,000</w:t>
            </w:r>
          </w:p>
        </w:tc>
        <w:tc>
          <w:tcPr>
            <w:tcW w:w="0" w:type="auto"/>
            <w:hideMark/>
          </w:tcPr>
          <w:p w14:paraId="1C7E3823"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720,000</w:t>
            </w:r>
          </w:p>
        </w:tc>
        <w:tc>
          <w:tcPr>
            <w:tcW w:w="0" w:type="auto"/>
            <w:hideMark/>
          </w:tcPr>
          <w:p w14:paraId="313C5E46"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980,000</w:t>
            </w:r>
          </w:p>
        </w:tc>
      </w:tr>
      <w:tr w:rsidR="005B184E" w:rsidRPr="005B184E" w14:paraId="4AF7861C" w14:textId="77777777" w:rsidTr="005B184E">
        <w:trPr>
          <w:trHeight w:val="1328"/>
        </w:trPr>
        <w:tc>
          <w:tcPr>
            <w:cnfStyle w:val="001000000000" w:firstRow="0" w:lastRow="0" w:firstColumn="1" w:lastColumn="0" w:oddVBand="0" w:evenVBand="0" w:oddHBand="0" w:evenHBand="0" w:firstRowFirstColumn="0" w:firstRowLastColumn="0" w:lastRowFirstColumn="0" w:lastRowLastColumn="0"/>
            <w:tcW w:w="0" w:type="auto"/>
            <w:hideMark/>
          </w:tcPr>
          <w:p w14:paraId="4236D50B" w14:textId="77777777" w:rsidR="005B184E" w:rsidRPr="005B184E" w:rsidRDefault="005B184E" w:rsidP="002C4242">
            <w:pPr>
              <w:rPr>
                <w:lang w:eastAsia="en-GB"/>
              </w:rPr>
            </w:pPr>
            <w:r w:rsidRPr="005B184E">
              <w:rPr>
                <w:lang w:eastAsia="en-GB"/>
              </w:rPr>
              <w:t>C</w:t>
            </w:r>
          </w:p>
        </w:tc>
        <w:tc>
          <w:tcPr>
            <w:tcW w:w="0" w:type="auto"/>
            <w:hideMark/>
          </w:tcPr>
          <w:p w14:paraId="4C97ECF9"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Produce wooden and Roman blinds</w:t>
            </w:r>
          </w:p>
        </w:tc>
        <w:tc>
          <w:tcPr>
            <w:tcW w:w="0" w:type="auto"/>
            <w:hideMark/>
          </w:tcPr>
          <w:p w14:paraId="7B6AEE76"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1,600,000</w:t>
            </w:r>
          </w:p>
        </w:tc>
        <w:tc>
          <w:tcPr>
            <w:tcW w:w="0" w:type="auto"/>
            <w:hideMark/>
          </w:tcPr>
          <w:p w14:paraId="504B152F"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450,000</w:t>
            </w:r>
          </w:p>
        </w:tc>
        <w:tc>
          <w:tcPr>
            <w:tcW w:w="0" w:type="auto"/>
            <w:hideMark/>
          </w:tcPr>
          <w:p w14:paraId="6B7890B3"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700,000</w:t>
            </w:r>
          </w:p>
        </w:tc>
        <w:tc>
          <w:tcPr>
            <w:tcW w:w="0" w:type="auto"/>
            <w:hideMark/>
          </w:tcPr>
          <w:p w14:paraId="0B54210F"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900,000</w:t>
            </w:r>
          </w:p>
        </w:tc>
        <w:tc>
          <w:tcPr>
            <w:tcW w:w="0" w:type="auto"/>
            <w:hideMark/>
          </w:tcPr>
          <w:p w14:paraId="35850402" w14:textId="77777777" w:rsidR="005B184E" w:rsidRPr="005B184E" w:rsidRDefault="005B184E" w:rsidP="002C4242">
            <w:pPr>
              <w:cnfStyle w:val="000000000000" w:firstRow="0" w:lastRow="0" w:firstColumn="0" w:lastColumn="0" w:oddVBand="0" w:evenVBand="0" w:oddHBand="0" w:evenHBand="0" w:firstRowFirstColumn="0" w:firstRowLastColumn="0" w:lastRowFirstColumn="0" w:lastRowLastColumn="0"/>
              <w:rPr>
                <w:lang w:eastAsia="en-GB"/>
              </w:rPr>
            </w:pPr>
            <w:r w:rsidRPr="005B184E">
              <w:rPr>
                <w:lang w:eastAsia="en-GB"/>
              </w:rPr>
              <w:t>1,200,000</w:t>
            </w:r>
          </w:p>
        </w:tc>
      </w:tr>
    </w:tbl>
    <w:p w14:paraId="42DBA041" w14:textId="656561BF" w:rsidR="005B184E" w:rsidRDefault="005B184E" w:rsidP="005B184E">
      <w:r>
        <w:t>Tax Assumptions</w:t>
      </w:r>
    </w:p>
    <w:p w14:paraId="50143166" w14:textId="7D63BE17" w:rsidR="005B184E" w:rsidRDefault="005B184E" w:rsidP="005B184E">
      <w:pPr>
        <w:pStyle w:val="ListParagraph"/>
        <w:numPr>
          <w:ilvl w:val="0"/>
          <w:numId w:val="6"/>
        </w:numPr>
      </w:pPr>
      <w:r>
        <w:t>Corporation tax = 25%</w:t>
      </w:r>
    </w:p>
    <w:p w14:paraId="7949EC8C" w14:textId="76807329" w:rsidR="005B184E" w:rsidRDefault="005B184E" w:rsidP="005B184E">
      <w:pPr>
        <w:pStyle w:val="ListParagraph"/>
        <w:numPr>
          <w:ilvl w:val="0"/>
          <w:numId w:val="6"/>
        </w:numPr>
      </w:pPr>
      <w:r>
        <w:t>Capital allowances = 20% straight-line per annum on the initial cost (i.e., 4 years = 100% of initial outlay)</w:t>
      </w:r>
    </w:p>
    <w:p w14:paraId="378137AD" w14:textId="2404C0CE" w:rsidR="005B184E" w:rsidRDefault="005B184E" w:rsidP="005B184E">
      <w:pPr>
        <w:pStyle w:val="ListParagraph"/>
        <w:numPr>
          <w:ilvl w:val="0"/>
          <w:numId w:val="6"/>
        </w:numPr>
      </w:pPr>
      <w:r>
        <w:t>Discount rate (cost of capital) = 6%</w:t>
      </w:r>
    </w:p>
    <w:p w14:paraId="341D3A54" w14:textId="692EDD4D" w:rsidR="00A85157" w:rsidRDefault="005B184E" w:rsidP="004D2F6B">
      <w:r w:rsidRPr="005B184E">
        <w:t>After-Tax Cash Flow Formula</w:t>
      </w:r>
    </w:p>
    <w:p w14:paraId="45ECC1DE" w14:textId="3528A636" w:rsidR="005B184E" w:rsidRDefault="005B184E" w:rsidP="005B184E">
      <w:pPr>
        <w:jc w:val="center"/>
      </w:pPr>
      <w:r>
        <w:rPr>
          <w:rStyle w:val="mord"/>
        </w:rPr>
        <w:t>After-tax CF</w:t>
      </w:r>
      <w:r>
        <w:rPr>
          <w:rStyle w:val="mrel"/>
        </w:rPr>
        <w:t xml:space="preserve">= </w:t>
      </w:r>
      <w:r>
        <w:rPr>
          <w:rStyle w:val="mord"/>
        </w:rPr>
        <w:t>CF</w:t>
      </w:r>
      <w:r>
        <w:rPr>
          <w:rStyle w:val="mbin"/>
        </w:rPr>
        <w:t>−</w:t>
      </w:r>
      <w:r>
        <w:rPr>
          <w:rStyle w:val="mord"/>
        </w:rPr>
        <w:t>Tax</w:t>
      </w:r>
      <w:r>
        <w:rPr>
          <w:rStyle w:val="mrel"/>
        </w:rPr>
        <w:t>= {</w:t>
      </w:r>
      <w:r>
        <w:rPr>
          <w:rStyle w:val="mord"/>
        </w:rPr>
        <w:t>CF</w:t>
      </w:r>
      <w:r>
        <w:rPr>
          <w:rStyle w:val="mbin"/>
        </w:rPr>
        <w:t>−</w:t>
      </w:r>
      <w:r>
        <w:rPr>
          <w:rStyle w:val="mord"/>
        </w:rPr>
        <w:t>0.25</w:t>
      </w:r>
      <w:r>
        <w:rPr>
          <w:rStyle w:val="mbin"/>
        </w:rPr>
        <w:t>×</w:t>
      </w:r>
      <w:r>
        <w:rPr>
          <w:rStyle w:val="mopen"/>
        </w:rPr>
        <w:t>(</w:t>
      </w:r>
      <w:r>
        <w:rPr>
          <w:rStyle w:val="mord"/>
        </w:rPr>
        <w:t>CF</w:t>
      </w:r>
      <w:r>
        <w:rPr>
          <w:rStyle w:val="mbin"/>
        </w:rPr>
        <w:t>−</w:t>
      </w:r>
      <w:r>
        <w:rPr>
          <w:rStyle w:val="mord"/>
        </w:rPr>
        <w:t>Allowance</w:t>
      </w:r>
      <w:r>
        <w:rPr>
          <w:rStyle w:val="mclose"/>
        </w:rPr>
        <w:t>)}</w:t>
      </w:r>
    </w:p>
    <w:p w14:paraId="3D6A4261" w14:textId="3F3AEDE8" w:rsidR="000D7794" w:rsidRDefault="002C4242" w:rsidP="000D7794">
      <w:r w:rsidRPr="002C4242">
        <w:t>Allowance per Year (20% of Initial Outlay)</w:t>
      </w:r>
    </w:p>
    <w:tbl>
      <w:tblPr>
        <w:tblStyle w:val="GridTable1Light-Accent5"/>
        <w:tblW w:w="9593" w:type="dxa"/>
        <w:tblLook w:val="04A0" w:firstRow="1" w:lastRow="0" w:firstColumn="1" w:lastColumn="0" w:noHBand="0" w:noVBand="1"/>
      </w:tblPr>
      <w:tblGrid>
        <w:gridCol w:w="1654"/>
        <w:gridCol w:w="3336"/>
        <w:gridCol w:w="4603"/>
      </w:tblGrid>
      <w:tr w:rsidR="002C4242" w:rsidRPr="002C4242" w14:paraId="6F4B38A6" w14:textId="77777777" w:rsidTr="002C4242">
        <w:trPr>
          <w:cnfStyle w:val="100000000000" w:firstRow="1" w:lastRow="0" w:firstColumn="0" w:lastColumn="0" w:oddVBand="0" w:evenVBand="0" w:oddHBand="0" w:evenHBand="0" w:firstRowFirstColumn="0" w:firstRowLastColumn="0" w:lastRowFirstColumn="0" w:lastRowLastColumn="0"/>
          <w:trHeight w:val="692"/>
        </w:trPr>
        <w:tc>
          <w:tcPr>
            <w:cnfStyle w:val="001000000000" w:firstRow="0" w:lastRow="0" w:firstColumn="1" w:lastColumn="0" w:oddVBand="0" w:evenVBand="0" w:oddHBand="0" w:evenHBand="0" w:firstRowFirstColumn="0" w:firstRowLastColumn="0" w:lastRowFirstColumn="0" w:lastRowLastColumn="0"/>
            <w:tcW w:w="0" w:type="auto"/>
            <w:hideMark/>
          </w:tcPr>
          <w:p w14:paraId="7F1A5778" w14:textId="77777777" w:rsidR="002C4242" w:rsidRPr="002C4242" w:rsidRDefault="002C4242" w:rsidP="002C4242">
            <w:pPr>
              <w:rPr>
                <w:lang w:eastAsia="en-GB"/>
              </w:rPr>
            </w:pPr>
            <w:r w:rsidRPr="002C4242">
              <w:rPr>
                <w:lang w:eastAsia="en-GB"/>
              </w:rPr>
              <w:t>Option</w:t>
            </w:r>
          </w:p>
        </w:tc>
        <w:tc>
          <w:tcPr>
            <w:tcW w:w="0" w:type="auto"/>
            <w:hideMark/>
          </w:tcPr>
          <w:p w14:paraId="309A9F1D" w14:textId="77777777" w:rsidR="002C4242" w:rsidRPr="002C4242" w:rsidRDefault="002C4242" w:rsidP="002C4242">
            <w:pP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Initial Outlay (£)</w:t>
            </w:r>
          </w:p>
        </w:tc>
        <w:tc>
          <w:tcPr>
            <w:tcW w:w="0" w:type="auto"/>
            <w:hideMark/>
          </w:tcPr>
          <w:p w14:paraId="36D6F394" w14:textId="77777777" w:rsidR="002C4242" w:rsidRPr="002C4242" w:rsidRDefault="002C4242" w:rsidP="002C4242">
            <w:pP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Allowance per Year (£)</w:t>
            </w:r>
          </w:p>
        </w:tc>
      </w:tr>
      <w:tr w:rsidR="002C4242" w:rsidRPr="002C4242" w14:paraId="4A7FC304" w14:textId="77777777" w:rsidTr="002C4242">
        <w:trPr>
          <w:trHeight w:val="667"/>
        </w:trPr>
        <w:tc>
          <w:tcPr>
            <w:cnfStyle w:val="001000000000" w:firstRow="0" w:lastRow="0" w:firstColumn="1" w:lastColumn="0" w:oddVBand="0" w:evenVBand="0" w:oddHBand="0" w:evenHBand="0" w:firstRowFirstColumn="0" w:firstRowLastColumn="0" w:lastRowFirstColumn="0" w:lastRowLastColumn="0"/>
            <w:tcW w:w="0" w:type="auto"/>
            <w:hideMark/>
          </w:tcPr>
          <w:p w14:paraId="33C927E0" w14:textId="77777777" w:rsidR="002C4242" w:rsidRPr="002C4242" w:rsidRDefault="002C4242" w:rsidP="002C4242">
            <w:pPr>
              <w:rPr>
                <w:lang w:eastAsia="en-GB"/>
              </w:rPr>
            </w:pPr>
            <w:r w:rsidRPr="002C4242">
              <w:rPr>
                <w:lang w:eastAsia="en-GB"/>
              </w:rPr>
              <w:lastRenderedPageBreak/>
              <w:t>A</w:t>
            </w:r>
          </w:p>
        </w:tc>
        <w:tc>
          <w:tcPr>
            <w:tcW w:w="0" w:type="auto"/>
            <w:hideMark/>
          </w:tcPr>
          <w:p w14:paraId="470B81AF"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600,000</w:t>
            </w:r>
          </w:p>
        </w:tc>
        <w:tc>
          <w:tcPr>
            <w:tcW w:w="0" w:type="auto"/>
            <w:hideMark/>
          </w:tcPr>
          <w:p w14:paraId="1F7AF117"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120,000</w:t>
            </w:r>
          </w:p>
        </w:tc>
      </w:tr>
      <w:tr w:rsidR="002C4242" w:rsidRPr="002C4242" w14:paraId="285EB94C" w14:textId="77777777" w:rsidTr="002C4242">
        <w:trPr>
          <w:trHeight w:val="692"/>
        </w:trPr>
        <w:tc>
          <w:tcPr>
            <w:cnfStyle w:val="001000000000" w:firstRow="0" w:lastRow="0" w:firstColumn="1" w:lastColumn="0" w:oddVBand="0" w:evenVBand="0" w:oddHBand="0" w:evenHBand="0" w:firstRowFirstColumn="0" w:firstRowLastColumn="0" w:lastRowFirstColumn="0" w:lastRowLastColumn="0"/>
            <w:tcW w:w="0" w:type="auto"/>
            <w:hideMark/>
          </w:tcPr>
          <w:p w14:paraId="22694B1E" w14:textId="77777777" w:rsidR="002C4242" w:rsidRPr="002C4242" w:rsidRDefault="002C4242" w:rsidP="002C4242">
            <w:pPr>
              <w:rPr>
                <w:lang w:eastAsia="en-GB"/>
              </w:rPr>
            </w:pPr>
            <w:r w:rsidRPr="002C4242">
              <w:rPr>
                <w:lang w:eastAsia="en-GB"/>
              </w:rPr>
              <w:t>B</w:t>
            </w:r>
          </w:p>
        </w:tc>
        <w:tc>
          <w:tcPr>
            <w:tcW w:w="0" w:type="auto"/>
            <w:hideMark/>
          </w:tcPr>
          <w:p w14:paraId="3C738F7F"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1,000,000</w:t>
            </w:r>
          </w:p>
        </w:tc>
        <w:tc>
          <w:tcPr>
            <w:tcW w:w="0" w:type="auto"/>
            <w:hideMark/>
          </w:tcPr>
          <w:p w14:paraId="3854CD8F"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200,000</w:t>
            </w:r>
          </w:p>
        </w:tc>
      </w:tr>
      <w:tr w:rsidR="002C4242" w:rsidRPr="002C4242" w14:paraId="0CACD8B7" w14:textId="77777777" w:rsidTr="002C4242">
        <w:trPr>
          <w:trHeight w:val="667"/>
        </w:trPr>
        <w:tc>
          <w:tcPr>
            <w:cnfStyle w:val="001000000000" w:firstRow="0" w:lastRow="0" w:firstColumn="1" w:lastColumn="0" w:oddVBand="0" w:evenVBand="0" w:oddHBand="0" w:evenHBand="0" w:firstRowFirstColumn="0" w:firstRowLastColumn="0" w:lastRowFirstColumn="0" w:lastRowLastColumn="0"/>
            <w:tcW w:w="0" w:type="auto"/>
            <w:hideMark/>
          </w:tcPr>
          <w:p w14:paraId="54F763FC" w14:textId="77777777" w:rsidR="002C4242" w:rsidRPr="002C4242" w:rsidRDefault="002C4242" w:rsidP="002C4242">
            <w:pPr>
              <w:rPr>
                <w:lang w:eastAsia="en-GB"/>
              </w:rPr>
            </w:pPr>
            <w:r w:rsidRPr="002C4242">
              <w:rPr>
                <w:lang w:eastAsia="en-GB"/>
              </w:rPr>
              <w:t>C</w:t>
            </w:r>
          </w:p>
        </w:tc>
        <w:tc>
          <w:tcPr>
            <w:tcW w:w="0" w:type="auto"/>
            <w:hideMark/>
          </w:tcPr>
          <w:p w14:paraId="31C3B069"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1,600,000</w:t>
            </w:r>
          </w:p>
        </w:tc>
        <w:tc>
          <w:tcPr>
            <w:tcW w:w="0" w:type="auto"/>
            <w:hideMark/>
          </w:tcPr>
          <w:p w14:paraId="3B537B45"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320,000</w:t>
            </w:r>
          </w:p>
        </w:tc>
      </w:tr>
    </w:tbl>
    <w:p w14:paraId="52C5C50E" w14:textId="38AFF53D" w:rsidR="002C4242" w:rsidRDefault="002C4242" w:rsidP="000D7794">
      <w:r w:rsidRPr="002C4242">
        <w:t>After-Tax Cash Flows (£)</w:t>
      </w:r>
    </w:p>
    <w:p w14:paraId="5160066B" w14:textId="65168DAE" w:rsidR="002C4242" w:rsidRPr="002C4242" w:rsidRDefault="002C4242" w:rsidP="000D7794">
      <w:pPr>
        <w:rPr>
          <w:b/>
          <w:bCs/>
        </w:rPr>
      </w:pPr>
      <w:r w:rsidRPr="002C4242">
        <w:rPr>
          <w:b/>
          <w:bCs/>
        </w:rPr>
        <w:t>Option A – Expand Retail Outlet</w:t>
      </w:r>
    </w:p>
    <w:tbl>
      <w:tblPr>
        <w:tblStyle w:val="GridTable1Light-Accent2"/>
        <w:tblW w:w="9570" w:type="dxa"/>
        <w:tblLook w:val="04A0" w:firstRow="1" w:lastRow="0" w:firstColumn="1" w:lastColumn="0" w:noHBand="0" w:noVBand="1"/>
      </w:tblPr>
      <w:tblGrid>
        <w:gridCol w:w="1556"/>
        <w:gridCol w:w="3829"/>
        <w:gridCol w:w="4185"/>
      </w:tblGrid>
      <w:tr w:rsidR="002C4242" w:rsidRPr="002C4242" w14:paraId="2311A8CB" w14:textId="77777777" w:rsidTr="002C4242">
        <w:trPr>
          <w:cnfStyle w:val="100000000000" w:firstRow="1" w:lastRow="0" w:firstColumn="0" w:lastColumn="0" w:oddVBand="0" w:evenVBand="0" w:oddHBand="0" w:evenHBand="0" w:firstRowFirstColumn="0" w:firstRowLastColumn="0" w:lastRowFirstColumn="0" w:lastRowLastColumn="0"/>
          <w:trHeight w:val="611"/>
        </w:trPr>
        <w:tc>
          <w:tcPr>
            <w:cnfStyle w:val="001000000000" w:firstRow="0" w:lastRow="0" w:firstColumn="1" w:lastColumn="0" w:oddVBand="0" w:evenVBand="0" w:oddHBand="0" w:evenHBand="0" w:firstRowFirstColumn="0" w:firstRowLastColumn="0" w:lastRowFirstColumn="0" w:lastRowLastColumn="0"/>
            <w:tcW w:w="0" w:type="auto"/>
            <w:hideMark/>
          </w:tcPr>
          <w:p w14:paraId="09F4719B" w14:textId="77777777" w:rsidR="002C4242" w:rsidRPr="002C4242" w:rsidRDefault="002C4242" w:rsidP="002C4242">
            <w:pPr>
              <w:rPr>
                <w:lang w:eastAsia="en-GB"/>
              </w:rPr>
            </w:pPr>
            <w:r w:rsidRPr="002C4242">
              <w:rPr>
                <w:lang w:eastAsia="en-GB"/>
              </w:rPr>
              <w:t>Year</w:t>
            </w:r>
          </w:p>
        </w:tc>
        <w:tc>
          <w:tcPr>
            <w:tcW w:w="0" w:type="auto"/>
            <w:hideMark/>
          </w:tcPr>
          <w:p w14:paraId="01B703A1" w14:textId="77777777" w:rsidR="002C4242" w:rsidRPr="002C4242" w:rsidRDefault="002C4242" w:rsidP="002C4242">
            <w:pP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Pre-Tax CF (£)</w:t>
            </w:r>
          </w:p>
        </w:tc>
        <w:tc>
          <w:tcPr>
            <w:tcW w:w="0" w:type="auto"/>
            <w:hideMark/>
          </w:tcPr>
          <w:p w14:paraId="6512F36E" w14:textId="77777777" w:rsidR="002C4242" w:rsidRPr="002C4242" w:rsidRDefault="002C4242" w:rsidP="002C4242">
            <w:pP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After-Tax CF (£)</w:t>
            </w:r>
          </w:p>
        </w:tc>
      </w:tr>
      <w:tr w:rsidR="002C4242" w:rsidRPr="002C4242" w14:paraId="28F6965A" w14:textId="77777777" w:rsidTr="002C4242">
        <w:trPr>
          <w:trHeight w:val="590"/>
        </w:trPr>
        <w:tc>
          <w:tcPr>
            <w:cnfStyle w:val="001000000000" w:firstRow="0" w:lastRow="0" w:firstColumn="1" w:lastColumn="0" w:oddVBand="0" w:evenVBand="0" w:oddHBand="0" w:evenHBand="0" w:firstRowFirstColumn="0" w:firstRowLastColumn="0" w:lastRowFirstColumn="0" w:lastRowLastColumn="0"/>
            <w:tcW w:w="0" w:type="auto"/>
            <w:hideMark/>
          </w:tcPr>
          <w:p w14:paraId="77853874" w14:textId="77777777" w:rsidR="002C4242" w:rsidRPr="002C4242" w:rsidRDefault="002C4242" w:rsidP="002C4242">
            <w:pPr>
              <w:rPr>
                <w:lang w:eastAsia="en-GB"/>
              </w:rPr>
            </w:pPr>
            <w:r w:rsidRPr="002C4242">
              <w:rPr>
                <w:lang w:eastAsia="en-GB"/>
              </w:rPr>
              <w:t>1</w:t>
            </w:r>
          </w:p>
        </w:tc>
        <w:tc>
          <w:tcPr>
            <w:tcW w:w="0" w:type="auto"/>
            <w:hideMark/>
          </w:tcPr>
          <w:p w14:paraId="4CD3A9A2"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200,000</w:t>
            </w:r>
          </w:p>
        </w:tc>
        <w:tc>
          <w:tcPr>
            <w:tcW w:w="0" w:type="auto"/>
            <w:hideMark/>
          </w:tcPr>
          <w:p w14:paraId="6F1F907A"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180,000</w:t>
            </w:r>
          </w:p>
        </w:tc>
      </w:tr>
      <w:tr w:rsidR="002C4242" w:rsidRPr="002C4242" w14:paraId="7324F8DF" w14:textId="77777777" w:rsidTr="002C4242">
        <w:trPr>
          <w:trHeight w:val="611"/>
        </w:trPr>
        <w:tc>
          <w:tcPr>
            <w:cnfStyle w:val="001000000000" w:firstRow="0" w:lastRow="0" w:firstColumn="1" w:lastColumn="0" w:oddVBand="0" w:evenVBand="0" w:oddHBand="0" w:evenHBand="0" w:firstRowFirstColumn="0" w:firstRowLastColumn="0" w:lastRowFirstColumn="0" w:lastRowLastColumn="0"/>
            <w:tcW w:w="0" w:type="auto"/>
            <w:hideMark/>
          </w:tcPr>
          <w:p w14:paraId="16F2C241" w14:textId="77777777" w:rsidR="002C4242" w:rsidRPr="002C4242" w:rsidRDefault="002C4242" w:rsidP="002C4242">
            <w:pPr>
              <w:rPr>
                <w:lang w:eastAsia="en-GB"/>
              </w:rPr>
            </w:pPr>
            <w:r w:rsidRPr="002C4242">
              <w:rPr>
                <w:lang w:eastAsia="en-GB"/>
              </w:rPr>
              <w:t>2</w:t>
            </w:r>
          </w:p>
        </w:tc>
        <w:tc>
          <w:tcPr>
            <w:tcW w:w="0" w:type="auto"/>
            <w:hideMark/>
          </w:tcPr>
          <w:p w14:paraId="7A12FCFE"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400,000</w:t>
            </w:r>
          </w:p>
        </w:tc>
        <w:tc>
          <w:tcPr>
            <w:tcW w:w="0" w:type="auto"/>
            <w:hideMark/>
          </w:tcPr>
          <w:p w14:paraId="4580A41E"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330,000</w:t>
            </w:r>
          </w:p>
        </w:tc>
      </w:tr>
      <w:tr w:rsidR="002C4242" w:rsidRPr="002C4242" w14:paraId="5CA4C9A5" w14:textId="77777777" w:rsidTr="002C4242">
        <w:trPr>
          <w:trHeight w:val="590"/>
        </w:trPr>
        <w:tc>
          <w:tcPr>
            <w:cnfStyle w:val="001000000000" w:firstRow="0" w:lastRow="0" w:firstColumn="1" w:lastColumn="0" w:oddVBand="0" w:evenVBand="0" w:oddHBand="0" w:evenHBand="0" w:firstRowFirstColumn="0" w:firstRowLastColumn="0" w:lastRowFirstColumn="0" w:lastRowLastColumn="0"/>
            <w:tcW w:w="0" w:type="auto"/>
            <w:hideMark/>
          </w:tcPr>
          <w:p w14:paraId="6C6C8B61" w14:textId="77777777" w:rsidR="002C4242" w:rsidRPr="002C4242" w:rsidRDefault="002C4242" w:rsidP="002C4242">
            <w:pPr>
              <w:rPr>
                <w:lang w:eastAsia="en-GB"/>
              </w:rPr>
            </w:pPr>
            <w:r w:rsidRPr="002C4242">
              <w:rPr>
                <w:lang w:eastAsia="en-GB"/>
              </w:rPr>
              <w:t>3</w:t>
            </w:r>
          </w:p>
        </w:tc>
        <w:tc>
          <w:tcPr>
            <w:tcW w:w="0" w:type="auto"/>
            <w:hideMark/>
          </w:tcPr>
          <w:p w14:paraId="1B2BF88F"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500,000</w:t>
            </w:r>
          </w:p>
        </w:tc>
        <w:tc>
          <w:tcPr>
            <w:tcW w:w="0" w:type="auto"/>
            <w:hideMark/>
          </w:tcPr>
          <w:p w14:paraId="00EB4438"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405,000</w:t>
            </w:r>
          </w:p>
        </w:tc>
      </w:tr>
      <w:tr w:rsidR="002C4242" w:rsidRPr="002C4242" w14:paraId="4BFD16B7" w14:textId="77777777" w:rsidTr="002C4242">
        <w:trPr>
          <w:trHeight w:val="611"/>
        </w:trPr>
        <w:tc>
          <w:tcPr>
            <w:cnfStyle w:val="001000000000" w:firstRow="0" w:lastRow="0" w:firstColumn="1" w:lastColumn="0" w:oddVBand="0" w:evenVBand="0" w:oddHBand="0" w:evenHBand="0" w:firstRowFirstColumn="0" w:firstRowLastColumn="0" w:lastRowFirstColumn="0" w:lastRowLastColumn="0"/>
            <w:tcW w:w="0" w:type="auto"/>
            <w:hideMark/>
          </w:tcPr>
          <w:p w14:paraId="38D8ACB7" w14:textId="77777777" w:rsidR="002C4242" w:rsidRPr="002C4242" w:rsidRDefault="002C4242" w:rsidP="002C4242">
            <w:pPr>
              <w:rPr>
                <w:lang w:eastAsia="en-GB"/>
              </w:rPr>
            </w:pPr>
            <w:r w:rsidRPr="002C4242">
              <w:rPr>
                <w:lang w:eastAsia="en-GB"/>
              </w:rPr>
              <w:t>4</w:t>
            </w:r>
          </w:p>
        </w:tc>
        <w:tc>
          <w:tcPr>
            <w:tcW w:w="0" w:type="auto"/>
            <w:hideMark/>
          </w:tcPr>
          <w:p w14:paraId="6B66AB64"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700,000</w:t>
            </w:r>
          </w:p>
        </w:tc>
        <w:tc>
          <w:tcPr>
            <w:tcW w:w="0" w:type="auto"/>
            <w:hideMark/>
          </w:tcPr>
          <w:p w14:paraId="5CC9FD08"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555,000</w:t>
            </w:r>
          </w:p>
        </w:tc>
      </w:tr>
    </w:tbl>
    <w:p w14:paraId="2D464A04" w14:textId="719786D9" w:rsidR="002C4242" w:rsidRPr="002C4242" w:rsidRDefault="002C4242" w:rsidP="000D7794">
      <w:pPr>
        <w:rPr>
          <w:b/>
          <w:bCs/>
        </w:rPr>
      </w:pPr>
      <w:r w:rsidRPr="002C4242">
        <w:rPr>
          <w:b/>
          <w:bCs/>
        </w:rPr>
        <w:t>Option B – Develop into Internet Sales</w:t>
      </w:r>
    </w:p>
    <w:tbl>
      <w:tblPr>
        <w:tblStyle w:val="GridTable1Light-Accent6"/>
        <w:tblW w:w="9600" w:type="dxa"/>
        <w:tblLook w:val="04A0" w:firstRow="1" w:lastRow="0" w:firstColumn="1" w:lastColumn="0" w:noHBand="0" w:noVBand="1"/>
      </w:tblPr>
      <w:tblGrid>
        <w:gridCol w:w="1561"/>
        <w:gridCol w:w="3841"/>
        <w:gridCol w:w="4198"/>
      </w:tblGrid>
      <w:tr w:rsidR="002C4242" w:rsidRPr="002C4242" w14:paraId="3EDBE4C5" w14:textId="77777777" w:rsidTr="002C4242">
        <w:trPr>
          <w:cnfStyle w:val="100000000000" w:firstRow="1" w:lastRow="0" w:firstColumn="0" w:lastColumn="0" w:oddVBand="0" w:evenVBand="0" w:oddHBand="0" w:evenHBand="0" w:firstRowFirstColumn="0" w:firstRowLastColumn="0" w:lastRowFirstColumn="0" w:lastRowLastColumn="0"/>
          <w:trHeight w:val="613"/>
        </w:trPr>
        <w:tc>
          <w:tcPr>
            <w:cnfStyle w:val="001000000000" w:firstRow="0" w:lastRow="0" w:firstColumn="1" w:lastColumn="0" w:oddVBand="0" w:evenVBand="0" w:oddHBand="0" w:evenHBand="0" w:firstRowFirstColumn="0" w:firstRowLastColumn="0" w:lastRowFirstColumn="0" w:lastRowLastColumn="0"/>
            <w:tcW w:w="0" w:type="auto"/>
            <w:hideMark/>
          </w:tcPr>
          <w:p w14:paraId="683A1666" w14:textId="77777777" w:rsidR="002C4242" w:rsidRPr="002C4242" w:rsidRDefault="002C4242" w:rsidP="002C4242">
            <w:pPr>
              <w:rPr>
                <w:lang w:eastAsia="en-GB"/>
              </w:rPr>
            </w:pPr>
            <w:r w:rsidRPr="002C4242">
              <w:rPr>
                <w:lang w:eastAsia="en-GB"/>
              </w:rPr>
              <w:t>Year</w:t>
            </w:r>
          </w:p>
        </w:tc>
        <w:tc>
          <w:tcPr>
            <w:tcW w:w="0" w:type="auto"/>
            <w:hideMark/>
          </w:tcPr>
          <w:p w14:paraId="177A410A" w14:textId="77777777" w:rsidR="002C4242" w:rsidRPr="002C4242" w:rsidRDefault="002C4242" w:rsidP="002C4242">
            <w:pP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Pre-Tax CF (£)</w:t>
            </w:r>
          </w:p>
        </w:tc>
        <w:tc>
          <w:tcPr>
            <w:tcW w:w="0" w:type="auto"/>
            <w:hideMark/>
          </w:tcPr>
          <w:p w14:paraId="481DEB62" w14:textId="77777777" w:rsidR="002C4242" w:rsidRPr="002C4242" w:rsidRDefault="002C4242" w:rsidP="002C4242">
            <w:pP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After-Tax CF (£)</w:t>
            </w:r>
          </w:p>
        </w:tc>
      </w:tr>
      <w:tr w:rsidR="002C4242" w:rsidRPr="002C4242" w14:paraId="063950E0" w14:textId="77777777" w:rsidTr="002C4242">
        <w:trPr>
          <w:trHeight w:val="591"/>
        </w:trPr>
        <w:tc>
          <w:tcPr>
            <w:cnfStyle w:val="001000000000" w:firstRow="0" w:lastRow="0" w:firstColumn="1" w:lastColumn="0" w:oddVBand="0" w:evenVBand="0" w:oddHBand="0" w:evenHBand="0" w:firstRowFirstColumn="0" w:firstRowLastColumn="0" w:lastRowFirstColumn="0" w:lastRowLastColumn="0"/>
            <w:tcW w:w="0" w:type="auto"/>
            <w:hideMark/>
          </w:tcPr>
          <w:p w14:paraId="14E42F10" w14:textId="77777777" w:rsidR="002C4242" w:rsidRPr="002C4242" w:rsidRDefault="002C4242" w:rsidP="002C4242">
            <w:pPr>
              <w:rPr>
                <w:lang w:eastAsia="en-GB"/>
              </w:rPr>
            </w:pPr>
            <w:r w:rsidRPr="002C4242">
              <w:rPr>
                <w:lang w:eastAsia="en-GB"/>
              </w:rPr>
              <w:t>1</w:t>
            </w:r>
          </w:p>
        </w:tc>
        <w:tc>
          <w:tcPr>
            <w:tcW w:w="0" w:type="auto"/>
            <w:hideMark/>
          </w:tcPr>
          <w:p w14:paraId="10EE35F5"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400,000</w:t>
            </w:r>
          </w:p>
        </w:tc>
        <w:tc>
          <w:tcPr>
            <w:tcW w:w="0" w:type="auto"/>
            <w:hideMark/>
          </w:tcPr>
          <w:p w14:paraId="1D98B3E0"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350,000</w:t>
            </w:r>
          </w:p>
        </w:tc>
      </w:tr>
      <w:tr w:rsidR="002C4242" w:rsidRPr="002C4242" w14:paraId="56F84F65" w14:textId="77777777" w:rsidTr="002C4242">
        <w:trPr>
          <w:trHeight w:val="613"/>
        </w:trPr>
        <w:tc>
          <w:tcPr>
            <w:cnfStyle w:val="001000000000" w:firstRow="0" w:lastRow="0" w:firstColumn="1" w:lastColumn="0" w:oddVBand="0" w:evenVBand="0" w:oddHBand="0" w:evenHBand="0" w:firstRowFirstColumn="0" w:firstRowLastColumn="0" w:lastRowFirstColumn="0" w:lastRowLastColumn="0"/>
            <w:tcW w:w="0" w:type="auto"/>
            <w:hideMark/>
          </w:tcPr>
          <w:p w14:paraId="5FE05333" w14:textId="77777777" w:rsidR="002C4242" w:rsidRPr="002C4242" w:rsidRDefault="002C4242" w:rsidP="002C4242">
            <w:pPr>
              <w:rPr>
                <w:lang w:eastAsia="en-GB"/>
              </w:rPr>
            </w:pPr>
            <w:r w:rsidRPr="002C4242">
              <w:rPr>
                <w:lang w:eastAsia="en-GB"/>
              </w:rPr>
              <w:t>2</w:t>
            </w:r>
          </w:p>
        </w:tc>
        <w:tc>
          <w:tcPr>
            <w:tcW w:w="0" w:type="auto"/>
            <w:hideMark/>
          </w:tcPr>
          <w:p w14:paraId="3BE4C3B7"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450,000</w:t>
            </w:r>
          </w:p>
        </w:tc>
        <w:tc>
          <w:tcPr>
            <w:tcW w:w="0" w:type="auto"/>
            <w:hideMark/>
          </w:tcPr>
          <w:p w14:paraId="52350471"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387,500</w:t>
            </w:r>
          </w:p>
        </w:tc>
      </w:tr>
      <w:tr w:rsidR="002C4242" w:rsidRPr="002C4242" w14:paraId="552D8CFB" w14:textId="77777777" w:rsidTr="002C4242">
        <w:trPr>
          <w:trHeight w:val="591"/>
        </w:trPr>
        <w:tc>
          <w:tcPr>
            <w:cnfStyle w:val="001000000000" w:firstRow="0" w:lastRow="0" w:firstColumn="1" w:lastColumn="0" w:oddVBand="0" w:evenVBand="0" w:oddHBand="0" w:evenHBand="0" w:firstRowFirstColumn="0" w:firstRowLastColumn="0" w:lastRowFirstColumn="0" w:lastRowLastColumn="0"/>
            <w:tcW w:w="0" w:type="auto"/>
            <w:hideMark/>
          </w:tcPr>
          <w:p w14:paraId="0F0AC88F" w14:textId="77777777" w:rsidR="002C4242" w:rsidRPr="002C4242" w:rsidRDefault="002C4242" w:rsidP="002C4242">
            <w:pPr>
              <w:rPr>
                <w:lang w:eastAsia="en-GB"/>
              </w:rPr>
            </w:pPr>
            <w:r w:rsidRPr="002C4242">
              <w:rPr>
                <w:lang w:eastAsia="en-GB"/>
              </w:rPr>
              <w:t>3</w:t>
            </w:r>
          </w:p>
        </w:tc>
        <w:tc>
          <w:tcPr>
            <w:tcW w:w="0" w:type="auto"/>
            <w:hideMark/>
          </w:tcPr>
          <w:p w14:paraId="2BBCDAE3"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720,000</w:t>
            </w:r>
          </w:p>
        </w:tc>
        <w:tc>
          <w:tcPr>
            <w:tcW w:w="0" w:type="auto"/>
            <w:hideMark/>
          </w:tcPr>
          <w:p w14:paraId="0725EE24"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590,000</w:t>
            </w:r>
          </w:p>
        </w:tc>
      </w:tr>
      <w:tr w:rsidR="002C4242" w:rsidRPr="002C4242" w14:paraId="5C6F27F4" w14:textId="77777777" w:rsidTr="002C4242">
        <w:trPr>
          <w:trHeight w:val="613"/>
        </w:trPr>
        <w:tc>
          <w:tcPr>
            <w:cnfStyle w:val="001000000000" w:firstRow="0" w:lastRow="0" w:firstColumn="1" w:lastColumn="0" w:oddVBand="0" w:evenVBand="0" w:oddHBand="0" w:evenHBand="0" w:firstRowFirstColumn="0" w:firstRowLastColumn="0" w:lastRowFirstColumn="0" w:lastRowLastColumn="0"/>
            <w:tcW w:w="0" w:type="auto"/>
            <w:hideMark/>
          </w:tcPr>
          <w:p w14:paraId="4F8651F9" w14:textId="77777777" w:rsidR="002C4242" w:rsidRPr="002C4242" w:rsidRDefault="002C4242" w:rsidP="002C4242">
            <w:pPr>
              <w:rPr>
                <w:lang w:eastAsia="en-GB"/>
              </w:rPr>
            </w:pPr>
            <w:r w:rsidRPr="002C4242">
              <w:rPr>
                <w:lang w:eastAsia="en-GB"/>
              </w:rPr>
              <w:t>4</w:t>
            </w:r>
          </w:p>
        </w:tc>
        <w:tc>
          <w:tcPr>
            <w:tcW w:w="0" w:type="auto"/>
            <w:hideMark/>
          </w:tcPr>
          <w:p w14:paraId="6F03A0A9"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980,000</w:t>
            </w:r>
          </w:p>
        </w:tc>
        <w:tc>
          <w:tcPr>
            <w:tcW w:w="0" w:type="auto"/>
            <w:hideMark/>
          </w:tcPr>
          <w:p w14:paraId="7937601D"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785,000</w:t>
            </w:r>
          </w:p>
        </w:tc>
      </w:tr>
    </w:tbl>
    <w:p w14:paraId="5D1D3355" w14:textId="2FB537B8" w:rsidR="002C4242" w:rsidRPr="002C4242" w:rsidRDefault="002C4242" w:rsidP="000D7794">
      <w:pPr>
        <w:rPr>
          <w:b/>
          <w:bCs/>
        </w:rPr>
      </w:pPr>
      <w:r w:rsidRPr="002C4242">
        <w:rPr>
          <w:b/>
          <w:bCs/>
        </w:rPr>
        <w:t>Option C – Produce Wooden and Roman Blinds</w:t>
      </w:r>
    </w:p>
    <w:tbl>
      <w:tblPr>
        <w:tblStyle w:val="GridTable1Light-Accent4"/>
        <w:tblW w:w="9540" w:type="dxa"/>
        <w:tblLook w:val="04A0" w:firstRow="1" w:lastRow="0" w:firstColumn="1" w:lastColumn="0" w:noHBand="0" w:noVBand="1"/>
      </w:tblPr>
      <w:tblGrid>
        <w:gridCol w:w="1551"/>
        <w:gridCol w:w="3817"/>
        <w:gridCol w:w="4172"/>
      </w:tblGrid>
      <w:tr w:rsidR="002C4242" w:rsidRPr="002C4242" w14:paraId="404BE94B" w14:textId="77777777" w:rsidTr="002C4242">
        <w:trPr>
          <w:cnfStyle w:val="100000000000" w:firstRow="1" w:lastRow="0" w:firstColumn="0" w:lastColumn="0" w:oddVBand="0" w:evenVBand="0" w:oddHBand="0" w:evenHBand="0" w:firstRowFirstColumn="0" w:firstRowLastColumn="0" w:lastRowFirstColumn="0" w:lastRowLastColumn="0"/>
          <w:trHeight w:val="494"/>
        </w:trPr>
        <w:tc>
          <w:tcPr>
            <w:cnfStyle w:val="001000000000" w:firstRow="0" w:lastRow="0" w:firstColumn="1" w:lastColumn="0" w:oddVBand="0" w:evenVBand="0" w:oddHBand="0" w:evenHBand="0" w:firstRowFirstColumn="0" w:firstRowLastColumn="0" w:lastRowFirstColumn="0" w:lastRowLastColumn="0"/>
            <w:tcW w:w="0" w:type="auto"/>
            <w:hideMark/>
          </w:tcPr>
          <w:p w14:paraId="4ACBD786" w14:textId="77777777" w:rsidR="002C4242" w:rsidRPr="002C4242" w:rsidRDefault="002C4242" w:rsidP="002C4242">
            <w:pPr>
              <w:rPr>
                <w:lang w:eastAsia="en-GB"/>
              </w:rPr>
            </w:pPr>
            <w:r w:rsidRPr="002C4242">
              <w:rPr>
                <w:lang w:eastAsia="en-GB"/>
              </w:rPr>
              <w:t>Year</w:t>
            </w:r>
          </w:p>
        </w:tc>
        <w:tc>
          <w:tcPr>
            <w:tcW w:w="0" w:type="auto"/>
            <w:hideMark/>
          </w:tcPr>
          <w:p w14:paraId="0918173C" w14:textId="77777777" w:rsidR="002C4242" w:rsidRPr="002C4242" w:rsidRDefault="002C4242" w:rsidP="002C4242">
            <w:pP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Pre-Tax CF (£)</w:t>
            </w:r>
          </w:p>
        </w:tc>
        <w:tc>
          <w:tcPr>
            <w:tcW w:w="0" w:type="auto"/>
            <w:hideMark/>
          </w:tcPr>
          <w:p w14:paraId="7C400D51" w14:textId="77777777" w:rsidR="002C4242" w:rsidRPr="002C4242" w:rsidRDefault="002C4242" w:rsidP="002C4242">
            <w:pP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After-Tax CF (£)</w:t>
            </w:r>
          </w:p>
        </w:tc>
      </w:tr>
      <w:tr w:rsidR="002C4242" w:rsidRPr="002C4242" w14:paraId="00D66281" w14:textId="77777777" w:rsidTr="002C4242">
        <w:trPr>
          <w:trHeight w:val="476"/>
        </w:trPr>
        <w:tc>
          <w:tcPr>
            <w:cnfStyle w:val="001000000000" w:firstRow="0" w:lastRow="0" w:firstColumn="1" w:lastColumn="0" w:oddVBand="0" w:evenVBand="0" w:oddHBand="0" w:evenHBand="0" w:firstRowFirstColumn="0" w:firstRowLastColumn="0" w:lastRowFirstColumn="0" w:lastRowLastColumn="0"/>
            <w:tcW w:w="0" w:type="auto"/>
            <w:hideMark/>
          </w:tcPr>
          <w:p w14:paraId="3B41A84E" w14:textId="77777777" w:rsidR="002C4242" w:rsidRPr="002C4242" w:rsidRDefault="002C4242" w:rsidP="002C4242">
            <w:pPr>
              <w:rPr>
                <w:lang w:eastAsia="en-GB"/>
              </w:rPr>
            </w:pPr>
            <w:r w:rsidRPr="002C4242">
              <w:rPr>
                <w:lang w:eastAsia="en-GB"/>
              </w:rPr>
              <w:t>1</w:t>
            </w:r>
          </w:p>
        </w:tc>
        <w:tc>
          <w:tcPr>
            <w:tcW w:w="0" w:type="auto"/>
            <w:hideMark/>
          </w:tcPr>
          <w:p w14:paraId="60E28BCE"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450,000</w:t>
            </w:r>
          </w:p>
        </w:tc>
        <w:tc>
          <w:tcPr>
            <w:tcW w:w="0" w:type="auto"/>
            <w:hideMark/>
          </w:tcPr>
          <w:p w14:paraId="6E1A4502"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417,500</w:t>
            </w:r>
          </w:p>
        </w:tc>
      </w:tr>
      <w:tr w:rsidR="002C4242" w:rsidRPr="002C4242" w14:paraId="29ECDDBA" w14:textId="77777777" w:rsidTr="002C4242">
        <w:trPr>
          <w:trHeight w:val="494"/>
        </w:trPr>
        <w:tc>
          <w:tcPr>
            <w:cnfStyle w:val="001000000000" w:firstRow="0" w:lastRow="0" w:firstColumn="1" w:lastColumn="0" w:oddVBand="0" w:evenVBand="0" w:oddHBand="0" w:evenHBand="0" w:firstRowFirstColumn="0" w:firstRowLastColumn="0" w:lastRowFirstColumn="0" w:lastRowLastColumn="0"/>
            <w:tcW w:w="0" w:type="auto"/>
            <w:hideMark/>
          </w:tcPr>
          <w:p w14:paraId="3B8D9D3F" w14:textId="77777777" w:rsidR="002C4242" w:rsidRPr="002C4242" w:rsidRDefault="002C4242" w:rsidP="002C4242">
            <w:pPr>
              <w:rPr>
                <w:lang w:eastAsia="en-GB"/>
              </w:rPr>
            </w:pPr>
            <w:r w:rsidRPr="002C4242">
              <w:rPr>
                <w:lang w:eastAsia="en-GB"/>
              </w:rPr>
              <w:t>2</w:t>
            </w:r>
          </w:p>
        </w:tc>
        <w:tc>
          <w:tcPr>
            <w:tcW w:w="0" w:type="auto"/>
            <w:hideMark/>
          </w:tcPr>
          <w:p w14:paraId="42D63E13"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700,000</w:t>
            </w:r>
          </w:p>
        </w:tc>
        <w:tc>
          <w:tcPr>
            <w:tcW w:w="0" w:type="auto"/>
            <w:hideMark/>
          </w:tcPr>
          <w:p w14:paraId="30182915"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605,000</w:t>
            </w:r>
          </w:p>
        </w:tc>
      </w:tr>
      <w:tr w:rsidR="002C4242" w:rsidRPr="002C4242" w14:paraId="611E4553" w14:textId="77777777" w:rsidTr="002C4242">
        <w:trPr>
          <w:trHeight w:val="476"/>
        </w:trPr>
        <w:tc>
          <w:tcPr>
            <w:cnfStyle w:val="001000000000" w:firstRow="0" w:lastRow="0" w:firstColumn="1" w:lastColumn="0" w:oddVBand="0" w:evenVBand="0" w:oddHBand="0" w:evenHBand="0" w:firstRowFirstColumn="0" w:firstRowLastColumn="0" w:lastRowFirstColumn="0" w:lastRowLastColumn="0"/>
            <w:tcW w:w="0" w:type="auto"/>
            <w:hideMark/>
          </w:tcPr>
          <w:p w14:paraId="7F02ECE7" w14:textId="77777777" w:rsidR="002C4242" w:rsidRPr="002C4242" w:rsidRDefault="002C4242" w:rsidP="002C4242">
            <w:pPr>
              <w:rPr>
                <w:lang w:eastAsia="en-GB"/>
              </w:rPr>
            </w:pPr>
            <w:r w:rsidRPr="002C4242">
              <w:rPr>
                <w:lang w:eastAsia="en-GB"/>
              </w:rPr>
              <w:lastRenderedPageBreak/>
              <w:t>3</w:t>
            </w:r>
          </w:p>
        </w:tc>
        <w:tc>
          <w:tcPr>
            <w:tcW w:w="0" w:type="auto"/>
            <w:hideMark/>
          </w:tcPr>
          <w:p w14:paraId="2E474CEF"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900,000</w:t>
            </w:r>
          </w:p>
        </w:tc>
        <w:tc>
          <w:tcPr>
            <w:tcW w:w="0" w:type="auto"/>
            <w:hideMark/>
          </w:tcPr>
          <w:p w14:paraId="005F3FC6"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755,000</w:t>
            </w:r>
          </w:p>
        </w:tc>
      </w:tr>
      <w:tr w:rsidR="002C4242" w:rsidRPr="002C4242" w14:paraId="0F109801" w14:textId="77777777" w:rsidTr="002C4242">
        <w:trPr>
          <w:trHeight w:val="494"/>
        </w:trPr>
        <w:tc>
          <w:tcPr>
            <w:cnfStyle w:val="001000000000" w:firstRow="0" w:lastRow="0" w:firstColumn="1" w:lastColumn="0" w:oddVBand="0" w:evenVBand="0" w:oddHBand="0" w:evenHBand="0" w:firstRowFirstColumn="0" w:firstRowLastColumn="0" w:lastRowFirstColumn="0" w:lastRowLastColumn="0"/>
            <w:tcW w:w="0" w:type="auto"/>
            <w:hideMark/>
          </w:tcPr>
          <w:p w14:paraId="61567C69" w14:textId="77777777" w:rsidR="002C4242" w:rsidRPr="002C4242" w:rsidRDefault="002C4242" w:rsidP="002C4242">
            <w:pPr>
              <w:rPr>
                <w:lang w:eastAsia="en-GB"/>
              </w:rPr>
            </w:pPr>
            <w:r w:rsidRPr="002C4242">
              <w:rPr>
                <w:lang w:eastAsia="en-GB"/>
              </w:rPr>
              <w:t>4</w:t>
            </w:r>
          </w:p>
        </w:tc>
        <w:tc>
          <w:tcPr>
            <w:tcW w:w="0" w:type="auto"/>
            <w:hideMark/>
          </w:tcPr>
          <w:p w14:paraId="4DEFA8A7"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1,200,000</w:t>
            </w:r>
          </w:p>
        </w:tc>
        <w:tc>
          <w:tcPr>
            <w:tcW w:w="0" w:type="auto"/>
            <w:hideMark/>
          </w:tcPr>
          <w:p w14:paraId="7E25E6B5" w14:textId="77777777" w:rsidR="002C4242" w:rsidRPr="002C4242" w:rsidRDefault="002C4242" w:rsidP="002C4242">
            <w:pP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980,000</w:t>
            </w:r>
          </w:p>
        </w:tc>
      </w:tr>
    </w:tbl>
    <w:p w14:paraId="562762E3" w14:textId="3F17E55A" w:rsidR="002C4242" w:rsidRPr="002C4242" w:rsidRDefault="002C4242" w:rsidP="000D7794">
      <w:pPr>
        <w:rPr>
          <w:b/>
          <w:bCs/>
        </w:rPr>
      </w:pPr>
      <w:r w:rsidRPr="002C4242">
        <w:rPr>
          <w:b/>
          <w:bCs/>
        </w:rPr>
        <w:t>Discount Factors at 6% (Cost of Capital)</w:t>
      </w:r>
    </w:p>
    <w:tbl>
      <w:tblPr>
        <w:tblStyle w:val="GridTable1Light-Accent1"/>
        <w:tblW w:w="8800" w:type="dxa"/>
        <w:jc w:val="center"/>
        <w:tblLook w:val="04A0" w:firstRow="1" w:lastRow="0" w:firstColumn="1" w:lastColumn="0" w:noHBand="0" w:noVBand="1"/>
      </w:tblPr>
      <w:tblGrid>
        <w:gridCol w:w="1963"/>
        <w:gridCol w:w="6837"/>
      </w:tblGrid>
      <w:tr w:rsidR="002C4242" w:rsidRPr="002C4242" w14:paraId="78765CC5" w14:textId="77777777" w:rsidTr="002C4242">
        <w:trPr>
          <w:cnfStyle w:val="100000000000" w:firstRow="1" w:lastRow="0" w:firstColumn="0" w:lastColumn="0" w:oddVBand="0" w:evenVBand="0" w:oddHBand="0" w:evenHBand="0" w:firstRowFirstColumn="0" w:firstRowLastColumn="0" w:lastRowFirstColumn="0" w:lastRowLastColumn="0"/>
          <w:trHeight w:val="51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9A978EB" w14:textId="77777777" w:rsidR="002C4242" w:rsidRPr="002C4242" w:rsidRDefault="002C4242" w:rsidP="002C4242">
            <w:pPr>
              <w:jc w:val="center"/>
              <w:rPr>
                <w:lang w:eastAsia="en-GB"/>
              </w:rPr>
            </w:pPr>
            <w:r w:rsidRPr="002C4242">
              <w:rPr>
                <w:lang w:eastAsia="en-GB"/>
              </w:rPr>
              <w:t>Year</w:t>
            </w:r>
          </w:p>
        </w:tc>
        <w:tc>
          <w:tcPr>
            <w:tcW w:w="0" w:type="auto"/>
            <w:hideMark/>
          </w:tcPr>
          <w:p w14:paraId="6590A0D1" w14:textId="77777777" w:rsidR="002C4242" w:rsidRPr="002C4242" w:rsidRDefault="002C4242" w:rsidP="002C4242">
            <w:pPr>
              <w:jc w:val="center"/>
              <w:cnfStyle w:val="100000000000" w:firstRow="1" w:lastRow="0" w:firstColumn="0" w:lastColumn="0" w:oddVBand="0" w:evenVBand="0" w:oddHBand="0" w:evenHBand="0" w:firstRowFirstColumn="0" w:firstRowLastColumn="0" w:lastRowFirstColumn="0" w:lastRowLastColumn="0"/>
              <w:rPr>
                <w:lang w:eastAsia="en-GB"/>
              </w:rPr>
            </w:pPr>
            <w:r w:rsidRPr="002C4242">
              <w:rPr>
                <w:lang w:eastAsia="en-GB"/>
              </w:rPr>
              <w:t>Discount Factor (6%)</w:t>
            </w:r>
          </w:p>
        </w:tc>
      </w:tr>
      <w:tr w:rsidR="002C4242" w:rsidRPr="002C4242" w14:paraId="2AE7D467" w14:textId="77777777" w:rsidTr="002C4242">
        <w:trPr>
          <w:trHeight w:val="50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FD1F284" w14:textId="77777777" w:rsidR="002C4242" w:rsidRPr="002C4242" w:rsidRDefault="002C4242" w:rsidP="002C4242">
            <w:pPr>
              <w:jc w:val="center"/>
              <w:rPr>
                <w:lang w:eastAsia="en-GB"/>
              </w:rPr>
            </w:pPr>
            <w:r w:rsidRPr="002C4242">
              <w:rPr>
                <w:lang w:eastAsia="en-GB"/>
              </w:rPr>
              <w:t>1</w:t>
            </w:r>
          </w:p>
        </w:tc>
        <w:tc>
          <w:tcPr>
            <w:tcW w:w="0" w:type="auto"/>
            <w:hideMark/>
          </w:tcPr>
          <w:p w14:paraId="6451A305" w14:textId="77777777" w:rsidR="002C4242" w:rsidRPr="002C4242" w:rsidRDefault="002C4242" w:rsidP="002C4242">
            <w:pPr>
              <w:jc w:val="cente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0.9434</w:t>
            </w:r>
          </w:p>
        </w:tc>
      </w:tr>
      <w:tr w:rsidR="002C4242" w:rsidRPr="002C4242" w14:paraId="47173905" w14:textId="77777777" w:rsidTr="002C4242">
        <w:trPr>
          <w:trHeight w:val="51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ACC483D" w14:textId="77777777" w:rsidR="002C4242" w:rsidRPr="002C4242" w:rsidRDefault="002C4242" w:rsidP="002C4242">
            <w:pPr>
              <w:jc w:val="center"/>
              <w:rPr>
                <w:lang w:eastAsia="en-GB"/>
              </w:rPr>
            </w:pPr>
            <w:r w:rsidRPr="002C4242">
              <w:rPr>
                <w:lang w:eastAsia="en-GB"/>
              </w:rPr>
              <w:t>2</w:t>
            </w:r>
          </w:p>
        </w:tc>
        <w:tc>
          <w:tcPr>
            <w:tcW w:w="0" w:type="auto"/>
            <w:hideMark/>
          </w:tcPr>
          <w:p w14:paraId="29FC1751" w14:textId="77777777" w:rsidR="002C4242" w:rsidRPr="002C4242" w:rsidRDefault="002C4242" w:rsidP="002C4242">
            <w:pPr>
              <w:jc w:val="cente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0.8900</w:t>
            </w:r>
          </w:p>
        </w:tc>
      </w:tr>
      <w:tr w:rsidR="002C4242" w:rsidRPr="002C4242" w14:paraId="07547061" w14:textId="77777777" w:rsidTr="002C4242">
        <w:trPr>
          <w:trHeight w:val="50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F3504D" w14:textId="77777777" w:rsidR="002C4242" w:rsidRPr="002C4242" w:rsidRDefault="002C4242" w:rsidP="002C4242">
            <w:pPr>
              <w:jc w:val="center"/>
              <w:rPr>
                <w:lang w:eastAsia="en-GB"/>
              </w:rPr>
            </w:pPr>
            <w:r w:rsidRPr="002C4242">
              <w:rPr>
                <w:lang w:eastAsia="en-GB"/>
              </w:rPr>
              <w:t>3</w:t>
            </w:r>
          </w:p>
        </w:tc>
        <w:tc>
          <w:tcPr>
            <w:tcW w:w="0" w:type="auto"/>
            <w:hideMark/>
          </w:tcPr>
          <w:p w14:paraId="715C91DB" w14:textId="77777777" w:rsidR="002C4242" w:rsidRPr="002C4242" w:rsidRDefault="002C4242" w:rsidP="002C4242">
            <w:pPr>
              <w:jc w:val="cente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0.8396</w:t>
            </w:r>
          </w:p>
        </w:tc>
      </w:tr>
      <w:tr w:rsidR="002C4242" w:rsidRPr="002C4242" w14:paraId="119F505F" w14:textId="77777777" w:rsidTr="002C4242">
        <w:trPr>
          <w:trHeight w:val="51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D67E96B" w14:textId="77777777" w:rsidR="002C4242" w:rsidRPr="002C4242" w:rsidRDefault="002C4242" w:rsidP="002C4242">
            <w:pPr>
              <w:jc w:val="center"/>
              <w:rPr>
                <w:lang w:eastAsia="en-GB"/>
              </w:rPr>
            </w:pPr>
            <w:r w:rsidRPr="002C4242">
              <w:rPr>
                <w:lang w:eastAsia="en-GB"/>
              </w:rPr>
              <w:t>4</w:t>
            </w:r>
          </w:p>
        </w:tc>
        <w:tc>
          <w:tcPr>
            <w:tcW w:w="0" w:type="auto"/>
            <w:hideMark/>
          </w:tcPr>
          <w:p w14:paraId="26727FD8" w14:textId="77777777" w:rsidR="002C4242" w:rsidRPr="002C4242" w:rsidRDefault="002C4242" w:rsidP="002C4242">
            <w:pPr>
              <w:jc w:val="center"/>
              <w:cnfStyle w:val="000000000000" w:firstRow="0" w:lastRow="0" w:firstColumn="0" w:lastColumn="0" w:oddVBand="0" w:evenVBand="0" w:oddHBand="0" w:evenHBand="0" w:firstRowFirstColumn="0" w:firstRowLastColumn="0" w:lastRowFirstColumn="0" w:lastRowLastColumn="0"/>
              <w:rPr>
                <w:lang w:eastAsia="en-GB"/>
              </w:rPr>
            </w:pPr>
            <w:r w:rsidRPr="002C4242">
              <w:rPr>
                <w:lang w:eastAsia="en-GB"/>
              </w:rPr>
              <w:t>0.7921</w:t>
            </w:r>
          </w:p>
        </w:tc>
      </w:tr>
    </w:tbl>
    <w:p w14:paraId="12C6788D" w14:textId="6BD278F0" w:rsidR="002C4242" w:rsidRDefault="002C4242" w:rsidP="003D76DA">
      <w:pPr>
        <w:pStyle w:val="Heading2"/>
      </w:pPr>
      <w:bookmarkStart w:id="32" w:name="_Toc218268966"/>
      <w:bookmarkStart w:id="33" w:name="_Toc218269032"/>
      <w:r w:rsidRPr="002C4242">
        <w:t>2. (a) Net Present Value (NPV) and Recommendation</w:t>
      </w:r>
      <w:bookmarkEnd w:id="32"/>
      <w:bookmarkEnd w:id="33"/>
    </w:p>
    <w:p w14:paraId="04766CDA" w14:textId="14C951BE" w:rsidR="00A231E8" w:rsidRDefault="00A231E8" w:rsidP="000D7794">
      <w:pPr>
        <w:rPr>
          <w:b/>
          <w:bCs/>
        </w:rPr>
      </w:pPr>
      <w:r w:rsidRPr="00A231E8">
        <w:rPr>
          <w:b/>
          <w:bCs/>
        </w:rPr>
        <w:t>NPV Calculation</w:t>
      </w:r>
    </w:p>
    <w:p w14:paraId="3173862F" w14:textId="37D3BE8B" w:rsidR="00E1550F" w:rsidRPr="00E1550F" w:rsidRDefault="00E1550F" w:rsidP="00E1550F">
      <w:pPr>
        <w:jc w:val="center"/>
      </w:pPr>
      <w:r>
        <w:rPr>
          <w:noProof/>
        </w:rPr>
        <w:drawing>
          <wp:inline distT="0" distB="0" distL="0" distR="0" wp14:anchorId="791B3842" wp14:editId="37FE6C59">
            <wp:extent cx="2042160" cy="13595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042160" cy="1359535"/>
                    </a:xfrm>
                    <a:prstGeom prst="rect">
                      <a:avLst/>
                    </a:prstGeom>
                    <a:noFill/>
                  </pic:spPr>
                </pic:pic>
              </a:graphicData>
            </a:graphic>
          </wp:inline>
        </w:drawing>
      </w:r>
    </w:p>
    <w:tbl>
      <w:tblPr>
        <w:tblStyle w:val="GridTable4-Accent5"/>
        <w:tblW w:w="10025" w:type="dxa"/>
        <w:tblLook w:val="04A0" w:firstRow="1" w:lastRow="0" w:firstColumn="1" w:lastColumn="0" w:noHBand="0" w:noVBand="1"/>
      </w:tblPr>
      <w:tblGrid>
        <w:gridCol w:w="926"/>
        <w:gridCol w:w="1484"/>
        <w:gridCol w:w="1484"/>
        <w:gridCol w:w="1484"/>
        <w:gridCol w:w="1484"/>
        <w:gridCol w:w="1392"/>
        <w:gridCol w:w="1771"/>
      </w:tblGrid>
      <w:tr w:rsidR="00A231E8" w:rsidRPr="00A231E8" w14:paraId="34C5FB59" w14:textId="77777777" w:rsidTr="00A231E8">
        <w:trPr>
          <w:cnfStyle w:val="100000000000" w:firstRow="1" w:lastRow="0" w:firstColumn="0" w:lastColumn="0" w:oddVBand="0" w:evenVBand="0" w:oddHBand="0" w:evenHBand="0" w:firstRowFirstColumn="0" w:firstRowLastColumn="0" w:lastRowFirstColumn="0" w:lastRowLastColumn="0"/>
          <w:trHeight w:val="807"/>
        </w:trPr>
        <w:tc>
          <w:tcPr>
            <w:cnfStyle w:val="001000000000" w:firstRow="0" w:lastRow="0" w:firstColumn="1" w:lastColumn="0" w:oddVBand="0" w:evenVBand="0" w:oddHBand="0" w:evenHBand="0" w:firstRowFirstColumn="0" w:firstRowLastColumn="0" w:lastRowFirstColumn="0" w:lastRowLastColumn="0"/>
            <w:tcW w:w="0" w:type="auto"/>
            <w:hideMark/>
          </w:tcPr>
          <w:p w14:paraId="37A079D3" w14:textId="77777777" w:rsidR="00A231E8" w:rsidRPr="00A231E8" w:rsidRDefault="00A231E8" w:rsidP="00A231E8">
            <w:pPr>
              <w:rPr>
                <w:lang w:eastAsia="en-GB"/>
              </w:rPr>
            </w:pPr>
            <w:r w:rsidRPr="00A231E8">
              <w:rPr>
                <w:lang w:eastAsia="en-GB"/>
              </w:rPr>
              <w:t>Option</w:t>
            </w:r>
          </w:p>
        </w:tc>
        <w:tc>
          <w:tcPr>
            <w:tcW w:w="0" w:type="auto"/>
            <w:hideMark/>
          </w:tcPr>
          <w:p w14:paraId="226E6780" w14:textId="77777777" w:rsidR="00A231E8" w:rsidRPr="00A231E8" w:rsidRDefault="00A231E8" w:rsidP="00A231E8">
            <w:pPr>
              <w:cnfStyle w:val="100000000000" w:firstRow="1" w:lastRow="0" w:firstColumn="0" w:lastColumn="0" w:oddVBand="0" w:evenVBand="0" w:oddHBand="0" w:evenHBand="0" w:firstRowFirstColumn="0" w:firstRowLastColumn="0" w:lastRowFirstColumn="0" w:lastRowLastColumn="0"/>
              <w:rPr>
                <w:lang w:eastAsia="en-GB"/>
              </w:rPr>
            </w:pPr>
            <w:r w:rsidRPr="00A231E8">
              <w:rPr>
                <w:lang w:eastAsia="en-GB"/>
              </w:rPr>
              <w:t>Year 1</w:t>
            </w:r>
          </w:p>
        </w:tc>
        <w:tc>
          <w:tcPr>
            <w:tcW w:w="0" w:type="auto"/>
            <w:hideMark/>
          </w:tcPr>
          <w:p w14:paraId="008556CC" w14:textId="77777777" w:rsidR="00A231E8" w:rsidRPr="00A231E8" w:rsidRDefault="00A231E8" w:rsidP="00A231E8">
            <w:pPr>
              <w:cnfStyle w:val="100000000000" w:firstRow="1" w:lastRow="0" w:firstColumn="0" w:lastColumn="0" w:oddVBand="0" w:evenVBand="0" w:oddHBand="0" w:evenHBand="0" w:firstRowFirstColumn="0" w:firstRowLastColumn="0" w:lastRowFirstColumn="0" w:lastRowLastColumn="0"/>
              <w:rPr>
                <w:lang w:eastAsia="en-GB"/>
              </w:rPr>
            </w:pPr>
            <w:r w:rsidRPr="00A231E8">
              <w:rPr>
                <w:lang w:eastAsia="en-GB"/>
              </w:rPr>
              <w:t>Year 2</w:t>
            </w:r>
          </w:p>
        </w:tc>
        <w:tc>
          <w:tcPr>
            <w:tcW w:w="0" w:type="auto"/>
            <w:hideMark/>
          </w:tcPr>
          <w:p w14:paraId="165F738E" w14:textId="77777777" w:rsidR="00A231E8" w:rsidRPr="00A231E8" w:rsidRDefault="00A231E8" w:rsidP="00A231E8">
            <w:pPr>
              <w:cnfStyle w:val="100000000000" w:firstRow="1" w:lastRow="0" w:firstColumn="0" w:lastColumn="0" w:oddVBand="0" w:evenVBand="0" w:oddHBand="0" w:evenHBand="0" w:firstRowFirstColumn="0" w:firstRowLastColumn="0" w:lastRowFirstColumn="0" w:lastRowLastColumn="0"/>
              <w:rPr>
                <w:lang w:eastAsia="en-GB"/>
              </w:rPr>
            </w:pPr>
            <w:r w:rsidRPr="00A231E8">
              <w:rPr>
                <w:lang w:eastAsia="en-GB"/>
              </w:rPr>
              <w:t>Year 3</w:t>
            </w:r>
          </w:p>
        </w:tc>
        <w:tc>
          <w:tcPr>
            <w:tcW w:w="0" w:type="auto"/>
            <w:hideMark/>
          </w:tcPr>
          <w:p w14:paraId="66E0BED7" w14:textId="77777777" w:rsidR="00A231E8" w:rsidRPr="00A231E8" w:rsidRDefault="00A231E8" w:rsidP="00A231E8">
            <w:pPr>
              <w:cnfStyle w:val="100000000000" w:firstRow="1" w:lastRow="0" w:firstColumn="0" w:lastColumn="0" w:oddVBand="0" w:evenVBand="0" w:oddHBand="0" w:evenHBand="0" w:firstRowFirstColumn="0" w:firstRowLastColumn="0" w:lastRowFirstColumn="0" w:lastRowLastColumn="0"/>
              <w:rPr>
                <w:lang w:eastAsia="en-GB"/>
              </w:rPr>
            </w:pPr>
            <w:r w:rsidRPr="00A231E8">
              <w:rPr>
                <w:lang w:eastAsia="en-GB"/>
              </w:rPr>
              <w:t>Year 4</w:t>
            </w:r>
          </w:p>
        </w:tc>
        <w:tc>
          <w:tcPr>
            <w:tcW w:w="0" w:type="auto"/>
            <w:hideMark/>
          </w:tcPr>
          <w:p w14:paraId="5706228C" w14:textId="77777777" w:rsidR="00A231E8" w:rsidRPr="00A231E8" w:rsidRDefault="00A231E8" w:rsidP="00A231E8">
            <w:pPr>
              <w:cnfStyle w:val="100000000000" w:firstRow="1" w:lastRow="0" w:firstColumn="0" w:lastColumn="0" w:oddVBand="0" w:evenVBand="0" w:oddHBand="0" w:evenHBand="0" w:firstRowFirstColumn="0" w:firstRowLastColumn="0" w:lastRowFirstColumn="0" w:lastRowLastColumn="0"/>
              <w:rPr>
                <w:lang w:eastAsia="en-GB"/>
              </w:rPr>
            </w:pPr>
            <w:r w:rsidRPr="00A231E8">
              <w:rPr>
                <w:lang w:eastAsia="en-GB"/>
              </w:rPr>
              <w:t>Total PV Inflows</w:t>
            </w:r>
          </w:p>
        </w:tc>
        <w:tc>
          <w:tcPr>
            <w:tcW w:w="0" w:type="auto"/>
            <w:hideMark/>
          </w:tcPr>
          <w:p w14:paraId="21682E53" w14:textId="77777777" w:rsidR="00A231E8" w:rsidRPr="00A231E8" w:rsidRDefault="00A231E8" w:rsidP="00A231E8">
            <w:pPr>
              <w:cnfStyle w:val="100000000000" w:firstRow="1" w:lastRow="0" w:firstColumn="0" w:lastColumn="0" w:oddVBand="0" w:evenVBand="0" w:oddHBand="0" w:evenHBand="0" w:firstRowFirstColumn="0" w:firstRowLastColumn="0" w:lastRowFirstColumn="0" w:lastRowLastColumn="0"/>
              <w:rPr>
                <w:lang w:eastAsia="en-GB"/>
              </w:rPr>
            </w:pPr>
            <w:r w:rsidRPr="00A231E8">
              <w:rPr>
                <w:lang w:eastAsia="en-GB"/>
              </w:rPr>
              <w:t>NPV</w:t>
            </w:r>
          </w:p>
        </w:tc>
      </w:tr>
      <w:tr w:rsidR="00A231E8" w:rsidRPr="00A231E8" w14:paraId="095D6BB4" w14:textId="77777777" w:rsidTr="00A231E8">
        <w:trPr>
          <w:cnfStyle w:val="000000100000" w:firstRow="0" w:lastRow="0" w:firstColumn="0" w:lastColumn="0" w:oddVBand="0" w:evenVBand="0" w:oddHBand="1" w:evenHBand="0" w:firstRowFirstColumn="0" w:firstRowLastColumn="0" w:lastRowFirstColumn="0" w:lastRowLastColumn="0"/>
          <w:trHeight w:val="1114"/>
        </w:trPr>
        <w:tc>
          <w:tcPr>
            <w:cnfStyle w:val="001000000000" w:firstRow="0" w:lastRow="0" w:firstColumn="1" w:lastColumn="0" w:oddVBand="0" w:evenVBand="0" w:oddHBand="0" w:evenHBand="0" w:firstRowFirstColumn="0" w:firstRowLastColumn="0" w:lastRowFirstColumn="0" w:lastRowLastColumn="0"/>
            <w:tcW w:w="0" w:type="auto"/>
            <w:hideMark/>
          </w:tcPr>
          <w:p w14:paraId="2A484CF7" w14:textId="77777777" w:rsidR="00A231E8" w:rsidRPr="00A231E8" w:rsidRDefault="00A231E8" w:rsidP="00A231E8">
            <w:pPr>
              <w:rPr>
                <w:lang w:eastAsia="en-GB"/>
              </w:rPr>
            </w:pPr>
            <w:r w:rsidRPr="00A231E8">
              <w:rPr>
                <w:lang w:eastAsia="en-GB"/>
              </w:rPr>
              <w:t>A</w:t>
            </w:r>
          </w:p>
        </w:tc>
        <w:tc>
          <w:tcPr>
            <w:tcW w:w="0" w:type="auto"/>
            <w:hideMark/>
          </w:tcPr>
          <w:p w14:paraId="32BD6C15" w14:textId="7777777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180,000 × 0.9434 = 169.8</w:t>
            </w:r>
          </w:p>
        </w:tc>
        <w:tc>
          <w:tcPr>
            <w:tcW w:w="0" w:type="auto"/>
            <w:hideMark/>
          </w:tcPr>
          <w:p w14:paraId="27E83EFE" w14:textId="7777777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330,000 × 0.8900 = 293.7</w:t>
            </w:r>
          </w:p>
        </w:tc>
        <w:tc>
          <w:tcPr>
            <w:tcW w:w="0" w:type="auto"/>
            <w:hideMark/>
          </w:tcPr>
          <w:p w14:paraId="13C55631" w14:textId="7777777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405,000 × 0.8396 = 340.0</w:t>
            </w:r>
          </w:p>
        </w:tc>
        <w:tc>
          <w:tcPr>
            <w:tcW w:w="0" w:type="auto"/>
            <w:hideMark/>
          </w:tcPr>
          <w:p w14:paraId="148846F5" w14:textId="7777777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555,000 × 0.7921 = 439.7</w:t>
            </w:r>
          </w:p>
        </w:tc>
        <w:tc>
          <w:tcPr>
            <w:tcW w:w="0" w:type="auto"/>
            <w:hideMark/>
          </w:tcPr>
          <w:p w14:paraId="4B16DE79" w14:textId="221D8719"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1,243</w:t>
            </w:r>
            <w:r w:rsidR="00446C6A">
              <w:rPr>
                <w:lang w:eastAsia="en-GB"/>
              </w:rPr>
              <w:t>,200</w:t>
            </w:r>
          </w:p>
        </w:tc>
        <w:tc>
          <w:tcPr>
            <w:tcW w:w="0" w:type="auto"/>
            <w:hideMark/>
          </w:tcPr>
          <w:p w14:paraId="4761AE02" w14:textId="45CFCA4A"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1,243.2 - 600,000 = +643</w:t>
            </w:r>
            <w:r w:rsidR="00446C6A">
              <w:rPr>
                <w:lang w:eastAsia="en-GB"/>
              </w:rPr>
              <w:t>,</w:t>
            </w:r>
            <w:r w:rsidRPr="00A231E8">
              <w:rPr>
                <w:lang w:eastAsia="en-GB"/>
              </w:rPr>
              <w:t>2</w:t>
            </w:r>
            <w:r w:rsidR="00446C6A">
              <w:rPr>
                <w:lang w:eastAsia="en-GB"/>
              </w:rPr>
              <w:t>00</w:t>
            </w:r>
          </w:p>
        </w:tc>
      </w:tr>
      <w:tr w:rsidR="00A231E8" w:rsidRPr="00A231E8" w14:paraId="12051F14" w14:textId="77777777" w:rsidTr="00A231E8">
        <w:trPr>
          <w:trHeight w:val="1127"/>
        </w:trPr>
        <w:tc>
          <w:tcPr>
            <w:cnfStyle w:val="001000000000" w:firstRow="0" w:lastRow="0" w:firstColumn="1" w:lastColumn="0" w:oddVBand="0" w:evenVBand="0" w:oddHBand="0" w:evenHBand="0" w:firstRowFirstColumn="0" w:firstRowLastColumn="0" w:lastRowFirstColumn="0" w:lastRowLastColumn="0"/>
            <w:tcW w:w="0" w:type="auto"/>
            <w:hideMark/>
          </w:tcPr>
          <w:p w14:paraId="5FF99E39" w14:textId="77777777" w:rsidR="00A231E8" w:rsidRPr="00A231E8" w:rsidRDefault="00A231E8" w:rsidP="00A231E8">
            <w:pPr>
              <w:rPr>
                <w:lang w:eastAsia="en-GB"/>
              </w:rPr>
            </w:pPr>
            <w:r w:rsidRPr="00A231E8">
              <w:rPr>
                <w:lang w:eastAsia="en-GB"/>
              </w:rPr>
              <w:t>B</w:t>
            </w:r>
          </w:p>
        </w:tc>
        <w:tc>
          <w:tcPr>
            <w:tcW w:w="0" w:type="auto"/>
            <w:hideMark/>
          </w:tcPr>
          <w:p w14:paraId="0637D5A4" w14:textId="77777777" w:rsidR="00A231E8" w:rsidRPr="00A231E8" w:rsidRDefault="00A231E8" w:rsidP="00A231E8">
            <w:pPr>
              <w:cnfStyle w:val="000000000000" w:firstRow="0" w:lastRow="0" w:firstColumn="0" w:lastColumn="0" w:oddVBand="0" w:evenVBand="0" w:oddHBand="0" w:evenHBand="0" w:firstRowFirstColumn="0" w:firstRowLastColumn="0" w:lastRowFirstColumn="0" w:lastRowLastColumn="0"/>
              <w:rPr>
                <w:lang w:eastAsia="en-GB"/>
              </w:rPr>
            </w:pPr>
            <w:r w:rsidRPr="00A231E8">
              <w:rPr>
                <w:lang w:eastAsia="en-GB"/>
              </w:rPr>
              <w:t>350,000 × 0.9434 = 330.2</w:t>
            </w:r>
          </w:p>
        </w:tc>
        <w:tc>
          <w:tcPr>
            <w:tcW w:w="0" w:type="auto"/>
            <w:hideMark/>
          </w:tcPr>
          <w:p w14:paraId="270B9B65" w14:textId="77777777" w:rsidR="00A231E8" w:rsidRPr="00A231E8" w:rsidRDefault="00A231E8" w:rsidP="00A231E8">
            <w:pPr>
              <w:cnfStyle w:val="000000000000" w:firstRow="0" w:lastRow="0" w:firstColumn="0" w:lastColumn="0" w:oddVBand="0" w:evenVBand="0" w:oddHBand="0" w:evenHBand="0" w:firstRowFirstColumn="0" w:firstRowLastColumn="0" w:lastRowFirstColumn="0" w:lastRowLastColumn="0"/>
              <w:rPr>
                <w:lang w:eastAsia="en-GB"/>
              </w:rPr>
            </w:pPr>
            <w:r w:rsidRPr="00A231E8">
              <w:rPr>
                <w:lang w:eastAsia="en-GB"/>
              </w:rPr>
              <w:t>387,500 × 0.8900 = 344.9</w:t>
            </w:r>
          </w:p>
        </w:tc>
        <w:tc>
          <w:tcPr>
            <w:tcW w:w="0" w:type="auto"/>
            <w:hideMark/>
          </w:tcPr>
          <w:p w14:paraId="0355289E" w14:textId="77777777" w:rsidR="00A231E8" w:rsidRPr="00A231E8" w:rsidRDefault="00A231E8" w:rsidP="00A231E8">
            <w:pPr>
              <w:cnfStyle w:val="000000000000" w:firstRow="0" w:lastRow="0" w:firstColumn="0" w:lastColumn="0" w:oddVBand="0" w:evenVBand="0" w:oddHBand="0" w:evenHBand="0" w:firstRowFirstColumn="0" w:firstRowLastColumn="0" w:lastRowFirstColumn="0" w:lastRowLastColumn="0"/>
              <w:rPr>
                <w:lang w:eastAsia="en-GB"/>
              </w:rPr>
            </w:pPr>
            <w:r w:rsidRPr="00A231E8">
              <w:rPr>
                <w:lang w:eastAsia="en-GB"/>
              </w:rPr>
              <w:t>590,000 × 0.8396 = 495.4</w:t>
            </w:r>
          </w:p>
        </w:tc>
        <w:tc>
          <w:tcPr>
            <w:tcW w:w="0" w:type="auto"/>
            <w:hideMark/>
          </w:tcPr>
          <w:p w14:paraId="7503EE57" w14:textId="77777777" w:rsidR="00A231E8" w:rsidRPr="00A231E8" w:rsidRDefault="00A231E8" w:rsidP="00A231E8">
            <w:pPr>
              <w:cnfStyle w:val="000000000000" w:firstRow="0" w:lastRow="0" w:firstColumn="0" w:lastColumn="0" w:oddVBand="0" w:evenVBand="0" w:oddHBand="0" w:evenHBand="0" w:firstRowFirstColumn="0" w:firstRowLastColumn="0" w:lastRowFirstColumn="0" w:lastRowLastColumn="0"/>
              <w:rPr>
                <w:lang w:eastAsia="en-GB"/>
              </w:rPr>
            </w:pPr>
            <w:r w:rsidRPr="00A231E8">
              <w:rPr>
                <w:lang w:eastAsia="en-GB"/>
              </w:rPr>
              <w:t>785,000 × 0.7921 = 621.7</w:t>
            </w:r>
          </w:p>
        </w:tc>
        <w:tc>
          <w:tcPr>
            <w:tcW w:w="0" w:type="auto"/>
            <w:hideMark/>
          </w:tcPr>
          <w:p w14:paraId="32DB819C" w14:textId="66CC95A4" w:rsidR="00A231E8" w:rsidRPr="00A231E8" w:rsidRDefault="00A231E8" w:rsidP="00A231E8">
            <w:pPr>
              <w:cnfStyle w:val="000000000000" w:firstRow="0" w:lastRow="0" w:firstColumn="0" w:lastColumn="0" w:oddVBand="0" w:evenVBand="0" w:oddHBand="0" w:evenHBand="0" w:firstRowFirstColumn="0" w:firstRowLastColumn="0" w:lastRowFirstColumn="0" w:lastRowLastColumn="0"/>
              <w:rPr>
                <w:lang w:eastAsia="en-GB"/>
              </w:rPr>
            </w:pPr>
            <w:r w:rsidRPr="00A231E8">
              <w:rPr>
                <w:lang w:eastAsia="en-GB"/>
              </w:rPr>
              <w:t>1,792</w:t>
            </w:r>
            <w:r w:rsidR="00446C6A">
              <w:rPr>
                <w:lang w:eastAsia="en-GB"/>
              </w:rPr>
              <w:t>,</w:t>
            </w:r>
            <w:r w:rsidRPr="00A231E8">
              <w:rPr>
                <w:lang w:eastAsia="en-GB"/>
              </w:rPr>
              <w:t>2</w:t>
            </w:r>
            <w:r w:rsidR="00446C6A">
              <w:rPr>
                <w:lang w:eastAsia="en-GB"/>
              </w:rPr>
              <w:t>00</w:t>
            </w:r>
          </w:p>
        </w:tc>
        <w:tc>
          <w:tcPr>
            <w:tcW w:w="0" w:type="auto"/>
            <w:hideMark/>
          </w:tcPr>
          <w:p w14:paraId="2A080DC6" w14:textId="477E0D16" w:rsidR="00A231E8" w:rsidRPr="00A231E8" w:rsidRDefault="00A231E8" w:rsidP="00A231E8">
            <w:pPr>
              <w:cnfStyle w:val="000000000000" w:firstRow="0" w:lastRow="0" w:firstColumn="0" w:lastColumn="0" w:oddVBand="0" w:evenVBand="0" w:oddHBand="0" w:evenHBand="0" w:firstRowFirstColumn="0" w:firstRowLastColumn="0" w:lastRowFirstColumn="0" w:lastRowLastColumn="0"/>
              <w:rPr>
                <w:lang w:eastAsia="en-GB"/>
              </w:rPr>
            </w:pPr>
            <w:r w:rsidRPr="00A231E8">
              <w:rPr>
                <w:lang w:eastAsia="en-GB"/>
              </w:rPr>
              <w:t>1,792.2 - 1,000,000 = +792</w:t>
            </w:r>
            <w:r w:rsidR="00446C6A">
              <w:rPr>
                <w:lang w:eastAsia="en-GB"/>
              </w:rPr>
              <w:t>,</w:t>
            </w:r>
            <w:r w:rsidRPr="00A231E8">
              <w:rPr>
                <w:lang w:eastAsia="en-GB"/>
              </w:rPr>
              <w:t>2</w:t>
            </w:r>
            <w:r w:rsidR="00446C6A">
              <w:rPr>
                <w:lang w:eastAsia="en-GB"/>
              </w:rPr>
              <w:t>00</w:t>
            </w:r>
          </w:p>
        </w:tc>
      </w:tr>
      <w:tr w:rsidR="00A231E8" w:rsidRPr="00A231E8" w14:paraId="1C508195" w14:textId="77777777" w:rsidTr="00A231E8">
        <w:trPr>
          <w:cnfStyle w:val="000000100000" w:firstRow="0" w:lastRow="0" w:firstColumn="0" w:lastColumn="0" w:oddVBand="0" w:evenVBand="0" w:oddHBand="1" w:evenHBand="0" w:firstRowFirstColumn="0" w:firstRowLastColumn="0" w:lastRowFirstColumn="0" w:lastRowLastColumn="0"/>
          <w:trHeight w:val="1127"/>
        </w:trPr>
        <w:tc>
          <w:tcPr>
            <w:cnfStyle w:val="001000000000" w:firstRow="0" w:lastRow="0" w:firstColumn="1" w:lastColumn="0" w:oddVBand="0" w:evenVBand="0" w:oddHBand="0" w:evenHBand="0" w:firstRowFirstColumn="0" w:firstRowLastColumn="0" w:lastRowFirstColumn="0" w:lastRowLastColumn="0"/>
            <w:tcW w:w="0" w:type="auto"/>
            <w:hideMark/>
          </w:tcPr>
          <w:p w14:paraId="6985F3F1" w14:textId="77777777" w:rsidR="00A231E8" w:rsidRPr="00A231E8" w:rsidRDefault="00A231E8" w:rsidP="00A231E8">
            <w:pPr>
              <w:rPr>
                <w:lang w:eastAsia="en-GB"/>
              </w:rPr>
            </w:pPr>
            <w:r w:rsidRPr="00A231E8">
              <w:rPr>
                <w:lang w:eastAsia="en-GB"/>
              </w:rPr>
              <w:t>C</w:t>
            </w:r>
          </w:p>
        </w:tc>
        <w:tc>
          <w:tcPr>
            <w:tcW w:w="0" w:type="auto"/>
            <w:hideMark/>
          </w:tcPr>
          <w:p w14:paraId="52EC4ECC" w14:textId="7777777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417,500 × 0.9434 = 393.9</w:t>
            </w:r>
          </w:p>
        </w:tc>
        <w:tc>
          <w:tcPr>
            <w:tcW w:w="0" w:type="auto"/>
            <w:hideMark/>
          </w:tcPr>
          <w:p w14:paraId="4E97D7AD" w14:textId="7777777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605,000 × 0.8900 = 538.5</w:t>
            </w:r>
          </w:p>
        </w:tc>
        <w:tc>
          <w:tcPr>
            <w:tcW w:w="0" w:type="auto"/>
            <w:hideMark/>
          </w:tcPr>
          <w:p w14:paraId="3239F372" w14:textId="7777777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755,000 × 0.8396 = 633.4</w:t>
            </w:r>
          </w:p>
        </w:tc>
        <w:tc>
          <w:tcPr>
            <w:tcW w:w="0" w:type="auto"/>
            <w:hideMark/>
          </w:tcPr>
          <w:p w14:paraId="743D2FF5" w14:textId="7777777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980,000 × 0.7921 = 777.3</w:t>
            </w:r>
          </w:p>
        </w:tc>
        <w:tc>
          <w:tcPr>
            <w:tcW w:w="0" w:type="auto"/>
            <w:hideMark/>
          </w:tcPr>
          <w:p w14:paraId="6A65B825" w14:textId="2569FA88"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2,342</w:t>
            </w:r>
            <w:r w:rsidR="00446C6A">
              <w:rPr>
                <w:lang w:eastAsia="en-GB"/>
              </w:rPr>
              <w:t>,</w:t>
            </w:r>
            <w:r w:rsidRPr="00A231E8">
              <w:rPr>
                <w:lang w:eastAsia="en-GB"/>
              </w:rPr>
              <w:t>5</w:t>
            </w:r>
            <w:r w:rsidR="00446C6A">
              <w:rPr>
                <w:lang w:eastAsia="en-GB"/>
              </w:rPr>
              <w:t>00</w:t>
            </w:r>
          </w:p>
        </w:tc>
        <w:tc>
          <w:tcPr>
            <w:tcW w:w="0" w:type="auto"/>
            <w:hideMark/>
          </w:tcPr>
          <w:p w14:paraId="5B56643E" w14:textId="43A8CC57" w:rsidR="00A231E8" w:rsidRPr="00A231E8" w:rsidRDefault="00A231E8" w:rsidP="00A231E8">
            <w:pPr>
              <w:cnfStyle w:val="000000100000" w:firstRow="0" w:lastRow="0" w:firstColumn="0" w:lastColumn="0" w:oddVBand="0" w:evenVBand="0" w:oddHBand="1" w:evenHBand="0" w:firstRowFirstColumn="0" w:firstRowLastColumn="0" w:lastRowFirstColumn="0" w:lastRowLastColumn="0"/>
              <w:rPr>
                <w:lang w:eastAsia="en-GB"/>
              </w:rPr>
            </w:pPr>
            <w:r w:rsidRPr="00A231E8">
              <w:rPr>
                <w:lang w:eastAsia="en-GB"/>
              </w:rPr>
              <w:t>2,342.5 - 1,600,000 = +742</w:t>
            </w:r>
            <w:r w:rsidR="00446C6A">
              <w:rPr>
                <w:lang w:eastAsia="en-GB"/>
              </w:rPr>
              <w:t>,</w:t>
            </w:r>
            <w:r w:rsidRPr="00A231E8">
              <w:rPr>
                <w:lang w:eastAsia="en-GB"/>
              </w:rPr>
              <w:t>5</w:t>
            </w:r>
            <w:r w:rsidR="00446C6A">
              <w:rPr>
                <w:lang w:eastAsia="en-GB"/>
              </w:rPr>
              <w:t>00</w:t>
            </w:r>
          </w:p>
        </w:tc>
      </w:tr>
    </w:tbl>
    <w:p w14:paraId="6125F39C" w14:textId="77777777" w:rsidR="00E1550F" w:rsidRDefault="00E1550F" w:rsidP="00A231E8">
      <w:pPr>
        <w:rPr>
          <w:b/>
          <w:bCs/>
        </w:rPr>
      </w:pPr>
    </w:p>
    <w:p w14:paraId="27DD80FC" w14:textId="5141B768" w:rsidR="00A231E8" w:rsidRPr="00E1550F" w:rsidRDefault="00A231E8" w:rsidP="003D76DA">
      <w:pPr>
        <w:pStyle w:val="Heading3"/>
      </w:pPr>
      <w:bookmarkStart w:id="34" w:name="_Toc218268967"/>
      <w:bookmarkStart w:id="35" w:name="_Toc218269033"/>
      <w:r w:rsidRPr="00E1550F">
        <w:lastRenderedPageBreak/>
        <w:t>Recommendation</w:t>
      </w:r>
      <w:bookmarkEnd w:id="34"/>
      <w:bookmarkEnd w:id="35"/>
    </w:p>
    <w:p w14:paraId="4B53D2D2" w14:textId="5851841D" w:rsidR="00E1550F" w:rsidRDefault="00E1550F" w:rsidP="00E1550F">
      <w:r>
        <w:t xml:space="preserve">According to the NPV of the investment, internet sales (Option B) is advised in the case of Westward Plc investment. The option with the highest NPV is </w:t>
      </w:r>
      <w:r w:rsidR="00446C6A" w:rsidRPr="002C4242">
        <w:t>£</w:t>
      </w:r>
      <w:r>
        <w:t>792</w:t>
      </w:r>
      <w:r w:rsidR="00446C6A">
        <w:t>,</w:t>
      </w:r>
      <w:r>
        <w:t>200 and this means that the option will create the greatest value to the shareholders unlike other options</w:t>
      </w:r>
      <w:r w:rsidR="00786B13">
        <w:t xml:space="preserve"> (</w:t>
      </w:r>
      <w:r w:rsidR="00786B13" w:rsidRPr="005A7FB1">
        <w:t>Palepu</w:t>
      </w:r>
      <w:r w:rsidR="00786B13">
        <w:t xml:space="preserve"> et at., 2020)</w:t>
      </w:r>
      <w:r>
        <w:t xml:space="preserve">. Although the NPV of Option C (making wooden and Roman blinds) is high </w:t>
      </w:r>
      <w:r w:rsidR="00446C6A" w:rsidRPr="002C4242">
        <w:t>£</w:t>
      </w:r>
      <w:r>
        <w:t>742,500, it will demand more capital up front and will not perform better than the one in the B Option in terms of NPV per pound invested. On the same note, the NPV of Option A (expanding the retail outlet) is lower (</w:t>
      </w:r>
      <w:r w:rsidR="00446C6A" w:rsidRPr="002C4242">
        <w:t>£</w:t>
      </w:r>
      <w:r>
        <w:t>643,200), hence not very attractive.</w:t>
      </w:r>
    </w:p>
    <w:p w14:paraId="002ACD69" w14:textId="0A90A88A" w:rsidR="00A231E8" w:rsidRDefault="00E1550F" w:rsidP="00E1550F">
      <w:r>
        <w:t xml:space="preserve">The fact that option B focuses on internet sales is also in line with the current market trends which are geared towards online shopping and this allows it to scale with an intermediate initial investment of </w:t>
      </w:r>
      <w:r w:rsidR="00D0225A" w:rsidRPr="002C4242">
        <w:t>£</w:t>
      </w:r>
      <w:r>
        <w:t>1,000,000. This alternative is also based on an increasing number of consumers and may be offered with higher returns at a comparatively low risk than the capital-intensive feature of Option C. Thus, the most profitable option B balances investment risk</w:t>
      </w:r>
      <w:r w:rsidR="00D0225A">
        <w:t xml:space="preserve"> (</w:t>
      </w:r>
      <w:proofErr w:type="spellStart"/>
      <w:r w:rsidR="00D0225A" w:rsidRPr="005A7FB1">
        <w:t>Alqam</w:t>
      </w:r>
      <w:proofErr w:type="spellEnd"/>
      <w:r w:rsidR="00D0225A">
        <w:t xml:space="preserve"> et al., 2021)</w:t>
      </w:r>
      <w:r>
        <w:t>.</w:t>
      </w:r>
    </w:p>
    <w:p w14:paraId="557A6AEF" w14:textId="1839285D" w:rsidR="00E1550F" w:rsidRDefault="00E1550F" w:rsidP="003D76DA">
      <w:pPr>
        <w:pStyle w:val="Heading2"/>
      </w:pPr>
      <w:bookmarkStart w:id="36" w:name="_Toc218268968"/>
      <w:bookmarkStart w:id="37" w:name="_Toc218269034"/>
      <w:r w:rsidRPr="00E1550F">
        <w:t>3. (b) Approximate Internal Rate of Return (IRR) for Option B</w:t>
      </w:r>
      <w:bookmarkEnd w:id="36"/>
      <w:bookmarkEnd w:id="37"/>
    </w:p>
    <w:tbl>
      <w:tblPr>
        <w:tblStyle w:val="GridTable1Light-Accent2"/>
        <w:tblW w:w="7644" w:type="dxa"/>
        <w:jc w:val="center"/>
        <w:tblLook w:val="04A0" w:firstRow="1" w:lastRow="0" w:firstColumn="1" w:lastColumn="0" w:noHBand="0" w:noVBand="1"/>
      </w:tblPr>
      <w:tblGrid>
        <w:gridCol w:w="1959"/>
        <w:gridCol w:w="5685"/>
      </w:tblGrid>
      <w:tr w:rsidR="00E1550F" w:rsidRPr="00E1550F" w14:paraId="4F09D7E6" w14:textId="77777777" w:rsidTr="00E1550F">
        <w:trPr>
          <w:cnfStyle w:val="100000000000" w:firstRow="1" w:lastRow="0" w:firstColumn="0" w:lastColumn="0" w:oddVBand="0" w:evenVBand="0" w:oddHBand="0" w:evenHBand="0" w:firstRowFirstColumn="0" w:firstRowLastColumn="0" w:lastRowFirstColumn="0" w:lastRowLastColumn="0"/>
          <w:trHeight w:val="25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4B333C" w14:textId="77777777" w:rsidR="00E1550F" w:rsidRPr="00E1550F" w:rsidRDefault="00E1550F" w:rsidP="00E1550F">
            <w:pPr>
              <w:jc w:val="center"/>
              <w:rPr>
                <w:lang w:eastAsia="en-GB"/>
              </w:rPr>
            </w:pPr>
            <w:r w:rsidRPr="00E1550F">
              <w:rPr>
                <w:lang w:eastAsia="en-GB"/>
              </w:rPr>
              <w:t>Year</w:t>
            </w:r>
          </w:p>
        </w:tc>
        <w:tc>
          <w:tcPr>
            <w:tcW w:w="0" w:type="auto"/>
            <w:hideMark/>
          </w:tcPr>
          <w:p w14:paraId="43F9539F" w14:textId="77777777" w:rsidR="00E1550F" w:rsidRPr="00E1550F" w:rsidRDefault="00E1550F" w:rsidP="00E1550F">
            <w:pPr>
              <w:jc w:val="center"/>
              <w:cnfStyle w:val="100000000000" w:firstRow="1" w:lastRow="0" w:firstColumn="0" w:lastColumn="0" w:oddVBand="0" w:evenVBand="0" w:oddHBand="0" w:evenHBand="0" w:firstRowFirstColumn="0" w:firstRowLastColumn="0" w:lastRowFirstColumn="0" w:lastRowLastColumn="0"/>
              <w:rPr>
                <w:lang w:eastAsia="en-GB"/>
              </w:rPr>
            </w:pPr>
            <w:r w:rsidRPr="00E1550F">
              <w:rPr>
                <w:lang w:eastAsia="en-GB"/>
              </w:rPr>
              <w:t>Cash Flow (£000)</w:t>
            </w:r>
          </w:p>
        </w:tc>
      </w:tr>
      <w:tr w:rsidR="00E1550F" w:rsidRPr="00E1550F" w14:paraId="13827B88" w14:textId="77777777" w:rsidTr="00E1550F">
        <w:trPr>
          <w:trHeight w:val="24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AC63ED" w14:textId="22FD5CB7" w:rsidR="00E1550F" w:rsidRPr="00E1550F" w:rsidRDefault="00E1550F" w:rsidP="00E1550F">
            <w:pPr>
              <w:jc w:val="center"/>
              <w:rPr>
                <w:lang w:eastAsia="en-GB"/>
              </w:rPr>
            </w:pPr>
            <w:r w:rsidRPr="00E1550F">
              <w:rPr>
                <w:lang w:eastAsia="en-GB"/>
              </w:rPr>
              <w:t>0</w:t>
            </w:r>
          </w:p>
        </w:tc>
        <w:tc>
          <w:tcPr>
            <w:tcW w:w="0" w:type="auto"/>
            <w:hideMark/>
          </w:tcPr>
          <w:p w14:paraId="3B825EFA" w14:textId="77777777" w:rsidR="00E1550F" w:rsidRPr="00E1550F" w:rsidRDefault="00E1550F" w:rsidP="00E1550F">
            <w:pPr>
              <w:jc w:val="center"/>
              <w:cnfStyle w:val="000000000000" w:firstRow="0" w:lastRow="0" w:firstColumn="0" w:lastColumn="0" w:oddVBand="0" w:evenVBand="0" w:oddHBand="0" w:evenHBand="0" w:firstRowFirstColumn="0" w:firstRowLastColumn="0" w:lastRowFirstColumn="0" w:lastRowLastColumn="0"/>
              <w:rPr>
                <w:lang w:eastAsia="en-GB"/>
              </w:rPr>
            </w:pPr>
            <w:r w:rsidRPr="00E1550F">
              <w:rPr>
                <w:lang w:eastAsia="en-GB"/>
              </w:rPr>
              <w:t>−1,000</w:t>
            </w:r>
          </w:p>
        </w:tc>
      </w:tr>
      <w:tr w:rsidR="00E1550F" w:rsidRPr="00E1550F" w14:paraId="3418F215" w14:textId="77777777" w:rsidTr="00E1550F">
        <w:trPr>
          <w:trHeight w:val="25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FC9DAAA" w14:textId="0449EC5D" w:rsidR="00E1550F" w:rsidRPr="00E1550F" w:rsidRDefault="00E1550F" w:rsidP="00E1550F">
            <w:pPr>
              <w:jc w:val="center"/>
              <w:rPr>
                <w:lang w:eastAsia="en-GB"/>
              </w:rPr>
            </w:pPr>
            <w:r w:rsidRPr="00E1550F">
              <w:rPr>
                <w:lang w:eastAsia="en-GB"/>
              </w:rPr>
              <w:t>1</w:t>
            </w:r>
          </w:p>
        </w:tc>
        <w:tc>
          <w:tcPr>
            <w:tcW w:w="0" w:type="auto"/>
            <w:hideMark/>
          </w:tcPr>
          <w:p w14:paraId="4DD65F75" w14:textId="77777777" w:rsidR="00E1550F" w:rsidRPr="00E1550F" w:rsidRDefault="00E1550F" w:rsidP="00E1550F">
            <w:pPr>
              <w:jc w:val="center"/>
              <w:cnfStyle w:val="000000000000" w:firstRow="0" w:lastRow="0" w:firstColumn="0" w:lastColumn="0" w:oddVBand="0" w:evenVBand="0" w:oddHBand="0" w:evenHBand="0" w:firstRowFirstColumn="0" w:firstRowLastColumn="0" w:lastRowFirstColumn="0" w:lastRowLastColumn="0"/>
              <w:rPr>
                <w:lang w:eastAsia="en-GB"/>
              </w:rPr>
            </w:pPr>
            <w:r w:rsidRPr="00E1550F">
              <w:rPr>
                <w:lang w:eastAsia="en-GB"/>
              </w:rPr>
              <w:t>350</w:t>
            </w:r>
          </w:p>
        </w:tc>
      </w:tr>
      <w:tr w:rsidR="00E1550F" w:rsidRPr="00E1550F" w14:paraId="260BB8CB" w14:textId="77777777" w:rsidTr="00E1550F">
        <w:trPr>
          <w:trHeight w:val="24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0BDCA8" w14:textId="6CDAA368" w:rsidR="00E1550F" w:rsidRPr="00E1550F" w:rsidRDefault="00E1550F" w:rsidP="00E1550F">
            <w:pPr>
              <w:jc w:val="center"/>
              <w:rPr>
                <w:lang w:eastAsia="en-GB"/>
              </w:rPr>
            </w:pPr>
            <w:r w:rsidRPr="00E1550F">
              <w:rPr>
                <w:lang w:eastAsia="en-GB"/>
              </w:rPr>
              <w:t>2</w:t>
            </w:r>
          </w:p>
        </w:tc>
        <w:tc>
          <w:tcPr>
            <w:tcW w:w="0" w:type="auto"/>
            <w:hideMark/>
          </w:tcPr>
          <w:p w14:paraId="2E1CE862" w14:textId="77777777" w:rsidR="00E1550F" w:rsidRPr="00E1550F" w:rsidRDefault="00E1550F" w:rsidP="00E1550F">
            <w:pPr>
              <w:jc w:val="center"/>
              <w:cnfStyle w:val="000000000000" w:firstRow="0" w:lastRow="0" w:firstColumn="0" w:lastColumn="0" w:oddVBand="0" w:evenVBand="0" w:oddHBand="0" w:evenHBand="0" w:firstRowFirstColumn="0" w:firstRowLastColumn="0" w:lastRowFirstColumn="0" w:lastRowLastColumn="0"/>
              <w:rPr>
                <w:lang w:eastAsia="en-GB"/>
              </w:rPr>
            </w:pPr>
            <w:r w:rsidRPr="00E1550F">
              <w:rPr>
                <w:lang w:eastAsia="en-GB"/>
              </w:rPr>
              <w:t>387.5</w:t>
            </w:r>
          </w:p>
        </w:tc>
      </w:tr>
      <w:tr w:rsidR="00E1550F" w:rsidRPr="00E1550F" w14:paraId="7F188818" w14:textId="77777777" w:rsidTr="00E1550F">
        <w:trPr>
          <w:trHeight w:val="5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BCF846" w14:textId="1ABBBF33" w:rsidR="00E1550F" w:rsidRPr="00E1550F" w:rsidRDefault="00E1550F" w:rsidP="00E1550F">
            <w:pPr>
              <w:jc w:val="center"/>
              <w:rPr>
                <w:lang w:eastAsia="en-GB"/>
              </w:rPr>
            </w:pPr>
            <w:r w:rsidRPr="00E1550F">
              <w:rPr>
                <w:lang w:eastAsia="en-GB"/>
              </w:rPr>
              <w:t>3</w:t>
            </w:r>
          </w:p>
        </w:tc>
        <w:tc>
          <w:tcPr>
            <w:tcW w:w="0" w:type="auto"/>
            <w:hideMark/>
          </w:tcPr>
          <w:p w14:paraId="2E8D5592" w14:textId="77777777" w:rsidR="00E1550F" w:rsidRPr="00E1550F" w:rsidRDefault="00E1550F" w:rsidP="00E1550F">
            <w:pPr>
              <w:jc w:val="center"/>
              <w:cnfStyle w:val="000000000000" w:firstRow="0" w:lastRow="0" w:firstColumn="0" w:lastColumn="0" w:oddVBand="0" w:evenVBand="0" w:oddHBand="0" w:evenHBand="0" w:firstRowFirstColumn="0" w:firstRowLastColumn="0" w:lastRowFirstColumn="0" w:lastRowLastColumn="0"/>
              <w:rPr>
                <w:lang w:eastAsia="en-GB"/>
              </w:rPr>
            </w:pPr>
            <w:r w:rsidRPr="00E1550F">
              <w:rPr>
                <w:lang w:eastAsia="en-GB"/>
              </w:rPr>
              <w:t>590</w:t>
            </w:r>
          </w:p>
        </w:tc>
      </w:tr>
      <w:tr w:rsidR="00E1550F" w:rsidRPr="00E1550F" w14:paraId="2B361948" w14:textId="77777777" w:rsidTr="00E1550F">
        <w:trPr>
          <w:trHeight w:val="25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B29FA8D" w14:textId="2FA2C917" w:rsidR="00E1550F" w:rsidRPr="00E1550F" w:rsidRDefault="00E1550F" w:rsidP="00E1550F">
            <w:pPr>
              <w:jc w:val="center"/>
              <w:rPr>
                <w:lang w:eastAsia="en-GB"/>
              </w:rPr>
            </w:pPr>
            <w:r w:rsidRPr="00E1550F">
              <w:rPr>
                <w:lang w:eastAsia="en-GB"/>
              </w:rPr>
              <w:t>4</w:t>
            </w:r>
          </w:p>
        </w:tc>
        <w:tc>
          <w:tcPr>
            <w:tcW w:w="0" w:type="auto"/>
            <w:hideMark/>
          </w:tcPr>
          <w:p w14:paraId="447DDA8D" w14:textId="77777777" w:rsidR="00E1550F" w:rsidRPr="00E1550F" w:rsidRDefault="00E1550F" w:rsidP="00E1550F">
            <w:pPr>
              <w:jc w:val="center"/>
              <w:cnfStyle w:val="000000000000" w:firstRow="0" w:lastRow="0" w:firstColumn="0" w:lastColumn="0" w:oddVBand="0" w:evenVBand="0" w:oddHBand="0" w:evenHBand="0" w:firstRowFirstColumn="0" w:firstRowLastColumn="0" w:lastRowFirstColumn="0" w:lastRowLastColumn="0"/>
              <w:rPr>
                <w:lang w:eastAsia="en-GB"/>
              </w:rPr>
            </w:pPr>
            <w:r w:rsidRPr="00E1550F">
              <w:rPr>
                <w:lang w:eastAsia="en-GB"/>
              </w:rPr>
              <w:t>785</w:t>
            </w:r>
          </w:p>
        </w:tc>
      </w:tr>
    </w:tbl>
    <w:p w14:paraId="63CE26B0" w14:textId="3CEF7A6B" w:rsidR="00E1550F" w:rsidRPr="003D76DA" w:rsidRDefault="00E1550F" w:rsidP="00E1550F">
      <w:pPr>
        <w:rPr>
          <w:b/>
          <w:bCs/>
        </w:rPr>
      </w:pPr>
      <w:r w:rsidRPr="003D76DA">
        <w:rPr>
          <w:b/>
          <w:bCs/>
        </w:rPr>
        <w:t>Calculate NPV at two discount rates:</w:t>
      </w:r>
    </w:p>
    <w:p w14:paraId="5CC80623" w14:textId="0E804CBE" w:rsidR="00E1550F" w:rsidRDefault="00E1550F" w:rsidP="00E1550F">
      <w:pPr>
        <w:rPr>
          <w:rStyle w:val="Strong"/>
        </w:rPr>
      </w:pPr>
      <w:r>
        <w:rPr>
          <w:rFonts w:hAnsi="Symbol"/>
        </w:rPr>
        <w:t></w:t>
      </w:r>
      <w:r>
        <w:t xml:space="preserve"> At</w:t>
      </w:r>
      <w:r>
        <w:rPr>
          <w:rStyle w:val="Strong"/>
        </w:rPr>
        <w:t xml:space="preserve"> 30%:</w:t>
      </w:r>
    </w:p>
    <w:p w14:paraId="33B1507E" w14:textId="703EEC52" w:rsidR="00E1550F" w:rsidRDefault="00E1550F" w:rsidP="00E1550F">
      <w:r>
        <w:t>NPV = (350 × 0.7692) + (387.5 × 0.5914) + (590 × 0.4545) + (785 × 0.3490)</w:t>
      </w:r>
      <w:r>
        <w:br/>
        <w:t>NPV   = 41.9 (positive)</w:t>
      </w:r>
    </w:p>
    <w:p w14:paraId="3C067BAD" w14:textId="77777777" w:rsidR="00E1550F" w:rsidRDefault="00E1550F" w:rsidP="00E1550F">
      <w:pPr>
        <w:rPr>
          <w:rStyle w:val="Strong"/>
        </w:rPr>
      </w:pPr>
      <w:r>
        <w:rPr>
          <w:rFonts w:hAnsi="Symbol"/>
        </w:rPr>
        <w:t></w:t>
      </w:r>
      <w:r>
        <w:t xml:space="preserve"> At</w:t>
      </w:r>
      <w:r>
        <w:rPr>
          <w:rStyle w:val="Strong"/>
        </w:rPr>
        <w:t xml:space="preserve"> 35%:</w:t>
      </w:r>
    </w:p>
    <w:p w14:paraId="3469AF4A" w14:textId="3DC8A496" w:rsidR="00E1550F" w:rsidRDefault="00E1550F" w:rsidP="00E1550F">
      <w:r>
        <w:t>NPV = (350 × 0.7407) + (387.5 × 0.5480) + (590 × 0.4045) + (785 × 0.3007)</w:t>
      </w:r>
      <w:r>
        <w:br/>
        <w:t>NPV   = −52.0 (negative)</w:t>
      </w:r>
    </w:p>
    <w:p w14:paraId="555EEC4D" w14:textId="77777777" w:rsidR="00E1550F" w:rsidRDefault="00E1550F" w:rsidP="00E1550F"/>
    <w:p w14:paraId="4A38348F" w14:textId="4A5F876F" w:rsidR="00E1550F" w:rsidRPr="006406B2" w:rsidRDefault="00E1550F" w:rsidP="00E1550F">
      <w:pPr>
        <w:rPr>
          <w:b/>
          <w:bCs/>
        </w:rPr>
      </w:pPr>
      <w:r w:rsidRPr="006406B2">
        <w:rPr>
          <w:b/>
          <w:bCs/>
        </w:rPr>
        <w:t>Calculation of IRR</w:t>
      </w:r>
    </w:p>
    <w:p w14:paraId="4DDB801F" w14:textId="3E215730" w:rsidR="00E1550F" w:rsidRDefault="006406B2" w:rsidP="00E1550F">
      <w:r>
        <w:rPr>
          <w:noProof/>
        </w:rPr>
        <w:drawing>
          <wp:inline distT="0" distB="0" distL="0" distR="0" wp14:anchorId="591110FD" wp14:editId="097DE75C">
            <wp:extent cx="5943600" cy="7137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713740"/>
                    </a:xfrm>
                    <a:prstGeom prst="rect">
                      <a:avLst/>
                    </a:prstGeom>
                  </pic:spPr>
                </pic:pic>
              </a:graphicData>
            </a:graphic>
          </wp:inline>
        </w:drawing>
      </w:r>
    </w:p>
    <w:p w14:paraId="201AB112" w14:textId="0523AFDB" w:rsidR="006406B2" w:rsidRDefault="006406B2" w:rsidP="00E1550F">
      <w:r w:rsidRPr="006406B2">
        <w:t>The IRR of the option B is of 32.2% which is quite high as compared to the cost of capital of the company of 6 percent meaning that the investment will lead to high returns</w:t>
      </w:r>
      <w:r w:rsidR="00D0225A">
        <w:t xml:space="preserve"> (</w:t>
      </w:r>
      <w:r w:rsidR="00D0225A" w:rsidRPr="005A7FB1">
        <w:t>Olayinka, 2022)</w:t>
      </w:r>
      <w:r w:rsidRPr="006406B2">
        <w:t>. This implies that the opportunity of Option B is a very appealing one, since the internal rate of return is comfortably higher than the required rate of return. Furthermore, the profitability of this project is also supported by the positive NPV of 30% discount rate</w:t>
      </w:r>
      <w:r w:rsidR="00D0225A">
        <w:t xml:space="preserve"> (</w:t>
      </w:r>
      <w:r w:rsidR="00D0225A" w:rsidRPr="005A7FB1">
        <w:t>Sureka</w:t>
      </w:r>
      <w:r w:rsidR="00D0225A">
        <w:t xml:space="preserve"> et al., 2022)</w:t>
      </w:r>
      <w:r w:rsidRPr="006406B2">
        <w:t>. The result of the use of linear interpolation to estimate IRR is the correct one since it provides a better estimate in the event when the NPV is negative at two discount rates, furthering the validity of the strength of Option B as a viable investment.</w:t>
      </w:r>
    </w:p>
    <w:p w14:paraId="2D229F85" w14:textId="79B0C47D" w:rsidR="006406B2" w:rsidRDefault="006406B2" w:rsidP="003D76DA">
      <w:pPr>
        <w:pStyle w:val="Heading2"/>
      </w:pPr>
      <w:bookmarkStart w:id="38" w:name="_Toc218268969"/>
      <w:bookmarkStart w:id="39" w:name="_Toc218269035"/>
      <w:r w:rsidRPr="006406B2">
        <w:t>4. (c) Interpretation for Management</w:t>
      </w:r>
      <w:bookmarkEnd w:id="38"/>
      <w:bookmarkEnd w:id="39"/>
    </w:p>
    <w:p w14:paraId="0D6EDD09" w14:textId="17F90D1B" w:rsidR="006406B2" w:rsidRPr="003D76DA" w:rsidRDefault="00A32B2C" w:rsidP="003D76DA">
      <w:pPr>
        <w:rPr>
          <w:b/>
          <w:bCs/>
        </w:rPr>
      </w:pPr>
      <w:r w:rsidRPr="003D76DA">
        <w:rPr>
          <w:b/>
          <w:bCs/>
        </w:rPr>
        <w:t>(</w:t>
      </w:r>
      <w:proofErr w:type="spellStart"/>
      <w:r w:rsidRPr="003D76DA">
        <w:rPr>
          <w:b/>
          <w:bCs/>
        </w:rPr>
        <w:t>i</w:t>
      </w:r>
      <w:proofErr w:type="spellEnd"/>
      <w:r w:rsidRPr="003D76DA">
        <w:rPr>
          <w:b/>
          <w:bCs/>
        </w:rPr>
        <w:t>) NPV is Theoretically “Best”</w:t>
      </w:r>
    </w:p>
    <w:p w14:paraId="2DC80841" w14:textId="414D0F21" w:rsidR="00A32B2C" w:rsidRDefault="00A32B2C" w:rsidP="00A32B2C">
      <w:r>
        <w:t>The most popular form of investment appraisal is the Net Present Value (NPV) because this method of evaluating an investment directly relates to wealth maximisation of the shareholders. NPV gives a clear idea of the amount of value that a project will bring in monetary terms by determining the present value of future cash flows and deductions of the initial investment</w:t>
      </w:r>
      <w:r w:rsidR="00D0225A">
        <w:t xml:space="preserve"> (</w:t>
      </w:r>
      <w:r w:rsidR="00D0225A" w:rsidRPr="005A7FB1">
        <w:t>Damodaran, 2024)</w:t>
      </w:r>
      <w:r>
        <w:t>. This is important as any business investment aims at adding value to the company to its shareholders. NPV also considers the time value of money, that is, the future cash flows have less value at the present time because of various reasons such as inflation, opportunity cost, and risk. NPV guarantees that only projects that have a higher rate of returns than the cost of capital are undertaken by discounting cash inflows that are occurring in the future. It renders it a powerful instrument of evaluating the actual economic gain of an investment. There is also the discount rate applied in calculating NPV, which is a risk factor of investments because it is based on the cost of capital. Increased discount implies increased perceived risk and it lowers the present value of future cash flows</w:t>
      </w:r>
      <w:r w:rsidR="00D0225A">
        <w:t xml:space="preserve"> (</w:t>
      </w:r>
      <w:r w:rsidR="00D0225A" w:rsidRPr="005A7FB1">
        <w:t>Basiru</w:t>
      </w:r>
      <w:r w:rsidR="00D0225A">
        <w:t xml:space="preserve"> et al., 2023)</w:t>
      </w:r>
      <w:r>
        <w:t>. Such an in-built system will guarantee that the company will only undertake projects that are within its risk tolerance.</w:t>
      </w:r>
    </w:p>
    <w:p w14:paraId="487892A9" w14:textId="2BEC92CA" w:rsidR="00A32B2C" w:rsidRDefault="00A32B2C" w:rsidP="00A32B2C">
      <w:r>
        <w:lastRenderedPageBreak/>
        <w:t>Lastly, NPV is based on rational corporate finance theory which pays emphasis on value maximisation. It also makes objective financial outcomes the basis of decision making taking into account both profitability and time value of money hence it is the most appropriate one in strategic investment decision making.</w:t>
      </w:r>
    </w:p>
    <w:p w14:paraId="79817CB3" w14:textId="5A88A27C" w:rsidR="00A32B2C" w:rsidRPr="003D76DA" w:rsidRDefault="00A32B2C" w:rsidP="003D76DA">
      <w:pPr>
        <w:rPr>
          <w:b/>
          <w:bCs/>
        </w:rPr>
      </w:pPr>
      <w:r w:rsidRPr="003D76DA">
        <w:rPr>
          <w:b/>
          <w:bCs/>
        </w:rPr>
        <w:t>(ii) Non-Discounting Methods Remain Popular</w:t>
      </w:r>
    </w:p>
    <w:p w14:paraId="15EC95C7" w14:textId="1AD368E0" w:rsidR="00A32B2C" w:rsidRDefault="00A32B2C" w:rsidP="00A32B2C">
      <w:r>
        <w:t>Although NPV is better in theory, non-discounting approaches such as payback period and Accounting Rate of Return (ARR) find favour among managers due to a number of reasons that are practical.</w:t>
      </w:r>
    </w:p>
    <w:p w14:paraId="2AB5B27B" w14:textId="342C3B48" w:rsidR="00A32B2C" w:rsidRDefault="00A32B2C" w:rsidP="00A32B2C">
      <w:r>
        <w:t>To begin with, non-discounting methods have a great advantage of simplicity</w:t>
      </w:r>
      <w:r w:rsidR="00D0225A">
        <w:t xml:space="preserve"> (</w:t>
      </w:r>
      <w:r w:rsidR="00D0225A" w:rsidRPr="005A7FB1">
        <w:t>Bhimani</w:t>
      </w:r>
      <w:r w:rsidR="00D0225A">
        <w:t xml:space="preserve"> et al., 2023)</w:t>
      </w:r>
      <w:r>
        <w:t>. Payback period and ARR are simple and easy to compute and thus available to managers who might not be well trained in finance. They enable decisions to be made in a short time and this is very handy when time is of the essence. Besides, liquidity is a major concern of companies, particularly tight cash flows and this is the focus of the non-discounting methods. One such approach is the payback period method which focuses on the speed at which an investment is able to pay back its starting cost</w:t>
      </w:r>
      <w:r w:rsidR="00D0225A">
        <w:t xml:space="preserve"> (</w:t>
      </w:r>
      <w:r w:rsidR="00D0225A" w:rsidRPr="005A7FB1">
        <w:t>Dai</w:t>
      </w:r>
      <w:r w:rsidR="00D0225A">
        <w:t xml:space="preserve"> et al., 2022)</w:t>
      </w:r>
      <w:r>
        <w:t>. This is essential during periods of financial uncertainty or when a business is required to be certain that it is able to raise sufficient cash to pay its short-term liabilities.</w:t>
      </w:r>
    </w:p>
    <w:p w14:paraId="1C7148A0" w14:textId="5F54F02B" w:rsidR="00A32B2C" w:rsidRDefault="00A32B2C" w:rsidP="00A32B2C">
      <w:r>
        <w:t>Further, such practises are usually pegged on financial goals. Payback and ARR are often utilised by companies as a way of achieving internal performance goals or bonuses. In as much as these methods are not complex and directly related to cash flows, they are less complex to be related to such financial objectives as profitability and return on capital</w:t>
      </w:r>
      <w:r w:rsidR="00D0225A">
        <w:t xml:space="preserve"> (</w:t>
      </w:r>
      <w:r w:rsidR="00D0225A" w:rsidRPr="005A7FB1">
        <w:t>Ball</w:t>
      </w:r>
      <w:r w:rsidR="00D0225A">
        <w:t xml:space="preserve"> and </w:t>
      </w:r>
      <w:r w:rsidR="00D0225A" w:rsidRPr="005A7FB1">
        <w:t>Nikolaev, 2022)</w:t>
      </w:r>
      <w:r>
        <w:t>. Finally, non-discounting approaches are more favourable in unpredictable settings in the short-term. It is hard to predict long term cash flows particularly in extremely dynamic markets. Non-discounting techniques which emphasise on positive recovery at either the immediate or near future situations are considered to be a safer alternative in the face of uncertainties.</w:t>
      </w:r>
    </w:p>
    <w:p w14:paraId="31410C6A" w14:textId="2489AEB0" w:rsidR="00A32B2C" w:rsidRPr="003D76DA" w:rsidRDefault="00A32B2C" w:rsidP="003D76DA">
      <w:pPr>
        <w:rPr>
          <w:b/>
          <w:bCs/>
        </w:rPr>
      </w:pPr>
      <w:r w:rsidRPr="003D76DA">
        <w:rPr>
          <w:b/>
          <w:bCs/>
        </w:rPr>
        <w:t>(iii) Other Factors Before Investment Approval</w:t>
      </w:r>
    </w:p>
    <w:p w14:paraId="6455F397" w14:textId="632CE95F" w:rsidR="00B67D22" w:rsidRDefault="00B67D22" w:rsidP="00B67D22">
      <w:r>
        <w:t>The management should also put into consideration various non-financial factors before undergoing any kind of investment to make the project successful. Strategic fit is crucial. The management ought to analyse the compatibility of the project and the long-term brand and market positioning of the firm</w:t>
      </w:r>
      <w:r w:rsidR="00D0225A">
        <w:t xml:space="preserve"> (</w:t>
      </w:r>
      <w:r w:rsidR="00D0225A" w:rsidRPr="005A7FB1">
        <w:t>Shou, 2022,)</w:t>
      </w:r>
      <w:r>
        <w:t xml:space="preserve">. Any project can provide good financial incentives but when </w:t>
      </w:r>
      <w:r>
        <w:lastRenderedPageBreak/>
        <w:t>it cannot fit in the values of the company, its customer base or competitive strategy, the project might not provide long term gains to the company. Another consideration is the operational capacity. The management should determine the availability of the necessary logistics, IT infrastructure, and human resources needed to execute the project. Lack of operational capability may result to delays, high costs or even missing targets</w:t>
      </w:r>
      <w:r w:rsidR="00D0225A">
        <w:t xml:space="preserve"> (</w:t>
      </w:r>
      <w:r w:rsidR="00D0225A" w:rsidRPr="005A7FB1">
        <w:t>Hazen</w:t>
      </w:r>
      <w:r w:rsidR="00D0225A">
        <w:t xml:space="preserve"> and </w:t>
      </w:r>
      <w:r w:rsidR="00D0225A" w:rsidRPr="005A7FB1">
        <w:t>Magni, 2021)</w:t>
      </w:r>
      <w:r>
        <w:t>. One more important piece of information to be received is the analysis of scenario sensitivity to be able to realise how the project will handle itself in various circumstances, including poorer sales than anticipated, increased expenditures, or a shift in the market. This assists in the identification of the possible risks as well as equipping the business with situations. In case of online sales projects, compliance with the regulations is even more important. Companies should make sure they do not violate data protection laws, consumer rights, and other industry regulations so as to avoid any problems with the law and undesirable reputation.</w:t>
      </w:r>
    </w:p>
    <w:p w14:paraId="3C803DFE" w14:textId="70936ED4" w:rsidR="00B67D22" w:rsidRDefault="00B67D22" w:rsidP="00B67D22">
      <w:r>
        <w:t>Lastly, the management must establish post completion audit with key performance indicators (KPIs) to monitor the progress of the project</w:t>
      </w:r>
      <w:r w:rsidR="00D0225A">
        <w:t xml:space="preserve"> (</w:t>
      </w:r>
      <w:r w:rsidR="00D0225A" w:rsidRPr="005A7FB1">
        <w:t>Zhang</w:t>
      </w:r>
      <w:r w:rsidR="00D0225A">
        <w:t xml:space="preserve"> et al., 2022)</w:t>
      </w:r>
      <w:r>
        <w:t>. This will enable the business to track the progress of the investment and do corrections where it is required so that the project will yield the desired returns in the long run.</w:t>
      </w:r>
    </w:p>
    <w:p w14:paraId="0FB7C479" w14:textId="740FE1DD" w:rsidR="00A32B2C" w:rsidRDefault="00B67D22" w:rsidP="003D76DA">
      <w:pPr>
        <w:pStyle w:val="Heading2"/>
      </w:pPr>
      <w:bookmarkStart w:id="40" w:name="_Toc218268970"/>
      <w:bookmarkStart w:id="41" w:name="_Toc218269036"/>
      <w:r w:rsidRPr="00B67D22">
        <w:t>5. (d) Capital Rationing: Optimal Investment Policy</w:t>
      </w:r>
      <w:bookmarkEnd w:id="40"/>
      <w:bookmarkEnd w:id="41"/>
    </w:p>
    <w:p w14:paraId="2058D114" w14:textId="4692CD97" w:rsidR="00B67D22" w:rsidRDefault="00B67D22" w:rsidP="00E1550F">
      <w:r w:rsidRPr="00B67D22">
        <w:t xml:space="preserve">The available budget is </w:t>
      </w:r>
      <w:r>
        <w:t>£</w:t>
      </w:r>
      <w:r w:rsidRPr="00B67D22">
        <w:t>2,500,000</w:t>
      </w:r>
      <w:r>
        <w:t xml:space="preserve"> </w:t>
      </w:r>
      <w:r w:rsidRPr="00B67D22">
        <w:t>and the proportion of the allocation is based on profitability index (PI), which is computed as follows:</w:t>
      </w:r>
    </w:p>
    <w:p w14:paraId="08E5F4BF" w14:textId="65DAA4A7" w:rsidR="00B67D22" w:rsidRDefault="00B67D22" w:rsidP="00B67D22">
      <w:pPr>
        <w:jc w:val="center"/>
      </w:pPr>
      <w:r>
        <w:rPr>
          <w:noProof/>
        </w:rPr>
        <w:drawing>
          <wp:inline distT="0" distB="0" distL="0" distR="0" wp14:anchorId="28BE3FCF" wp14:editId="5079A5CE">
            <wp:extent cx="2501900" cy="969157"/>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511518" cy="972883"/>
                    </a:xfrm>
                    <a:prstGeom prst="rect">
                      <a:avLst/>
                    </a:prstGeom>
                  </pic:spPr>
                </pic:pic>
              </a:graphicData>
            </a:graphic>
          </wp:inline>
        </w:drawing>
      </w:r>
    </w:p>
    <w:p w14:paraId="0FEB8C30" w14:textId="42760E80" w:rsidR="00B67D22" w:rsidRPr="00764765" w:rsidRDefault="00764765" w:rsidP="00B67D22">
      <w:pPr>
        <w:rPr>
          <w:b/>
          <w:bCs/>
        </w:rPr>
      </w:pPr>
      <w:r w:rsidRPr="00764765">
        <w:rPr>
          <w:b/>
          <w:bCs/>
        </w:rPr>
        <w:t>Profitability Index (PI) and Ranking:</w:t>
      </w:r>
    </w:p>
    <w:tbl>
      <w:tblPr>
        <w:tblStyle w:val="GridTable1Light-Accent5"/>
        <w:tblW w:w="9498" w:type="dxa"/>
        <w:tblLook w:val="04A0" w:firstRow="1" w:lastRow="0" w:firstColumn="1" w:lastColumn="0" w:noHBand="0" w:noVBand="1"/>
      </w:tblPr>
      <w:tblGrid>
        <w:gridCol w:w="926"/>
        <w:gridCol w:w="3517"/>
        <w:gridCol w:w="2027"/>
        <w:gridCol w:w="2274"/>
        <w:gridCol w:w="754"/>
      </w:tblGrid>
      <w:tr w:rsidR="00764765" w:rsidRPr="00764765" w14:paraId="56DEAD9E" w14:textId="77777777" w:rsidTr="00764765">
        <w:trPr>
          <w:cnfStyle w:val="100000000000" w:firstRow="1" w:lastRow="0" w:firstColumn="0" w:lastColumn="0" w:oddVBand="0" w:evenVBand="0" w:oddHBand="0" w:evenHBand="0" w:firstRowFirstColumn="0" w:firstRowLastColumn="0" w:lastRowFirstColumn="0" w:lastRowLastColumn="0"/>
          <w:trHeight w:val="871"/>
        </w:trPr>
        <w:tc>
          <w:tcPr>
            <w:cnfStyle w:val="001000000000" w:firstRow="0" w:lastRow="0" w:firstColumn="1" w:lastColumn="0" w:oddVBand="0" w:evenVBand="0" w:oddHBand="0" w:evenHBand="0" w:firstRowFirstColumn="0" w:firstRowLastColumn="0" w:lastRowFirstColumn="0" w:lastRowLastColumn="0"/>
            <w:tcW w:w="0" w:type="auto"/>
            <w:hideMark/>
          </w:tcPr>
          <w:p w14:paraId="5B5E3B27" w14:textId="77777777" w:rsidR="00764765" w:rsidRPr="00764765" w:rsidRDefault="00764765" w:rsidP="00764765">
            <w:pPr>
              <w:rPr>
                <w:lang w:eastAsia="en-GB"/>
              </w:rPr>
            </w:pPr>
            <w:r w:rsidRPr="00764765">
              <w:rPr>
                <w:lang w:eastAsia="en-GB"/>
              </w:rPr>
              <w:t>Option</w:t>
            </w:r>
          </w:p>
        </w:tc>
        <w:tc>
          <w:tcPr>
            <w:tcW w:w="0" w:type="auto"/>
            <w:hideMark/>
          </w:tcPr>
          <w:p w14:paraId="49101D69" w14:textId="77777777" w:rsidR="00764765" w:rsidRPr="00764765" w:rsidRDefault="00764765" w:rsidP="00764765">
            <w:pPr>
              <w:cnfStyle w:val="100000000000" w:firstRow="1" w:lastRow="0" w:firstColumn="0" w:lastColumn="0" w:oddVBand="0" w:evenVBand="0" w:oddHBand="0" w:evenHBand="0" w:firstRowFirstColumn="0" w:firstRowLastColumn="0" w:lastRowFirstColumn="0" w:lastRowLastColumn="0"/>
              <w:rPr>
                <w:lang w:eastAsia="en-GB"/>
              </w:rPr>
            </w:pPr>
            <w:r w:rsidRPr="00764765">
              <w:rPr>
                <w:lang w:eastAsia="en-GB"/>
              </w:rPr>
              <w:t>Present Value of Cash Inflows (£’000)</w:t>
            </w:r>
          </w:p>
        </w:tc>
        <w:tc>
          <w:tcPr>
            <w:tcW w:w="0" w:type="auto"/>
            <w:hideMark/>
          </w:tcPr>
          <w:p w14:paraId="0A45219C" w14:textId="77777777" w:rsidR="00764765" w:rsidRPr="00764765" w:rsidRDefault="00764765" w:rsidP="00764765">
            <w:pPr>
              <w:cnfStyle w:val="100000000000" w:firstRow="1" w:lastRow="0" w:firstColumn="0" w:lastColumn="0" w:oddVBand="0" w:evenVBand="0" w:oddHBand="0" w:evenHBand="0" w:firstRowFirstColumn="0" w:firstRowLastColumn="0" w:lastRowFirstColumn="0" w:lastRowLastColumn="0"/>
              <w:rPr>
                <w:lang w:eastAsia="en-GB"/>
              </w:rPr>
            </w:pPr>
            <w:r w:rsidRPr="00764765">
              <w:rPr>
                <w:lang w:eastAsia="en-GB"/>
              </w:rPr>
              <w:t>Initial Outlay (£’000)</w:t>
            </w:r>
          </w:p>
        </w:tc>
        <w:tc>
          <w:tcPr>
            <w:tcW w:w="0" w:type="auto"/>
            <w:hideMark/>
          </w:tcPr>
          <w:p w14:paraId="192716B2" w14:textId="77777777" w:rsidR="00764765" w:rsidRPr="00764765" w:rsidRDefault="00764765" w:rsidP="00764765">
            <w:pPr>
              <w:cnfStyle w:val="100000000000" w:firstRow="1" w:lastRow="0" w:firstColumn="0" w:lastColumn="0" w:oddVBand="0" w:evenVBand="0" w:oddHBand="0" w:evenHBand="0" w:firstRowFirstColumn="0" w:firstRowLastColumn="0" w:lastRowFirstColumn="0" w:lastRowLastColumn="0"/>
              <w:rPr>
                <w:lang w:eastAsia="en-GB"/>
              </w:rPr>
            </w:pPr>
            <w:r w:rsidRPr="00764765">
              <w:rPr>
                <w:lang w:eastAsia="en-GB"/>
              </w:rPr>
              <w:t>Profitability Index (PI)</w:t>
            </w:r>
          </w:p>
        </w:tc>
        <w:tc>
          <w:tcPr>
            <w:tcW w:w="0" w:type="auto"/>
            <w:hideMark/>
          </w:tcPr>
          <w:p w14:paraId="0B9E66E9" w14:textId="77777777" w:rsidR="00764765" w:rsidRPr="00764765" w:rsidRDefault="00764765" w:rsidP="00764765">
            <w:pPr>
              <w:cnfStyle w:val="100000000000" w:firstRow="1" w:lastRow="0" w:firstColumn="0" w:lastColumn="0" w:oddVBand="0" w:evenVBand="0" w:oddHBand="0" w:evenHBand="0" w:firstRowFirstColumn="0" w:firstRowLastColumn="0" w:lastRowFirstColumn="0" w:lastRowLastColumn="0"/>
              <w:rPr>
                <w:lang w:eastAsia="en-GB"/>
              </w:rPr>
            </w:pPr>
            <w:r w:rsidRPr="00764765">
              <w:rPr>
                <w:lang w:eastAsia="en-GB"/>
              </w:rPr>
              <w:t>Rank</w:t>
            </w:r>
          </w:p>
        </w:tc>
      </w:tr>
      <w:tr w:rsidR="00764765" w:rsidRPr="00764765" w14:paraId="51250A5C" w14:textId="77777777" w:rsidTr="00764765">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37B77059" w14:textId="77777777" w:rsidR="00764765" w:rsidRPr="00764765" w:rsidRDefault="00764765" w:rsidP="00764765">
            <w:pPr>
              <w:rPr>
                <w:lang w:eastAsia="en-GB"/>
              </w:rPr>
            </w:pPr>
            <w:r w:rsidRPr="00764765">
              <w:rPr>
                <w:lang w:eastAsia="en-GB"/>
              </w:rPr>
              <w:t>A</w:t>
            </w:r>
          </w:p>
        </w:tc>
        <w:tc>
          <w:tcPr>
            <w:tcW w:w="0" w:type="auto"/>
            <w:hideMark/>
          </w:tcPr>
          <w:p w14:paraId="135DDA08"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1,243.2</w:t>
            </w:r>
          </w:p>
        </w:tc>
        <w:tc>
          <w:tcPr>
            <w:tcW w:w="0" w:type="auto"/>
            <w:hideMark/>
          </w:tcPr>
          <w:p w14:paraId="12821444"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600</w:t>
            </w:r>
          </w:p>
        </w:tc>
        <w:tc>
          <w:tcPr>
            <w:tcW w:w="0" w:type="auto"/>
            <w:hideMark/>
          </w:tcPr>
          <w:p w14:paraId="23502063"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2.072</w:t>
            </w:r>
          </w:p>
        </w:tc>
        <w:tc>
          <w:tcPr>
            <w:tcW w:w="0" w:type="auto"/>
            <w:hideMark/>
          </w:tcPr>
          <w:p w14:paraId="53F74BD5"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1</w:t>
            </w:r>
          </w:p>
        </w:tc>
      </w:tr>
      <w:tr w:rsidR="00764765" w:rsidRPr="00764765" w14:paraId="462B3208" w14:textId="77777777" w:rsidTr="00764765">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150B5F6A" w14:textId="77777777" w:rsidR="00764765" w:rsidRPr="00764765" w:rsidRDefault="00764765" w:rsidP="00764765">
            <w:pPr>
              <w:rPr>
                <w:lang w:eastAsia="en-GB"/>
              </w:rPr>
            </w:pPr>
            <w:r w:rsidRPr="00764765">
              <w:rPr>
                <w:lang w:eastAsia="en-GB"/>
              </w:rPr>
              <w:t>B</w:t>
            </w:r>
          </w:p>
        </w:tc>
        <w:tc>
          <w:tcPr>
            <w:tcW w:w="0" w:type="auto"/>
            <w:hideMark/>
          </w:tcPr>
          <w:p w14:paraId="70581FE0"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1,792.2</w:t>
            </w:r>
          </w:p>
        </w:tc>
        <w:tc>
          <w:tcPr>
            <w:tcW w:w="0" w:type="auto"/>
            <w:hideMark/>
          </w:tcPr>
          <w:p w14:paraId="7FCBC151"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1,000</w:t>
            </w:r>
          </w:p>
        </w:tc>
        <w:tc>
          <w:tcPr>
            <w:tcW w:w="0" w:type="auto"/>
            <w:hideMark/>
          </w:tcPr>
          <w:p w14:paraId="46C444D3"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1.792</w:t>
            </w:r>
          </w:p>
        </w:tc>
        <w:tc>
          <w:tcPr>
            <w:tcW w:w="0" w:type="auto"/>
            <w:hideMark/>
          </w:tcPr>
          <w:p w14:paraId="72912AFD"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2</w:t>
            </w:r>
          </w:p>
        </w:tc>
      </w:tr>
      <w:tr w:rsidR="00764765" w:rsidRPr="00764765" w14:paraId="6B97B586" w14:textId="77777777" w:rsidTr="00764765">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022B3C25" w14:textId="77777777" w:rsidR="00764765" w:rsidRPr="00764765" w:rsidRDefault="00764765" w:rsidP="00764765">
            <w:pPr>
              <w:rPr>
                <w:lang w:eastAsia="en-GB"/>
              </w:rPr>
            </w:pPr>
            <w:r w:rsidRPr="00764765">
              <w:rPr>
                <w:lang w:eastAsia="en-GB"/>
              </w:rPr>
              <w:lastRenderedPageBreak/>
              <w:t>C</w:t>
            </w:r>
          </w:p>
        </w:tc>
        <w:tc>
          <w:tcPr>
            <w:tcW w:w="0" w:type="auto"/>
            <w:hideMark/>
          </w:tcPr>
          <w:p w14:paraId="4FAF05BF"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2,342.5</w:t>
            </w:r>
          </w:p>
        </w:tc>
        <w:tc>
          <w:tcPr>
            <w:tcW w:w="0" w:type="auto"/>
            <w:hideMark/>
          </w:tcPr>
          <w:p w14:paraId="087C53F9"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1,600</w:t>
            </w:r>
          </w:p>
        </w:tc>
        <w:tc>
          <w:tcPr>
            <w:tcW w:w="0" w:type="auto"/>
            <w:hideMark/>
          </w:tcPr>
          <w:p w14:paraId="24AE2AEF"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1.464</w:t>
            </w:r>
          </w:p>
        </w:tc>
        <w:tc>
          <w:tcPr>
            <w:tcW w:w="0" w:type="auto"/>
            <w:hideMark/>
          </w:tcPr>
          <w:p w14:paraId="48B1E47F" w14:textId="77777777" w:rsidR="00764765" w:rsidRPr="00764765" w:rsidRDefault="00764765" w:rsidP="00764765">
            <w:pPr>
              <w:cnfStyle w:val="000000000000" w:firstRow="0" w:lastRow="0" w:firstColumn="0" w:lastColumn="0" w:oddVBand="0" w:evenVBand="0" w:oddHBand="0" w:evenHBand="0" w:firstRowFirstColumn="0" w:firstRowLastColumn="0" w:lastRowFirstColumn="0" w:lastRowLastColumn="0"/>
              <w:rPr>
                <w:lang w:eastAsia="en-GB"/>
              </w:rPr>
            </w:pPr>
            <w:r w:rsidRPr="00764765">
              <w:rPr>
                <w:lang w:eastAsia="en-GB"/>
              </w:rPr>
              <w:t>3</w:t>
            </w:r>
          </w:p>
        </w:tc>
      </w:tr>
    </w:tbl>
    <w:p w14:paraId="181E121C" w14:textId="2D58A8C0" w:rsidR="006E42AD" w:rsidRDefault="006E42AD" w:rsidP="00B67D22">
      <w:r w:rsidRPr="006E42AD">
        <w:t>The most appealing investment is option A because it is the most PI, which implies the highest value generated per pound invested.</w:t>
      </w:r>
    </w:p>
    <w:p w14:paraId="7D3A5905" w14:textId="56691381" w:rsidR="00764765" w:rsidRPr="006E42AD" w:rsidRDefault="00764765" w:rsidP="00B67D22">
      <w:pPr>
        <w:rPr>
          <w:b/>
          <w:bCs/>
        </w:rPr>
      </w:pPr>
      <w:r w:rsidRPr="006E42AD">
        <w:rPr>
          <w:b/>
          <w:bCs/>
        </w:rPr>
        <w:t>Optimal Investment Allocation:</w:t>
      </w:r>
    </w:p>
    <w:p w14:paraId="0D2C1576" w14:textId="300DA761" w:rsidR="00764765" w:rsidRDefault="00764765" w:rsidP="00764765">
      <w:pPr>
        <w:pStyle w:val="ListParagraph"/>
        <w:numPr>
          <w:ilvl w:val="0"/>
          <w:numId w:val="8"/>
        </w:numPr>
      </w:pPr>
      <w:r>
        <w:t>Fund Option A fully (initial investment of £600,000)</w:t>
      </w:r>
    </w:p>
    <w:p w14:paraId="6F4019F8" w14:textId="15CE1FCA" w:rsidR="00764765" w:rsidRDefault="00764765" w:rsidP="00764765">
      <w:pPr>
        <w:pStyle w:val="ListParagraph"/>
        <w:numPr>
          <w:ilvl w:val="0"/>
          <w:numId w:val="8"/>
        </w:numPr>
      </w:pPr>
      <w:r>
        <w:t>Fully finance Fund B (initial investment of £1,000,000).</w:t>
      </w:r>
    </w:p>
    <w:p w14:paraId="3F480FF3" w14:textId="4A14F980" w:rsidR="00764765" w:rsidRDefault="00764765" w:rsidP="00764765">
      <w:pPr>
        <w:pStyle w:val="ListParagraph"/>
        <w:numPr>
          <w:ilvl w:val="0"/>
          <w:numId w:val="8"/>
        </w:numPr>
      </w:pPr>
      <w:r>
        <w:t>Remaining budget = £2,500,000</w:t>
      </w:r>
      <w:r w:rsidR="006E42AD">
        <w:t xml:space="preserve"> −</w:t>
      </w:r>
      <w:r>
        <w:t xml:space="preserve"> £1,600,000 = £900,000</w:t>
      </w:r>
    </w:p>
    <w:p w14:paraId="64869B37" w14:textId="1EE2A10E" w:rsidR="00764765" w:rsidRDefault="00764765" w:rsidP="00764765">
      <w:pPr>
        <w:pStyle w:val="ListParagraph"/>
        <w:numPr>
          <w:ilvl w:val="0"/>
          <w:numId w:val="8"/>
        </w:numPr>
      </w:pPr>
      <w:r>
        <w:t xml:space="preserve">Allocate 56.25% of Option C (0.5625 x </w:t>
      </w:r>
      <w:r w:rsidR="006E42AD">
        <w:t>£</w:t>
      </w:r>
      <w:r>
        <w:t xml:space="preserve">1,600,000) = </w:t>
      </w:r>
      <w:r w:rsidR="006E42AD">
        <w:t>£</w:t>
      </w:r>
      <w:r>
        <w:t>900,000</w:t>
      </w:r>
    </w:p>
    <w:p w14:paraId="65171756" w14:textId="5DAD82FA" w:rsidR="00764765" w:rsidRPr="006E42AD" w:rsidRDefault="00764765" w:rsidP="00764765">
      <w:pPr>
        <w:rPr>
          <w:b/>
          <w:bCs/>
        </w:rPr>
      </w:pPr>
      <w:r w:rsidRPr="006E42AD">
        <w:rPr>
          <w:b/>
          <w:bCs/>
        </w:rPr>
        <w:t>Total NPV under optimal policy:</w:t>
      </w:r>
    </w:p>
    <w:p w14:paraId="73E19114" w14:textId="7E6D6FDA" w:rsidR="00764765" w:rsidRDefault="00764765" w:rsidP="00764765">
      <w:r>
        <w:rPr>
          <w:noProof/>
        </w:rPr>
        <w:drawing>
          <wp:inline distT="0" distB="0" distL="0" distR="0" wp14:anchorId="38C281D1" wp14:editId="5ED7232D">
            <wp:extent cx="5943600" cy="43434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434340"/>
                    </a:xfrm>
                    <a:prstGeom prst="rect">
                      <a:avLst/>
                    </a:prstGeom>
                  </pic:spPr>
                </pic:pic>
              </a:graphicData>
            </a:graphic>
          </wp:inline>
        </w:drawing>
      </w:r>
    </w:p>
    <w:p w14:paraId="4768FDB9" w14:textId="3AC2FA14" w:rsidR="00764765" w:rsidRDefault="00764765" w:rsidP="00764765">
      <w:r w:rsidRPr="006E42AD">
        <w:rPr>
          <w:b/>
          <w:bCs/>
          <w:i/>
          <w:iCs/>
        </w:rPr>
        <w:t xml:space="preserve"> </w:t>
      </w:r>
      <w:r w:rsidR="006E42AD" w:rsidRPr="006E42AD">
        <w:rPr>
          <w:b/>
          <w:bCs/>
          <w:i/>
          <w:iCs/>
        </w:rPr>
        <w:t>Optimal Policy:</w:t>
      </w:r>
      <w:r w:rsidR="006E42AD">
        <w:t xml:space="preserve"> </w:t>
      </w:r>
      <w:r w:rsidR="006E42AD" w:rsidRPr="006E42AD">
        <w:t>Fund Option A 100</w:t>
      </w:r>
      <w:r w:rsidR="006E42AD">
        <w:t>%</w:t>
      </w:r>
      <w:r w:rsidR="006E42AD" w:rsidRPr="006E42AD">
        <w:t xml:space="preserve">, </w:t>
      </w:r>
      <w:r w:rsidR="006E42AD">
        <w:t xml:space="preserve">Option </w:t>
      </w:r>
      <w:r w:rsidR="006E42AD" w:rsidRPr="006E42AD">
        <w:t>B 100</w:t>
      </w:r>
      <w:r w:rsidR="006E42AD">
        <w:t>%</w:t>
      </w:r>
      <w:r w:rsidR="006E42AD" w:rsidRPr="006E42AD">
        <w:t xml:space="preserve">, </w:t>
      </w:r>
      <w:r w:rsidR="006E42AD">
        <w:t xml:space="preserve">Option </w:t>
      </w:r>
      <w:r w:rsidR="006E42AD" w:rsidRPr="006E42AD">
        <w:t>C 56.25</w:t>
      </w:r>
      <w:r w:rsidR="006E42AD">
        <w:t>%</w:t>
      </w:r>
      <w:r w:rsidR="006E42AD" w:rsidRPr="006E42AD">
        <w:t xml:space="preserve"> - Total NPV </w:t>
      </w:r>
      <w:r w:rsidR="006E42AD">
        <w:t>= £</w:t>
      </w:r>
      <w:r w:rsidR="006E42AD" w:rsidRPr="006E42AD">
        <w:t>1,853,000</w:t>
      </w:r>
    </w:p>
    <w:p w14:paraId="65009F30" w14:textId="305BDBE7" w:rsidR="006E42AD" w:rsidRDefault="006E42AD" w:rsidP="003D76DA">
      <w:pPr>
        <w:pStyle w:val="Heading2"/>
      </w:pPr>
      <w:bookmarkStart w:id="42" w:name="_Toc218268971"/>
      <w:bookmarkStart w:id="43" w:name="_Toc218269037"/>
      <w:r w:rsidRPr="006E42AD">
        <w:t>6. Conclusion</w:t>
      </w:r>
      <w:bookmarkEnd w:id="42"/>
      <w:bookmarkEnd w:id="43"/>
    </w:p>
    <w:p w14:paraId="4F0FEE41" w14:textId="1780EBED" w:rsidR="006E42AD" w:rsidRDefault="006E42AD" w:rsidP="006E42AD">
      <w:r w:rsidRPr="006E42AD">
        <w:t>Financing Options</w:t>
      </w:r>
    </w:p>
    <w:p w14:paraId="29A6AD67" w14:textId="20BD1D47" w:rsidR="00036385" w:rsidRPr="00036385" w:rsidRDefault="00036385" w:rsidP="00036385">
      <w:pPr>
        <w:rPr>
          <w:b/>
          <w:bCs/>
        </w:rPr>
      </w:pPr>
      <w:r w:rsidRPr="00036385">
        <w:rPr>
          <w:b/>
          <w:bCs/>
        </w:rPr>
        <w:t>Retained Earnings / Internal Cash</w:t>
      </w:r>
    </w:p>
    <w:p w14:paraId="7B76B365" w14:textId="28101CE5" w:rsidR="00036385" w:rsidRDefault="00036385" w:rsidP="00036385">
      <w:pPr>
        <w:pStyle w:val="ListParagraph"/>
        <w:numPr>
          <w:ilvl w:val="0"/>
          <w:numId w:val="9"/>
        </w:numPr>
      </w:pPr>
      <w:r w:rsidRPr="00036385">
        <w:rPr>
          <w:b/>
          <w:bCs/>
        </w:rPr>
        <w:t>Pros:</w:t>
      </w:r>
      <w:r>
        <w:t xml:space="preserve"> The most cost-effective method to use is the retained earnings or the internal cash, which eliminates the interest payments and does not dilute the shareholders</w:t>
      </w:r>
      <w:r w:rsidR="009D02B9">
        <w:t xml:space="preserve"> (</w:t>
      </w:r>
      <w:r w:rsidR="009D02B9" w:rsidRPr="005A7FB1">
        <w:t>Coelho</w:t>
      </w:r>
      <w:r w:rsidR="009D02B9">
        <w:t xml:space="preserve"> et al., 2023)</w:t>
      </w:r>
      <w:r>
        <w:t>. It enables quick implementation of investments.</w:t>
      </w:r>
    </w:p>
    <w:p w14:paraId="416840F4" w14:textId="7B307BD6" w:rsidR="00036385" w:rsidRDefault="00036385" w:rsidP="00036385">
      <w:pPr>
        <w:pStyle w:val="ListParagraph"/>
        <w:numPr>
          <w:ilvl w:val="0"/>
          <w:numId w:val="9"/>
        </w:numPr>
      </w:pPr>
      <w:r w:rsidRPr="00036385">
        <w:rPr>
          <w:b/>
          <w:bCs/>
        </w:rPr>
        <w:t>Cons:</w:t>
      </w:r>
      <w:r>
        <w:t xml:space="preserve"> This method consumes the cash reserves, making them less liquid. Also, the access to internal funds can restrict the capability of the company to pay dividend or reinvest in other spheres of business.</w:t>
      </w:r>
    </w:p>
    <w:p w14:paraId="7C32AED3" w14:textId="77777777" w:rsidR="00036385" w:rsidRPr="00036385" w:rsidRDefault="00036385" w:rsidP="00036385">
      <w:pPr>
        <w:rPr>
          <w:b/>
          <w:bCs/>
        </w:rPr>
      </w:pPr>
      <w:r w:rsidRPr="00036385">
        <w:rPr>
          <w:b/>
          <w:bCs/>
        </w:rPr>
        <w:t>Bank Debt (Term Loan / Revolving Credit)</w:t>
      </w:r>
    </w:p>
    <w:p w14:paraId="670863C8" w14:textId="6D9E6DB1" w:rsidR="00036385" w:rsidRDefault="00036385" w:rsidP="00036385">
      <w:pPr>
        <w:pStyle w:val="ListParagraph"/>
        <w:numPr>
          <w:ilvl w:val="0"/>
          <w:numId w:val="10"/>
        </w:numPr>
      </w:pPr>
      <w:r w:rsidRPr="00036385">
        <w:rPr>
          <w:b/>
          <w:bCs/>
        </w:rPr>
        <w:t>Pros:</w:t>
      </w:r>
      <w:r>
        <w:t xml:space="preserve"> Bank debt is flexible in capitalising and gives some tax benefits of deducting interest on debt</w:t>
      </w:r>
      <w:r w:rsidR="009D02B9">
        <w:t xml:space="preserve"> (</w:t>
      </w:r>
      <w:r w:rsidR="009D02B9" w:rsidRPr="005A7FB1">
        <w:t>Dahmash</w:t>
      </w:r>
      <w:r w:rsidR="009D02B9">
        <w:t xml:space="preserve"> et al., 2023)</w:t>
      </w:r>
      <w:r>
        <w:t>. It does not water down ownership and the company is left with the ownership.</w:t>
      </w:r>
    </w:p>
    <w:p w14:paraId="4BA5FADB" w14:textId="798B9253" w:rsidR="00036385" w:rsidRDefault="00036385" w:rsidP="00036385">
      <w:pPr>
        <w:pStyle w:val="ListParagraph"/>
        <w:numPr>
          <w:ilvl w:val="0"/>
          <w:numId w:val="10"/>
        </w:numPr>
      </w:pPr>
      <w:r w:rsidRPr="00036385">
        <w:rPr>
          <w:b/>
          <w:bCs/>
        </w:rPr>
        <w:lastRenderedPageBreak/>
        <w:t xml:space="preserve">Cons: </w:t>
      </w:r>
      <w:r>
        <w:t>Debt is associated with some risks such as compliance with covenants, the risks of refinancing and the risk of fluctuating interest rate, which may lead to higher financial costs in the long run.</w:t>
      </w:r>
    </w:p>
    <w:p w14:paraId="39958232" w14:textId="77777777" w:rsidR="00036385" w:rsidRPr="00036385" w:rsidRDefault="00036385" w:rsidP="00036385">
      <w:pPr>
        <w:rPr>
          <w:b/>
          <w:bCs/>
        </w:rPr>
      </w:pPr>
      <w:r w:rsidRPr="00036385">
        <w:rPr>
          <w:b/>
          <w:bCs/>
        </w:rPr>
        <w:t>Leasing / Asset Finance</w:t>
      </w:r>
    </w:p>
    <w:p w14:paraId="087CC8F7" w14:textId="593DC998" w:rsidR="00036385" w:rsidRDefault="00036385" w:rsidP="00036385">
      <w:pPr>
        <w:pStyle w:val="ListParagraph"/>
        <w:numPr>
          <w:ilvl w:val="0"/>
          <w:numId w:val="11"/>
        </w:numPr>
      </w:pPr>
      <w:r w:rsidRPr="00036385">
        <w:rPr>
          <w:b/>
          <w:bCs/>
        </w:rPr>
        <w:t>Pros:</w:t>
      </w:r>
      <w:r>
        <w:t xml:space="preserve">  Leasing will enable the firm to maintain the cash flow yet obtain specific assets. It can be readily acquired, and can be used to fund capital intensive projects without huge initial outlays, unlike unsecured debt.</w:t>
      </w:r>
    </w:p>
    <w:p w14:paraId="60C99096" w14:textId="0C6FCE68" w:rsidR="00036385" w:rsidRDefault="00036385" w:rsidP="00036385">
      <w:pPr>
        <w:pStyle w:val="ListParagraph"/>
        <w:numPr>
          <w:ilvl w:val="0"/>
          <w:numId w:val="11"/>
        </w:numPr>
      </w:pPr>
      <w:r w:rsidRPr="00036385">
        <w:rPr>
          <w:b/>
          <w:bCs/>
        </w:rPr>
        <w:t>Cons:</w:t>
      </w:r>
      <w:r>
        <w:t xml:space="preserve"> Leasing is usually more expensive in long-term costs as opposed to the outright purchases. It is also a great source of long-term financial burden and decreased operation flexibility.</w:t>
      </w:r>
    </w:p>
    <w:p w14:paraId="2FBCAE73" w14:textId="77777777" w:rsidR="00036385" w:rsidRPr="00036385" w:rsidRDefault="00036385" w:rsidP="00036385">
      <w:pPr>
        <w:rPr>
          <w:b/>
          <w:bCs/>
        </w:rPr>
      </w:pPr>
      <w:r w:rsidRPr="00036385">
        <w:rPr>
          <w:b/>
          <w:bCs/>
        </w:rPr>
        <w:t>Equity Financing (New Shares / Investors)</w:t>
      </w:r>
    </w:p>
    <w:p w14:paraId="01D12BDB" w14:textId="14665DF2" w:rsidR="00036385" w:rsidRDefault="00036385" w:rsidP="00036385">
      <w:pPr>
        <w:pStyle w:val="ListParagraph"/>
        <w:numPr>
          <w:ilvl w:val="0"/>
          <w:numId w:val="12"/>
        </w:numPr>
      </w:pPr>
      <w:r w:rsidRPr="00036385">
        <w:rPr>
          <w:b/>
          <w:bCs/>
        </w:rPr>
        <w:t>Pros:</w:t>
      </w:r>
      <w:r>
        <w:t xml:space="preserve"> Equity financing enhances the balance sheet by raising the amount of available capital without the need to pay debt and interest</w:t>
      </w:r>
      <w:r w:rsidR="009D02B9">
        <w:t xml:space="preserve"> (</w:t>
      </w:r>
      <w:r w:rsidR="009D02B9" w:rsidRPr="005A7FB1">
        <w:t>Hasan, 2022)</w:t>
      </w:r>
      <w:r>
        <w:t>. It also offers financial stability in the long term and minimises cash flows pressures.</w:t>
      </w:r>
    </w:p>
    <w:p w14:paraId="2B663DE9" w14:textId="68D7F5CC" w:rsidR="00036385" w:rsidRDefault="00036385" w:rsidP="00036385">
      <w:pPr>
        <w:pStyle w:val="ListParagraph"/>
        <w:numPr>
          <w:ilvl w:val="0"/>
          <w:numId w:val="12"/>
        </w:numPr>
      </w:pPr>
      <w:r w:rsidRPr="00036385">
        <w:rPr>
          <w:b/>
          <w:bCs/>
        </w:rPr>
        <w:t>Cons:</w:t>
      </w:r>
      <w:r>
        <w:t xml:space="preserve"> The issue of new shares water downs ownership and this can impact on control of the company. The procedure is often expensive and time consuming and there are other costs associated with issuing shares, legal and investor relations.</w:t>
      </w:r>
    </w:p>
    <w:p w14:paraId="0C61E312" w14:textId="77777777" w:rsidR="00036385" w:rsidRPr="00036385" w:rsidRDefault="00036385" w:rsidP="00036385">
      <w:pPr>
        <w:rPr>
          <w:b/>
          <w:bCs/>
        </w:rPr>
      </w:pPr>
      <w:r w:rsidRPr="00036385">
        <w:rPr>
          <w:b/>
          <w:bCs/>
        </w:rPr>
        <w:t>Hybrid Financing</w:t>
      </w:r>
    </w:p>
    <w:p w14:paraId="1655106F" w14:textId="681947A6" w:rsidR="00036385" w:rsidRDefault="00036385" w:rsidP="00036385">
      <w:pPr>
        <w:pStyle w:val="ListParagraph"/>
        <w:numPr>
          <w:ilvl w:val="0"/>
          <w:numId w:val="13"/>
        </w:numPr>
      </w:pPr>
      <w:r w:rsidRPr="00036385">
        <w:rPr>
          <w:b/>
          <w:bCs/>
        </w:rPr>
        <w:t xml:space="preserve">Pros: </w:t>
      </w:r>
      <w:r>
        <w:t>A mixed strategy, which will be debt and equity, will enable the company to fill the funding gaps and equal the advantages of both plans. It provides flexibility and has the ability to optimise the cost of capital.</w:t>
      </w:r>
    </w:p>
    <w:p w14:paraId="57EAA892" w14:textId="5ECE0A97" w:rsidR="006E42AD" w:rsidRDefault="00036385" w:rsidP="00036385">
      <w:pPr>
        <w:pStyle w:val="ListParagraph"/>
        <w:numPr>
          <w:ilvl w:val="0"/>
          <w:numId w:val="13"/>
        </w:numPr>
      </w:pPr>
      <w:r w:rsidRPr="00036385">
        <w:rPr>
          <w:b/>
          <w:bCs/>
        </w:rPr>
        <w:t>Cons:</w:t>
      </w:r>
      <w:r>
        <w:t xml:space="preserve"> This alternative is normally costly and complicated, and its details must be compared cautiously so that the advantages of risk are substantially higher than the risks.</w:t>
      </w:r>
    </w:p>
    <w:p w14:paraId="217934E6" w14:textId="713EF66F" w:rsidR="00036385" w:rsidRPr="003D76DA" w:rsidRDefault="00036385" w:rsidP="009D02B9">
      <w:pPr>
        <w:pStyle w:val="Heading3"/>
      </w:pPr>
      <w:bookmarkStart w:id="44" w:name="_Toc218269038"/>
      <w:r w:rsidRPr="003D76DA">
        <w:t>Recommendation</w:t>
      </w:r>
      <w:bookmarkEnd w:id="44"/>
    </w:p>
    <w:p w14:paraId="30EC3877" w14:textId="719E2D96" w:rsidR="00036385" w:rsidRDefault="00A41747" w:rsidP="00036385">
      <w:r w:rsidRPr="00A41747">
        <w:t>It is advisable to finance the programme in a balanced manner. The equity part of the funding would be done through retained earnings, so that the cost will be reduced and the dilution of ownership will be avoided as bank debt or leasing can be used to obtain the flexibility to purchase assets</w:t>
      </w:r>
      <w:r w:rsidR="009D02B9">
        <w:t xml:space="preserve"> (</w:t>
      </w:r>
      <w:r w:rsidR="009D02B9" w:rsidRPr="005A7FB1">
        <w:t>Xiang</w:t>
      </w:r>
      <w:r w:rsidR="009D02B9">
        <w:t xml:space="preserve"> et al., 2022)</w:t>
      </w:r>
      <w:r w:rsidRPr="00A41747">
        <w:t xml:space="preserve">. The equity financing can be an option in case of </w:t>
      </w:r>
      <w:r w:rsidR="009D02B9" w:rsidRPr="00A41747">
        <w:t>large-scale</w:t>
      </w:r>
      <w:r w:rsidRPr="00A41747">
        <w:t xml:space="preserve"> expansions where necessary but this must not be done unless it is absolutely necessary to </w:t>
      </w:r>
      <w:r w:rsidRPr="00A41747">
        <w:lastRenderedPageBreak/>
        <w:t>maintain the value of shareholders. The company will be in good liquidity standing and will keep a close cheque on the debt levels lest the company becomes strained on long term basis.</w:t>
      </w:r>
    </w:p>
    <w:p w14:paraId="37706D79" w14:textId="6F249505" w:rsidR="00A41747" w:rsidRDefault="00A41747">
      <w:r>
        <w:br w:type="page"/>
      </w:r>
    </w:p>
    <w:p w14:paraId="6975C764" w14:textId="7B1845F5" w:rsidR="00A41747" w:rsidRDefault="00A41747" w:rsidP="003D76DA">
      <w:pPr>
        <w:pStyle w:val="Heading1"/>
      </w:pPr>
      <w:bookmarkStart w:id="45" w:name="_Toc218268972"/>
      <w:bookmarkStart w:id="46" w:name="_Toc218269039"/>
      <w:r>
        <w:lastRenderedPageBreak/>
        <w:t>References</w:t>
      </w:r>
      <w:bookmarkEnd w:id="45"/>
      <w:bookmarkEnd w:id="46"/>
      <w:r>
        <w:t xml:space="preserve"> </w:t>
      </w:r>
    </w:p>
    <w:p w14:paraId="68227873" w14:textId="77777777" w:rsidR="00032136" w:rsidRPr="00032136" w:rsidRDefault="00032136" w:rsidP="00032136">
      <w:bookmarkStart w:id="47" w:name="_Hlk218266815"/>
      <w:r w:rsidRPr="00032136">
        <w:t xml:space="preserve">Tesco PLC (2025) </w:t>
      </w:r>
      <w:bookmarkEnd w:id="47"/>
      <w:r w:rsidRPr="00032136">
        <w:rPr>
          <w:i/>
          <w:iCs/>
        </w:rPr>
        <w:t>Annual Report and Financial Statements 2025 (FY2025 and FY2024 comparative statements).</w:t>
      </w:r>
      <w:r w:rsidRPr="00032136">
        <w:t xml:space="preserve"> Tesco PLC.</w:t>
      </w:r>
    </w:p>
    <w:p w14:paraId="21391929" w14:textId="77777777" w:rsidR="00032136" w:rsidRPr="00032136" w:rsidRDefault="00032136" w:rsidP="00032136">
      <w:bookmarkStart w:id="48" w:name="_Hlk218266986"/>
      <w:proofErr w:type="spellStart"/>
      <w:r w:rsidRPr="00032136">
        <w:t>Affes</w:t>
      </w:r>
      <w:proofErr w:type="spellEnd"/>
      <w:r w:rsidRPr="00032136">
        <w:t xml:space="preserve">, W., &amp; </w:t>
      </w:r>
      <w:proofErr w:type="spellStart"/>
      <w:r w:rsidRPr="00032136">
        <w:t>Jarboui</w:t>
      </w:r>
      <w:proofErr w:type="spellEnd"/>
      <w:r w:rsidRPr="00032136">
        <w:t>, A. (2023)</w:t>
      </w:r>
      <w:bookmarkEnd w:id="48"/>
      <w:r w:rsidRPr="00032136">
        <w:t>. The impact of corporate governance on financial performance: a cross-sector study. </w:t>
      </w:r>
      <w:r w:rsidRPr="00032136">
        <w:rPr>
          <w:i/>
          <w:iCs/>
        </w:rPr>
        <w:t>International Journal of Disclosure and Governance</w:t>
      </w:r>
      <w:r w:rsidRPr="00032136">
        <w:t>, 1.</w:t>
      </w:r>
    </w:p>
    <w:p w14:paraId="2686F384" w14:textId="77777777" w:rsidR="00032136" w:rsidRPr="00032136" w:rsidRDefault="00032136" w:rsidP="00032136">
      <w:bookmarkStart w:id="49" w:name="_Hlk218267573"/>
      <w:r w:rsidRPr="00032136">
        <w:t>Agrawal</w:t>
      </w:r>
      <w:bookmarkEnd w:id="49"/>
      <w:r w:rsidRPr="00032136">
        <w:t>, A., Kaur, N., Shakya, C., &amp; Norton, A. (2020). Social assistance programs and climate resilience: reducing vulnerability through cash transfers. </w:t>
      </w:r>
      <w:r w:rsidRPr="00032136">
        <w:rPr>
          <w:i/>
          <w:iCs/>
        </w:rPr>
        <w:t>Current Opinion in Environmental Sustainability</w:t>
      </w:r>
      <w:r w:rsidRPr="00032136">
        <w:t>, </w:t>
      </w:r>
      <w:r w:rsidRPr="00032136">
        <w:rPr>
          <w:i/>
          <w:iCs/>
        </w:rPr>
        <w:t>44</w:t>
      </w:r>
      <w:r w:rsidRPr="00032136">
        <w:t xml:space="preserve">, 113-123. </w:t>
      </w:r>
    </w:p>
    <w:p w14:paraId="2238DC95" w14:textId="77777777" w:rsidR="00032136" w:rsidRPr="00032136" w:rsidRDefault="00032136" w:rsidP="00032136">
      <w:bookmarkStart w:id="50" w:name="_Hlk218266923"/>
      <w:proofErr w:type="spellStart"/>
      <w:r w:rsidRPr="00032136">
        <w:t>Atrill</w:t>
      </w:r>
      <w:proofErr w:type="spellEnd"/>
      <w:r w:rsidRPr="00032136">
        <w:t>, P. (2017)</w:t>
      </w:r>
      <w:bookmarkEnd w:id="50"/>
      <w:r w:rsidRPr="00032136">
        <w:t>. Financial management for decision makers.</w:t>
      </w:r>
    </w:p>
    <w:p w14:paraId="7A72FA7F" w14:textId="77777777" w:rsidR="00032136" w:rsidRPr="00032136" w:rsidRDefault="00032136" w:rsidP="00032136">
      <w:bookmarkStart w:id="51" w:name="_Hlk218267088"/>
      <w:r w:rsidRPr="00032136">
        <w:t>Babalola, Y. A., &amp; Abiola, F. R. (2013)</w:t>
      </w:r>
      <w:bookmarkEnd w:id="51"/>
      <w:r w:rsidRPr="00032136">
        <w:t>. Financial ratio analysis of firms: A tool for decision making. </w:t>
      </w:r>
      <w:r w:rsidRPr="00032136">
        <w:rPr>
          <w:i/>
          <w:iCs/>
        </w:rPr>
        <w:t>International journal of management sciences</w:t>
      </w:r>
      <w:r w:rsidRPr="00032136">
        <w:t>, </w:t>
      </w:r>
      <w:r w:rsidRPr="00032136">
        <w:rPr>
          <w:i/>
          <w:iCs/>
        </w:rPr>
        <w:t>1</w:t>
      </w:r>
      <w:r w:rsidRPr="00032136">
        <w:t>(4), 132-137.</w:t>
      </w:r>
    </w:p>
    <w:p w14:paraId="2800C716" w14:textId="77777777" w:rsidR="00032136" w:rsidRPr="00032136" w:rsidRDefault="00032136" w:rsidP="00032136">
      <w:bookmarkStart w:id="52" w:name="_Hlk218266943"/>
      <w:proofErr w:type="spellStart"/>
      <w:r w:rsidRPr="00032136">
        <w:t>Beladi</w:t>
      </w:r>
      <w:bookmarkEnd w:id="52"/>
      <w:proofErr w:type="spellEnd"/>
      <w:r w:rsidRPr="00032136">
        <w:t>, H., Deng, J., &amp; Hu, M. (2021). Cash flow uncertainty, financial constraints and R&amp;D investment. </w:t>
      </w:r>
      <w:r w:rsidRPr="00032136">
        <w:rPr>
          <w:i/>
          <w:iCs/>
        </w:rPr>
        <w:t>International Review of Financial Analysis</w:t>
      </w:r>
      <w:r w:rsidRPr="00032136">
        <w:t>, </w:t>
      </w:r>
      <w:r w:rsidRPr="00032136">
        <w:rPr>
          <w:i/>
          <w:iCs/>
        </w:rPr>
        <w:t>76</w:t>
      </w:r>
      <w:r w:rsidRPr="00032136">
        <w:t>, 101785.</w:t>
      </w:r>
    </w:p>
    <w:p w14:paraId="40E24EAA" w14:textId="77777777" w:rsidR="00032136" w:rsidRPr="00032136" w:rsidRDefault="00032136" w:rsidP="00032136">
      <w:bookmarkStart w:id="53" w:name="_Hlk218267210"/>
      <w:r w:rsidRPr="00032136">
        <w:t xml:space="preserve">Bhimani, A. (2022) </w:t>
      </w:r>
      <w:bookmarkEnd w:id="53"/>
      <w:r w:rsidRPr="00032136">
        <w:rPr>
          <w:i/>
        </w:rPr>
        <w:t>Financial Management for technology Start-ups: A Handbook for Growth</w:t>
      </w:r>
      <w:r w:rsidRPr="00032136">
        <w:t>. 2</w:t>
      </w:r>
      <w:r w:rsidRPr="00032136">
        <w:rPr>
          <w:vertAlign w:val="superscript"/>
        </w:rPr>
        <w:t>nd</w:t>
      </w:r>
      <w:r w:rsidRPr="00032136">
        <w:t xml:space="preserve"> Edition Kogan Page.</w:t>
      </w:r>
    </w:p>
    <w:p w14:paraId="44F0A806" w14:textId="77777777" w:rsidR="00032136" w:rsidRPr="00032136" w:rsidRDefault="00032136" w:rsidP="00032136">
      <w:bookmarkStart w:id="54" w:name="_Hlk218267234"/>
      <w:r w:rsidRPr="00032136">
        <w:t xml:space="preserve">Drury, C. (2020) </w:t>
      </w:r>
      <w:bookmarkEnd w:id="54"/>
      <w:r w:rsidRPr="00032136">
        <w:rPr>
          <w:i/>
        </w:rPr>
        <w:t>Management and Cost Accounting</w:t>
      </w:r>
      <w:r w:rsidRPr="00032136">
        <w:t xml:space="preserve">. 11th </w:t>
      </w:r>
      <w:proofErr w:type="spellStart"/>
      <w:r w:rsidRPr="00032136">
        <w:rPr>
          <w:bCs/>
        </w:rPr>
        <w:t>edn</w:t>
      </w:r>
      <w:proofErr w:type="spellEnd"/>
      <w:r w:rsidRPr="00032136">
        <w:rPr>
          <w:bCs/>
        </w:rPr>
        <w:t>.</w:t>
      </w:r>
      <w:r w:rsidRPr="00032136">
        <w:t xml:space="preserve"> Cengage.</w:t>
      </w:r>
    </w:p>
    <w:p w14:paraId="5F6AC6F8" w14:textId="77777777" w:rsidR="00032136" w:rsidRPr="00032136" w:rsidRDefault="00032136" w:rsidP="00032136">
      <w:bookmarkStart w:id="55" w:name="_Hlk218267534"/>
      <w:r w:rsidRPr="00032136">
        <w:t>Fortune, P. (2000)</w:t>
      </w:r>
      <w:bookmarkEnd w:id="55"/>
      <w:r w:rsidRPr="00032136">
        <w:t>. Margin requirements, margin loans, and margin rates: Practice and principles. </w:t>
      </w:r>
      <w:r w:rsidRPr="00032136">
        <w:rPr>
          <w:i/>
          <w:iCs/>
        </w:rPr>
        <w:t>New England Economic Review</w:t>
      </w:r>
      <w:r w:rsidRPr="00032136">
        <w:t>, 19-44.</w:t>
      </w:r>
    </w:p>
    <w:p w14:paraId="1E5FFB4D" w14:textId="77777777" w:rsidR="00032136" w:rsidRPr="00032136" w:rsidRDefault="00032136" w:rsidP="00032136">
      <w:bookmarkStart w:id="56" w:name="_Hlk218267064"/>
      <w:r w:rsidRPr="00032136">
        <w:t>Fraser</w:t>
      </w:r>
      <w:bookmarkEnd w:id="56"/>
      <w:r w:rsidRPr="00032136">
        <w:t>, L. M., Ormiston, A., &amp; Mukherjee, A. K. (2016). </w:t>
      </w:r>
      <w:r w:rsidRPr="00032136">
        <w:rPr>
          <w:i/>
          <w:iCs/>
        </w:rPr>
        <w:t>Understanding financial statements</w:t>
      </w:r>
      <w:r w:rsidRPr="00032136">
        <w:t>. New York: Pearson.</w:t>
      </w:r>
    </w:p>
    <w:p w14:paraId="63387F54" w14:textId="77777777" w:rsidR="00032136" w:rsidRPr="00032136" w:rsidRDefault="00032136" w:rsidP="00032136">
      <w:bookmarkStart w:id="57" w:name="_Hlk218266845"/>
      <w:r w:rsidRPr="00032136">
        <w:t xml:space="preserve">IFRS Foundation (2021) </w:t>
      </w:r>
      <w:bookmarkEnd w:id="57"/>
      <w:r w:rsidRPr="00032136">
        <w:rPr>
          <w:i/>
          <w:iCs/>
        </w:rPr>
        <w:t>IFRS 16: Leases.</w:t>
      </w:r>
      <w:r w:rsidRPr="00032136">
        <w:t xml:space="preserve"> Available at: </w:t>
      </w:r>
      <w:hyperlink r:id="rId28" w:tgtFrame="_new" w:history="1">
        <w:r w:rsidRPr="00032136">
          <w:rPr>
            <w:rStyle w:val="Hyperlink"/>
          </w:rPr>
          <w:t>https://www.ifrs.org/issued-standards/list-of-standards/ifrs-16-leases/</w:t>
        </w:r>
      </w:hyperlink>
    </w:p>
    <w:p w14:paraId="0979A8DD" w14:textId="77777777" w:rsidR="00032136" w:rsidRPr="00032136" w:rsidRDefault="00032136" w:rsidP="00032136">
      <w:bookmarkStart w:id="58" w:name="_Hlk218267264"/>
      <w:r w:rsidRPr="00032136">
        <w:t>Kersten, R. et al (2017)</w:t>
      </w:r>
      <w:bookmarkEnd w:id="58"/>
      <w:r w:rsidRPr="00032136">
        <w:t xml:space="preserve"> </w:t>
      </w:r>
      <w:r w:rsidRPr="00032136">
        <w:rPr>
          <w:i/>
        </w:rPr>
        <w:t>Small Firms, large Impact? A systematic review of the SME Finance Literature, World Development</w:t>
      </w:r>
      <w:r w:rsidRPr="00032136">
        <w:t>. September 2017, (97), pp. 330-348.</w:t>
      </w:r>
    </w:p>
    <w:p w14:paraId="1B4FD69E" w14:textId="77777777" w:rsidR="00032136" w:rsidRPr="00032136" w:rsidRDefault="00032136" w:rsidP="00032136">
      <w:bookmarkStart w:id="59" w:name="_Hlk218266963"/>
      <w:r w:rsidRPr="00032136">
        <w:t>Koller</w:t>
      </w:r>
      <w:bookmarkEnd w:id="59"/>
      <w:r w:rsidRPr="00032136">
        <w:t>, T., Goedhart, M., &amp; Wessels, D. (2025). </w:t>
      </w:r>
      <w:r w:rsidRPr="00032136">
        <w:rPr>
          <w:i/>
          <w:iCs/>
        </w:rPr>
        <w:t>Valuation: Measuring and managing the value of companies</w:t>
      </w:r>
      <w:r w:rsidRPr="00032136">
        <w:t>. John Wiley &amp; Sons.</w:t>
      </w:r>
    </w:p>
    <w:p w14:paraId="60E924F1" w14:textId="77777777" w:rsidR="00032136" w:rsidRPr="00032136" w:rsidRDefault="00032136" w:rsidP="00032136">
      <w:bookmarkStart w:id="60" w:name="_Hlk218267318"/>
      <w:r w:rsidRPr="00032136">
        <w:lastRenderedPageBreak/>
        <w:t>Lipson, M. L., &amp; Mortal, S. (2009)</w:t>
      </w:r>
      <w:bookmarkEnd w:id="60"/>
      <w:r w:rsidRPr="00032136">
        <w:t>. Liquidity and capital structure. </w:t>
      </w:r>
      <w:r w:rsidRPr="00032136">
        <w:rPr>
          <w:i/>
          <w:iCs/>
        </w:rPr>
        <w:t>Journal of financial markets</w:t>
      </w:r>
      <w:r w:rsidRPr="00032136">
        <w:t>, </w:t>
      </w:r>
      <w:r w:rsidRPr="00032136">
        <w:rPr>
          <w:i/>
          <w:iCs/>
        </w:rPr>
        <w:t>12</w:t>
      </w:r>
      <w:r w:rsidRPr="00032136">
        <w:t xml:space="preserve">(4), 611-644. </w:t>
      </w:r>
    </w:p>
    <w:p w14:paraId="5610ABE4" w14:textId="4DB3F1F4" w:rsidR="00032136" w:rsidRPr="00032136" w:rsidRDefault="00032136" w:rsidP="00032136">
      <w:bookmarkStart w:id="61" w:name="_Hlk218267607"/>
      <w:r w:rsidRPr="00032136">
        <w:t>Moore, G., &amp; Robson, A. (2002)</w:t>
      </w:r>
      <w:bookmarkEnd w:id="61"/>
      <w:r w:rsidRPr="00032136">
        <w:t>. The UK supermarket industry: an analysis of corporate social and financial performance. </w:t>
      </w:r>
      <w:r w:rsidRPr="00032136">
        <w:rPr>
          <w:i/>
          <w:iCs/>
        </w:rPr>
        <w:t>Business Ethics: A European Review</w:t>
      </w:r>
      <w:r w:rsidRPr="00032136">
        <w:t>, </w:t>
      </w:r>
      <w:r w:rsidRPr="00032136">
        <w:rPr>
          <w:i/>
          <w:iCs/>
        </w:rPr>
        <w:t>11</w:t>
      </w:r>
      <w:r w:rsidRPr="00032136">
        <w:t xml:space="preserve">(1), 25-39. </w:t>
      </w:r>
      <w:bookmarkStart w:id="62" w:name="_Hlk218267042"/>
      <w:r w:rsidRPr="00032136">
        <w:t>Parrino</w:t>
      </w:r>
      <w:bookmarkEnd w:id="62"/>
      <w:r w:rsidRPr="00032136">
        <w:t>, R., Bates, T. W., Gillan, S. L., &amp; Kidwell, D. S. (2025). </w:t>
      </w:r>
      <w:r w:rsidRPr="00032136">
        <w:rPr>
          <w:i/>
          <w:iCs/>
        </w:rPr>
        <w:t>Fundamentals of corporate finance</w:t>
      </w:r>
      <w:r w:rsidRPr="00032136">
        <w:t>. John Wiley &amp; Sons.</w:t>
      </w:r>
    </w:p>
    <w:p w14:paraId="589F368C" w14:textId="77777777" w:rsidR="00032136" w:rsidRPr="00032136" w:rsidRDefault="00032136" w:rsidP="00032136">
      <w:bookmarkStart w:id="63" w:name="_Hlk218267115"/>
      <w:r w:rsidRPr="00032136">
        <w:t>Rashid, C. A. (2018)</w:t>
      </w:r>
      <w:bookmarkEnd w:id="63"/>
      <w:r w:rsidRPr="00032136">
        <w:t>. Efficiency of financial ratios analysis for evaluating companies’ liquidity. </w:t>
      </w:r>
      <w:r w:rsidRPr="00032136">
        <w:rPr>
          <w:i/>
          <w:iCs/>
        </w:rPr>
        <w:t>International journal of social sciences &amp; educational studies</w:t>
      </w:r>
      <w:r w:rsidRPr="00032136">
        <w:t>, </w:t>
      </w:r>
      <w:r w:rsidRPr="00032136">
        <w:rPr>
          <w:i/>
          <w:iCs/>
        </w:rPr>
        <w:t>4</w:t>
      </w:r>
      <w:r w:rsidRPr="00032136">
        <w:t>(4), 110-123.</w:t>
      </w:r>
    </w:p>
    <w:p w14:paraId="6EFC8833" w14:textId="77777777" w:rsidR="00032136" w:rsidRPr="00032136" w:rsidRDefault="00032136" w:rsidP="00032136">
      <w:bookmarkStart w:id="64" w:name="_Hlk218266875"/>
      <w:r w:rsidRPr="00032136">
        <w:t>Segal, M., &amp; Naik, G. (2019)</w:t>
      </w:r>
      <w:bookmarkEnd w:id="64"/>
      <w:r w:rsidRPr="00032136">
        <w:t>. The expected impact of the implementation of International Financial Reporting Standard (IFRS) 16–Leases. </w:t>
      </w:r>
      <w:r w:rsidRPr="00032136">
        <w:rPr>
          <w:i/>
          <w:iCs/>
        </w:rPr>
        <w:t>Journal of Economic and Financial Sciences</w:t>
      </w:r>
      <w:r w:rsidRPr="00032136">
        <w:t>, </w:t>
      </w:r>
      <w:r w:rsidRPr="00032136">
        <w:rPr>
          <w:i/>
          <w:iCs/>
        </w:rPr>
        <w:t>12</w:t>
      </w:r>
      <w:r w:rsidRPr="00032136">
        <w:t>(1), 1-12.</w:t>
      </w:r>
    </w:p>
    <w:p w14:paraId="69020995" w14:textId="77777777" w:rsidR="00032136" w:rsidRPr="00032136" w:rsidRDefault="00032136" w:rsidP="00032136">
      <w:bookmarkStart w:id="65" w:name="_Hlk218267368"/>
      <w:r w:rsidRPr="00032136">
        <w:t>Seth</w:t>
      </w:r>
      <w:bookmarkEnd w:id="65"/>
      <w:r w:rsidRPr="00032136">
        <w:t>, H., Chadha, S., &amp; Sharma, S. (2020). Redesigning the efficiency process analysis for working capital models: evidences from the determinants. </w:t>
      </w:r>
      <w:r w:rsidRPr="00032136">
        <w:rPr>
          <w:i/>
          <w:iCs/>
        </w:rPr>
        <w:t>Journal of Global Operations and Strategic Sourcing</w:t>
      </w:r>
      <w:r w:rsidRPr="00032136">
        <w:t>, </w:t>
      </w:r>
      <w:r w:rsidRPr="00032136">
        <w:rPr>
          <w:i/>
          <w:iCs/>
        </w:rPr>
        <w:t>13</w:t>
      </w:r>
      <w:r w:rsidRPr="00032136">
        <w:t xml:space="preserve">(1), 38-55. </w:t>
      </w:r>
    </w:p>
    <w:p w14:paraId="0E36791E" w14:textId="77777777" w:rsidR="00032136" w:rsidRPr="00032136" w:rsidRDefault="00032136" w:rsidP="00032136">
      <w:bookmarkStart w:id="66" w:name="_Hlk218267423"/>
      <w:proofErr w:type="spellStart"/>
      <w:r w:rsidRPr="00032136">
        <w:t>Siyanbola</w:t>
      </w:r>
      <w:bookmarkEnd w:id="66"/>
      <w:proofErr w:type="spellEnd"/>
      <w:r w:rsidRPr="00032136">
        <w:t xml:space="preserve">, T. T., Olaoye, S. A., &amp; </w:t>
      </w:r>
      <w:proofErr w:type="spellStart"/>
      <w:r w:rsidRPr="00032136">
        <w:t>Olurin</w:t>
      </w:r>
      <w:proofErr w:type="spellEnd"/>
      <w:r w:rsidRPr="00032136">
        <w:t>, O. T. (2015). Impact of gearing on performance of companies. </w:t>
      </w:r>
      <w:r w:rsidRPr="00032136">
        <w:rPr>
          <w:i/>
          <w:iCs/>
        </w:rPr>
        <w:t>Arabian Journal of Business and Management Review (Nigerian Chapter)</w:t>
      </w:r>
      <w:r w:rsidRPr="00032136">
        <w:t>, </w:t>
      </w:r>
      <w:r w:rsidRPr="00032136">
        <w:rPr>
          <w:i/>
          <w:iCs/>
        </w:rPr>
        <w:t>3</w:t>
      </w:r>
      <w:r w:rsidRPr="00032136">
        <w:t xml:space="preserve">(1), 68-80. </w:t>
      </w:r>
    </w:p>
    <w:p w14:paraId="5AD11B29" w14:textId="77777777" w:rsidR="00032136" w:rsidRPr="00032136" w:rsidRDefault="00032136" w:rsidP="00032136">
      <w:bookmarkStart w:id="67" w:name="_Hlk218267025"/>
      <w:r w:rsidRPr="00032136">
        <w:t>Sureshchandar, G. S. (2023)</w:t>
      </w:r>
      <w:bookmarkEnd w:id="67"/>
      <w:r w:rsidRPr="00032136">
        <w:t>. Quality 4.0–a measurement model using the confirmatory factor analysis (CFA) approach. </w:t>
      </w:r>
      <w:r w:rsidRPr="00032136">
        <w:rPr>
          <w:i/>
          <w:iCs/>
        </w:rPr>
        <w:t>International Journal of Quality &amp; Reliability Management</w:t>
      </w:r>
      <w:r w:rsidRPr="00032136">
        <w:t>, </w:t>
      </w:r>
      <w:r w:rsidRPr="00032136">
        <w:rPr>
          <w:i/>
          <w:iCs/>
        </w:rPr>
        <w:t>40</w:t>
      </w:r>
      <w:r w:rsidRPr="00032136">
        <w:t>(1), 280-303.</w:t>
      </w:r>
    </w:p>
    <w:p w14:paraId="7888E0C4" w14:textId="77777777" w:rsidR="009D02B9" w:rsidRPr="009D02B9" w:rsidRDefault="009D02B9" w:rsidP="009D02B9">
      <w:bookmarkStart w:id="68" w:name="_Hlk218268468"/>
      <w:proofErr w:type="spellStart"/>
      <w:r w:rsidRPr="009D02B9">
        <w:rPr>
          <w:b/>
          <w:bCs/>
        </w:rPr>
        <w:t>Alqam</w:t>
      </w:r>
      <w:bookmarkEnd w:id="68"/>
      <w:proofErr w:type="spellEnd"/>
      <w:r w:rsidRPr="009D02B9">
        <w:rPr>
          <w:b/>
          <w:bCs/>
        </w:rPr>
        <w:t>,</w:t>
      </w:r>
      <w:r w:rsidRPr="009D02B9">
        <w:t xml:space="preserve"> M. A., Ali, H. Y., &amp; </w:t>
      </w:r>
      <w:proofErr w:type="spellStart"/>
      <w:r w:rsidRPr="009D02B9">
        <w:t>Hamshari</w:t>
      </w:r>
      <w:proofErr w:type="spellEnd"/>
      <w:r w:rsidRPr="009D02B9">
        <w:t>, Y. M. (2021). The relative importance of financial ratios in making investment and credit decisions in Jordan. </w:t>
      </w:r>
      <w:r w:rsidRPr="009D02B9">
        <w:rPr>
          <w:i/>
          <w:iCs/>
        </w:rPr>
        <w:t>International Journal of Financial Research</w:t>
      </w:r>
      <w:r w:rsidRPr="009D02B9">
        <w:t>, </w:t>
      </w:r>
      <w:r w:rsidRPr="009D02B9">
        <w:rPr>
          <w:i/>
          <w:iCs/>
        </w:rPr>
        <w:t>12</w:t>
      </w:r>
      <w:r w:rsidRPr="009D02B9">
        <w:t>(2), 284-293.</w:t>
      </w:r>
    </w:p>
    <w:p w14:paraId="3623C699" w14:textId="77777777" w:rsidR="009D02B9" w:rsidRPr="009D02B9" w:rsidRDefault="009D02B9" w:rsidP="009D02B9">
      <w:bookmarkStart w:id="69" w:name="_Hlk218268684"/>
      <w:r w:rsidRPr="009D02B9">
        <w:t>Ball, R., &amp; Nikolaev, V. V. (2022)</w:t>
      </w:r>
      <w:bookmarkEnd w:id="69"/>
      <w:r w:rsidRPr="009D02B9">
        <w:t>. On earnings and cash flows as predictors of future cash flows. </w:t>
      </w:r>
      <w:r w:rsidRPr="009D02B9">
        <w:rPr>
          <w:i/>
          <w:iCs/>
        </w:rPr>
        <w:t>Journal of Accounting and Economics</w:t>
      </w:r>
      <w:r w:rsidRPr="009D02B9">
        <w:t>, </w:t>
      </w:r>
      <w:r w:rsidRPr="009D02B9">
        <w:rPr>
          <w:i/>
          <w:iCs/>
        </w:rPr>
        <w:t>73</w:t>
      </w:r>
      <w:r w:rsidRPr="009D02B9">
        <w:t>(1), 101430.</w:t>
      </w:r>
    </w:p>
    <w:p w14:paraId="1586BE1E" w14:textId="77777777" w:rsidR="009D02B9" w:rsidRPr="009D02B9" w:rsidRDefault="009D02B9" w:rsidP="009D02B9">
      <w:bookmarkStart w:id="70" w:name="_Hlk218268632"/>
      <w:r w:rsidRPr="009D02B9">
        <w:t>Basiru</w:t>
      </w:r>
      <w:bookmarkEnd w:id="70"/>
      <w:r w:rsidRPr="009D02B9">
        <w:t xml:space="preserve">, J. O., Ejiofor, C. L., </w:t>
      </w:r>
      <w:proofErr w:type="spellStart"/>
      <w:r w:rsidRPr="009D02B9">
        <w:t>Onukwulu</w:t>
      </w:r>
      <w:proofErr w:type="spellEnd"/>
      <w:r w:rsidRPr="009D02B9">
        <w:t>, E. C., &amp; Attah, R. U. (2023). Financial management strategies in emerging markets: A review of theoretical models and practical applications. </w:t>
      </w:r>
      <w:r w:rsidRPr="009D02B9">
        <w:rPr>
          <w:i/>
          <w:iCs/>
        </w:rPr>
        <w:t>Magna Scientia Advanced Research and Reviews</w:t>
      </w:r>
      <w:r w:rsidRPr="009D02B9">
        <w:t>, </w:t>
      </w:r>
      <w:r w:rsidRPr="009D02B9">
        <w:rPr>
          <w:i/>
          <w:iCs/>
        </w:rPr>
        <w:t>7</w:t>
      </w:r>
      <w:r w:rsidRPr="009D02B9">
        <w:t>(2), 123-140.</w:t>
      </w:r>
    </w:p>
    <w:p w14:paraId="6D3832E7" w14:textId="77777777" w:rsidR="009D02B9" w:rsidRPr="009D02B9" w:rsidRDefault="009D02B9" w:rsidP="009D02B9">
      <w:bookmarkStart w:id="71" w:name="_Hlk218268665"/>
      <w:r w:rsidRPr="009D02B9">
        <w:lastRenderedPageBreak/>
        <w:t>Bhimani</w:t>
      </w:r>
      <w:bookmarkEnd w:id="71"/>
      <w:r w:rsidRPr="009D02B9">
        <w:t>, A., Datar, S. M., Horngren, C., &amp; Rajan, M. V. (2023). </w:t>
      </w:r>
      <w:r w:rsidRPr="009D02B9">
        <w:rPr>
          <w:i/>
          <w:iCs/>
        </w:rPr>
        <w:t>Management and cost accounting</w:t>
      </w:r>
      <w:r w:rsidRPr="009D02B9">
        <w:t xml:space="preserve">. </w:t>
      </w:r>
      <w:proofErr w:type="spellStart"/>
      <w:r w:rsidRPr="009D02B9">
        <w:t>BoD</w:t>
      </w:r>
      <w:proofErr w:type="spellEnd"/>
      <w:r w:rsidRPr="009D02B9">
        <w:t>–Books on Demand.</w:t>
      </w:r>
    </w:p>
    <w:p w14:paraId="2005B5FD" w14:textId="77777777" w:rsidR="009D02B9" w:rsidRPr="009D02B9" w:rsidRDefault="009D02B9" w:rsidP="009D02B9">
      <w:bookmarkStart w:id="72" w:name="_Hlk218268776"/>
      <w:r w:rsidRPr="009D02B9">
        <w:t>Coelho</w:t>
      </w:r>
      <w:bookmarkEnd w:id="72"/>
      <w:r w:rsidRPr="009D02B9">
        <w:t>, R., Jayantilal, S., &amp; Ferreira, J. J. (2023). The impact of social responsibility on corporate financial performance: A systematic literature review. </w:t>
      </w:r>
      <w:r w:rsidRPr="009D02B9">
        <w:rPr>
          <w:i/>
          <w:iCs/>
        </w:rPr>
        <w:t>Corporate Social Responsibility and Environmental Management</w:t>
      </w:r>
      <w:r w:rsidRPr="009D02B9">
        <w:t>, </w:t>
      </w:r>
      <w:r w:rsidRPr="009D02B9">
        <w:rPr>
          <w:i/>
          <w:iCs/>
        </w:rPr>
        <w:t>30</w:t>
      </w:r>
      <w:r w:rsidRPr="009D02B9">
        <w:t>(4), 1535-1560.</w:t>
      </w:r>
    </w:p>
    <w:p w14:paraId="16237E4F" w14:textId="77777777" w:rsidR="009D02B9" w:rsidRPr="009D02B9" w:rsidRDefault="009D02B9" w:rsidP="009D02B9">
      <w:bookmarkStart w:id="73" w:name="_Hlk218268797"/>
      <w:r w:rsidRPr="009D02B9">
        <w:t>Dahmash</w:t>
      </w:r>
      <w:bookmarkEnd w:id="73"/>
      <w:r w:rsidRPr="009D02B9">
        <w:t xml:space="preserve">, F. N., </w:t>
      </w:r>
      <w:proofErr w:type="spellStart"/>
      <w:r w:rsidRPr="009D02B9">
        <w:t>Alshurafat</w:t>
      </w:r>
      <w:proofErr w:type="spellEnd"/>
      <w:r w:rsidRPr="009D02B9">
        <w:t>, H., Hendawi, R., Alzoubi, A. B., &amp; Al Amosh, H. (2023). The retained earnings effect on the firm’s market value: evidence from Jordan. </w:t>
      </w:r>
      <w:r w:rsidRPr="009D02B9">
        <w:rPr>
          <w:i/>
          <w:iCs/>
        </w:rPr>
        <w:t>International Journal of Financial Studies</w:t>
      </w:r>
      <w:r w:rsidRPr="009D02B9">
        <w:t>, </w:t>
      </w:r>
      <w:r w:rsidRPr="009D02B9">
        <w:rPr>
          <w:i/>
          <w:iCs/>
        </w:rPr>
        <w:t>11</w:t>
      </w:r>
      <w:r w:rsidRPr="009D02B9">
        <w:t>(3), 89.</w:t>
      </w:r>
    </w:p>
    <w:p w14:paraId="6AB1568B" w14:textId="77777777" w:rsidR="009D02B9" w:rsidRPr="009D02B9" w:rsidRDefault="009D02B9" w:rsidP="009D02B9">
      <w:bookmarkStart w:id="74" w:name="_Hlk218268757"/>
      <w:r w:rsidRPr="009D02B9">
        <w:t>Dai</w:t>
      </w:r>
      <w:bookmarkEnd w:id="74"/>
      <w:r w:rsidRPr="009D02B9">
        <w:t>, H., Li, N., Wang, Y., &amp; Zhao, X. (2022, March). The analysis of three main investment criteria: NPV IRR and payback period. In </w:t>
      </w:r>
      <w:r w:rsidRPr="009D02B9">
        <w:rPr>
          <w:i/>
          <w:iCs/>
        </w:rPr>
        <w:t>2022 7th International Conference on Financial Innovation and Economic Development (ICFIED 2022)</w:t>
      </w:r>
      <w:r w:rsidRPr="009D02B9">
        <w:t> (pp. 185-189). Atlantis Press.</w:t>
      </w:r>
    </w:p>
    <w:p w14:paraId="3051F507" w14:textId="77777777" w:rsidR="009D02B9" w:rsidRPr="009D02B9" w:rsidRDefault="009D02B9" w:rsidP="009D02B9">
      <w:bookmarkStart w:id="75" w:name="_Hlk218268615"/>
      <w:r w:rsidRPr="009D02B9">
        <w:t>Damodaran, A. (2024)</w:t>
      </w:r>
      <w:bookmarkEnd w:id="75"/>
      <w:r w:rsidRPr="009D02B9">
        <w:t>. </w:t>
      </w:r>
      <w:r w:rsidRPr="009D02B9">
        <w:rPr>
          <w:i/>
          <w:iCs/>
        </w:rPr>
        <w:t>The little book of valuation: How to value a company, pick a stock, and profit</w:t>
      </w:r>
      <w:r w:rsidRPr="009D02B9">
        <w:t>. John Wiley &amp; Sons.</w:t>
      </w:r>
    </w:p>
    <w:p w14:paraId="5331E1E9" w14:textId="77777777" w:rsidR="009D02B9" w:rsidRPr="009D02B9" w:rsidRDefault="009D02B9" w:rsidP="009D02B9">
      <w:bookmarkStart w:id="76" w:name="_Hlk218268814"/>
      <w:r w:rsidRPr="009D02B9">
        <w:t>Hasan, M. M. (2022)</w:t>
      </w:r>
      <w:bookmarkEnd w:id="76"/>
      <w:r w:rsidRPr="009D02B9">
        <w:t>. Corporate culture and bank debt. </w:t>
      </w:r>
      <w:r w:rsidRPr="009D02B9">
        <w:rPr>
          <w:i/>
          <w:iCs/>
        </w:rPr>
        <w:t>Finance Research Letters</w:t>
      </w:r>
      <w:r w:rsidRPr="009D02B9">
        <w:t>, </w:t>
      </w:r>
      <w:r w:rsidRPr="009D02B9">
        <w:rPr>
          <w:i/>
          <w:iCs/>
        </w:rPr>
        <w:t>49</w:t>
      </w:r>
      <w:r w:rsidRPr="009D02B9">
        <w:t>, 103152.</w:t>
      </w:r>
    </w:p>
    <w:p w14:paraId="3BB495B7" w14:textId="77777777" w:rsidR="009D02B9" w:rsidRPr="009D02B9" w:rsidRDefault="009D02B9" w:rsidP="009D02B9">
      <w:bookmarkStart w:id="77" w:name="_Hlk218268717"/>
      <w:r w:rsidRPr="009D02B9">
        <w:t>Hazen, G., &amp; Magni, C. A. (2021)</w:t>
      </w:r>
      <w:bookmarkEnd w:id="77"/>
      <w:r w:rsidRPr="009D02B9">
        <w:t>. Average internal rate of return for risky projects. </w:t>
      </w:r>
      <w:r w:rsidRPr="009D02B9">
        <w:rPr>
          <w:i/>
          <w:iCs/>
        </w:rPr>
        <w:t>The Engineering Economist</w:t>
      </w:r>
      <w:r w:rsidRPr="009D02B9">
        <w:t>, </w:t>
      </w:r>
      <w:r w:rsidRPr="009D02B9">
        <w:rPr>
          <w:i/>
          <w:iCs/>
        </w:rPr>
        <w:t>66</w:t>
      </w:r>
      <w:r w:rsidRPr="009D02B9">
        <w:t>(2), 90-120.</w:t>
      </w:r>
    </w:p>
    <w:p w14:paraId="19E060CE" w14:textId="77777777" w:rsidR="009D02B9" w:rsidRPr="009D02B9" w:rsidRDefault="009D02B9" w:rsidP="009D02B9">
      <w:bookmarkStart w:id="78" w:name="_Hlk218268582"/>
      <w:r w:rsidRPr="009D02B9">
        <w:t>Olayinka, A. A. (2022)</w:t>
      </w:r>
      <w:bookmarkEnd w:id="78"/>
      <w:r w:rsidRPr="009D02B9">
        <w:t>. Financial statement analysis as a tool for investment decisions and assessment of companies’ performance. </w:t>
      </w:r>
      <w:r w:rsidRPr="009D02B9">
        <w:rPr>
          <w:i/>
          <w:iCs/>
        </w:rPr>
        <w:t>International Journal of Financial, Accounting, and Management</w:t>
      </w:r>
      <w:r w:rsidRPr="009D02B9">
        <w:t>, </w:t>
      </w:r>
      <w:r w:rsidRPr="009D02B9">
        <w:rPr>
          <w:i/>
          <w:iCs/>
        </w:rPr>
        <w:t>4</w:t>
      </w:r>
      <w:r w:rsidRPr="009D02B9">
        <w:t>(1), 49-66.</w:t>
      </w:r>
    </w:p>
    <w:p w14:paraId="4FEE71B6" w14:textId="77777777" w:rsidR="009D02B9" w:rsidRPr="009D02B9" w:rsidRDefault="009D02B9" w:rsidP="009D02B9">
      <w:bookmarkStart w:id="79" w:name="_Hlk218268335"/>
      <w:r w:rsidRPr="009D02B9">
        <w:t>Palepu</w:t>
      </w:r>
      <w:bookmarkEnd w:id="79"/>
      <w:r w:rsidRPr="009D02B9">
        <w:t>, K. G., Healy, P. M., Wright, S., Bradbury, M., &amp; Coulton, J. (2020). </w:t>
      </w:r>
      <w:r w:rsidRPr="009D02B9">
        <w:rPr>
          <w:i/>
          <w:iCs/>
        </w:rPr>
        <w:t>Business analysis and valuation: Using financial statements</w:t>
      </w:r>
      <w:r w:rsidRPr="009D02B9">
        <w:t>. Cengage AU.</w:t>
      </w:r>
    </w:p>
    <w:p w14:paraId="098D39C6" w14:textId="77777777" w:rsidR="009D02B9" w:rsidRPr="009D02B9" w:rsidRDefault="009D02B9" w:rsidP="009D02B9">
      <w:bookmarkStart w:id="80" w:name="_Hlk218267758"/>
      <w:r w:rsidRPr="009D02B9">
        <w:t>Ross, M. M. (2023)</w:t>
      </w:r>
      <w:bookmarkEnd w:id="80"/>
      <w:r w:rsidRPr="009D02B9">
        <w:t>. Graduate corporate finance: Are math skills an obstacle? </w:t>
      </w:r>
      <w:r w:rsidRPr="009D02B9">
        <w:rPr>
          <w:i/>
          <w:iCs/>
        </w:rPr>
        <w:t>Journal of Education for Business</w:t>
      </w:r>
      <w:r w:rsidRPr="009D02B9">
        <w:t>, </w:t>
      </w:r>
      <w:r w:rsidRPr="009D02B9">
        <w:rPr>
          <w:i/>
          <w:iCs/>
        </w:rPr>
        <w:t>98</w:t>
      </w:r>
      <w:r w:rsidRPr="009D02B9">
        <w:t>(3), 109-116.</w:t>
      </w:r>
    </w:p>
    <w:p w14:paraId="09EE0E91" w14:textId="77777777" w:rsidR="009D02B9" w:rsidRPr="009D02B9" w:rsidRDefault="009D02B9" w:rsidP="009D02B9">
      <w:bookmarkStart w:id="81" w:name="_Hlk218268699"/>
      <w:r w:rsidRPr="009D02B9">
        <w:t>Shou, T. (2022, July)</w:t>
      </w:r>
      <w:bookmarkEnd w:id="81"/>
      <w:r w:rsidRPr="009D02B9">
        <w:t>. A literature review on the net present value (NPV) valuation method. In </w:t>
      </w:r>
      <w:r w:rsidRPr="009D02B9">
        <w:rPr>
          <w:i/>
          <w:iCs/>
        </w:rPr>
        <w:t>2022 2nd International Conference on Enterprise Management and Economic Development (ICEMED 2022)</w:t>
      </w:r>
      <w:r w:rsidRPr="009D02B9">
        <w:t> (pp. 826-830). Atlantis Press.</w:t>
      </w:r>
    </w:p>
    <w:p w14:paraId="0CB1758B" w14:textId="77777777" w:rsidR="009D02B9" w:rsidRPr="009D02B9" w:rsidRDefault="009D02B9" w:rsidP="009D02B9">
      <w:bookmarkStart w:id="82" w:name="_Hlk218268596"/>
      <w:r w:rsidRPr="009D02B9">
        <w:lastRenderedPageBreak/>
        <w:t>Sureka</w:t>
      </w:r>
      <w:bookmarkEnd w:id="82"/>
      <w:r w:rsidRPr="009D02B9">
        <w:t xml:space="preserve">, R., Kumar, S., </w:t>
      </w:r>
      <w:proofErr w:type="spellStart"/>
      <w:r w:rsidRPr="009D02B9">
        <w:t>Colombage</w:t>
      </w:r>
      <w:proofErr w:type="spellEnd"/>
      <w:r w:rsidRPr="009D02B9">
        <w:t>, S., &amp; Abedin, M. Z. (2022). Five decades of research on capital budgeting–A systematic review and future research agenda. </w:t>
      </w:r>
      <w:r w:rsidRPr="009D02B9">
        <w:rPr>
          <w:i/>
          <w:iCs/>
        </w:rPr>
        <w:t>Research in International Business and Finance</w:t>
      </w:r>
      <w:r w:rsidRPr="009D02B9">
        <w:t>, </w:t>
      </w:r>
      <w:r w:rsidRPr="009D02B9">
        <w:rPr>
          <w:i/>
          <w:iCs/>
        </w:rPr>
        <w:t>60</w:t>
      </w:r>
      <w:r w:rsidRPr="009D02B9">
        <w:t>, 101609.</w:t>
      </w:r>
    </w:p>
    <w:p w14:paraId="0EF71710" w14:textId="77777777" w:rsidR="009D02B9" w:rsidRPr="009D02B9" w:rsidRDefault="009D02B9" w:rsidP="009D02B9">
      <w:bookmarkStart w:id="83" w:name="_Hlk218268831"/>
      <w:r w:rsidRPr="009D02B9">
        <w:t>Xiang</w:t>
      </w:r>
      <w:bookmarkEnd w:id="83"/>
      <w:r w:rsidRPr="009D02B9">
        <w:t>, X., Liu, C., &amp; Yang, M. (2022). Who is financing corporate green innovation? </w:t>
      </w:r>
      <w:r w:rsidRPr="009D02B9">
        <w:rPr>
          <w:i/>
          <w:iCs/>
        </w:rPr>
        <w:t>International Review of Economics &amp; Finance</w:t>
      </w:r>
      <w:r w:rsidRPr="009D02B9">
        <w:t>, </w:t>
      </w:r>
      <w:r w:rsidRPr="009D02B9">
        <w:rPr>
          <w:i/>
          <w:iCs/>
        </w:rPr>
        <w:t>78</w:t>
      </w:r>
      <w:r w:rsidRPr="009D02B9">
        <w:t>, 321-337.</w:t>
      </w:r>
    </w:p>
    <w:p w14:paraId="383C71D1" w14:textId="77777777" w:rsidR="009D02B9" w:rsidRPr="009D02B9" w:rsidRDefault="009D02B9" w:rsidP="009D02B9">
      <w:bookmarkStart w:id="84" w:name="_Hlk218268735"/>
      <w:r w:rsidRPr="009D02B9">
        <w:t>Zhang</w:t>
      </w:r>
      <w:bookmarkEnd w:id="84"/>
      <w:r w:rsidRPr="009D02B9">
        <w:t>, M., Tang, Y., Liu, L., &amp; Zhou, D. (2022). Optimal investment portfolio strategies for power enterprises under multi-policy scenarios of renewable energy. </w:t>
      </w:r>
      <w:r w:rsidRPr="009D02B9">
        <w:rPr>
          <w:i/>
          <w:iCs/>
        </w:rPr>
        <w:t>Renewable and Sustainable Energy Reviews</w:t>
      </w:r>
      <w:r w:rsidRPr="009D02B9">
        <w:t>, </w:t>
      </w:r>
      <w:r w:rsidRPr="009D02B9">
        <w:rPr>
          <w:i/>
          <w:iCs/>
        </w:rPr>
        <w:t>154</w:t>
      </w:r>
      <w:r w:rsidRPr="009D02B9">
        <w:t>, 111879.</w:t>
      </w:r>
    </w:p>
    <w:p w14:paraId="782BCCD6" w14:textId="77777777" w:rsidR="003D76DA" w:rsidRPr="003D76DA" w:rsidRDefault="003D76DA" w:rsidP="00032136"/>
    <w:sectPr w:rsidR="003D76DA" w:rsidRPr="003D76DA">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8F5298" w14:textId="77777777" w:rsidR="00D05250" w:rsidRDefault="00D05250" w:rsidP="00A11DE9">
      <w:pPr>
        <w:spacing w:before="0" w:after="0" w:line="240" w:lineRule="auto"/>
      </w:pPr>
      <w:r>
        <w:separator/>
      </w:r>
    </w:p>
  </w:endnote>
  <w:endnote w:type="continuationSeparator" w:id="0">
    <w:p w14:paraId="7090F74E" w14:textId="77777777" w:rsidR="00D05250" w:rsidRDefault="00D05250" w:rsidP="00A11DE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7289412"/>
      <w:docPartObj>
        <w:docPartGallery w:val="Page Numbers (Bottom of Page)"/>
        <w:docPartUnique/>
      </w:docPartObj>
    </w:sdtPr>
    <w:sdtEndPr>
      <w:rPr>
        <w:noProof/>
      </w:rPr>
    </w:sdtEndPr>
    <w:sdtContent>
      <w:p w14:paraId="2190A40A" w14:textId="707D6CBB" w:rsidR="00A11DE9" w:rsidRDefault="00A11DE9">
        <w:pPr>
          <w:pStyle w:val="Footer"/>
          <w:jc w:val="right"/>
        </w:pPr>
        <w:r>
          <w:t xml:space="preserve">Page </w:t>
        </w:r>
        <w:r>
          <w:fldChar w:fldCharType="begin"/>
        </w:r>
        <w:r>
          <w:instrText xml:space="preserve"> PAGE   \* MERGEFORMAT </w:instrText>
        </w:r>
        <w:r>
          <w:fldChar w:fldCharType="separate"/>
        </w:r>
        <w:r>
          <w:rPr>
            <w:noProof/>
          </w:rPr>
          <w:t>2</w:t>
        </w:r>
        <w:r>
          <w:rPr>
            <w:noProof/>
          </w:rPr>
          <w:fldChar w:fldCharType="end"/>
        </w:r>
      </w:p>
    </w:sdtContent>
  </w:sdt>
  <w:p w14:paraId="3D033F15" w14:textId="77777777" w:rsidR="00A11DE9" w:rsidRDefault="00A11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0C4F3D" w14:textId="77777777" w:rsidR="00D05250" w:rsidRDefault="00D05250" w:rsidP="00A11DE9">
      <w:pPr>
        <w:spacing w:before="0" w:after="0" w:line="240" w:lineRule="auto"/>
      </w:pPr>
      <w:r>
        <w:separator/>
      </w:r>
    </w:p>
  </w:footnote>
  <w:footnote w:type="continuationSeparator" w:id="0">
    <w:p w14:paraId="75855AAD" w14:textId="77777777" w:rsidR="00D05250" w:rsidRDefault="00D05250" w:rsidP="00A11DE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E5403F"/>
    <w:multiLevelType w:val="hybridMultilevel"/>
    <w:tmpl w:val="CEDEC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DE7431"/>
    <w:multiLevelType w:val="hybridMultilevel"/>
    <w:tmpl w:val="BBAE7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95477A"/>
    <w:multiLevelType w:val="hybridMultilevel"/>
    <w:tmpl w:val="8A322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CE7399"/>
    <w:multiLevelType w:val="hybridMultilevel"/>
    <w:tmpl w:val="2F1CC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582488"/>
    <w:multiLevelType w:val="hybridMultilevel"/>
    <w:tmpl w:val="37A4F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E21A94"/>
    <w:multiLevelType w:val="hybridMultilevel"/>
    <w:tmpl w:val="CD7CC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E940A2"/>
    <w:multiLevelType w:val="hybridMultilevel"/>
    <w:tmpl w:val="9B64E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7F2E8B"/>
    <w:multiLevelType w:val="hybridMultilevel"/>
    <w:tmpl w:val="9F38A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A657DF"/>
    <w:multiLevelType w:val="hybridMultilevel"/>
    <w:tmpl w:val="86F27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845BF2"/>
    <w:multiLevelType w:val="hybridMultilevel"/>
    <w:tmpl w:val="555CF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1D52E0"/>
    <w:multiLevelType w:val="hybridMultilevel"/>
    <w:tmpl w:val="41EC8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4D0E6F"/>
    <w:multiLevelType w:val="hybridMultilevel"/>
    <w:tmpl w:val="C7C68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782268"/>
    <w:multiLevelType w:val="hybridMultilevel"/>
    <w:tmpl w:val="572CA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3321383">
    <w:abstractNumId w:val="7"/>
  </w:num>
  <w:num w:numId="2" w16cid:durableId="1744716372">
    <w:abstractNumId w:val="6"/>
  </w:num>
  <w:num w:numId="3" w16cid:durableId="1166364663">
    <w:abstractNumId w:val="5"/>
  </w:num>
  <w:num w:numId="4" w16cid:durableId="1844778902">
    <w:abstractNumId w:val="2"/>
  </w:num>
  <w:num w:numId="5" w16cid:durableId="1902592062">
    <w:abstractNumId w:val="8"/>
  </w:num>
  <w:num w:numId="6" w16cid:durableId="526522346">
    <w:abstractNumId w:val="3"/>
  </w:num>
  <w:num w:numId="7" w16cid:durableId="1354304749">
    <w:abstractNumId w:val="0"/>
  </w:num>
  <w:num w:numId="8" w16cid:durableId="266935523">
    <w:abstractNumId w:val="11"/>
  </w:num>
  <w:num w:numId="9" w16cid:durableId="1842355270">
    <w:abstractNumId w:val="9"/>
  </w:num>
  <w:num w:numId="10" w16cid:durableId="758405266">
    <w:abstractNumId w:val="12"/>
  </w:num>
  <w:num w:numId="11" w16cid:durableId="1849834341">
    <w:abstractNumId w:val="4"/>
  </w:num>
  <w:num w:numId="12" w16cid:durableId="1565794363">
    <w:abstractNumId w:val="10"/>
  </w:num>
  <w:num w:numId="13" w16cid:durableId="10472931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569"/>
    <w:rsid w:val="00032136"/>
    <w:rsid w:val="00036385"/>
    <w:rsid w:val="000511E3"/>
    <w:rsid w:val="00076373"/>
    <w:rsid w:val="000D7794"/>
    <w:rsid w:val="00137015"/>
    <w:rsid w:val="001637EA"/>
    <w:rsid w:val="001D09D7"/>
    <w:rsid w:val="001F0423"/>
    <w:rsid w:val="00205526"/>
    <w:rsid w:val="00234BC0"/>
    <w:rsid w:val="002871D0"/>
    <w:rsid w:val="00295EC0"/>
    <w:rsid w:val="002C2F6C"/>
    <w:rsid w:val="002C4242"/>
    <w:rsid w:val="003276EF"/>
    <w:rsid w:val="00330A37"/>
    <w:rsid w:val="0033199D"/>
    <w:rsid w:val="00361920"/>
    <w:rsid w:val="00392463"/>
    <w:rsid w:val="00394441"/>
    <w:rsid w:val="003D76DA"/>
    <w:rsid w:val="003F474F"/>
    <w:rsid w:val="00406EC3"/>
    <w:rsid w:val="00446C6A"/>
    <w:rsid w:val="00450466"/>
    <w:rsid w:val="00466636"/>
    <w:rsid w:val="004C5813"/>
    <w:rsid w:val="004D2F6B"/>
    <w:rsid w:val="00504569"/>
    <w:rsid w:val="005B184E"/>
    <w:rsid w:val="006406B2"/>
    <w:rsid w:val="00640B45"/>
    <w:rsid w:val="006E42AD"/>
    <w:rsid w:val="00713AC2"/>
    <w:rsid w:val="00764765"/>
    <w:rsid w:val="00786B13"/>
    <w:rsid w:val="007962EF"/>
    <w:rsid w:val="007C0F32"/>
    <w:rsid w:val="00810837"/>
    <w:rsid w:val="00822922"/>
    <w:rsid w:val="00870215"/>
    <w:rsid w:val="008C495E"/>
    <w:rsid w:val="008E6BC9"/>
    <w:rsid w:val="009C10FA"/>
    <w:rsid w:val="009C6CF3"/>
    <w:rsid w:val="009C7DC3"/>
    <w:rsid w:val="009D02B9"/>
    <w:rsid w:val="009D1666"/>
    <w:rsid w:val="00A11DE9"/>
    <w:rsid w:val="00A231E8"/>
    <w:rsid w:val="00A32B2C"/>
    <w:rsid w:val="00A41747"/>
    <w:rsid w:val="00A60248"/>
    <w:rsid w:val="00A85157"/>
    <w:rsid w:val="00B31ECA"/>
    <w:rsid w:val="00B574AE"/>
    <w:rsid w:val="00B67D22"/>
    <w:rsid w:val="00BE60D2"/>
    <w:rsid w:val="00C11206"/>
    <w:rsid w:val="00D0225A"/>
    <w:rsid w:val="00D05250"/>
    <w:rsid w:val="00D50A50"/>
    <w:rsid w:val="00D73B10"/>
    <w:rsid w:val="00D93500"/>
    <w:rsid w:val="00DE54DF"/>
    <w:rsid w:val="00E1550F"/>
    <w:rsid w:val="00E222B9"/>
    <w:rsid w:val="00E572C0"/>
    <w:rsid w:val="00E72B96"/>
    <w:rsid w:val="00EA57B7"/>
    <w:rsid w:val="00EE3DD6"/>
    <w:rsid w:val="00FF18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6C2CC"/>
  <w15:chartTrackingRefBased/>
  <w15:docId w15:val="{8CA9F9A5-FAFE-4C02-BB25-D2633BAE0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sz w:val="22"/>
        <w:szCs w:val="24"/>
        <w:lang w:val="en-US" w:eastAsia="en-US" w:bidi="ar-SA"/>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92463"/>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392463"/>
    <w:pPr>
      <w:keepNext/>
      <w:keepLines/>
      <w:spacing w:before="40" w:after="0"/>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392463"/>
    <w:pPr>
      <w:keepNext/>
      <w:keepLines/>
      <w:spacing w:before="40" w:after="0"/>
      <w:outlineLvl w:val="2"/>
    </w:pPr>
    <w:rPr>
      <w:rFonts w:ascii="Times New Roman" w:eastAsiaTheme="majorEastAsia" w:hAnsi="Times New Roman" w:cstheme="majorBidi"/>
      <w:b/>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1DE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11DE9"/>
  </w:style>
  <w:style w:type="paragraph" w:styleId="Footer">
    <w:name w:val="footer"/>
    <w:basedOn w:val="Normal"/>
    <w:link w:val="FooterChar"/>
    <w:uiPriority w:val="99"/>
    <w:unhideWhenUsed/>
    <w:rsid w:val="00A11DE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11DE9"/>
  </w:style>
  <w:style w:type="paragraph" w:styleId="ListParagraph">
    <w:name w:val="List Paragraph"/>
    <w:basedOn w:val="Normal"/>
    <w:uiPriority w:val="34"/>
    <w:qFormat/>
    <w:rsid w:val="000D7794"/>
    <w:pPr>
      <w:ind w:left="720"/>
      <w:contextualSpacing/>
    </w:pPr>
  </w:style>
  <w:style w:type="character" w:styleId="Hyperlink">
    <w:name w:val="Hyperlink"/>
    <w:basedOn w:val="DefaultParagraphFont"/>
    <w:uiPriority w:val="99"/>
    <w:unhideWhenUsed/>
    <w:rsid w:val="000D7794"/>
    <w:rPr>
      <w:color w:val="0563C1" w:themeColor="hyperlink"/>
      <w:u w:val="single"/>
    </w:rPr>
  </w:style>
  <w:style w:type="character" w:styleId="UnresolvedMention">
    <w:name w:val="Unresolved Mention"/>
    <w:basedOn w:val="DefaultParagraphFont"/>
    <w:uiPriority w:val="99"/>
    <w:semiHidden/>
    <w:unhideWhenUsed/>
    <w:rsid w:val="000D7794"/>
    <w:rPr>
      <w:color w:val="605E5C"/>
      <w:shd w:val="clear" w:color="auto" w:fill="E1DFDD"/>
    </w:rPr>
  </w:style>
  <w:style w:type="character" w:styleId="FollowedHyperlink">
    <w:name w:val="FollowedHyperlink"/>
    <w:basedOn w:val="DefaultParagraphFont"/>
    <w:uiPriority w:val="99"/>
    <w:semiHidden/>
    <w:unhideWhenUsed/>
    <w:rsid w:val="000D7794"/>
    <w:rPr>
      <w:color w:val="954F72" w:themeColor="followedHyperlink"/>
      <w:u w:val="single"/>
    </w:rPr>
  </w:style>
  <w:style w:type="table" w:styleId="TableGrid">
    <w:name w:val="Table Grid"/>
    <w:basedOn w:val="TableNormal"/>
    <w:uiPriority w:val="39"/>
    <w:rsid w:val="003276E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C10FA"/>
    <w:pPr>
      <w:spacing w:before="100" w:beforeAutospacing="1" w:after="100" w:afterAutospacing="1" w:line="240" w:lineRule="auto"/>
      <w:jc w:val="left"/>
    </w:pPr>
    <w:rPr>
      <w:rFonts w:ascii="Times New Roman" w:eastAsia="Times New Roman" w:hAnsi="Times New Roman" w:cs="Times New Roman"/>
      <w:sz w:val="24"/>
      <w:lang w:eastAsia="en-GB"/>
    </w:rPr>
  </w:style>
  <w:style w:type="character" w:styleId="Strong">
    <w:name w:val="Strong"/>
    <w:basedOn w:val="DefaultParagraphFont"/>
    <w:uiPriority w:val="22"/>
    <w:qFormat/>
    <w:rsid w:val="009C10FA"/>
    <w:rPr>
      <w:b/>
      <w:bCs/>
    </w:rPr>
  </w:style>
  <w:style w:type="table" w:styleId="GridTable4-Accent6">
    <w:name w:val="Grid Table 4 Accent 6"/>
    <w:basedOn w:val="TableNormal"/>
    <w:uiPriority w:val="49"/>
    <w:rsid w:val="00FF18F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Accent5">
    <w:name w:val="Grid Table 1 Light Accent 5"/>
    <w:basedOn w:val="TableNormal"/>
    <w:uiPriority w:val="46"/>
    <w:rsid w:val="00FF18F1"/>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5B184E"/>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character" w:customStyle="1" w:styleId="mord">
    <w:name w:val="mord"/>
    <w:basedOn w:val="DefaultParagraphFont"/>
    <w:rsid w:val="005B184E"/>
  </w:style>
  <w:style w:type="character" w:customStyle="1" w:styleId="mrel">
    <w:name w:val="mrel"/>
    <w:basedOn w:val="DefaultParagraphFont"/>
    <w:rsid w:val="005B184E"/>
  </w:style>
  <w:style w:type="character" w:customStyle="1" w:styleId="mbin">
    <w:name w:val="mbin"/>
    <w:basedOn w:val="DefaultParagraphFont"/>
    <w:rsid w:val="005B184E"/>
  </w:style>
  <w:style w:type="character" w:customStyle="1" w:styleId="mopen">
    <w:name w:val="mopen"/>
    <w:basedOn w:val="DefaultParagraphFont"/>
    <w:rsid w:val="005B184E"/>
  </w:style>
  <w:style w:type="character" w:customStyle="1" w:styleId="mclose">
    <w:name w:val="mclose"/>
    <w:basedOn w:val="DefaultParagraphFont"/>
    <w:rsid w:val="005B184E"/>
  </w:style>
  <w:style w:type="table" w:styleId="GridTable1Light-Accent2">
    <w:name w:val="Grid Table 1 Light Accent 2"/>
    <w:basedOn w:val="TableNormal"/>
    <w:uiPriority w:val="46"/>
    <w:rsid w:val="002C4242"/>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PlainTable5">
    <w:name w:val="Plain Table 5"/>
    <w:basedOn w:val="TableNormal"/>
    <w:uiPriority w:val="45"/>
    <w:rsid w:val="002C424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6">
    <w:name w:val="Grid Table 1 Light Accent 6"/>
    <w:basedOn w:val="TableNormal"/>
    <w:uiPriority w:val="46"/>
    <w:rsid w:val="002C4242"/>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C4242"/>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A231E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Heading1Char">
    <w:name w:val="Heading 1 Char"/>
    <w:basedOn w:val="DefaultParagraphFont"/>
    <w:link w:val="Heading1"/>
    <w:uiPriority w:val="9"/>
    <w:rsid w:val="00392463"/>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392463"/>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rsid w:val="00392463"/>
    <w:rPr>
      <w:rFonts w:ascii="Times New Roman" w:eastAsiaTheme="majorEastAsia" w:hAnsi="Times New Roman" w:cstheme="majorBidi"/>
      <w:b/>
      <w:color w:val="1F3763" w:themeColor="accent1" w:themeShade="7F"/>
      <w:sz w:val="24"/>
      <w:lang w:val="en-GB"/>
    </w:rPr>
  </w:style>
  <w:style w:type="paragraph" w:styleId="TOCHeading">
    <w:name w:val="TOC Heading"/>
    <w:basedOn w:val="Heading1"/>
    <w:next w:val="Normal"/>
    <w:uiPriority w:val="39"/>
    <w:unhideWhenUsed/>
    <w:qFormat/>
    <w:rsid w:val="009D02B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D02B9"/>
    <w:pPr>
      <w:spacing w:after="100"/>
    </w:pPr>
  </w:style>
  <w:style w:type="paragraph" w:styleId="TOC2">
    <w:name w:val="toc 2"/>
    <w:basedOn w:val="Normal"/>
    <w:next w:val="Normal"/>
    <w:autoRedefine/>
    <w:uiPriority w:val="39"/>
    <w:unhideWhenUsed/>
    <w:rsid w:val="009D02B9"/>
    <w:pPr>
      <w:spacing w:after="100"/>
      <w:ind w:left="220"/>
    </w:pPr>
  </w:style>
  <w:style w:type="paragraph" w:styleId="TOC3">
    <w:name w:val="toc 3"/>
    <w:basedOn w:val="Normal"/>
    <w:next w:val="Normal"/>
    <w:autoRedefine/>
    <w:uiPriority w:val="39"/>
    <w:unhideWhenUsed/>
    <w:rsid w:val="009D02B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785942">
      <w:bodyDiv w:val="1"/>
      <w:marLeft w:val="0"/>
      <w:marRight w:val="0"/>
      <w:marTop w:val="0"/>
      <w:marBottom w:val="0"/>
      <w:divBdr>
        <w:top w:val="none" w:sz="0" w:space="0" w:color="auto"/>
        <w:left w:val="none" w:sz="0" w:space="0" w:color="auto"/>
        <w:bottom w:val="none" w:sz="0" w:space="0" w:color="auto"/>
        <w:right w:val="none" w:sz="0" w:space="0" w:color="auto"/>
      </w:divBdr>
    </w:div>
    <w:div w:id="24908831">
      <w:bodyDiv w:val="1"/>
      <w:marLeft w:val="0"/>
      <w:marRight w:val="0"/>
      <w:marTop w:val="0"/>
      <w:marBottom w:val="0"/>
      <w:divBdr>
        <w:top w:val="none" w:sz="0" w:space="0" w:color="auto"/>
        <w:left w:val="none" w:sz="0" w:space="0" w:color="auto"/>
        <w:bottom w:val="none" w:sz="0" w:space="0" w:color="auto"/>
        <w:right w:val="none" w:sz="0" w:space="0" w:color="auto"/>
      </w:divBdr>
    </w:div>
    <w:div w:id="32267454">
      <w:bodyDiv w:val="1"/>
      <w:marLeft w:val="0"/>
      <w:marRight w:val="0"/>
      <w:marTop w:val="0"/>
      <w:marBottom w:val="0"/>
      <w:divBdr>
        <w:top w:val="none" w:sz="0" w:space="0" w:color="auto"/>
        <w:left w:val="none" w:sz="0" w:space="0" w:color="auto"/>
        <w:bottom w:val="none" w:sz="0" w:space="0" w:color="auto"/>
        <w:right w:val="none" w:sz="0" w:space="0" w:color="auto"/>
      </w:divBdr>
    </w:div>
    <w:div w:id="244581590">
      <w:bodyDiv w:val="1"/>
      <w:marLeft w:val="0"/>
      <w:marRight w:val="0"/>
      <w:marTop w:val="0"/>
      <w:marBottom w:val="0"/>
      <w:divBdr>
        <w:top w:val="none" w:sz="0" w:space="0" w:color="auto"/>
        <w:left w:val="none" w:sz="0" w:space="0" w:color="auto"/>
        <w:bottom w:val="none" w:sz="0" w:space="0" w:color="auto"/>
        <w:right w:val="none" w:sz="0" w:space="0" w:color="auto"/>
      </w:divBdr>
    </w:div>
    <w:div w:id="297809444">
      <w:bodyDiv w:val="1"/>
      <w:marLeft w:val="0"/>
      <w:marRight w:val="0"/>
      <w:marTop w:val="0"/>
      <w:marBottom w:val="0"/>
      <w:divBdr>
        <w:top w:val="none" w:sz="0" w:space="0" w:color="auto"/>
        <w:left w:val="none" w:sz="0" w:space="0" w:color="auto"/>
        <w:bottom w:val="none" w:sz="0" w:space="0" w:color="auto"/>
        <w:right w:val="none" w:sz="0" w:space="0" w:color="auto"/>
      </w:divBdr>
    </w:div>
    <w:div w:id="534080690">
      <w:bodyDiv w:val="1"/>
      <w:marLeft w:val="0"/>
      <w:marRight w:val="0"/>
      <w:marTop w:val="0"/>
      <w:marBottom w:val="0"/>
      <w:divBdr>
        <w:top w:val="none" w:sz="0" w:space="0" w:color="auto"/>
        <w:left w:val="none" w:sz="0" w:space="0" w:color="auto"/>
        <w:bottom w:val="none" w:sz="0" w:space="0" w:color="auto"/>
        <w:right w:val="none" w:sz="0" w:space="0" w:color="auto"/>
      </w:divBdr>
    </w:div>
    <w:div w:id="635259371">
      <w:bodyDiv w:val="1"/>
      <w:marLeft w:val="0"/>
      <w:marRight w:val="0"/>
      <w:marTop w:val="0"/>
      <w:marBottom w:val="0"/>
      <w:divBdr>
        <w:top w:val="none" w:sz="0" w:space="0" w:color="auto"/>
        <w:left w:val="none" w:sz="0" w:space="0" w:color="auto"/>
        <w:bottom w:val="none" w:sz="0" w:space="0" w:color="auto"/>
        <w:right w:val="none" w:sz="0" w:space="0" w:color="auto"/>
      </w:divBdr>
    </w:div>
    <w:div w:id="738749347">
      <w:bodyDiv w:val="1"/>
      <w:marLeft w:val="0"/>
      <w:marRight w:val="0"/>
      <w:marTop w:val="0"/>
      <w:marBottom w:val="0"/>
      <w:divBdr>
        <w:top w:val="none" w:sz="0" w:space="0" w:color="auto"/>
        <w:left w:val="none" w:sz="0" w:space="0" w:color="auto"/>
        <w:bottom w:val="none" w:sz="0" w:space="0" w:color="auto"/>
        <w:right w:val="none" w:sz="0" w:space="0" w:color="auto"/>
      </w:divBdr>
    </w:div>
    <w:div w:id="807631694">
      <w:bodyDiv w:val="1"/>
      <w:marLeft w:val="0"/>
      <w:marRight w:val="0"/>
      <w:marTop w:val="0"/>
      <w:marBottom w:val="0"/>
      <w:divBdr>
        <w:top w:val="none" w:sz="0" w:space="0" w:color="auto"/>
        <w:left w:val="none" w:sz="0" w:space="0" w:color="auto"/>
        <w:bottom w:val="none" w:sz="0" w:space="0" w:color="auto"/>
        <w:right w:val="none" w:sz="0" w:space="0" w:color="auto"/>
      </w:divBdr>
    </w:div>
    <w:div w:id="932015403">
      <w:bodyDiv w:val="1"/>
      <w:marLeft w:val="0"/>
      <w:marRight w:val="0"/>
      <w:marTop w:val="0"/>
      <w:marBottom w:val="0"/>
      <w:divBdr>
        <w:top w:val="none" w:sz="0" w:space="0" w:color="auto"/>
        <w:left w:val="none" w:sz="0" w:space="0" w:color="auto"/>
        <w:bottom w:val="none" w:sz="0" w:space="0" w:color="auto"/>
        <w:right w:val="none" w:sz="0" w:space="0" w:color="auto"/>
      </w:divBdr>
    </w:div>
    <w:div w:id="1532835962">
      <w:bodyDiv w:val="1"/>
      <w:marLeft w:val="0"/>
      <w:marRight w:val="0"/>
      <w:marTop w:val="0"/>
      <w:marBottom w:val="0"/>
      <w:divBdr>
        <w:top w:val="none" w:sz="0" w:space="0" w:color="auto"/>
        <w:left w:val="none" w:sz="0" w:space="0" w:color="auto"/>
        <w:bottom w:val="none" w:sz="0" w:space="0" w:color="auto"/>
        <w:right w:val="none" w:sz="0" w:space="0" w:color="auto"/>
      </w:divBdr>
    </w:div>
    <w:div w:id="1817063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ifrs.org/issued-standards/list-of-standards/ifrs-16-leases/?utm_source=chatgpt.com"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financialreports.eu/filings/tesco-plc/annual-report/2025/5894772/"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B74F3D-91D8-4552-BB09-67C5F2F04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29</Pages>
  <Words>6230</Words>
  <Characters>35511</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forid shah</dc:creator>
  <cp:keywords/>
  <dc:description/>
  <cp:lastModifiedBy>Md Sakib Ahmed</cp:lastModifiedBy>
  <cp:revision>8</cp:revision>
  <dcterms:created xsi:type="dcterms:W3CDTF">2026-01-02T11:57:00Z</dcterms:created>
  <dcterms:modified xsi:type="dcterms:W3CDTF">2026-01-05T15:06:00Z</dcterms:modified>
</cp:coreProperties>
</file>