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B9171" w14:textId="77777777" w:rsidR="00471AA3" w:rsidRDefault="00471AA3" w:rsidP="001F5EF7">
      <w:pPr>
        <w:spacing w:line="480" w:lineRule="auto"/>
      </w:pPr>
      <w:r w:rsidRPr="00471AA3">
        <w:rPr>
          <w:b/>
          <w:noProof/>
          <w:sz w:val="32"/>
          <w:lang w:val="en-IN" w:eastAsia="en-IN"/>
        </w:rPr>
        <w:drawing>
          <wp:anchor distT="0" distB="0" distL="114300" distR="114300" simplePos="0" relativeHeight="251658240" behindDoc="0" locked="0" layoutInCell="1" allowOverlap="1" wp14:anchorId="41E681A8" wp14:editId="4308E572">
            <wp:simplePos x="0" y="0"/>
            <wp:positionH relativeFrom="margin">
              <wp:align>center</wp:align>
            </wp:positionH>
            <wp:positionV relativeFrom="margin">
              <wp:posOffset>17929</wp:posOffset>
            </wp:positionV>
            <wp:extent cx="2687320" cy="1075690"/>
            <wp:effectExtent l="0" t="0" r="0" b="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87320" cy="1075690"/>
                    </a:xfrm>
                    <a:prstGeom prst="rect">
                      <a:avLst/>
                    </a:prstGeom>
                  </pic:spPr>
                </pic:pic>
              </a:graphicData>
            </a:graphic>
            <wp14:sizeRelH relativeFrom="margin">
              <wp14:pctWidth>0</wp14:pctWidth>
            </wp14:sizeRelH>
            <wp14:sizeRelV relativeFrom="margin">
              <wp14:pctHeight>0</wp14:pctHeight>
            </wp14:sizeRelV>
          </wp:anchor>
        </w:drawing>
      </w:r>
    </w:p>
    <w:p w14:paraId="2AA76DA6" w14:textId="77777777" w:rsidR="00471AA3" w:rsidRDefault="00471AA3" w:rsidP="001F5EF7">
      <w:pPr>
        <w:spacing w:line="480" w:lineRule="auto"/>
      </w:pPr>
    </w:p>
    <w:p w14:paraId="74264BB9" w14:textId="77777777" w:rsidR="00471AA3" w:rsidRDefault="00471AA3" w:rsidP="001F5EF7">
      <w:pPr>
        <w:spacing w:line="480" w:lineRule="auto"/>
      </w:pPr>
    </w:p>
    <w:p w14:paraId="7C33F0EA" w14:textId="77777777" w:rsidR="00471AA3" w:rsidRDefault="00471AA3" w:rsidP="001F5EF7">
      <w:pPr>
        <w:spacing w:line="480" w:lineRule="auto"/>
        <w:jc w:val="center"/>
      </w:pPr>
    </w:p>
    <w:p w14:paraId="6FAE32D2" w14:textId="77777777" w:rsidR="00471AA3" w:rsidRPr="001F5EF7" w:rsidRDefault="00471AA3" w:rsidP="001F5EF7">
      <w:pPr>
        <w:tabs>
          <w:tab w:val="left" w:pos="2768"/>
        </w:tabs>
        <w:spacing w:line="480" w:lineRule="auto"/>
        <w:jc w:val="center"/>
        <w:rPr>
          <w:rFonts w:cs="Times New Roman"/>
          <w:sz w:val="32"/>
          <w:szCs w:val="32"/>
        </w:rPr>
      </w:pPr>
      <w:r>
        <w:rPr>
          <w:rFonts w:cs="Times New Roman"/>
          <w:sz w:val="40"/>
          <w:szCs w:val="40"/>
        </w:rPr>
        <w:t>International Business</w:t>
      </w:r>
      <w:r w:rsidRPr="00467D62">
        <w:rPr>
          <w:rFonts w:cs="Times New Roman"/>
          <w:sz w:val="40"/>
          <w:szCs w:val="40"/>
        </w:rPr>
        <w:t xml:space="preserve"> </w:t>
      </w:r>
      <w:r w:rsidRPr="00306CE9">
        <w:rPr>
          <w:rFonts w:cs="Times New Roman"/>
          <w:sz w:val="40"/>
          <w:szCs w:val="40"/>
        </w:rPr>
        <w:t>LCMB7014</w:t>
      </w:r>
    </w:p>
    <w:p w14:paraId="08E09F33" w14:textId="77777777" w:rsidR="00DF4E91" w:rsidRPr="001F5EF7" w:rsidRDefault="00471AA3" w:rsidP="001F5EF7">
      <w:pPr>
        <w:spacing w:line="480" w:lineRule="auto"/>
        <w:jc w:val="center"/>
        <w:rPr>
          <w:b/>
          <w:sz w:val="40"/>
        </w:rPr>
      </w:pPr>
      <w:r w:rsidRPr="001F5EF7">
        <w:rPr>
          <w:b/>
          <w:sz w:val="40"/>
        </w:rPr>
        <w:t>Harley Davidsons International Business in Australia</w:t>
      </w:r>
    </w:p>
    <w:p w14:paraId="2C481336" w14:textId="77777777" w:rsidR="00471AA3" w:rsidRDefault="00471AA3" w:rsidP="001F5EF7">
      <w:pPr>
        <w:spacing w:line="480" w:lineRule="auto"/>
        <w:jc w:val="center"/>
      </w:pPr>
      <w:r>
        <w:rPr>
          <w:noProof/>
          <w:lang w:val="en-IN" w:eastAsia="en-IN"/>
        </w:rPr>
        <w:drawing>
          <wp:anchor distT="0" distB="0" distL="114300" distR="114300" simplePos="0" relativeHeight="251659264" behindDoc="1" locked="0" layoutInCell="1" allowOverlap="1" wp14:anchorId="475710F8" wp14:editId="7232C9AA">
            <wp:simplePos x="0" y="0"/>
            <wp:positionH relativeFrom="margin">
              <wp:align>center</wp:align>
            </wp:positionH>
            <wp:positionV relativeFrom="paragraph">
              <wp:posOffset>18415</wp:posOffset>
            </wp:positionV>
            <wp:extent cx="2711450" cy="2115185"/>
            <wp:effectExtent l="0" t="0" r="0" b="0"/>
            <wp:wrapTight wrapText="bothSides">
              <wp:wrapPolygon edited="0">
                <wp:start x="10319" y="0"/>
                <wp:lineTo x="3187" y="2918"/>
                <wp:lineTo x="3187" y="6225"/>
                <wp:lineTo x="0" y="6420"/>
                <wp:lineTo x="0" y="14785"/>
                <wp:lineTo x="2580" y="15563"/>
                <wp:lineTo x="5615" y="18870"/>
                <wp:lineTo x="9257" y="21399"/>
                <wp:lineTo x="9561" y="21399"/>
                <wp:lineTo x="11989" y="21399"/>
                <wp:lineTo x="12292" y="21399"/>
                <wp:lineTo x="15934" y="18870"/>
                <wp:lineTo x="18970" y="15563"/>
                <wp:lineTo x="21398" y="14785"/>
                <wp:lineTo x="21398" y="6420"/>
                <wp:lineTo x="18363" y="6225"/>
                <wp:lineTo x="18514" y="2918"/>
                <wp:lineTo x="11230" y="0"/>
                <wp:lineTo x="10319" y="0"/>
              </wp:wrapPolygon>
            </wp:wrapTight>
            <wp:docPr id="1" name="Picture 1" descr="C:\Users\pjgaj\Desktop\harley-davidson-png-images-49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harley-davidson-png-images-4921.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1450" cy="2115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15D47C" w14:textId="77777777" w:rsidR="00471AA3" w:rsidRDefault="00471AA3" w:rsidP="001F5EF7">
      <w:pPr>
        <w:spacing w:line="480" w:lineRule="auto"/>
        <w:jc w:val="center"/>
      </w:pPr>
    </w:p>
    <w:p w14:paraId="34857908" w14:textId="77777777" w:rsidR="00471AA3" w:rsidRDefault="00471AA3" w:rsidP="001F5EF7">
      <w:pPr>
        <w:spacing w:line="480" w:lineRule="auto"/>
        <w:jc w:val="center"/>
      </w:pPr>
    </w:p>
    <w:p w14:paraId="7F80F587" w14:textId="77777777" w:rsidR="00471AA3" w:rsidRDefault="00471AA3" w:rsidP="001F5EF7">
      <w:pPr>
        <w:spacing w:line="480" w:lineRule="auto"/>
        <w:jc w:val="center"/>
      </w:pPr>
    </w:p>
    <w:p w14:paraId="11584324" w14:textId="77777777" w:rsidR="00471AA3" w:rsidRDefault="00471AA3" w:rsidP="001F5EF7">
      <w:pPr>
        <w:spacing w:line="480" w:lineRule="auto"/>
        <w:jc w:val="center"/>
      </w:pPr>
    </w:p>
    <w:p w14:paraId="021482BD" w14:textId="77777777" w:rsidR="00471AA3" w:rsidRPr="00467D62" w:rsidRDefault="00471AA3" w:rsidP="001F5EF7">
      <w:pPr>
        <w:spacing w:line="480" w:lineRule="auto"/>
        <w:jc w:val="right"/>
        <w:rPr>
          <w:rFonts w:cs="Times New Roman"/>
          <w:szCs w:val="24"/>
        </w:rPr>
      </w:pPr>
    </w:p>
    <w:p w14:paraId="67E84B26"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Student name: </w:t>
      </w:r>
      <w:r>
        <w:rPr>
          <w:rFonts w:cs="Times New Roman"/>
          <w:sz w:val="28"/>
          <w:szCs w:val="28"/>
        </w:rPr>
        <w:t>Preet Gajera</w:t>
      </w:r>
    </w:p>
    <w:p w14:paraId="5597DD61"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Student Number: </w:t>
      </w:r>
      <w:r>
        <w:rPr>
          <w:rFonts w:cs="Times New Roman"/>
          <w:sz w:val="28"/>
          <w:szCs w:val="28"/>
        </w:rPr>
        <w:t>2212232</w:t>
      </w:r>
    </w:p>
    <w:p w14:paraId="3E14A449"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Lecturer: Dr </w:t>
      </w:r>
      <w:r>
        <w:rPr>
          <w:rFonts w:cs="Times New Roman"/>
          <w:sz w:val="28"/>
          <w:szCs w:val="28"/>
        </w:rPr>
        <w:t>Hossein Shokri</w:t>
      </w:r>
    </w:p>
    <w:p w14:paraId="38EF5A63" w14:textId="77777777" w:rsidR="00471AA3" w:rsidRPr="00467D62" w:rsidRDefault="00471AA3" w:rsidP="001F5EF7">
      <w:pPr>
        <w:spacing w:line="480" w:lineRule="auto"/>
        <w:rPr>
          <w:rFonts w:cs="Times New Roman"/>
          <w:sz w:val="28"/>
          <w:szCs w:val="28"/>
        </w:rPr>
      </w:pPr>
      <w:r w:rsidRPr="00467D62">
        <w:rPr>
          <w:rFonts w:cs="Times New Roman"/>
          <w:sz w:val="28"/>
          <w:szCs w:val="28"/>
        </w:rPr>
        <w:t xml:space="preserve">Submission Date: </w:t>
      </w:r>
    </w:p>
    <w:p w14:paraId="516B67F2" w14:textId="77777777" w:rsidR="00471AA3" w:rsidRDefault="00471AA3" w:rsidP="001F5EF7">
      <w:pPr>
        <w:spacing w:line="480" w:lineRule="auto"/>
        <w:jc w:val="left"/>
      </w:pPr>
    </w:p>
    <w:sdt>
      <w:sdtPr>
        <w:rPr>
          <w:rFonts w:ascii="Times New Roman" w:eastAsiaTheme="minorHAnsi" w:hAnsi="Times New Roman" w:cstheme="minorBidi"/>
          <w:color w:val="auto"/>
          <w:sz w:val="24"/>
          <w:szCs w:val="22"/>
          <w:lang w:val="en-GB"/>
        </w:rPr>
        <w:id w:val="1721475789"/>
        <w:docPartObj>
          <w:docPartGallery w:val="Table of Contents"/>
          <w:docPartUnique/>
        </w:docPartObj>
      </w:sdtPr>
      <w:sdtEndPr>
        <w:rPr>
          <w:b/>
          <w:bCs/>
          <w:noProof/>
        </w:rPr>
      </w:sdtEndPr>
      <w:sdtContent>
        <w:p w14:paraId="244E2DC9" w14:textId="60AC3230" w:rsidR="00E844FF" w:rsidRDefault="00E844FF">
          <w:pPr>
            <w:pStyle w:val="TOCHeading"/>
          </w:pPr>
          <w:r>
            <w:t>Table of Contents</w:t>
          </w:r>
        </w:p>
        <w:p w14:paraId="0BA59208" w14:textId="4998E6C4" w:rsidR="00B11EB4" w:rsidRDefault="00E844FF">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3247240" w:history="1">
            <w:r w:rsidR="00B11EB4" w:rsidRPr="008023E9">
              <w:rPr>
                <w:rStyle w:val="Hyperlink"/>
                <w:noProof/>
              </w:rPr>
              <w:t>Introduction</w:t>
            </w:r>
            <w:r w:rsidR="00B11EB4">
              <w:rPr>
                <w:noProof/>
                <w:webHidden/>
              </w:rPr>
              <w:tab/>
            </w:r>
            <w:r w:rsidR="00B11EB4">
              <w:rPr>
                <w:noProof/>
                <w:webHidden/>
              </w:rPr>
              <w:fldChar w:fldCharType="begin"/>
            </w:r>
            <w:r w:rsidR="00B11EB4">
              <w:rPr>
                <w:noProof/>
                <w:webHidden/>
              </w:rPr>
              <w:instrText xml:space="preserve"> PAGEREF _Toc133247240 \h </w:instrText>
            </w:r>
            <w:r w:rsidR="00B11EB4">
              <w:rPr>
                <w:noProof/>
                <w:webHidden/>
              </w:rPr>
            </w:r>
            <w:r w:rsidR="00B11EB4">
              <w:rPr>
                <w:noProof/>
                <w:webHidden/>
              </w:rPr>
              <w:fldChar w:fldCharType="separate"/>
            </w:r>
            <w:r w:rsidR="00B11EB4">
              <w:rPr>
                <w:noProof/>
                <w:webHidden/>
              </w:rPr>
              <w:t>3</w:t>
            </w:r>
            <w:r w:rsidR="00B11EB4">
              <w:rPr>
                <w:noProof/>
                <w:webHidden/>
              </w:rPr>
              <w:fldChar w:fldCharType="end"/>
            </w:r>
          </w:hyperlink>
        </w:p>
        <w:p w14:paraId="69DFF77F" w14:textId="7A2E59E3" w:rsidR="00B11EB4" w:rsidRDefault="00000000">
          <w:pPr>
            <w:pStyle w:val="TOC1"/>
            <w:tabs>
              <w:tab w:val="right" w:leader="dot" w:pos="9016"/>
            </w:tabs>
            <w:rPr>
              <w:rFonts w:asciiTheme="minorHAnsi" w:eastAsiaTheme="minorEastAsia" w:hAnsiTheme="minorHAnsi"/>
              <w:noProof/>
              <w:sz w:val="22"/>
              <w:lang w:val="en-IN" w:eastAsia="en-IN"/>
            </w:rPr>
          </w:pPr>
          <w:hyperlink w:anchor="_Toc133247241" w:history="1">
            <w:r w:rsidR="00B11EB4" w:rsidRPr="008023E9">
              <w:rPr>
                <w:rStyle w:val="Hyperlink"/>
                <w:noProof/>
              </w:rPr>
              <w:t>Company Background</w:t>
            </w:r>
            <w:r w:rsidR="00B11EB4">
              <w:rPr>
                <w:noProof/>
                <w:webHidden/>
              </w:rPr>
              <w:tab/>
            </w:r>
            <w:r w:rsidR="00B11EB4">
              <w:rPr>
                <w:noProof/>
                <w:webHidden/>
              </w:rPr>
              <w:fldChar w:fldCharType="begin"/>
            </w:r>
            <w:r w:rsidR="00B11EB4">
              <w:rPr>
                <w:noProof/>
                <w:webHidden/>
              </w:rPr>
              <w:instrText xml:space="preserve"> PAGEREF _Toc133247241 \h </w:instrText>
            </w:r>
            <w:r w:rsidR="00B11EB4">
              <w:rPr>
                <w:noProof/>
                <w:webHidden/>
              </w:rPr>
            </w:r>
            <w:r w:rsidR="00B11EB4">
              <w:rPr>
                <w:noProof/>
                <w:webHidden/>
              </w:rPr>
              <w:fldChar w:fldCharType="separate"/>
            </w:r>
            <w:r w:rsidR="00B11EB4">
              <w:rPr>
                <w:noProof/>
                <w:webHidden/>
              </w:rPr>
              <w:t>3</w:t>
            </w:r>
            <w:r w:rsidR="00B11EB4">
              <w:rPr>
                <w:noProof/>
                <w:webHidden/>
              </w:rPr>
              <w:fldChar w:fldCharType="end"/>
            </w:r>
          </w:hyperlink>
        </w:p>
        <w:p w14:paraId="5026C4FD" w14:textId="61C64DF4" w:rsidR="00B11EB4" w:rsidRDefault="00000000">
          <w:pPr>
            <w:pStyle w:val="TOC2"/>
            <w:tabs>
              <w:tab w:val="right" w:leader="dot" w:pos="9016"/>
            </w:tabs>
            <w:rPr>
              <w:rFonts w:asciiTheme="minorHAnsi" w:eastAsiaTheme="minorEastAsia" w:hAnsiTheme="minorHAnsi"/>
              <w:noProof/>
              <w:sz w:val="22"/>
              <w:lang w:val="en-IN" w:eastAsia="en-IN"/>
            </w:rPr>
          </w:pPr>
          <w:hyperlink w:anchor="_Toc133247242" w:history="1">
            <w:r w:rsidR="00B11EB4" w:rsidRPr="008023E9">
              <w:rPr>
                <w:rStyle w:val="Hyperlink"/>
                <w:noProof/>
              </w:rPr>
              <w:t>Company’s Objective and Strategies</w:t>
            </w:r>
            <w:r w:rsidR="00B11EB4">
              <w:rPr>
                <w:noProof/>
                <w:webHidden/>
              </w:rPr>
              <w:tab/>
            </w:r>
            <w:r w:rsidR="00B11EB4">
              <w:rPr>
                <w:noProof/>
                <w:webHidden/>
              </w:rPr>
              <w:fldChar w:fldCharType="begin"/>
            </w:r>
            <w:r w:rsidR="00B11EB4">
              <w:rPr>
                <w:noProof/>
                <w:webHidden/>
              </w:rPr>
              <w:instrText xml:space="preserve"> PAGEREF _Toc133247242 \h </w:instrText>
            </w:r>
            <w:r w:rsidR="00B11EB4">
              <w:rPr>
                <w:noProof/>
                <w:webHidden/>
              </w:rPr>
            </w:r>
            <w:r w:rsidR="00B11EB4">
              <w:rPr>
                <w:noProof/>
                <w:webHidden/>
              </w:rPr>
              <w:fldChar w:fldCharType="separate"/>
            </w:r>
            <w:r w:rsidR="00B11EB4">
              <w:rPr>
                <w:noProof/>
                <w:webHidden/>
              </w:rPr>
              <w:t>3</w:t>
            </w:r>
            <w:r w:rsidR="00B11EB4">
              <w:rPr>
                <w:noProof/>
                <w:webHidden/>
              </w:rPr>
              <w:fldChar w:fldCharType="end"/>
            </w:r>
          </w:hyperlink>
        </w:p>
        <w:p w14:paraId="7A5FEF6E" w14:textId="49DC1FB8" w:rsidR="00B11EB4" w:rsidRDefault="00000000">
          <w:pPr>
            <w:pStyle w:val="TOC3"/>
            <w:tabs>
              <w:tab w:val="right" w:leader="dot" w:pos="9016"/>
            </w:tabs>
            <w:rPr>
              <w:rFonts w:asciiTheme="minorHAnsi" w:eastAsiaTheme="minorEastAsia" w:hAnsiTheme="minorHAnsi"/>
              <w:noProof/>
              <w:sz w:val="22"/>
              <w:lang w:val="en-IN" w:eastAsia="en-IN"/>
            </w:rPr>
          </w:pPr>
          <w:hyperlink w:anchor="_Toc133247243" w:history="1">
            <w:r w:rsidR="00B11EB4" w:rsidRPr="008023E9">
              <w:rPr>
                <w:rStyle w:val="Hyperlink"/>
                <w:noProof/>
              </w:rPr>
              <w:t>Mission</w:t>
            </w:r>
            <w:r w:rsidR="00B11EB4">
              <w:rPr>
                <w:noProof/>
                <w:webHidden/>
              </w:rPr>
              <w:tab/>
            </w:r>
            <w:r w:rsidR="00B11EB4">
              <w:rPr>
                <w:noProof/>
                <w:webHidden/>
              </w:rPr>
              <w:fldChar w:fldCharType="begin"/>
            </w:r>
            <w:r w:rsidR="00B11EB4">
              <w:rPr>
                <w:noProof/>
                <w:webHidden/>
              </w:rPr>
              <w:instrText xml:space="preserve"> PAGEREF _Toc133247243 \h </w:instrText>
            </w:r>
            <w:r w:rsidR="00B11EB4">
              <w:rPr>
                <w:noProof/>
                <w:webHidden/>
              </w:rPr>
            </w:r>
            <w:r w:rsidR="00B11EB4">
              <w:rPr>
                <w:noProof/>
                <w:webHidden/>
              </w:rPr>
              <w:fldChar w:fldCharType="separate"/>
            </w:r>
            <w:r w:rsidR="00B11EB4">
              <w:rPr>
                <w:noProof/>
                <w:webHidden/>
              </w:rPr>
              <w:t>3</w:t>
            </w:r>
            <w:r w:rsidR="00B11EB4">
              <w:rPr>
                <w:noProof/>
                <w:webHidden/>
              </w:rPr>
              <w:fldChar w:fldCharType="end"/>
            </w:r>
          </w:hyperlink>
        </w:p>
        <w:p w14:paraId="4D7140C7" w14:textId="14019D9A" w:rsidR="00B11EB4" w:rsidRDefault="00000000">
          <w:pPr>
            <w:pStyle w:val="TOC3"/>
            <w:tabs>
              <w:tab w:val="right" w:leader="dot" w:pos="9016"/>
            </w:tabs>
            <w:rPr>
              <w:rFonts w:asciiTheme="minorHAnsi" w:eastAsiaTheme="minorEastAsia" w:hAnsiTheme="minorHAnsi"/>
              <w:noProof/>
              <w:sz w:val="22"/>
              <w:lang w:val="en-IN" w:eastAsia="en-IN"/>
            </w:rPr>
          </w:pPr>
          <w:hyperlink w:anchor="_Toc133247244" w:history="1">
            <w:r w:rsidR="00B11EB4" w:rsidRPr="008023E9">
              <w:rPr>
                <w:rStyle w:val="Hyperlink"/>
                <w:noProof/>
              </w:rPr>
              <w:t>Vision</w:t>
            </w:r>
            <w:r w:rsidR="00B11EB4">
              <w:rPr>
                <w:noProof/>
                <w:webHidden/>
              </w:rPr>
              <w:tab/>
            </w:r>
            <w:r w:rsidR="00B11EB4">
              <w:rPr>
                <w:noProof/>
                <w:webHidden/>
              </w:rPr>
              <w:fldChar w:fldCharType="begin"/>
            </w:r>
            <w:r w:rsidR="00B11EB4">
              <w:rPr>
                <w:noProof/>
                <w:webHidden/>
              </w:rPr>
              <w:instrText xml:space="preserve"> PAGEREF _Toc133247244 \h </w:instrText>
            </w:r>
            <w:r w:rsidR="00B11EB4">
              <w:rPr>
                <w:noProof/>
                <w:webHidden/>
              </w:rPr>
            </w:r>
            <w:r w:rsidR="00B11EB4">
              <w:rPr>
                <w:noProof/>
                <w:webHidden/>
              </w:rPr>
              <w:fldChar w:fldCharType="separate"/>
            </w:r>
            <w:r w:rsidR="00B11EB4">
              <w:rPr>
                <w:noProof/>
                <w:webHidden/>
              </w:rPr>
              <w:t>3</w:t>
            </w:r>
            <w:r w:rsidR="00B11EB4">
              <w:rPr>
                <w:noProof/>
                <w:webHidden/>
              </w:rPr>
              <w:fldChar w:fldCharType="end"/>
            </w:r>
          </w:hyperlink>
        </w:p>
        <w:p w14:paraId="0CCEE8D7" w14:textId="2BB1E331" w:rsidR="00B11EB4" w:rsidRDefault="00000000">
          <w:pPr>
            <w:pStyle w:val="TOC3"/>
            <w:tabs>
              <w:tab w:val="right" w:leader="dot" w:pos="9016"/>
            </w:tabs>
            <w:rPr>
              <w:rFonts w:asciiTheme="minorHAnsi" w:eastAsiaTheme="minorEastAsia" w:hAnsiTheme="minorHAnsi"/>
              <w:noProof/>
              <w:sz w:val="22"/>
              <w:lang w:val="en-IN" w:eastAsia="en-IN"/>
            </w:rPr>
          </w:pPr>
          <w:hyperlink w:anchor="_Toc133247245" w:history="1">
            <w:r w:rsidR="00B11EB4" w:rsidRPr="008023E9">
              <w:rPr>
                <w:rStyle w:val="Hyperlink"/>
                <w:noProof/>
              </w:rPr>
              <w:t>Ambition</w:t>
            </w:r>
            <w:r w:rsidR="00B11EB4">
              <w:rPr>
                <w:noProof/>
                <w:webHidden/>
              </w:rPr>
              <w:tab/>
            </w:r>
            <w:r w:rsidR="00B11EB4">
              <w:rPr>
                <w:noProof/>
                <w:webHidden/>
              </w:rPr>
              <w:fldChar w:fldCharType="begin"/>
            </w:r>
            <w:r w:rsidR="00B11EB4">
              <w:rPr>
                <w:noProof/>
                <w:webHidden/>
              </w:rPr>
              <w:instrText xml:space="preserve"> PAGEREF _Toc133247245 \h </w:instrText>
            </w:r>
            <w:r w:rsidR="00B11EB4">
              <w:rPr>
                <w:noProof/>
                <w:webHidden/>
              </w:rPr>
            </w:r>
            <w:r w:rsidR="00B11EB4">
              <w:rPr>
                <w:noProof/>
                <w:webHidden/>
              </w:rPr>
              <w:fldChar w:fldCharType="separate"/>
            </w:r>
            <w:r w:rsidR="00B11EB4">
              <w:rPr>
                <w:noProof/>
                <w:webHidden/>
              </w:rPr>
              <w:t>4</w:t>
            </w:r>
            <w:r w:rsidR="00B11EB4">
              <w:rPr>
                <w:noProof/>
                <w:webHidden/>
              </w:rPr>
              <w:fldChar w:fldCharType="end"/>
            </w:r>
          </w:hyperlink>
        </w:p>
        <w:p w14:paraId="78C72BB6" w14:textId="286FF028" w:rsidR="00B11EB4" w:rsidRDefault="00000000">
          <w:pPr>
            <w:pStyle w:val="TOC3"/>
            <w:tabs>
              <w:tab w:val="right" w:leader="dot" w:pos="9016"/>
            </w:tabs>
            <w:rPr>
              <w:rFonts w:asciiTheme="minorHAnsi" w:eastAsiaTheme="minorEastAsia" w:hAnsiTheme="minorHAnsi"/>
              <w:noProof/>
              <w:sz w:val="22"/>
              <w:lang w:val="en-IN" w:eastAsia="en-IN"/>
            </w:rPr>
          </w:pPr>
          <w:hyperlink w:anchor="_Toc133247246" w:history="1">
            <w:r w:rsidR="00B11EB4" w:rsidRPr="008023E9">
              <w:rPr>
                <w:rStyle w:val="Hyperlink"/>
                <w:noProof/>
              </w:rPr>
              <w:t>Strategic Plan</w:t>
            </w:r>
            <w:r w:rsidR="00B11EB4">
              <w:rPr>
                <w:noProof/>
                <w:webHidden/>
              </w:rPr>
              <w:tab/>
            </w:r>
            <w:r w:rsidR="00B11EB4">
              <w:rPr>
                <w:noProof/>
                <w:webHidden/>
              </w:rPr>
              <w:fldChar w:fldCharType="begin"/>
            </w:r>
            <w:r w:rsidR="00B11EB4">
              <w:rPr>
                <w:noProof/>
                <w:webHidden/>
              </w:rPr>
              <w:instrText xml:space="preserve"> PAGEREF _Toc133247246 \h </w:instrText>
            </w:r>
            <w:r w:rsidR="00B11EB4">
              <w:rPr>
                <w:noProof/>
                <w:webHidden/>
              </w:rPr>
            </w:r>
            <w:r w:rsidR="00B11EB4">
              <w:rPr>
                <w:noProof/>
                <w:webHidden/>
              </w:rPr>
              <w:fldChar w:fldCharType="separate"/>
            </w:r>
            <w:r w:rsidR="00B11EB4">
              <w:rPr>
                <w:noProof/>
                <w:webHidden/>
              </w:rPr>
              <w:t>4</w:t>
            </w:r>
            <w:r w:rsidR="00B11EB4">
              <w:rPr>
                <w:noProof/>
                <w:webHidden/>
              </w:rPr>
              <w:fldChar w:fldCharType="end"/>
            </w:r>
          </w:hyperlink>
        </w:p>
        <w:p w14:paraId="0BE4DA62" w14:textId="26832FF3" w:rsidR="00B11EB4" w:rsidRDefault="00000000">
          <w:pPr>
            <w:pStyle w:val="TOC1"/>
            <w:tabs>
              <w:tab w:val="right" w:leader="dot" w:pos="9016"/>
            </w:tabs>
            <w:rPr>
              <w:rFonts w:asciiTheme="minorHAnsi" w:eastAsiaTheme="minorEastAsia" w:hAnsiTheme="minorHAnsi"/>
              <w:noProof/>
              <w:sz w:val="22"/>
              <w:lang w:val="en-IN" w:eastAsia="en-IN"/>
            </w:rPr>
          </w:pPr>
          <w:hyperlink w:anchor="_Toc133247247" w:history="1">
            <w:r w:rsidR="00B11EB4" w:rsidRPr="008023E9">
              <w:rPr>
                <w:rStyle w:val="Hyperlink"/>
                <w:noProof/>
              </w:rPr>
              <w:t>Countries Specification</w:t>
            </w:r>
            <w:r w:rsidR="00B11EB4">
              <w:rPr>
                <w:noProof/>
                <w:webHidden/>
              </w:rPr>
              <w:tab/>
            </w:r>
            <w:r w:rsidR="00B11EB4">
              <w:rPr>
                <w:noProof/>
                <w:webHidden/>
              </w:rPr>
              <w:fldChar w:fldCharType="begin"/>
            </w:r>
            <w:r w:rsidR="00B11EB4">
              <w:rPr>
                <w:noProof/>
                <w:webHidden/>
              </w:rPr>
              <w:instrText xml:space="preserve"> PAGEREF _Toc133247247 \h </w:instrText>
            </w:r>
            <w:r w:rsidR="00B11EB4">
              <w:rPr>
                <w:noProof/>
                <w:webHidden/>
              </w:rPr>
            </w:r>
            <w:r w:rsidR="00B11EB4">
              <w:rPr>
                <w:noProof/>
                <w:webHidden/>
              </w:rPr>
              <w:fldChar w:fldCharType="separate"/>
            </w:r>
            <w:r w:rsidR="00B11EB4">
              <w:rPr>
                <w:noProof/>
                <w:webHidden/>
              </w:rPr>
              <w:t>4</w:t>
            </w:r>
            <w:r w:rsidR="00B11EB4">
              <w:rPr>
                <w:noProof/>
                <w:webHidden/>
              </w:rPr>
              <w:fldChar w:fldCharType="end"/>
            </w:r>
          </w:hyperlink>
        </w:p>
        <w:p w14:paraId="659A9F6A" w14:textId="6407BFDF" w:rsidR="00B11EB4" w:rsidRDefault="00000000">
          <w:pPr>
            <w:pStyle w:val="TOC1"/>
            <w:tabs>
              <w:tab w:val="right" w:leader="dot" w:pos="9016"/>
            </w:tabs>
            <w:rPr>
              <w:rFonts w:asciiTheme="minorHAnsi" w:eastAsiaTheme="minorEastAsia" w:hAnsiTheme="minorHAnsi"/>
              <w:noProof/>
              <w:sz w:val="22"/>
              <w:lang w:val="en-IN" w:eastAsia="en-IN"/>
            </w:rPr>
          </w:pPr>
          <w:hyperlink w:anchor="_Toc133247248" w:history="1">
            <w:r w:rsidR="00B11EB4" w:rsidRPr="008023E9">
              <w:rPr>
                <w:rStyle w:val="Hyperlink"/>
                <w:noProof/>
              </w:rPr>
              <w:t>Home Country</w:t>
            </w:r>
            <w:r w:rsidR="00B11EB4">
              <w:rPr>
                <w:noProof/>
                <w:webHidden/>
              </w:rPr>
              <w:tab/>
            </w:r>
            <w:r w:rsidR="00B11EB4">
              <w:rPr>
                <w:noProof/>
                <w:webHidden/>
              </w:rPr>
              <w:fldChar w:fldCharType="begin"/>
            </w:r>
            <w:r w:rsidR="00B11EB4">
              <w:rPr>
                <w:noProof/>
                <w:webHidden/>
              </w:rPr>
              <w:instrText xml:space="preserve"> PAGEREF _Toc133247248 \h </w:instrText>
            </w:r>
            <w:r w:rsidR="00B11EB4">
              <w:rPr>
                <w:noProof/>
                <w:webHidden/>
              </w:rPr>
            </w:r>
            <w:r w:rsidR="00B11EB4">
              <w:rPr>
                <w:noProof/>
                <w:webHidden/>
              </w:rPr>
              <w:fldChar w:fldCharType="separate"/>
            </w:r>
            <w:r w:rsidR="00B11EB4">
              <w:rPr>
                <w:noProof/>
                <w:webHidden/>
              </w:rPr>
              <w:t>5</w:t>
            </w:r>
            <w:r w:rsidR="00B11EB4">
              <w:rPr>
                <w:noProof/>
                <w:webHidden/>
              </w:rPr>
              <w:fldChar w:fldCharType="end"/>
            </w:r>
          </w:hyperlink>
        </w:p>
        <w:p w14:paraId="77E2A016" w14:textId="603B980E" w:rsidR="00B11EB4" w:rsidRDefault="00000000">
          <w:pPr>
            <w:pStyle w:val="TOC1"/>
            <w:tabs>
              <w:tab w:val="right" w:leader="dot" w:pos="9016"/>
            </w:tabs>
            <w:rPr>
              <w:rFonts w:asciiTheme="minorHAnsi" w:eastAsiaTheme="minorEastAsia" w:hAnsiTheme="minorHAnsi"/>
              <w:noProof/>
              <w:sz w:val="22"/>
              <w:lang w:val="en-IN" w:eastAsia="en-IN"/>
            </w:rPr>
          </w:pPr>
          <w:hyperlink w:anchor="_Toc133247249" w:history="1">
            <w:r w:rsidR="00B11EB4" w:rsidRPr="008023E9">
              <w:rPr>
                <w:rStyle w:val="Hyperlink"/>
                <w:noProof/>
              </w:rPr>
              <w:t>Host Country</w:t>
            </w:r>
            <w:r w:rsidR="00B11EB4">
              <w:rPr>
                <w:noProof/>
                <w:webHidden/>
              </w:rPr>
              <w:tab/>
            </w:r>
            <w:r w:rsidR="00B11EB4">
              <w:rPr>
                <w:noProof/>
                <w:webHidden/>
              </w:rPr>
              <w:fldChar w:fldCharType="begin"/>
            </w:r>
            <w:r w:rsidR="00B11EB4">
              <w:rPr>
                <w:noProof/>
                <w:webHidden/>
              </w:rPr>
              <w:instrText xml:space="preserve"> PAGEREF _Toc133247249 \h </w:instrText>
            </w:r>
            <w:r w:rsidR="00B11EB4">
              <w:rPr>
                <w:noProof/>
                <w:webHidden/>
              </w:rPr>
            </w:r>
            <w:r w:rsidR="00B11EB4">
              <w:rPr>
                <w:noProof/>
                <w:webHidden/>
              </w:rPr>
              <w:fldChar w:fldCharType="separate"/>
            </w:r>
            <w:r w:rsidR="00B11EB4">
              <w:rPr>
                <w:noProof/>
                <w:webHidden/>
              </w:rPr>
              <w:t>5</w:t>
            </w:r>
            <w:r w:rsidR="00B11EB4">
              <w:rPr>
                <w:noProof/>
                <w:webHidden/>
              </w:rPr>
              <w:fldChar w:fldCharType="end"/>
            </w:r>
          </w:hyperlink>
        </w:p>
        <w:p w14:paraId="4C24727D" w14:textId="25D487EA" w:rsidR="00B11EB4" w:rsidRDefault="00000000">
          <w:pPr>
            <w:pStyle w:val="TOC2"/>
            <w:tabs>
              <w:tab w:val="right" w:leader="dot" w:pos="9016"/>
            </w:tabs>
            <w:rPr>
              <w:rFonts w:asciiTheme="minorHAnsi" w:eastAsiaTheme="minorEastAsia" w:hAnsiTheme="minorHAnsi"/>
              <w:noProof/>
              <w:sz w:val="22"/>
              <w:lang w:val="en-IN" w:eastAsia="en-IN"/>
            </w:rPr>
          </w:pPr>
          <w:hyperlink w:anchor="_Toc133247250" w:history="1">
            <w:r w:rsidR="00B11EB4" w:rsidRPr="008023E9">
              <w:rPr>
                <w:rStyle w:val="Hyperlink"/>
                <w:noProof/>
              </w:rPr>
              <w:t>PESTEL Analysis</w:t>
            </w:r>
            <w:r w:rsidR="00B11EB4">
              <w:rPr>
                <w:noProof/>
                <w:webHidden/>
              </w:rPr>
              <w:tab/>
            </w:r>
            <w:r w:rsidR="00B11EB4">
              <w:rPr>
                <w:noProof/>
                <w:webHidden/>
              </w:rPr>
              <w:fldChar w:fldCharType="begin"/>
            </w:r>
            <w:r w:rsidR="00B11EB4">
              <w:rPr>
                <w:noProof/>
                <w:webHidden/>
              </w:rPr>
              <w:instrText xml:space="preserve"> PAGEREF _Toc133247250 \h </w:instrText>
            </w:r>
            <w:r w:rsidR="00B11EB4">
              <w:rPr>
                <w:noProof/>
                <w:webHidden/>
              </w:rPr>
            </w:r>
            <w:r w:rsidR="00B11EB4">
              <w:rPr>
                <w:noProof/>
                <w:webHidden/>
              </w:rPr>
              <w:fldChar w:fldCharType="separate"/>
            </w:r>
            <w:r w:rsidR="00B11EB4">
              <w:rPr>
                <w:noProof/>
                <w:webHidden/>
              </w:rPr>
              <w:t>6</w:t>
            </w:r>
            <w:r w:rsidR="00B11EB4">
              <w:rPr>
                <w:noProof/>
                <w:webHidden/>
              </w:rPr>
              <w:fldChar w:fldCharType="end"/>
            </w:r>
          </w:hyperlink>
        </w:p>
        <w:p w14:paraId="2D49010D" w14:textId="6EC869F3" w:rsidR="00B11EB4" w:rsidRDefault="00000000">
          <w:pPr>
            <w:pStyle w:val="TOC2"/>
            <w:tabs>
              <w:tab w:val="right" w:leader="dot" w:pos="9016"/>
            </w:tabs>
            <w:rPr>
              <w:rFonts w:asciiTheme="minorHAnsi" w:eastAsiaTheme="minorEastAsia" w:hAnsiTheme="minorHAnsi"/>
              <w:noProof/>
              <w:sz w:val="22"/>
              <w:lang w:val="en-IN" w:eastAsia="en-IN"/>
            </w:rPr>
          </w:pPr>
          <w:hyperlink w:anchor="_Toc133247251" w:history="1">
            <w:r w:rsidR="00B11EB4" w:rsidRPr="008023E9">
              <w:rPr>
                <w:rStyle w:val="Hyperlink"/>
                <w:noProof/>
              </w:rPr>
              <w:t>Porter’s Five Forces</w:t>
            </w:r>
            <w:r w:rsidR="00B11EB4">
              <w:rPr>
                <w:noProof/>
                <w:webHidden/>
              </w:rPr>
              <w:tab/>
            </w:r>
            <w:r w:rsidR="00B11EB4">
              <w:rPr>
                <w:noProof/>
                <w:webHidden/>
              </w:rPr>
              <w:fldChar w:fldCharType="begin"/>
            </w:r>
            <w:r w:rsidR="00B11EB4">
              <w:rPr>
                <w:noProof/>
                <w:webHidden/>
              </w:rPr>
              <w:instrText xml:space="preserve"> PAGEREF _Toc133247251 \h </w:instrText>
            </w:r>
            <w:r w:rsidR="00B11EB4">
              <w:rPr>
                <w:noProof/>
                <w:webHidden/>
              </w:rPr>
            </w:r>
            <w:r w:rsidR="00B11EB4">
              <w:rPr>
                <w:noProof/>
                <w:webHidden/>
              </w:rPr>
              <w:fldChar w:fldCharType="separate"/>
            </w:r>
            <w:r w:rsidR="00B11EB4">
              <w:rPr>
                <w:noProof/>
                <w:webHidden/>
              </w:rPr>
              <w:t>7</w:t>
            </w:r>
            <w:r w:rsidR="00B11EB4">
              <w:rPr>
                <w:noProof/>
                <w:webHidden/>
              </w:rPr>
              <w:fldChar w:fldCharType="end"/>
            </w:r>
          </w:hyperlink>
        </w:p>
        <w:p w14:paraId="64BA08D1" w14:textId="239AB1BD" w:rsidR="00B11EB4" w:rsidRDefault="00000000">
          <w:pPr>
            <w:pStyle w:val="TOC2"/>
            <w:tabs>
              <w:tab w:val="right" w:leader="dot" w:pos="9016"/>
            </w:tabs>
            <w:rPr>
              <w:rFonts w:asciiTheme="minorHAnsi" w:eastAsiaTheme="minorEastAsia" w:hAnsiTheme="minorHAnsi"/>
              <w:noProof/>
              <w:sz w:val="22"/>
              <w:lang w:val="en-IN" w:eastAsia="en-IN"/>
            </w:rPr>
          </w:pPr>
          <w:hyperlink w:anchor="_Toc133247252" w:history="1">
            <w:r w:rsidR="00B11EB4" w:rsidRPr="008023E9">
              <w:rPr>
                <w:rStyle w:val="Hyperlink"/>
                <w:noProof/>
              </w:rPr>
              <w:t>Market Analysis</w:t>
            </w:r>
            <w:r w:rsidR="00B11EB4">
              <w:rPr>
                <w:noProof/>
                <w:webHidden/>
              </w:rPr>
              <w:tab/>
            </w:r>
            <w:r w:rsidR="00B11EB4">
              <w:rPr>
                <w:noProof/>
                <w:webHidden/>
              </w:rPr>
              <w:fldChar w:fldCharType="begin"/>
            </w:r>
            <w:r w:rsidR="00B11EB4">
              <w:rPr>
                <w:noProof/>
                <w:webHidden/>
              </w:rPr>
              <w:instrText xml:space="preserve"> PAGEREF _Toc133247252 \h </w:instrText>
            </w:r>
            <w:r w:rsidR="00B11EB4">
              <w:rPr>
                <w:noProof/>
                <w:webHidden/>
              </w:rPr>
            </w:r>
            <w:r w:rsidR="00B11EB4">
              <w:rPr>
                <w:noProof/>
                <w:webHidden/>
              </w:rPr>
              <w:fldChar w:fldCharType="separate"/>
            </w:r>
            <w:r w:rsidR="00B11EB4">
              <w:rPr>
                <w:noProof/>
                <w:webHidden/>
              </w:rPr>
              <w:t>8</w:t>
            </w:r>
            <w:r w:rsidR="00B11EB4">
              <w:rPr>
                <w:noProof/>
                <w:webHidden/>
              </w:rPr>
              <w:fldChar w:fldCharType="end"/>
            </w:r>
          </w:hyperlink>
        </w:p>
        <w:p w14:paraId="4FF12380" w14:textId="460C7E15" w:rsidR="00B11EB4" w:rsidRDefault="00000000">
          <w:pPr>
            <w:pStyle w:val="TOC2"/>
            <w:tabs>
              <w:tab w:val="right" w:leader="dot" w:pos="9016"/>
            </w:tabs>
            <w:rPr>
              <w:rFonts w:asciiTheme="minorHAnsi" w:eastAsiaTheme="minorEastAsia" w:hAnsiTheme="minorHAnsi"/>
              <w:noProof/>
              <w:sz w:val="22"/>
              <w:lang w:val="en-IN" w:eastAsia="en-IN"/>
            </w:rPr>
          </w:pPr>
          <w:hyperlink w:anchor="_Toc133247253" w:history="1">
            <w:r w:rsidR="00B11EB4" w:rsidRPr="008023E9">
              <w:rPr>
                <w:rStyle w:val="Hyperlink"/>
                <w:noProof/>
              </w:rPr>
              <w:t>Porter’s National Diamond (Australia)</w:t>
            </w:r>
            <w:r w:rsidR="00B11EB4">
              <w:rPr>
                <w:noProof/>
                <w:webHidden/>
              </w:rPr>
              <w:tab/>
            </w:r>
            <w:r w:rsidR="00B11EB4">
              <w:rPr>
                <w:noProof/>
                <w:webHidden/>
              </w:rPr>
              <w:fldChar w:fldCharType="begin"/>
            </w:r>
            <w:r w:rsidR="00B11EB4">
              <w:rPr>
                <w:noProof/>
                <w:webHidden/>
              </w:rPr>
              <w:instrText xml:space="preserve"> PAGEREF _Toc133247253 \h </w:instrText>
            </w:r>
            <w:r w:rsidR="00B11EB4">
              <w:rPr>
                <w:noProof/>
                <w:webHidden/>
              </w:rPr>
            </w:r>
            <w:r w:rsidR="00B11EB4">
              <w:rPr>
                <w:noProof/>
                <w:webHidden/>
              </w:rPr>
              <w:fldChar w:fldCharType="separate"/>
            </w:r>
            <w:r w:rsidR="00B11EB4">
              <w:rPr>
                <w:noProof/>
                <w:webHidden/>
              </w:rPr>
              <w:t>9</w:t>
            </w:r>
            <w:r w:rsidR="00B11EB4">
              <w:rPr>
                <w:noProof/>
                <w:webHidden/>
              </w:rPr>
              <w:fldChar w:fldCharType="end"/>
            </w:r>
          </w:hyperlink>
        </w:p>
        <w:p w14:paraId="663F4A5D" w14:textId="70FB6787" w:rsidR="00E844FF" w:rsidRDefault="00E844FF">
          <w:r>
            <w:rPr>
              <w:b/>
              <w:bCs/>
              <w:noProof/>
            </w:rPr>
            <w:fldChar w:fldCharType="end"/>
          </w:r>
        </w:p>
      </w:sdtContent>
    </w:sdt>
    <w:p w14:paraId="207FA2E8" w14:textId="4C3435E3" w:rsidR="00471AA3" w:rsidRDefault="00471AA3" w:rsidP="001F5EF7">
      <w:pPr>
        <w:spacing w:line="480" w:lineRule="auto"/>
      </w:pPr>
      <w:r>
        <w:br w:type="page"/>
      </w:r>
    </w:p>
    <w:p w14:paraId="5B9958A6" w14:textId="77777777" w:rsidR="00471AA3" w:rsidRDefault="00471AA3" w:rsidP="001F5EF7">
      <w:pPr>
        <w:pStyle w:val="H1"/>
        <w:spacing w:line="480" w:lineRule="auto"/>
      </w:pPr>
      <w:bookmarkStart w:id="0" w:name="_Toc133247240"/>
      <w:r>
        <w:lastRenderedPageBreak/>
        <w:t>Introduction</w:t>
      </w:r>
      <w:bookmarkEnd w:id="0"/>
    </w:p>
    <w:p w14:paraId="3F7258D2" w14:textId="77777777" w:rsidR="0049388A" w:rsidRDefault="0049388A" w:rsidP="0049388A">
      <w:pPr>
        <w:pStyle w:val="N"/>
      </w:pPr>
    </w:p>
    <w:p w14:paraId="5D9E0622" w14:textId="77777777" w:rsidR="00246B89" w:rsidRDefault="00246B89" w:rsidP="001F5EF7">
      <w:pPr>
        <w:pStyle w:val="H1"/>
        <w:spacing w:line="480" w:lineRule="auto"/>
      </w:pPr>
      <w:bookmarkStart w:id="1" w:name="_Toc133247241"/>
      <w:r>
        <w:t>Company Background</w:t>
      </w:r>
      <w:bookmarkEnd w:id="1"/>
    </w:p>
    <w:p w14:paraId="125E370C" w14:textId="5C48ACC8" w:rsidR="00246B89" w:rsidRDefault="00E94928" w:rsidP="001F5EF7">
      <w:pPr>
        <w:pStyle w:val="N"/>
        <w:spacing w:line="480" w:lineRule="auto"/>
      </w:pPr>
      <w:r>
        <w:t>The American motorbike manufacturer Harley-D</w:t>
      </w:r>
      <w:r w:rsidR="001F5EF7">
        <w:t>avidson, Inc.</w:t>
      </w:r>
      <w:r>
        <w:t xml:space="preserve"> </w:t>
      </w:r>
      <w:r w:rsidR="001F5EF7">
        <w:t>is one of the</w:t>
      </w:r>
      <w:r>
        <w:t xml:space="preserve"> </w:t>
      </w:r>
      <w:r w:rsidR="001F5EF7">
        <w:t>leading</w:t>
      </w:r>
      <w:r>
        <w:t xml:space="preserve"> American motorcycle manufacturers to endure the Great Depression. The company has </w:t>
      </w:r>
      <w:r w:rsidR="001F5EF7">
        <w:t>taken</w:t>
      </w:r>
      <w:r>
        <w:t xml:space="preserve"> numerous ownership arrangements, subsidiary arrangements, periods of poor economic health and product quality, and intense global competition </w:t>
      </w:r>
      <w:r w:rsidR="001F5EF7">
        <w:t>to</w:t>
      </w:r>
      <w:r>
        <w:t xml:space="preserve"> become one of the world's largest motorbike manufacturers and an iconic brand widely recognised for its devoted customer base. </w:t>
      </w:r>
      <w:r w:rsidR="00347525" w:rsidRPr="00347525">
        <w:t>Worldwide owner organisations</w:t>
      </w:r>
      <w:r w:rsidR="00347525">
        <w:t>, events,</w:t>
      </w:r>
      <w:r w:rsidR="00347525" w:rsidRPr="00347525">
        <w:t xml:space="preserve"> and a company-sponsored museum are </w:t>
      </w:r>
      <w:r>
        <w:t xml:space="preserve">devoted to the brand. </w:t>
      </w:r>
      <w:r w:rsidR="001F5EF7">
        <w:t>Customisation</w:t>
      </w:r>
      <w:r>
        <w:t xml:space="preserve"> techniques pioneered by Harley-Davidson gave birth to the chopper motorbike design. </w:t>
      </w:r>
      <w:r w:rsidR="001F5EF7" w:rsidRPr="001F5EF7">
        <w:t xml:space="preserve">The company traditionally marketed heavyweight, air-cooled cruiser motorcycles with engine displacements </w:t>
      </w:r>
      <w:r w:rsidR="001F5EF7">
        <w:t xml:space="preserve">of </w:t>
      </w:r>
      <w:r w:rsidR="001F5EF7" w:rsidRPr="001F5EF7">
        <w:t>over</w:t>
      </w:r>
      <w:r>
        <w:t xml:space="preserve"> 700 </w:t>
      </w:r>
      <w:r w:rsidR="001F5EF7">
        <w:t>ccs</w:t>
      </w:r>
      <w:r>
        <w:t xml:space="preserve">. However, </w:t>
      </w:r>
      <w:r w:rsidR="001F5EF7">
        <w:t>its product line has expanded</w:t>
      </w:r>
      <w:r>
        <w:t xml:space="preserve"> to include the more modern VRSC (2002) and middleweight Street (2015) platforms. Harley-Davidson produces motorcycles in York, Pennsylvania, Milwau</w:t>
      </w:r>
      <w:r w:rsidR="001F5EF7">
        <w:t>kee, Wisconsin, Manaus, Brazil; India; and</w:t>
      </w:r>
      <w:r>
        <w:t xml:space="preserve"> Pluak Daeng, Thailand. The company licences and sells merchandise under the Harley-Davidson trademark, including apparel, decor and ornaments, accessories, toys, scale models of motorcycles, and video games based on its motorcycle line and community</w:t>
      </w:r>
      <w:r w:rsidR="00765741">
        <w:t>. (Harley-Davidsons, 2023)</w:t>
      </w:r>
    </w:p>
    <w:p w14:paraId="43728207" w14:textId="77777777" w:rsidR="00765741" w:rsidRDefault="00765741" w:rsidP="001F5EF7">
      <w:pPr>
        <w:pStyle w:val="H2"/>
        <w:spacing w:line="480" w:lineRule="auto"/>
      </w:pPr>
      <w:bookmarkStart w:id="2" w:name="_Toc133247242"/>
      <w:r>
        <w:t>Company’s Objective and Strategies</w:t>
      </w:r>
      <w:bookmarkEnd w:id="2"/>
    </w:p>
    <w:p w14:paraId="1AF32900" w14:textId="77777777" w:rsidR="00765741" w:rsidRDefault="00765741" w:rsidP="001F5EF7">
      <w:pPr>
        <w:pStyle w:val="H3"/>
        <w:spacing w:line="480" w:lineRule="auto"/>
      </w:pPr>
      <w:bookmarkStart w:id="3" w:name="_Toc133247243"/>
      <w:r>
        <w:t>Mission</w:t>
      </w:r>
      <w:bookmarkEnd w:id="3"/>
    </w:p>
    <w:p w14:paraId="7D78B266" w14:textId="77777777" w:rsidR="00765741" w:rsidRDefault="00765741" w:rsidP="001F5EF7">
      <w:pPr>
        <w:pStyle w:val="N"/>
        <w:spacing w:line="480" w:lineRule="auto"/>
      </w:pPr>
      <w:r>
        <w:t>“</w:t>
      </w:r>
      <w:r w:rsidRPr="00765741">
        <w:t>More than building machines, we stand for the timeless pursuit of adventure. Freedom for the soul.</w:t>
      </w:r>
      <w:r>
        <w:t xml:space="preserve">” </w:t>
      </w:r>
    </w:p>
    <w:p w14:paraId="1A60E53F" w14:textId="77777777" w:rsidR="00765741" w:rsidRDefault="00765741" w:rsidP="001F5EF7">
      <w:pPr>
        <w:pStyle w:val="H3"/>
        <w:spacing w:line="480" w:lineRule="auto"/>
      </w:pPr>
      <w:bookmarkStart w:id="4" w:name="_Toc133247244"/>
      <w:r>
        <w:t>Vision</w:t>
      </w:r>
      <w:bookmarkEnd w:id="4"/>
    </w:p>
    <w:p w14:paraId="124774D6" w14:textId="77777777" w:rsidR="00765741" w:rsidRDefault="00765741" w:rsidP="001F5EF7">
      <w:pPr>
        <w:pStyle w:val="N"/>
        <w:spacing w:line="480" w:lineRule="auto"/>
      </w:pPr>
      <w:r w:rsidRPr="00765741">
        <w:t>Building our legend and leading through innovation, evolution and emotion.</w:t>
      </w:r>
    </w:p>
    <w:p w14:paraId="5A59EC24" w14:textId="77777777" w:rsidR="00765741" w:rsidRDefault="00671E45" w:rsidP="001F5EF7">
      <w:pPr>
        <w:pStyle w:val="H3"/>
        <w:spacing w:line="480" w:lineRule="auto"/>
      </w:pPr>
      <w:bookmarkStart w:id="5" w:name="_Toc133247245"/>
      <w:r>
        <w:lastRenderedPageBreak/>
        <w:t>Ambition</w:t>
      </w:r>
      <w:bookmarkEnd w:id="5"/>
    </w:p>
    <w:p w14:paraId="46C4F5F9" w14:textId="77777777" w:rsidR="00671E45" w:rsidRDefault="00671E45" w:rsidP="001F5EF7">
      <w:pPr>
        <w:pStyle w:val="N"/>
        <w:spacing w:line="480" w:lineRule="auto"/>
      </w:pPr>
      <w:r w:rsidRPr="00671E45">
        <w:t xml:space="preserve">Harley-Davidson </w:t>
      </w:r>
      <w:r w:rsidR="001F5EF7">
        <w:t>is</w:t>
      </w:r>
      <w:r w:rsidRPr="00671E45">
        <w:t xml:space="preserve"> the </w:t>
      </w:r>
      <w:r w:rsidR="001F5EF7" w:rsidRPr="001F5EF7">
        <w:t>world's most desirable motorcycle and lifestyle brand</w:t>
      </w:r>
      <w:r w:rsidRPr="00671E45">
        <w:t>, building upon our history and leading motorcycle culture into the future.</w:t>
      </w:r>
    </w:p>
    <w:p w14:paraId="0D1D2395" w14:textId="77777777" w:rsidR="00671E45" w:rsidRDefault="00671E45" w:rsidP="001F5EF7">
      <w:pPr>
        <w:pStyle w:val="H3"/>
        <w:spacing w:line="480" w:lineRule="auto"/>
      </w:pPr>
      <w:bookmarkStart w:id="6" w:name="_Toc133247246"/>
      <w:r>
        <w:t>Strategic Plan</w:t>
      </w:r>
      <w:bookmarkEnd w:id="6"/>
    </w:p>
    <w:p w14:paraId="31EAC19A" w14:textId="07ECCA6B" w:rsidR="00671E45" w:rsidRDefault="00671E45" w:rsidP="001F5EF7">
      <w:pPr>
        <w:pStyle w:val="N"/>
        <w:spacing w:line="480" w:lineRule="auto"/>
      </w:pPr>
      <w:r w:rsidRPr="00671E45">
        <w:t xml:space="preserve">The Hardwire is the five-year strategic plan for Harley-Davidson, guided by its mission and vision (2021-2025). They are </w:t>
      </w:r>
      <w:r w:rsidR="001F5EF7">
        <w:t>pursuing</w:t>
      </w:r>
      <w:r w:rsidRPr="00671E45">
        <w:t xml:space="preserve"> long-term profitable development by focusing on efforts that extend and strengthen our brand and generate value for all stakeholders. The Hardwire is intended to increase Harley-desirability Davidson's and bolster our distinctive lifestyle brand. </w:t>
      </w:r>
      <w:r w:rsidR="00347525">
        <w:t>This strategy maximises</w:t>
      </w:r>
      <w:r w:rsidR="001F5EF7" w:rsidRPr="001F5EF7">
        <w:t xml:space="preserve"> the potential of their most essential products, market segments, and geographies</w:t>
      </w:r>
      <w:r w:rsidRPr="00671E45">
        <w:t xml:space="preserve">. This includes growth in their complementary businesses and selective expansion into niches where they can attain </w:t>
      </w:r>
      <w:r w:rsidR="00B759F2" w:rsidRPr="00671E45">
        <w:t>leadership.</w:t>
      </w:r>
      <w:r w:rsidR="00B759F2">
        <w:t xml:space="preserve"> (</w:t>
      </w:r>
      <w:r w:rsidR="00F33184">
        <w:t>Harley-D</w:t>
      </w:r>
      <w:r w:rsidR="003975E7">
        <w:t>evidsons</w:t>
      </w:r>
      <w:r w:rsidR="00F33184">
        <w:t>,2023</w:t>
      </w:r>
      <w:r w:rsidR="003975E7">
        <w:t>)</w:t>
      </w:r>
    </w:p>
    <w:p w14:paraId="16120CCF" w14:textId="77777777" w:rsidR="00671E45" w:rsidRDefault="00671E45" w:rsidP="001F5EF7">
      <w:pPr>
        <w:pStyle w:val="N"/>
        <w:spacing w:line="480" w:lineRule="auto"/>
        <w:rPr>
          <w:b/>
        </w:rPr>
      </w:pPr>
      <w:r w:rsidRPr="00560A71">
        <w:rPr>
          <w:b/>
        </w:rPr>
        <w:t>The Hardwire Strategic Priorities</w:t>
      </w:r>
    </w:p>
    <w:p w14:paraId="4D822F33" w14:textId="77777777" w:rsidR="00560A71" w:rsidRPr="00560A71" w:rsidRDefault="00560A71" w:rsidP="001F5EF7">
      <w:pPr>
        <w:pStyle w:val="N"/>
        <w:numPr>
          <w:ilvl w:val="0"/>
          <w:numId w:val="1"/>
        </w:numPr>
        <w:spacing w:line="480" w:lineRule="auto"/>
      </w:pPr>
      <w:r w:rsidRPr="00560A71">
        <w:t>Profit focus</w:t>
      </w:r>
    </w:p>
    <w:p w14:paraId="165994BE" w14:textId="77777777" w:rsidR="00560A71" w:rsidRPr="00560A71" w:rsidRDefault="00560A71" w:rsidP="001F5EF7">
      <w:pPr>
        <w:pStyle w:val="N"/>
        <w:numPr>
          <w:ilvl w:val="0"/>
          <w:numId w:val="1"/>
        </w:numPr>
        <w:spacing w:line="480" w:lineRule="auto"/>
      </w:pPr>
      <w:r w:rsidRPr="00560A71">
        <w:t>Selective expansion and redefinition</w:t>
      </w:r>
    </w:p>
    <w:p w14:paraId="05ABEF01" w14:textId="77777777" w:rsidR="00560A71" w:rsidRPr="00560A71" w:rsidRDefault="00560A71" w:rsidP="001F5EF7">
      <w:pPr>
        <w:pStyle w:val="N"/>
        <w:numPr>
          <w:ilvl w:val="0"/>
          <w:numId w:val="1"/>
        </w:numPr>
        <w:spacing w:line="480" w:lineRule="auto"/>
      </w:pPr>
      <w:r w:rsidRPr="00560A71">
        <w:t>Lead in electric</w:t>
      </w:r>
    </w:p>
    <w:p w14:paraId="2FFCB2C2" w14:textId="77777777" w:rsidR="00560A71" w:rsidRDefault="00560A71" w:rsidP="001F5EF7">
      <w:pPr>
        <w:pStyle w:val="N"/>
        <w:numPr>
          <w:ilvl w:val="0"/>
          <w:numId w:val="1"/>
        </w:numPr>
        <w:spacing w:line="480" w:lineRule="auto"/>
      </w:pPr>
      <w:r w:rsidRPr="00560A71">
        <w:t>Growth beyond bikes</w:t>
      </w:r>
    </w:p>
    <w:p w14:paraId="0C629B90" w14:textId="77777777" w:rsidR="00560A71" w:rsidRPr="00560A71" w:rsidRDefault="00560A71" w:rsidP="001F5EF7">
      <w:pPr>
        <w:pStyle w:val="N"/>
        <w:numPr>
          <w:ilvl w:val="0"/>
          <w:numId w:val="1"/>
        </w:numPr>
        <w:spacing w:line="480" w:lineRule="auto"/>
      </w:pPr>
      <w:r w:rsidRPr="00560A71">
        <w:rPr>
          <w:bCs/>
        </w:rPr>
        <w:t>Integrated customer experience</w:t>
      </w:r>
    </w:p>
    <w:p w14:paraId="3DF6AA0C" w14:textId="77777777" w:rsidR="00560A71" w:rsidRPr="00560A71" w:rsidRDefault="00560A71" w:rsidP="001F5EF7">
      <w:pPr>
        <w:pStyle w:val="N"/>
        <w:numPr>
          <w:ilvl w:val="0"/>
          <w:numId w:val="1"/>
        </w:numPr>
        <w:spacing w:line="480" w:lineRule="auto"/>
      </w:pPr>
      <w:r w:rsidRPr="00560A71">
        <w:t>Inclusive stakeholder management</w:t>
      </w:r>
    </w:p>
    <w:p w14:paraId="3AE653D2" w14:textId="22293169" w:rsidR="00560A71" w:rsidRDefault="0049388A" w:rsidP="0049388A">
      <w:pPr>
        <w:pStyle w:val="H1"/>
      </w:pPr>
      <w:bookmarkStart w:id="7" w:name="_Toc133247247"/>
      <w:r>
        <w:t>Countries Specification</w:t>
      </w:r>
      <w:bookmarkEnd w:id="7"/>
    </w:p>
    <w:p w14:paraId="5B65D3B8" w14:textId="629489CB" w:rsidR="00F35583" w:rsidRDefault="00F35583" w:rsidP="0049388A">
      <w:pPr>
        <w:pStyle w:val="N"/>
      </w:pPr>
      <w:r>
        <w:t xml:space="preserve">It is essential for every organisation to analysis the country they are going to work. This will grant organisation to analysis factor affecting organisation and helps them to create their strategies according to country’s rules and </w:t>
      </w:r>
      <w:r w:rsidR="00AE0102">
        <w:t>regulations. (</w:t>
      </w:r>
      <w:r>
        <w:t>Rugman, 2012)</w:t>
      </w:r>
    </w:p>
    <w:p w14:paraId="10BD126D" w14:textId="77777777" w:rsidR="00AE0102" w:rsidRDefault="00AE0102" w:rsidP="0049388A">
      <w:pPr>
        <w:pStyle w:val="N"/>
      </w:pPr>
    </w:p>
    <w:p w14:paraId="2B124B37" w14:textId="77777777" w:rsidR="00396B94" w:rsidRDefault="00396B94" w:rsidP="0049388A">
      <w:pPr>
        <w:pStyle w:val="N"/>
      </w:pPr>
    </w:p>
    <w:p w14:paraId="4CBA703B" w14:textId="71A2B813" w:rsidR="00EF7DE0" w:rsidRDefault="00EF7DE0" w:rsidP="0044736A">
      <w:pPr>
        <w:pStyle w:val="H1"/>
      </w:pPr>
      <w:bookmarkStart w:id="8" w:name="_Toc133247248"/>
      <w:r>
        <w:lastRenderedPageBreak/>
        <w:t>Home Country</w:t>
      </w:r>
      <w:bookmarkEnd w:id="8"/>
      <w:r>
        <w:t xml:space="preserve"> </w:t>
      </w:r>
    </w:p>
    <w:p w14:paraId="47881DA4" w14:textId="64497471" w:rsidR="00AD26FE" w:rsidRDefault="00AD26FE" w:rsidP="00AD26FE">
      <w:pPr>
        <w:pStyle w:val="N"/>
      </w:pPr>
      <w:r>
        <w:t xml:space="preserve">The population of the United States exceeds 300 million individuals. The United States represents a crucial market for any multinational corporation. The American labour force </w:t>
      </w:r>
      <w:r w:rsidR="0044736A">
        <w:t>is</w:t>
      </w:r>
      <w:r>
        <w:t xml:space="preserve"> among the most highly educated, productive, and innovative globally. The United States is a favourable location for conducting business due to its dependable and transparent legal framework, exceptional infrastructure, and availability of the most profitable consumer market globally. The United States possesses the most substantial economy globally, with a per capita Gross Domestic Product (GDP) of around $45,000. The regulatory and taxation frameworks in the United States afford foreign investors significant latitude in their operations. In addition, the United States consistently exhibits high rankings in various key indicators that reflect a favourable business and investment environment. According to the World Economic Forum's 2008-2009 Global Competitiveness Report, the United States was ranked as the top economy out of the 134 economies that were surveyed. Multinational corporations establish their presence in the United States with the objective of enhancing proximity to their suppliers and customers in a highly dynamic market. The global consumer goods market is dominated by the United States, which holds a share of 42 percent. The per capita disposable income in the United States is estimated to be around $32,000. Furthermore, the United States upholds free trade accords with 14 collaborating nations, whose collective Gross Domestic Product amounts to roughly $4 trillion. This affords international investors in the United States an unparalleled opportunity to access a wide range of global markets. American corporations are at the forefront of technological advancements and innovative practises.  The United States markets are receptive to a wide range of products, ideas, and particularly, innovative concepts. Out of the Top 100 Information Technology companies listed by Business Week, 33 of them are companies based in the United States. According to the 2007-2008 Global Competitiveness Index by the World Economic Forum, the United States secured the top position for innovation, labour market efficiency, and sophistication of business operations/strategy. Access to a highly productive and adaptable workforce is available to investors in the United States. As per the 2007 report by the International Labour Organisation, the United States continues to maintain a significant lead in terms of labour productivity per employed individual, as observed in the year 2006. Moreover, the report indicates that the disparity in productivity between the United States and other advanced economies has continued to expand. (International Trade Administration</w:t>
      </w:r>
      <w:r w:rsidR="006B10FD">
        <w:t>,2023</w:t>
      </w:r>
      <w:r>
        <w:t>)</w:t>
      </w:r>
    </w:p>
    <w:p w14:paraId="61623FEB" w14:textId="295A4713" w:rsidR="00EF7DE0" w:rsidRDefault="00EF7DE0" w:rsidP="0044736A">
      <w:pPr>
        <w:pStyle w:val="H1"/>
      </w:pPr>
      <w:bookmarkStart w:id="9" w:name="_Toc133247249"/>
      <w:r>
        <w:t>Host Country</w:t>
      </w:r>
      <w:bookmarkEnd w:id="9"/>
      <w:r>
        <w:t xml:space="preserve"> </w:t>
      </w:r>
    </w:p>
    <w:p w14:paraId="578AF941" w14:textId="7D3A205A" w:rsidR="00EF7DE0" w:rsidRDefault="002E5957" w:rsidP="002E5957">
      <w:pPr>
        <w:pStyle w:val="N"/>
      </w:pPr>
      <w:r>
        <w:t xml:space="preserve">Despite representing only 0.3% of the global population, Australians experience some of the highest living standards worldwide. Australia's economy has exhibited a notable growth rate </w:t>
      </w:r>
      <w:r>
        <w:lastRenderedPageBreak/>
        <w:t xml:space="preserve">since 1992, surpassing that of other major developed nations. Australia possesses abundant natural resources and a well-developed services sector supported by a highly educated labour force. Given that trade-related occupations account for 20% of Australian jobs, Australia endeavours to maintain access to foreign markets and ensure the continued employment of its citizens. Australia has established Free Trade Agreements (FTAs) with a total of 26 countries, amounting to a sum of fifteen such agreements. The </w:t>
      </w:r>
      <w:proofErr w:type="gramStart"/>
      <w:r>
        <w:t>aforementioned agreements</w:t>
      </w:r>
      <w:proofErr w:type="gramEnd"/>
      <w:r>
        <w:t xml:space="preserve"> facilitate the expansion of export markets for Australian enterprises, diminish the expenses associated with conducting business activities abroad, and enhance the accessibility of reasonably priced products for Australian consumers. During the year 2020, multiple Free Trade Agreements (FTAs) were implemented, including those with Indonesia, Hong Kong, and Peru. Additionally, PACER Plus, a free trade agreement involving Australia, New Zealand, and various Pacific Island nations, also came into effect. The COVID-19 pandemic had a significant impact on both the economy and society of Australia. Australia has demonstrated remarkable resilience in comparison to its major trading partners, which can be attributed to substantial government support and sustained demand for its mining exports. The mining industry constituted 8.5% of Australia's Gross Domestic Product (GDP) during the fiscal year 2018-19, while minerals and fuels contributed to 50.9% of the country's exports of goods and services. The sectors of agriculture, tourism, education, financial services, and science and technology are experiencing a significant level of demand. Australia is open to foreign investment. The provision of capital to finance new industries and enhance existing ones has contributed to the development of the Australian economy. The well-regulated and transparent business environment in Australia facilitates the establishment and operation of businesses in the country</w:t>
      </w:r>
      <w:r w:rsidR="003717A0">
        <w:t>. (Australian Government Department of Foreign Affairs and Trade</w:t>
      </w:r>
      <w:r w:rsidR="006B10FD">
        <w:t>,2023</w:t>
      </w:r>
      <w:r w:rsidR="003717A0">
        <w:t>)</w:t>
      </w:r>
    </w:p>
    <w:p w14:paraId="65132EF8" w14:textId="79CE1BBC" w:rsidR="00E844FF" w:rsidRDefault="00E844FF" w:rsidP="00E844FF">
      <w:pPr>
        <w:pStyle w:val="H2"/>
      </w:pPr>
      <w:bookmarkStart w:id="10" w:name="_Toc133247250"/>
      <w:r>
        <w:t>PESTEL Analysis</w:t>
      </w:r>
      <w:bookmarkEnd w:id="10"/>
    </w:p>
    <w:p w14:paraId="1372F47F" w14:textId="36A53289" w:rsidR="00E844FF" w:rsidRDefault="001E0D64" w:rsidP="001E0D64">
      <w:pPr>
        <w:pStyle w:val="N"/>
      </w:pPr>
      <w:r w:rsidRPr="001E0D64">
        <w:t>The PESTLE analysis, also known as the PEST analysis, is a marketing principle. Furthermore, this concept is utilised as a mechanism by corporations to monitor the surroundings in which they are conducting business or intend to introduce a new initiative, commodity, or amenity, among other things.  PESTLE is an acronym that represents the six key factors that can impact an organization's external environment. These factors include Political, Economic, Social, Technological, Legal, and Environmental considerations. The tool provides a comprehensive overview of the surrounding environment from multiple perspectives that are relevant to the consideration and monitoring of a particular concept or strategy.</w:t>
      </w:r>
      <w:r>
        <w:t xml:space="preserve"> (Rugman,2012)</w:t>
      </w:r>
    </w:p>
    <w:p w14:paraId="1331BDCB" w14:textId="77777777" w:rsidR="00B11EB4" w:rsidRDefault="00B11EB4" w:rsidP="001E0D64">
      <w:pPr>
        <w:pStyle w:val="N"/>
      </w:pPr>
    </w:p>
    <w:p w14:paraId="684252FE" w14:textId="24B7712D" w:rsidR="0044736A" w:rsidRDefault="00AE7882" w:rsidP="00A811EF">
      <w:pPr>
        <w:pStyle w:val="H2"/>
      </w:pPr>
      <w:bookmarkStart w:id="11" w:name="_Toc133247251"/>
      <w:r>
        <w:lastRenderedPageBreak/>
        <w:t>Porter’s</w:t>
      </w:r>
      <w:r w:rsidR="00BC2233">
        <w:t xml:space="preserve"> Five Forces</w:t>
      </w:r>
      <w:bookmarkEnd w:id="11"/>
    </w:p>
    <w:p w14:paraId="266B9A2C" w14:textId="47CB5EB2" w:rsidR="00A811EF" w:rsidRDefault="00AE7882" w:rsidP="00AE7882">
      <w:pPr>
        <w:pStyle w:val="N"/>
      </w:pPr>
      <w:r>
        <w:t>The Porter's Five Forces framework is a theoretical construct that aims to identify and evaluate the five competitive forces that exert influence on an industry, thereby enabling an assessment of the industry's strengths and weaknesses. The Five Forces framework is a commonly employed tool for ascertaining the configuration of an industry with the aim of formulating organisational tactics.</w:t>
      </w:r>
      <w:r w:rsidR="00A811EF">
        <w:t xml:space="preserve"> </w:t>
      </w:r>
      <w:r>
        <w:t>Porter's model is a versatile tool that can be utilised across various sectors of the economy to gain insights into the degree of competition within the industry and augment a firm's enduring profitability. The nomenclature of the Five Forces framework is attributed to Michael E. Porter, a distinguished academician at Harvard Business School.</w:t>
      </w:r>
      <w:r w:rsidR="00A811EF">
        <w:t xml:space="preserve"> </w:t>
      </w:r>
      <w:r>
        <w:t xml:space="preserve">The framework known as Porter's Five Forces encompasses five key factors that can impact the competitive environment of </w:t>
      </w:r>
      <w:r w:rsidR="00507CBA">
        <w:t>an</w:t>
      </w:r>
      <w:r>
        <w:t xml:space="preserve"> industry</w:t>
      </w:r>
      <w:r w:rsidR="00A811EF">
        <w:t xml:space="preserve"> </w:t>
      </w:r>
      <w:r w:rsidR="00507CBA">
        <w:t>are</w:t>
      </w:r>
      <w:r w:rsidR="00A811EF">
        <w:t xml:space="preserve"> Buyer Power; Degree of </w:t>
      </w:r>
      <w:r w:rsidR="00507CBA">
        <w:t>Rivalry</w:t>
      </w:r>
      <w:r w:rsidR="00A811EF">
        <w:t>;</w:t>
      </w:r>
      <w:r w:rsidR="00507CBA">
        <w:t xml:space="preserve"> New Entrants; Substitutes; Supplier Power. </w:t>
      </w:r>
      <w:r w:rsidR="00507CBA" w:rsidRPr="00BE598C">
        <w:t>(</w:t>
      </w:r>
      <w:proofErr w:type="spellStart"/>
      <w:r w:rsidR="00BE598C" w:rsidRPr="00BE598C">
        <w:t>Magretta</w:t>
      </w:r>
      <w:proofErr w:type="spellEnd"/>
      <w:r w:rsidR="00BE598C" w:rsidRPr="00BE598C">
        <w:t>, J. 2012</w:t>
      </w:r>
      <w:r w:rsidR="00507CBA" w:rsidRPr="00BE598C">
        <w:t>)</w:t>
      </w:r>
    </w:p>
    <w:p w14:paraId="0E34C7A5" w14:textId="77777777" w:rsidR="00AE7882" w:rsidRDefault="00AE7882" w:rsidP="002E5957">
      <w:pPr>
        <w:pStyle w:val="N"/>
      </w:pPr>
    </w:p>
    <w:p w14:paraId="55ED8A62" w14:textId="77777777" w:rsidR="00015DB3" w:rsidRDefault="00015DB3" w:rsidP="00AE7882">
      <w:pPr>
        <w:pStyle w:val="N"/>
        <w:keepNext/>
        <w:jc w:val="center"/>
      </w:pPr>
      <w:r w:rsidRPr="00015DB3">
        <w:rPr>
          <w:noProof/>
        </w:rPr>
        <w:drawing>
          <wp:inline distT="0" distB="0" distL="0" distR="0" wp14:anchorId="1EF61B32" wp14:editId="1E8A9C58">
            <wp:extent cx="5248275" cy="2847975"/>
            <wp:effectExtent l="76200" t="76200" r="142875" b="142875"/>
            <wp:docPr id="196760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8275" cy="2847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444745" w14:textId="77777777" w:rsidR="00A811EF" w:rsidRDefault="00015DB3" w:rsidP="00A811E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Australian Motorcycle Porter's Five Forces</w:t>
      </w:r>
    </w:p>
    <w:p w14:paraId="636BB0C4" w14:textId="139376E1" w:rsidR="00015DB3" w:rsidRPr="00015DB3" w:rsidRDefault="00A811EF" w:rsidP="00A811EF">
      <w:pPr>
        <w:pStyle w:val="Caption"/>
        <w:jc w:val="right"/>
      </w:pPr>
      <w:r>
        <w:t xml:space="preserve"> </w:t>
      </w:r>
      <w:r w:rsidR="00015DB3">
        <w:t xml:space="preserve">Source: </w:t>
      </w:r>
      <w:r w:rsidR="00AE7882">
        <w:t>MarketLine</w:t>
      </w:r>
      <w:r w:rsidR="00015DB3">
        <w:t xml:space="preserve"> </w:t>
      </w:r>
      <w:r w:rsidR="00AE7882">
        <w:t>Industry Profile Motorcycles in Australia</w:t>
      </w:r>
    </w:p>
    <w:p w14:paraId="674D18A4" w14:textId="32E48C9F" w:rsidR="00015DB3" w:rsidRDefault="00015DB3" w:rsidP="00015DB3">
      <w:pPr>
        <w:pStyle w:val="N"/>
      </w:pPr>
      <w:r>
        <w:t xml:space="preserve">The existence of prominent multinational corporations with robust brand recognition heightens the level of competition within this </w:t>
      </w:r>
      <w:r w:rsidR="00AE7882">
        <w:t>market</w:t>
      </w:r>
      <w:r>
        <w:t xml:space="preserve">. The implementation of diversification strategies, such as expanding product lines and establishing a presence in multiple geographic locations, can serve to mitigate competitive pressures to a certain degree. </w:t>
      </w:r>
    </w:p>
    <w:p w14:paraId="74BBA4B0" w14:textId="6C82BFD8" w:rsidR="00015DB3" w:rsidRDefault="00015DB3" w:rsidP="00015DB3">
      <w:pPr>
        <w:pStyle w:val="N"/>
      </w:pPr>
      <w:r>
        <w:t xml:space="preserve">Motorcycle dealerships constitute the primary buyers in the motorcycles market. In general, these entities can be classified into two distinct categories: dealerships specialising in </w:t>
      </w:r>
      <w:r>
        <w:lastRenderedPageBreak/>
        <w:t xml:space="preserve">motorcycles and franchised dealerships affiliated with manufacturers. In contrast to manufacturer franchiser dealerships, motorcycle dealerships possess greater buyer power due to their ability to sell brands based on their revenue and size. </w:t>
      </w:r>
    </w:p>
    <w:p w14:paraId="57FA2996" w14:textId="3394BBB6" w:rsidR="00015DB3" w:rsidRDefault="00015DB3" w:rsidP="00015DB3">
      <w:pPr>
        <w:pStyle w:val="N"/>
      </w:pPr>
      <w:r>
        <w:t xml:space="preserve">The essential components required by a motorcycle manufacturer comprise of aluminium and steel sheets, bars, castings and forgings, alongside finalised constituents such as fuel injection systems, seats, batteries, and tyres. Acquiring these items from specialised manufacturers is a more economically efficient approach compared to their in-house production. The power of suppliers is likely to be enhanced by their large size, which not only allows them to supply a wide range of manufacturers but also enables them to benefit from economies of scale, resulting in lower prices compared to smaller manufacturers. </w:t>
      </w:r>
    </w:p>
    <w:p w14:paraId="331A3E5A" w14:textId="77777777" w:rsidR="00015DB3" w:rsidRDefault="00015DB3" w:rsidP="00015DB3">
      <w:pPr>
        <w:pStyle w:val="N"/>
      </w:pPr>
      <w:r>
        <w:t>The establishment of a production facility entails a substantial investment of capital, thereby serving as a notable impediment to entry and leading to elevated fixed expenses. The technological sophistication of most motorcycle products creates formidable barriers to entry for prospective newcomers. Furthermore, prominent manufacturers of motorcycles exhibit an exceedingly elevated degree of brand awareness, as evidenced by their substantial sales figures and prevalence in the market.</w:t>
      </w:r>
    </w:p>
    <w:p w14:paraId="609AFB95" w14:textId="7C3F43A9" w:rsidR="00BC2233" w:rsidRDefault="00015DB3" w:rsidP="00015DB3">
      <w:pPr>
        <w:pStyle w:val="N"/>
      </w:pPr>
      <w:r>
        <w:t>Alternative options within the motorcycles industry encompass various modes of transportation and vehicles. The degree of substitution risk in the motorcycles industry is contingent upon the essentiality of motorcycle utilisation for the ultimate consumer.</w:t>
      </w:r>
      <w:r w:rsidR="00A811EF">
        <w:t xml:space="preserve"> </w:t>
      </w:r>
      <w:r>
        <w:t>(</w:t>
      </w:r>
      <w:r w:rsidR="00A811EF">
        <w:t>MarketLine,2022</w:t>
      </w:r>
      <w:r>
        <w:t>)</w:t>
      </w:r>
    </w:p>
    <w:p w14:paraId="610251CA" w14:textId="26FA7057" w:rsidR="00A811EF" w:rsidRDefault="00A811EF" w:rsidP="00A811EF">
      <w:pPr>
        <w:pStyle w:val="H2"/>
      </w:pPr>
      <w:bookmarkStart w:id="12" w:name="_Toc133247252"/>
      <w:r>
        <w:t>Market Analysis</w:t>
      </w:r>
      <w:bookmarkEnd w:id="12"/>
    </w:p>
    <w:p w14:paraId="5A724F1F" w14:textId="3A010724" w:rsidR="00A811EF" w:rsidRDefault="00A811EF" w:rsidP="00015DB3">
      <w:pPr>
        <w:pStyle w:val="N"/>
      </w:pPr>
      <w:r>
        <w:t xml:space="preserve">The COVID-19 pandemic had a significant impact on the Australian motorbike industry, resulting in a 15.0% decrease in sales in 2020. During the projection period, it is anticipated that the market will continue to expand following a rebound of 18.3% in 2021. From 2016 to 2021, the Australian motorcycle industry yielded a total revenue of $588.3 million, exhibiting a compound annual growth rate (CAGR) of 3%. In 2021, the Japanese and Chinese markets experienced a respective increase of 3.3% and 13.8%, resulting in a value of $2.3 billion and $15.9 billion. The declining trend in sales has persisted over the years, with a notable drop in 2017, which can be attributed to reduced consumer expenditure. During the period spanning from 2016 to 2021, there was a decrease in market consumption by 0.1%, resulting in a total of 75,100 units. The market is projected to experience a growth of 9% and reach a total of 115,600 units between the years 2021 and 2026. The market experienced a significant decline in 2020 </w:t>
      </w:r>
      <w:proofErr w:type="gramStart"/>
      <w:r>
        <w:t>as a result of</w:t>
      </w:r>
      <w:proofErr w:type="gramEnd"/>
      <w:r>
        <w:t xml:space="preserve"> both a demand and supply shock, as well as a lockdown. In comparison to other developed markets, there was a decrease of 16.9% in sales in Australia. The market </w:t>
      </w:r>
      <w:r>
        <w:lastRenderedPageBreak/>
        <w:t>experienced a recovery in 2021, aided by a growth of 16.6%. According to recent data, the Australian motorbike market in 2021 was dominated by motorcycles, which accounted for 92.8% of the market share, with a total of 69,700 units sold. In the year 2021, a total of 5,400 mopeds were produced, accounting for 7.2% of the market share. The year 2020 witnessed a decline in the sales of motorcycles, whereas the sales of mopeds remained stable. In the year 2021, both groups experienced growth; however, motorcycles exhibited a greater market recovery by increasing from $487 million to $575.9 million. According to estimates, the market is projected to experience a growth rate of 10.7% between 2021 and 2026, ultimately reaching a value of $979.4 million by the end of the forecast period. According to projections, the Japanese and Chinese markets are expected to experience growth rates of 8.7% and 11.5%, respectively, resulting in market sizes of $3.5 billion and $27.4 billion by the year 2026. In 2021, Australian motorcycles experienced a resurgence in sales, as evidenced by an increase in consumer spending. The gradual reduction of restrictions on movement and widespread vaccination of the population are expected to have a positive impact on both economic activity and transportation demand. During the anticipated timeframe, there will be a growth in the market due to an increase in demand for off-road bikes for leisure purposes. (Marketline,2022)</w:t>
      </w:r>
    </w:p>
    <w:p w14:paraId="090322D1" w14:textId="3A9BA081" w:rsidR="00EF7DE0" w:rsidRDefault="00A16B31" w:rsidP="00BA2D4A">
      <w:pPr>
        <w:pStyle w:val="H2"/>
      </w:pPr>
      <w:bookmarkStart w:id="13" w:name="_Toc133247253"/>
      <w:r>
        <w:t>Porter</w:t>
      </w:r>
      <w:r w:rsidR="00881ABA">
        <w:t>’s</w:t>
      </w:r>
      <w:r w:rsidR="00EF7DE0">
        <w:t xml:space="preserve"> National Diamond</w:t>
      </w:r>
      <w:r>
        <w:t xml:space="preserve"> (Australia)</w:t>
      </w:r>
      <w:bookmarkEnd w:id="13"/>
    </w:p>
    <w:p w14:paraId="66D5F337" w14:textId="1D2F6201" w:rsidR="00A16B31" w:rsidRDefault="00A16B31" w:rsidP="0049388A">
      <w:pPr>
        <w:pStyle w:val="N"/>
      </w:pPr>
      <w:r w:rsidRPr="00A16B31">
        <w:t>The</w:t>
      </w:r>
      <w:r w:rsidR="00881ABA" w:rsidRPr="00881ABA">
        <w:t xml:space="preserve"> </w:t>
      </w:r>
      <w:r w:rsidR="00881ABA">
        <w:t>Porter’s National Diamond</w:t>
      </w:r>
      <w:r w:rsidRPr="00A16B31">
        <w:t xml:space="preserve"> model describes the variables that affect an entity's relative strength and encourage them to excel. For example, businesses can develop their strengths to strengthen their presence and elevate themselves to the status of a national entity, in addition to some of the characteristics that are present and recognisable in the environment.</w:t>
      </w:r>
      <w:r w:rsidR="00881ABA">
        <w:t xml:space="preserve"> There is main four factors: Factor Condition; Demand Condition; Related supporting; Industries </w:t>
      </w:r>
      <w:r w:rsidR="00881ABA" w:rsidRPr="00881ABA">
        <w:t>and Firm Strategy, Structure and Rivalry. These conditions determine organisation’s success. (Jarungkitkul,2016)</w:t>
      </w:r>
      <w:r w:rsidR="006B10FD">
        <w:t xml:space="preserve"> </w:t>
      </w:r>
    </w:p>
    <w:p w14:paraId="5484C62E" w14:textId="3B820610" w:rsidR="00A16B31" w:rsidRDefault="00D457A3" w:rsidP="0049388A">
      <w:pPr>
        <w:pStyle w:val="N"/>
      </w:pPr>
      <w:r w:rsidRPr="00D457A3">
        <w:t xml:space="preserve">Australian weather and road design are ideal for bicycling. One of the key demand points in Australia is for young people to ride high-intensity power bikes for extended distances.  With total revenues of $588.3 million in 2021, the Australian motorbike market saw a compound annual growth rate (CAGR) of 3% from 2016 to 2021. Comparatively, the Chinese and Japanese markets expanded during the same </w:t>
      </w:r>
      <w:r w:rsidR="0044736A" w:rsidRPr="00D457A3">
        <w:t>time</w:t>
      </w:r>
      <w:r w:rsidRPr="00D457A3">
        <w:t xml:space="preserve"> at CAGRs of 13.8% and 3.3%, respectively, to reach respective values of $2.3 billion and $15.9 billion in 2021. It shows that the Australian motorcycle business is growing </w:t>
      </w:r>
      <w:r w:rsidR="0044736A" w:rsidRPr="00D457A3">
        <w:t>because of</w:t>
      </w:r>
      <w:r w:rsidRPr="00D457A3">
        <w:t xml:space="preserve"> the increasing demand among Australian youth. The existence of big, international businesses with well-known brands raises the degree of competition in this industry. Competition is somewhat reduced by geographic reach and product line diversification. Additionally, businesses like </w:t>
      </w:r>
      <w:proofErr w:type="spellStart"/>
      <w:r w:rsidRPr="00D457A3">
        <w:t>Harly</w:t>
      </w:r>
      <w:proofErr w:type="spellEnd"/>
      <w:r w:rsidRPr="00D457A3">
        <w:t xml:space="preserve"> </w:t>
      </w:r>
      <w:proofErr w:type="spellStart"/>
      <w:r w:rsidRPr="00D457A3">
        <w:t>Devidsons</w:t>
      </w:r>
      <w:proofErr w:type="spellEnd"/>
      <w:r w:rsidRPr="00D457A3">
        <w:t xml:space="preserve"> are </w:t>
      </w:r>
      <w:r w:rsidRPr="00D457A3">
        <w:lastRenderedPageBreak/>
        <w:t xml:space="preserve">attracting seniors and </w:t>
      </w:r>
      <w:r w:rsidR="0044736A" w:rsidRPr="00D457A3">
        <w:t>retirees</w:t>
      </w:r>
      <w:r w:rsidRPr="00D457A3">
        <w:t xml:space="preserve">, broadening their target </w:t>
      </w:r>
      <w:proofErr w:type="gramStart"/>
      <w:r w:rsidRPr="00D457A3">
        <w:t>demographic</w:t>
      </w:r>
      <w:proofErr w:type="gramEnd"/>
      <w:r w:rsidRPr="00D457A3">
        <w:t xml:space="preserve"> and enabling them to expand. Large multinational corporations with cutting-edge technologies and a dominant presence in international markets are among the suppliers of parts and accessories, including Robert Bosch, Denso Corporation (fuel ignition systems and electronics), Magna International (electronics), Brembo (brakes), Michelin, and Continental (tyres)</w:t>
      </w:r>
      <w:r>
        <w:t xml:space="preserve"> have presents in market. (MarketLine,2022) </w:t>
      </w:r>
    </w:p>
    <w:p w14:paraId="41EF56E1" w14:textId="5F6DFBE2" w:rsidR="00EF7DE0" w:rsidRPr="003F0931" w:rsidRDefault="00D457A3" w:rsidP="003F0931">
      <w:pPr>
        <w:pStyle w:val="H2"/>
      </w:pPr>
      <w:r w:rsidRPr="003F0931">
        <w:t>Australia</w:t>
      </w:r>
      <w:r w:rsidR="00EF7DE0" w:rsidRPr="003F0931">
        <w:t xml:space="preserve"> Business Risks</w:t>
      </w:r>
    </w:p>
    <w:p w14:paraId="3B64B1F4" w14:textId="77777777" w:rsidR="003F0931" w:rsidRDefault="003F0931" w:rsidP="003F0931">
      <w:pPr>
        <w:pStyle w:val="N"/>
      </w:pPr>
      <w:r>
        <w:t>The establishment of a production plant necessitates a substantial infusion of capital, which generates a barrier to entry and results in elevated fixed expenses. The technological advancements in motorcycle products are so significant that novice individuals may encounter challenges when attempting to enter the market. Honda, Kawasaki, and Yamaha are prominent players in the industry due to their extensive brand recognition and high sales figures. Brand loyalty is often attributed to the distinctive characteristics of a brand that customers find appealing. Novice individuals are required to present a unique contribution.</w:t>
      </w:r>
    </w:p>
    <w:p w14:paraId="210BB9F4" w14:textId="77777777" w:rsidR="003F0931" w:rsidRDefault="003F0931" w:rsidP="003F0931">
      <w:pPr>
        <w:pStyle w:val="N"/>
      </w:pPr>
      <w:r>
        <w:t>Emerging players in the market have the option to either engage in importation or domestic production. The accessibility of suppliers and the competitiveness of local labour are key factors that determine domestic manufacturing in the initial scenario. The second scenario involves the presence of trade barriers on automobile imports and a decline in currency exchange rates, which lead to price distortions for buyers and reduced profit margins. However, the act of divesting entails lower risks and costs.</w:t>
      </w:r>
    </w:p>
    <w:p w14:paraId="59E99716" w14:textId="77777777" w:rsidR="003F0931" w:rsidRDefault="003F0931" w:rsidP="003F0931">
      <w:pPr>
        <w:pStyle w:val="N"/>
      </w:pPr>
      <w:r>
        <w:t xml:space="preserve">The implementation of emission and safety regulations results in an increase in production costs and acts as a deterrent for potential new entrants. The regulations pertaining to vehicular emissions impose restrictions on the levels of carbon monoxide (CO), hydrocarbons (HC), and nitrogen oxides (NOx) that are permissible. Achieving conformity with emission standards necessitates the allocation of resources towards the enhancement of combustion processes to mitigate engine emissions or the incorporation of more costly catalysts. The emission regulations implemented in Australia are based on Euro 5 standards and are denoted by the ADR 79/04 label. The emissions of CO2 and NOX are subject to limitations of 1g/km and 0.06g/km, correspondingly. The potential adoption of Euro 6 standards by the Australian government may result in an increase in compliance costs. </w:t>
      </w:r>
    </w:p>
    <w:p w14:paraId="715611D6" w14:textId="77777777" w:rsidR="003F0931" w:rsidRDefault="003F0931" w:rsidP="003F0931">
      <w:pPr>
        <w:pStyle w:val="N"/>
      </w:pPr>
      <w:r>
        <w:t>Taxation may discourage individuals who are new to a particular area or industry. The imposition of significant import tariffs or taxes related to acquisition and registration has the potential to distort the demand for market participants.</w:t>
      </w:r>
    </w:p>
    <w:p w14:paraId="0DF73FB2" w14:textId="77777777" w:rsidR="003F0931" w:rsidRDefault="003F0931" w:rsidP="003F0931">
      <w:pPr>
        <w:pStyle w:val="N"/>
      </w:pPr>
      <w:r>
        <w:lastRenderedPageBreak/>
        <w:t>The challenge of establishing oneself in the market is attributed to the level of brand recognition. Consumers tend to select motorcycles based on brand affiliation, as they associate their past experiences and perceived performance with a particular brand. Honda and Harley-Davidson are prominent players in the industry due to their significant brand recognition and sales figures. Brand loyalty is often attributed to the perceived quality, safety, and aesthetic appeal of a product or service, which engenders a sense of devotion among customers. Due to the robustness of established high-end motorcycle brands, novice competitors encounter difficulties in penetrating the market. It is possible that new market participants may focus on specific demographics by offering specialised bicycles. Harley-Davidson specialises in producing premium cruisers, while Piaggio is known for manufacturing cost-effective scooters (Vespa) and sport bikes (Aprilia). Contemporary manufacturers are currently producing diminutive and cost-effective motorcycles that cater to a younger demographic.</w:t>
      </w:r>
    </w:p>
    <w:p w14:paraId="61535A5E" w14:textId="77777777" w:rsidR="003F0931" w:rsidRDefault="003F0931" w:rsidP="003F0931">
      <w:pPr>
        <w:pStyle w:val="N"/>
      </w:pPr>
      <w:r>
        <w:t xml:space="preserve">Prominent stakeholders in the industry have established their respective dealership networks, and inducing dealers to transition to alternative manufacturers incurs significant expenses. The ease with which consumers can switch creates opportunities for new entrants to penetrate the market. The existing dominance of established motorbike brands poses a significant challenge for emerging brands seeking to penetrate the market. </w:t>
      </w:r>
    </w:p>
    <w:p w14:paraId="55BEA5A8" w14:textId="77777777" w:rsidR="003F0931" w:rsidRDefault="003F0931" w:rsidP="003F0931">
      <w:pPr>
        <w:pStyle w:val="N"/>
      </w:pPr>
      <w:r>
        <w:t>Startups have a comparative advantage in accessing niche markets. In the past decade, emerging small-scale manufacturers such as Zero Motorcycles, Gogoro, and Lightning Motorcycles have been able to penetrate the specialised market of electric motorcycles.</w:t>
      </w:r>
    </w:p>
    <w:p w14:paraId="0DE61240" w14:textId="77777777" w:rsidR="003F0931" w:rsidRDefault="003F0931" w:rsidP="003F0931">
      <w:pPr>
        <w:pStyle w:val="N"/>
      </w:pPr>
      <w:r>
        <w:t>The recent introduction of new motorcycles in Australia does not present any significant risk.</w:t>
      </w:r>
    </w:p>
    <w:p w14:paraId="4E56CA29" w14:textId="77777777" w:rsidR="003F0931" w:rsidRDefault="003F0931" w:rsidP="003F0931">
      <w:pPr>
        <w:pStyle w:val="N"/>
      </w:pPr>
    </w:p>
    <w:p w14:paraId="6C0008CB" w14:textId="77777777" w:rsidR="00EF7DE0" w:rsidRDefault="00EF7DE0" w:rsidP="0049388A">
      <w:pPr>
        <w:pStyle w:val="N"/>
      </w:pPr>
    </w:p>
    <w:p w14:paraId="31B1121A" w14:textId="0EE92627" w:rsidR="00EF7DE0" w:rsidRDefault="00EF7DE0" w:rsidP="003F0931">
      <w:pPr>
        <w:pStyle w:val="H1"/>
      </w:pPr>
      <w:r>
        <w:t>Internal Analysis</w:t>
      </w:r>
    </w:p>
    <w:p w14:paraId="5C4AD160" w14:textId="79052033" w:rsidR="00EF7DE0" w:rsidRDefault="006B65F9" w:rsidP="006B65F9">
      <w:pPr>
        <w:pStyle w:val="N"/>
      </w:pPr>
      <w:r>
        <w:t>The Internal Analysis is a systematic evaluation of an organization's internal elements, including its resources, assets, characteristics, competencies, capabilities, and competitive advantages. The identification of an organization's strengths and weaknesses assists management in the decision-making, strategy formulation, and execution processes.</w:t>
      </w:r>
      <w:r>
        <w:t xml:space="preserve"> </w:t>
      </w:r>
      <w:r>
        <w:t>In essence, an Internal Analysis facilitates a firm's ability to identify its potential for enhancing internal capacity to effectively manage execution and adapt to change.</w:t>
      </w:r>
      <w:r>
        <w:t xml:space="preserve"> </w:t>
      </w:r>
      <w:r>
        <w:t xml:space="preserve">The Internal Analysis is a crucial component of strategic management and serves as the fundamental basis for any </w:t>
      </w:r>
      <w:r>
        <w:lastRenderedPageBreak/>
        <w:t xml:space="preserve">business strategy. This analysis aims to identify an organization's strengths and weaknesses in relation to its competencies, resources, and competitive </w:t>
      </w:r>
      <w:r w:rsidR="004D5E90">
        <w:t>advantages. (Rugman,2012)</w:t>
      </w:r>
    </w:p>
    <w:p w14:paraId="3D9AE0AF" w14:textId="3544486E" w:rsidR="00EF7DE0" w:rsidRPr="00F33184" w:rsidRDefault="00EF7DE0" w:rsidP="00F33184">
      <w:pPr>
        <w:pStyle w:val="H2"/>
      </w:pPr>
      <w:r w:rsidRPr="00F33184">
        <w:t>SWOT Analysis</w:t>
      </w:r>
    </w:p>
    <w:p w14:paraId="2ADFEE14" w14:textId="0DF000C2" w:rsidR="00F33184" w:rsidRDefault="007330E6" w:rsidP="00F33184">
      <w:pPr>
        <w:pStyle w:val="N"/>
      </w:pPr>
      <w:r>
        <w:t>The acronym SWOT denotes Strengths, Weaknesses, Opportunities, and Threats, and thus, a SWOT analysis is a method utilised to evaluate these four dimensions of a business.</w:t>
      </w:r>
      <w:r>
        <w:t xml:space="preserve"> </w:t>
      </w:r>
      <w:r>
        <w:t>The SWOT Analysis is a valuable tool for assessing a company's current strengths, weaknesses, opportunities, and threats, and for developing an effective strategy for future success. The SWOT analysis is a valuable tool that can reveal potential weaknesses within a business that may impede progress or be susceptible to exploitation by competitors if not adequately safeguarded.</w:t>
      </w:r>
      <w:r>
        <w:t xml:space="preserve"> </w:t>
      </w:r>
      <w:r>
        <w:t xml:space="preserve">The SWOT analysis is a strategic tool that evaluates the internal and external factors of an organisation. It encompasses an assessment of the organization's internal strengths and weaknesses, as well as external opportunities and threats. Certain factors will be under one's control, while others will not. In either scenario, the most prudent course of action for a company to undertake in response will become more evident </w:t>
      </w:r>
      <w:r>
        <w:t>after</w:t>
      </w:r>
      <w:r>
        <w:t xml:space="preserve"> their identification, documentation, and analysis of as many pertinent factors as feasible.</w:t>
      </w:r>
      <w:r>
        <w:t xml:space="preserve"> </w:t>
      </w:r>
      <w:proofErr w:type="gramStart"/>
      <w:r w:rsidR="00A70FB1">
        <w:t>(</w:t>
      </w:r>
      <w:proofErr w:type="spellStart"/>
      <w:proofErr w:type="gramEnd"/>
      <w:r w:rsidR="00A70FB1" w:rsidRPr="00A70FB1">
        <w:t>Phadermrod</w:t>
      </w:r>
      <w:proofErr w:type="spellEnd"/>
      <w:r w:rsidR="00A70FB1" w:rsidRPr="00A70FB1">
        <w:t>, 2018</w:t>
      </w:r>
      <w:r w:rsidR="00A70FB1">
        <w:t>)</w:t>
      </w:r>
    </w:p>
    <w:p w14:paraId="2402F957" w14:textId="35C6E8DB" w:rsidR="00F33184" w:rsidRPr="00F33184" w:rsidRDefault="00F33184" w:rsidP="00F33184">
      <w:pPr>
        <w:pStyle w:val="N"/>
        <w:rPr>
          <w:b/>
          <w:bCs/>
        </w:rPr>
      </w:pPr>
      <w:r w:rsidRPr="00F33184">
        <w:rPr>
          <w:b/>
          <w:bCs/>
        </w:rPr>
        <w:t>Strength:</w:t>
      </w:r>
    </w:p>
    <w:p w14:paraId="06A1CA49" w14:textId="447AB966" w:rsidR="00F33184" w:rsidRDefault="00F33184" w:rsidP="00F33184">
      <w:pPr>
        <w:pStyle w:val="N"/>
      </w:pPr>
      <w:r>
        <w:t xml:space="preserve">It is imperative for any organisation to have a comprehensive understanding of their strengths, as these attributes have contributed significantly to their reputation. When individuals focus on addressing their weaknesses, it is important for them to maintain their existing strengths. These can assist individuals in achieving a higher status in the fiercely competitive market. </w:t>
      </w:r>
      <w:r>
        <w:t>Like</w:t>
      </w:r>
      <w:r>
        <w:t xml:space="preserve"> other corporations, Harley Davidson possesses certain strengths.</w:t>
      </w:r>
    </w:p>
    <w:p w14:paraId="5161621A" w14:textId="06E263B0" w:rsidR="00F33184" w:rsidRDefault="00F33184" w:rsidP="00F33184">
      <w:pPr>
        <w:pStyle w:val="N"/>
        <w:numPr>
          <w:ilvl w:val="0"/>
          <w:numId w:val="5"/>
        </w:numPr>
      </w:pPr>
      <w:r>
        <w:t xml:space="preserve">The </w:t>
      </w:r>
      <w:r>
        <w:t>brand</w:t>
      </w:r>
      <w:r>
        <w:t xml:space="preserve"> is the foremost organisation in the motorcycle industry.</w:t>
      </w:r>
    </w:p>
    <w:p w14:paraId="1FFD6487" w14:textId="77777777" w:rsidR="00F33184" w:rsidRDefault="00F33184" w:rsidP="00F33184">
      <w:pPr>
        <w:pStyle w:val="N"/>
        <w:numPr>
          <w:ilvl w:val="0"/>
          <w:numId w:val="5"/>
        </w:numPr>
      </w:pPr>
      <w:r>
        <w:t>The corporation has established a robust sense of brand loyalty and equity.</w:t>
      </w:r>
    </w:p>
    <w:p w14:paraId="570643CB" w14:textId="77777777" w:rsidR="00F33184" w:rsidRDefault="00F33184" w:rsidP="00F33184">
      <w:pPr>
        <w:pStyle w:val="N"/>
        <w:numPr>
          <w:ilvl w:val="0"/>
          <w:numId w:val="5"/>
        </w:numPr>
      </w:pPr>
      <w:r>
        <w:t>The company's strong financial position has resulted in a robust global sales presence.</w:t>
      </w:r>
    </w:p>
    <w:p w14:paraId="266397CB" w14:textId="77777777" w:rsidR="00F33184" w:rsidRDefault="00F33184" w:rsidP="00F33184">
      <w:pPr>
        <w:pStyle w:val="N"/>
        <w:numPr>
          <w:ilvl w:val="0"/>
          <w:numId w:val="5"/>
        </w:numPr>
      </w:pPr>
      <w:r>
        <w:t>The corporation produced superior quality merchandise.</w:t>
      </w:r>
    </w:p>
    <w:p w14:paraId="55C30071" w14:textId="77777777" w:rsidR="00F33184" w:rsidRDefault="00F33184" w:rsidP="00F33184">
      <w:pPr>
        <w:pStyle w:val="N"/>
        <w:numPr>
          <w:ilvl w:val="0"/>
          <w:numId w:val="5"/>
        </w:numPr>
      </w:pPr>
      <w:r>
        <w:t>The brand's strong presence on social media platforms enables them to establish themselves as prominent figures.</w:t>
      </w:r>
    </w:p>
    <w:p w14:paraId="34F4C3A5" w14:textId="77777777" w:rsidR="00F33184" w:rsidRDefault="00F33184" w:rsidP="00F33184">
      <w:pPr>
        <w:pStyle w:val="N"/>
        <w:numPr>
          <w:ilvl w:val="0"/>
          <w:numId w:val="5"/>
        </w:numPr>
      </w:pPr>
      <w:r>
        <w:t>The company's marketing strategy is commendable, and it has a global presence in over 60 countries.</w:t>
      </w:r>
    </w:p>
    <w:p w14:paraId="5131A78B" w14:textId="77777777" w:rsidR="00F33184" w:rsidRPr="00F33184" w:rsidRDefault="00F33184" w:rsidP="00F33184">
      <w:pPr>
        <w:pStyle w:val="N"/>
        <w:rPr>
          <w:b/>
          <w:bCs/>
        </w:rPr>
      </w:pPr>
      <w:r w:rsidRPr="00F33184">
        <w:rPr>
          <w:b/>
          <w:bCs/>
        </w:rPr>
        <w:t>Weakness:</w:t>
      </w:r>
    </w:p>
    <w:p w14:paraId="77852901" w14:textId="1D5199CD" w:rsidR="00F33184" w:rsidRDefault="00F33184" w:rsidP="00F33184">
      <w:pPr>
        <w:pStyle w:val="N"/>
      </w:pPr>
      <w:r>
        <w:lastRenderedPageBreak/>
        <w:t xml:space="preserve">Organisations may possess certain areas of </w:t>
      </w:r>
      <w:r>
        <w:t>vulnerability;</w:t>
      </w:r>
      <w:r>
        <w:t xml:space="preserve"> however, they have the potential to transform them into areas of proficiency through strategic measures. It is necessary for individuals to assess their circumstances and identify their shortcomings </w:t>
      </w:r>
      <w:r>
        <w:t>to</w:t>
      </w:r>
      <w:r>
        <w:t xml:space="preserve"> implement suitable measures to address them. Harley Davidson exhibits certain weaknesses as well.</w:t>
      </w:r>
    </w:p>
    <w:p w14:paraId="6E869D48" w14:textId="77777777" w:rsidR="00F33184" w:rsidRDefault="00F33184" w:rsidP="00F33184">
      <w:pPr>
        <w:pStyle w:val="N"/>
        <w:numPr>
          <w:ilvl w:val="0"/>
          <w:numId w:val="4"/>
        </w:numPr>
      </w:pPr>
      <w:r>
        <w:t xml:space="preserve">The company faces significant competition from other motorcycle manufacturers, which has led to a restricted expansion of its market share. </w:t>
      </w:r>
    </w:p>
    <w:p w14:paraId="21BE3BA6" w14:textId="4F89A4DD" w:rsidR="00F33184" w:rsidRDefault="00F33184" w:rsidP="00F33184">
      <w:pPr>
        <w:pStyle w:val="N"/>
        <w:numPr>
          <w:ilvl w:val="0"/>
          <w:numId w:val="4"/>
        </w:numPr>
      </w:pPr>
      <w:r>
        <w:t>Additionally, the brand has been subject to numerous accusations of environmental pollution.</w:t>
      </w:r>
    </w:p>
    <w:p w14:paraId="00ED6011" w14:textId="77777777" w:rsidR="00F33184" w:rsidRPr="00F33184" w:rsidRDefault="00F33184" w:rsidP="00F33184">
      <w:pPr>
        <w:pStyle w:val="N"/>
        <w:rPr>
          <w:b/>
          <w:bCs/>
        </w:rPr>
      </w:pPr>
      <w:r w:rsidRPr="00F33184">
        <w:rPr>
          <w:b/>
          <w:bCs/>
        </w:rPr>
        <w:t>Opportunities:</w:t>
      </w:r>
    </w:p>
    <w:p w14:paraId="4A16E033" w14:textId="77777777" w:rsidR="00F33184" w:rsidRDefault="00F33184" w:rsidP="00F33184">
      <w:pPr>
        <w:pStyle w:val="N"/>
      </w:pPr>
      <w:r>
        <w:t>When formulating strategies and setting future goals, it is imperative for companies to identify and acknowledge their opportunities. The intensifying market competition can be attributed to the diverse menu offerings and inclusive practises of numerous coffee chains. Therefore, it is imperative for corporations such as Harley Davidson to carefully evaluate their potential prospects when conducting a SWOT analysis. The following are potential avenues for individuals to enhance their standing in the competitive market:</w:t>
      </w:r>
    </w:p>
    <w:p w14:paraId="54BADD39" w14:textId="77777777" w:rsidR="00F33184" w:rsidRDefault="00F33184" w:rsidP="00F33184">
      <w:pPr>
        <w:pStyle w:val="N"/>
        <w:numPr>
          <w:ilvl w:val="0"/>
          <w:numId w:val="3"/>
        </w:numPr>
      </w:pPr>
      <w:r>
        <w:t>The market has experienced a swift emergence and the brand has undergone global expansion. This presents a valuable opportunity for the company as it facilitates business growth through product diversification and expansion of services.</w:t>
      </w:r>
    </w:p>
    <w:p w14:paraId="1BCC0561" w14:textId="77777777" w:rsidR="00F33184" w:rsidRDefault="00F33184" w:rsidP="00F33184">
      <w:pPr>
        <w:pStyle w:val="N"/>
        <w:numPr>
          <w:ilvl w:val="0"/>
          <w:numId w:val="3"/>
        </w:numPr>
      </w:pPr>
      <w:r>
        <w:t xml:space="preserve">The company has a significant opportunity to expand its business, as it recognises the potential demand from customers. Consequently, they have enhanced their sales performance in the women's bicycle market. For instance, it can be observed that female riders have purchased approximately 15,000 motorcycles annually. </w:t>
      </w:r>
    </w:p>
    <w:p w14:paraId="18F10265" w14:textId="77777777" w:rsidR="00F33184" w:rsidRDefault="00F33184" w:rsidP="00F33184">
      <w:pPr>
        <w:pStyle w:val="N"/>
        <w:numPr>
          <w:ilvl w:val="0"/>
          <w:numId w:val="3"/>
        </w:numPr>
      </w:pPr>
      <w:r>
        <w:t xml:space="preserve">Furthermore, there was a 12% surge in the sales of bicycles designed for women in the year 2006. Additionally, the brand has established a dedicated group of customers who exhibit brand loyalty. </w:t>
      </w:r>
    </w:p>
    <w:p w14:paraId="1752572D" w14:textId="77777777" w:rsidR="00F33184" w:rsidRDefault="00F33184" w:rsidP="00F33184">
      <w:pPr>
        <w:pStyle w:val="N"/>
        <w:numPr>
          <w:ilvl w:val="0"/>
          <w:numId w:val="3"/>
        </w:numPr>
      </w:pPr>
      <w:r>
        <w:t xml:space="preserve">Attracting younger clientele can be beneficial. This facilitates the installation of both light and heavy-duty vehicles. Reciprocally, this serves </w:t>
      </w:r>
      <w:r>
        <w:t>to</w:t>
      </w:r>
      <w:r>
        <w:t xml:space="preserve"> enhance the customer base; The brand exerts a noteworthy influence on the markets of Asia and Europe. </w:t>
      </w:r>
    </w:p>
    <w:p w14:paraId="2B084430" w14:textId="70F58DEB" w:rsidR="00F33184" w:rsidRDefault="00F33184" w:rsidP="00F33184">
      <w:pPr>
        <w:pStyle w:val="N"/>
        <w:numPr>
          <w:ilvl w:val="0"/>
          <w:numId w:val="3"/>
        </w:numPr>
      </w:pPr>
      <w:r>
        <w:t xml:space="preserve">There is a lack of participants in this sector, or rather, no participants at all for competition. Consequently, this presents a significant prospect for the </w:t>
      </w:r>
      <w:r>
        <w:t>brand</w:t>
      </w:r>
      <w:r>
        <w:t>. It also enhances their market demand.</w:t>
      </w:r>
    </w:p>
    <w:p w14:paraId="062F4C75" w14:textId="77777777" w:rsidR="00F33184" w:rsidRPr="00F33184" w:rsidRDefault="00F33184" w:rsidP="00F33184">
      <w:pPr>
        <w:pStyle w:val="N"/>
        <w:rPr>
          <w:b/>
          <w:bCs/>
        </w:rPr>
      </w:pPr>
      <w:r w:rsidRPr="00F33184">
        <w:rPr>
          <w:b/>
          <w:bCs/>
        </w:rPr>
        <w:t>Threats:</w:t>
      </w:r>
    </w:p>
    <w:p w14:paraId="6D2B7E79" w14:textId="77777777" w:rsidR="00F33184" w:rsidRDefault="00F33184" w:rsidP="00F33184">
      <w:pPr>
        <w:pStyle w:val="N"/>
      </w:pPr>
      <w:r>
        <w:lastRenderedPageBreak/>
        <w:t>For a company to persist in a fiercely competitive market, it is imperative that it confronts certain threats. It is recommended that appropriate measures be taken to mitigate potential threats and establish a robust policy framework to attain future objectives.</w:t>
      </w:r>
    </w:p>
    <w:p w14:paraId="66EE1D6B" w14:textId="77777777" w:rsidR="00F33184" w:rsidRDefault="00F33184" w:rsidP="00F33184">
      <w:pPr>
        <w:pStyle w:val="N"/>
        <w:numPr>
          <w:ilvl w:val="0"/>
          <w:numId w:val="2"/>
        </w:numPr>
      </w:pPr>
      <w:r>
        <w:t>The business of this brand can be impacted by other manufacturers operating within the same segments.</w:t>
      </w:r>
    </w:p>
    <w:p w14:paraId="57EB87F5" w14:textId="77777777" w:rsidR="00F33184" w:rsidRDefault="00F33184" w:rsidP="00F33184">
      <w:pPr>
        <w:pStyle w:val="N"/>
        <w:numPr>
          <w:ilvl w:val="0"/>
          <w:numId w:val="2"/>
        </w:numPr>
      </w:pPr>
      <w:r>
        <w:t>Alterations in political policies, governmental regulations, taxation laws, and related factors have a significant impact on the operations of a brand. The fluctuation in a company's business is frequently influenced by shifts in government or political leadership.</w:t>
      </w:r>
    </w:p>
    <w:p w14:paraId="01CBA60A" w14:textId="77777777" w:rsidR="00F33184" w:rsidRDefault="00F33184" w:rsidP="00F33184">
      <w:pPr>
        <w:pStyle w:val="N"/>
        <w:numPr>
          <w:ilvl w:val="0"/>
          <w:numId w:val="2"/>
        </w:numPr>
      </w:pPr>
      <w:r>
        <w:t>The organization's sales are heavily reliant on the United States market, accounting for 65% of its revenue, resulting in internal turmoil. Additionally, the low-cost competitor poses a significant threat to the brand.</w:t>
      </w:r>
    </w:p>
    <w:p w14:paraId="405EB3DD" w14:textId="327F64BE" w:rsidR="00EF7DE0" w:rsidRDefault="00F33184" w:rsidP="00F33184">
      <w:pPr>
        <w:pStyle w:val="N"/>
        <w:numPr>
          <w:ilvl w:val="0"/>
          <w:numId w:val="2"/>
        </w:numPr>
      </w:pPr>
      <w:r>
        <w:t>The brand of motorcycle in question faces a significant risk from the potential substitution of its products.</w:t>
      </w:r>
      <w:r>
        <w:t xml:space="preserve"> </w:t>
      </w:r>
      <w:proofErr w:type="gramStart"/>
      <w:r>
        <w:t>(</w:t>
      </w:r>
      <w:proofErr w:type="gramEnd"/>
      <w:r>
        <w:t>Edrawmax,2023)</w:t>
      </w:r>
    </w:p>
    <w:p w14:paraId="15421384" w14:textId="77777777" w:rsidR="00F33184" w:rsidRDefault="00F33184" w:rsidP="00F33184">
      <w:pPr>
        <w:pStyle w:val="N"/>
      </w:pPr>
    </w:p>
    <w:p w14:paraId="500A954E" w14:textId="71F963CB" w:rsidR="00EF7DE0" w:rsidRDefault="00EF7DE0" w:rsidP="0049388A">
      <w:pPr>
        <w:pStyle w:val="N"/>
      </w:pPr>
      <w:r>
        <w:t>International Strategies</w:t>
      </w:r>
    </w:p>
    <w:p w14:paraId="74F1C59C" w14:textId="2588B720" w:rsidR="007330E6" w:rsidRDefault="007330E6" w:rsidP="007330E6">
      <w:pPr>
        <w:pStyle w:val="N"/>
      </w:pPr>
      <w:r>
        <w:t>A company that engages in international shipping or offers services to customers or enterprises in foreign nations is classified as a global enterprise. Typically, businesses initiate global expansion by adopting an international strategy, which involves the import and export of goods and services while retaining their headquarters in their country of origin.</w:t>
      </w:r>
    </w:p>
    <w:p w14:paraId="628B43C9" w14:textId="172029A2" w:rsidR="00EF7DE0" w:rsidRDefault="007330E6" w:rsidP="007330E6">
      <w:pPr>
        <w:pStyle w:val="N"/>
      </w:pPr>
      <w:r>
        <w:t>The process of expanding a business globally cannot be approached with a uniform strategy. As corporations expand and increase in size, they may opt to allocate additional resources towards their designated markets.</w:t>
      </w:r>
      <w:r w:rsidR="001D6833">
        <w:t xml:space="preserve"> (Wild</w:t>
      </w:r>
      <w:r>
        <w:t xml:space="preserve"> J.J.,2016)</w:t>
      </w:r>
    </w:p>
    <w:p w14:paraId="0A2E7CA7" w14:textId="3E392783" w:rsidR="00EF7DE0" w:rsidRDefault="00EF7DE0" w:rsidP="0049388A">
      <w:pPr>
        <w:pStyle w:val="N"/>
      </w:pPr>
      <w:r>
        <w:t>Entry Mode</w:t>
      </w:r>
    </w:p>
    <w:p w14:paraId="6F7D289F" w14:textId="3A3EA34C" w:rsidR="00EF7DE0" w:rsidRDefault="001D6833" w:rsidP="0049388A">
      <w:pPr>
        <w:pStyle w:val="N"/>
      </w:pPr>
      <w:r w:rsidRPr="001D6833">
        <w:t xml:space="preserve">The term "entry mode" refers to the strategic approach adopted by a company to penetrate a foreign market that has not been previously targeted by the company. The objective of the process is to introduce a product or service to a specific global market. Additionally, it has the potential to trigger the introduction of associated commercial endeavours, encompassing technology, personnel, administration, and other assets, into the prospective host nation. It is imperative to </w:t>
      </w:r>
      <w:r w:rsidRPr="001D6833">
        <w:t>consider</w:t>
      </w:r>
      <w:r w:rsidRPr="001D6833">
        <w:t xml:space="preserve"> that there exist multiple approaches to penetrate a global market.  When contemplating market entry, it is important to </w:t>
      </w:r>
      <w:r w:rsidRPr="001D6833">
        <w:t>consider</w:t>
      </w:r>
      <w:r w:rsidRPr="001D6833">
        <w:t xml:space="preserve"> the unique characteristics of the foreign country being targeted, as opposed to entering a new market in one's home country. </w:t>
      </w:r>
      <w:r w:rsidRPr="001D6833">
        <w:lastRenderedPageBreak/>
        <w:t>This consideration is crucial in determining the most suitable mode of market entry</w:t>
      </w:r>
      <w:r>
        <w:t>. (Wild J.J.,2016)</w:t>
      </w:r>
    </w:p>
    <w:p w14:paraId="215FBE62" w14:textId="77777777" w:rsidR="001D6833" w:rsidRDefault="001D6833" w:rsidP="0049388A">
      <w:pPr>
        <w:pStyle w:val="N"/>
      </w:pPr>
    </w:p>
    <w:p w14:paraId="3213798E" w14:textId="1B9BA019" w:rsidR="00EF7DE0" w:rsidRDefault="00EF7DE0" w:rsidP="0049388A">
      <w:pPr>
        <w:pStyle w:val="N"/>
      </w:pPr>
      <w:r>
        <w:t>Corporate Social Responsibility</w:t>
      </w:r>
    </w:p>
    <w:p w14:paraId="54387F88" w14:textId="77777777" w:rsidR="00EF7DE0" w:rsidRDefault="00EF7DE0" w:rsidP="0049388A">
      <w:pPr>
        <w:pStyle w:val="N"/>
      </w:pPr>
    </w:p>
    <w:p w14:paraId="7F8A4035" w14:textId="007E7FC3" w:rsidR="00EF7DE0" w:rsidRDefault="00EF7DE0" w:rsidP="0049388A">
      <w:pPr>
        <w:pStyle w:val="N"/>
      </w:pPr>
      <w:r>
        <w:t xml:space="preserve">Conclusion </w:t>
      </w:r>
    </w:p>
    <w:p w14:paraId="38A47CCB" w14:textId="77777777" w:rsidR="00EF7DE0" w:rsidRDefault="00EF7DE0" w:rsidP="0049388A">
      <w:pPr>
        <w:pStyle w:val="N"/>
      </w:pPr>
    </w:p>
    <w:p w14:paraId="4FC6EBED" w14:textId="77777777" w:rsidR="00EF7DE0" w:rsidRDefault="00EF7DE0" w:rsidP="0049388A">
      <w:pPr>
        <w:pStyle w:val="N"/>
      </w:pPr>
    </w:p>
    <w:p w14:paraId="2564D7AA" w14:textId="77777777" w:rsidR="0049388A" w:rsidRPr="009778DD" w:rsidRDefault="0049388A" w:rsidP="0049388A">
      <w:pPr>
        <w:pStyle w:val="H1"/>
      </w:pPr>
    </w:p>
    <w:p w14:paraId="312A6161" w14:textId="625535B0" w:rsidR="00671E45" w:rsidRDefault="00671E45" w:rsidP="001F5EF7">
      <w:pPr>
        <w:pStyle w:val="N"/>
        <w:spacing w:line="480" w:lineRule="auto"/>
      </w:pPr>
    </w:p>
    <w:sectPr w:rsidR="00671E45" w:rsidSect="00471AA3">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31D"/>
    <w:multiLevelType w:val="hybridMultilevel"/>
    <w:tmpl w:val="7602C7E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A883F9E"/>
    <w:multiLevelType w:val="hybridMultilevel"/>
    <w:tmpl w:val="A8DEBF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112520"/>
    <w:multiLevelType w:val="hybridMultilevel"/>
    <w:tmpl w:val="E1BECB7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A0136A"/>
    <w:multiLevelType w:val="hybridMultilevel"/>
    <w:tmpl w:val="D5024F8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E817C59"/>
    <w:multiLevelType w:val="hybridMultilevel"/>
    <w:tmpl w:val="5860F4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15212861">
    <w:abstractNumId w:val="4"/>
  </w:num>
  <w:num w:numId="2" w16cid:durableId="1482498670">
    <w:abstractNumId w:val="1"/>
  </w:num>
  <w:num w:numId="3" w16cid:durableId="1993871931">
    <w:abstractNumId w:val="3"/>
  </w:num>
  <w:num w:numId="4" w16cid:durableId="228807729">
    <w:abstractNumId w:val="2"/>
  </w:num>
  <w:num w:numId="5" w16cid:durableId="909467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AA3"/>
    <w:rsid w:val="00015DB3"/>
    <w:rsid w:val="00193BD4"/>
    <w:rsid w:val="001D6833"/>
    <w:rsid w:val="001E0D64"/>
    <w:rsid w:val="001F5EF7"/>
    <w:rsid w:val="00246B89"/>
    <w:rsid w:val="002E5957"/>
    <w:rsid w:val="00301A29"/>
    <w:rsid w:val="00347525"/>
    <w:rsid w:val="003717A0"/>
    <w:rsid w:val="00396B94"/>
    <w:rsid w:val="003975E7"/>
    <w:rsid w:val="003F0931"/>
    <w:rsid w:val="00411027"/>
    <w:rsid w:val="00423031"/>
    <w:rsid w:val="00427366"/>
    <w:rsid w:val="0044736A"/>
    <w:rsid w:val="00471AA3"/>
    <w:rsid w:val="004743E0"/>
    <w:rsid w:val="0049388A"/>
    <w:rsid w:val="004C2FFF"/>
    <w:rsid w:val="004D5E90"/>
    <w:rsid w:val="00507CBA"/>
    <w:rsid w:val="00560A71"/>
    <w:rsid w:val="005831FC"/>
    <w:rsid w:val="00671E45"/>
    <w:rsid w:val="006B10FD"/>
    <w:rsid w:val="006B65F9"/>
    <w:rsid w:val="007330E6"/>
    <w:rsid w:val="00765741"/>
    <w:rsid w:val="00881ABA"/>
    <w:rsid w:val="00895E0A"/>
    <w:rsid w:val="00935FA8"/>
    <w:rsid w:val="009778DD"/>
    <w:rsid w:val="00A12DE9"/>
    <w:rsid w:val="00A16B31"/>
    <w:rsid w:val="00A70FB1"/>
    <w:rsid w:val="00A811EF"/>
    <w:rsid w:val="00AD26FE"/>
    <w:rsid w:val="00AE0102"/>
    <w:rsid w:val="00AE7882"/>
    <w:rsid w:val="00B01C3B"/>
    <w:rsid w:val="00B11EB4"/>
    <w:rsid w:val="00B759F2"/>
    <w:rsid w:val="00BA2D4A"/>
    <w:rsid w:val="00BC2233"/>
    <w:rsid w:val="00BE598C"/>
    <w:rsid w:val="00C57F9A"/>
    <w:rsid w:val="00CC11E6"/>
    <w:rsid w:val="00D32899"/>
    <w:rsid w:val="00D457A3"/>
    <w:rsid w:val="00DD49D1"/>
    <w:rsid w:val="00DF4E91"/>
    <w:rsid w:val="00E844FF"/>
    <w:rsid w:val="00E94928"/>
    <w:rsid w:val="00EF7DE0"/>
    <w:rsid w:val="00F33184"/>
    <w:rsid w:val="00F35583"/>
    <w:rsid w:val="00F460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6BB94"/>
  <w15:chartTrackingRefBased/>
  <w15:docId w15:val="{6ECDBCFE-CFB0-427A-8281-58FBDF83C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BD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831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110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3BD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1">
    <w:name w:val="H1"/>
    <w:basedOn w:val="Heading1"/>
    <w:link w:val="H1Char"/>
    <w:autoRedefine/>
    <w:qFormat/>
    <w:rsid w:val="00935FA8"/>
    <w:rPr>
      <w:rFonts w:ascii="Arial" w:hAnsi="Arial" w:cs="Times New Roman"/>
      <w:b/>
      <w:color w:val="000000" w:themeColor="text1"/>
      <w:szCs w:val="28"/>
    </w:rPr>
  </w:style>
  <w:style w:type="character" w:customStyle="1" w:styleId="H1Char">
    <w:name w:val="H1 Char"/>
    <w:basedOn w:val="Heading1Char"/>
    <w:link w:val="H1"/>
    <w:rsid w:val="00935FA8"/>
    <w:rPr>
      <w:rFonts w:ascii="Arial" w:eastAsiaTheme="majorEastAsia" w:hAnsi="Arial" w:cs="Times New Roman"/>
      <w:b/>
      <w:color w:val="000000" w:themeColor="text1"/>
      <w:sz w:val="32"/>
      <w:szCs w:val="28"/>
      <w:lang w:val="en-GB"/>
    </w:rPr>
  </w:style>
  <w:style w:type="character" w:customStyle="1" w:styleId="Heading1Char">
    <w:name w:val="Heading 1 Char"/>
    <w:basedOn w:val="DefaultParagraphFont"/>
    <w:link w:val="Heading1"/>
    <w:uiPriority w:val="9"/>
    <w:rsid w:val="005831FC"/>
    <w:rPr>
      <w:rFonts w:asciiTheme="majorHAnsi" w:eastAsiaTheme="majorEastAsia" w:hAnsiTheme="majorHAnsi" w:cstheme="majorBidi"/>
      <w:color w:val="2E74B5" w:themeColor="accent1" w:themeShade="BF"/>
      <w:sz w:val="32"/>
      <w:szCs w:val="32"/>
      <w:lang w:val="en-GB"/>
    </w:rPr>
  </w:style>
  <w:style w:type="paragraph" w:customStyle="1" w:styleId="H2">
    <w:name w:val="H2"/>
    <w:basedOn w:val="Heading2"/>
    <w:link w:val="H2Char"/>
    <w:autoRedefine/>
    <w:qFormat/>
    <w:rsid w:val="00935FA8"/>
    <w:pPr>
      <w:keepNext w:val="0"/>
      <w:keepLines w:val="0"/>
      <w:spacing w:before="100" w:beforeAutospacing="1" w:after="100" w:afterAutospacing="1"/>
    </w:pPr>
    <w:rPr>
      <w:rFonts w:ascii="Arial" w:eastAsia="Times New Roman" w:hAnsi="Arial" w:cs="Times New Roman"/>
      <w:b/>
      <w:bCs/>
      <w:color w:val="000000" w:themeColor="text1"/>
      <w:sz w:val="28"/>
      <w:szCs w:val="36"/>
      <w:lang w:val="en-IN" w:eastAsia="en-IN"/>
    </w:rPr>
  </w:style>
  <w:style w:type="character" w:customStyle="1" w:styleId="H2Char">
    <w:name w:val="H2 Char"/>
    <w:basedOn w:val="Heading2Char"/>
    <w:link w:val="H2"/>
    <w:rsid w:val="00935FA8"/>
    <w:rPr>
      <w:rFonts w:ascii="Arial" w:eastAsia="Times New Roman" w:hAnsi="Arial" w:cs="Times New Roman"/>
      <w:b/>
      <w:bCs/>
      <w:color w:val="000000" w:themeColor="text1"/>
      <w:sz w:val="28"/>
      <w:szCs w:val="36"/>
      <w:lang w:val="en-GB" w:eastAsia="en-IN"/>
    </w:rPr>
  </w:style>
  <w:style w:type="character" w:customStyle="1" w:styleId="Heading2Char">
    <w:name w:val="Heading 2 Char"/>
    <w:basedOn w:val="DefaultParagraphFont"/>
    <w:link w:val="Heading2"/>
    <w:uiPriority w:val="9"/>
    <w:semiHidden/>
    <w:rsid w:val="00411027"/>
    <w:rPr>
      <w:rFonts w:asciiTheme="majorHAnsi" w:eastAsiaTheme="majorEastAsia" w:hAnsiTheme="majorHAnsi" w:cstheme="majorBidi"/>
      <w:color w:val="2E74B5" w:themeColor="accent1" w:themeShade="BF"/>
      <w:sz w:val="26"/>
      <w:szCs w:val="26"/>
      <w:lang w:val="en-GB"/>
    </w:rPr>
  </w:style>
  <w:style w:type="paragraph" w:customStyle="1" w:styleId="N">
    <w:name w:val="N"/>
    <w:basedOn w:val="Normal"/>
    <w:link w:val="NChar"/>
    <w:qFormat/>
    <w:rsid w:val="00935FA8"/>
    <w:rPr>
      <w:rFonts w:ascii="Arial" w:hAnsi="Arial" w:cs="Times New Roman"/>
      <w:sz w:val="22"/>
      <w:lang w:val="en-IN"/>
    </w:rPr>
  </w:style>
  <w:style w:type="character" w:customStyle="1" w:styleId="NChar">
    <w:name w:val="N Char"/>
    <w:basedOn w:val="DefaultParagraphFont"/>
    <w:link w:val="N"/>
    <w:rsid w:val="00935FA8"/>
    <w:rPr>
      <w:rFonts w:ascii="Arial" w:hAnsi="Arial" w:cs="Times New Roman"/>
    </w:rPr>
  </w:style>
  <w:style w:type="paragraph" w:customStyle="1" w:styleId="H3">
    <w:name w:val="H3"/>
    <w:basedOn w:val="Heading3"/>
    <w:link w:val="H3Char"/>
    <w:autoRedefine/>
    <w:qFormat/>
    <w:rsid w:val="00935FA8"/>
    <w:pPr>
      <w:spacing w:line="240" w:lineRule="auto"/>
    </w:pPr>
    <w:rPr>
      <w:rFonts w:ascii="Arial" w:hAnsi="Arial"/>
      <w:b/>
      <w:color w:val="000000" w:themeColor="text1"/>
      <w:lang w:eastAsia="en-IN"/>
    </w:rPr>
  </w:style>
  <w:style w:type="character" w:customStyle="1" w:styleId="H3Char">
    <w:name w:val="H3 Char"/>
    <w:basedOn w:val="H2Char"/>
    <w:link w:val="H3"/>
    <w:rsid w:val="00935FA8"/>
    <w:rPr>
      <w:rFonts w:ascii="Arial" w:eastAsiaTheme="majorEastAsia" w:hAnsi="Arial" w:cstheme="majorBidi"/>
      <w:b/>
      <w:bCs w:val="0"/>
      <w:color w:val="000000" w:themeColor="text1"/>
      <w:sz w:val="24"/>
      <w:szCs w:val="24"/>
      <w:lang w:val="en-GB" w:eastAsia="en-IN"/>
    </w:rPr>
  </w:style>
  <w:style w:type="character" w:customStyle="1" w:styleId="Heading3Char">
    <w:name w:val="Heading 3 Char"/>
    <w:basedOn w:val="DefaultParagraphFont"/>
    <w:link w:val="Heading3"/>
    <w:uiPriority w:val="9"/>
    <w:semiHidden/>
    <w:rsid w:val="00193BD4"/>
    <w:rPr>
      <w:rFonts w:asciiTheme="majorHAnsi" w:eastAsiaTheme="majorEastAsia" w:hAnsiTheme="majorHAnsi" w:cstheme="majorBidi"/>
      <w:color w:val="1F4D78" w:themeColor="accent1" w:themeShade="7F"/>
      <w:sz w:val="24"/>
      <w:szCs w:val="24"/>
      <w:lang w:val="en-GB"/>
    </w:rPr>
  </w:style>
  <w:style w:type="paragraph" w:styleId="Caption">
    <w:name w:val="caption"/>
    <w:basedOn w:val="Normal"/>
    <w:next w:val="Normal"/>
    <w:uiPriority w:val="35"/>
    <w:unhideWhenUsed/>
    <w:qFormat/>
    <w:rsid w:val="00015DB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844FF"/>
    <w:pPr>
      <w:spacing w:line="259" w:lineRule="auto"/>
      <w:jc w:val="left"/>
      <w:outlineLvl w:val="9"/>
    </w:pPr>
    <w:rPr>
      <w:lang w:val="en-US"/>
    </w:rPr>
  </w:style>
  <w:style w:type="paragraph" w:styleId="TOC1">
    <w:name w:val="toc 1"/>
    <w:basedOn w:val="Normal"/>
    <w:next w:val="Normal"/>
    <w:autoRedefine/>
    <w:uiPriority w:val="39"/>
    <w:unhideWhenUsed/>
    <w:rsid w:val="00E844FF"/>
    <w:pPr>
      <w:spacing w:after="100"/>
    </w:pPr>
  </w:style>
  <w:style w:type="paragraph" w:styleId="TOC2">
    <w:name w:val="toc 2"/>
    <w:basedOn w:val="Normal"/>
    <w:next w:val="Normal"/>
    <w:autoRedefine/>
    <w:uiPriority w:val="39"/>
    <w:unhideWhenUsed/>
    <w:rsid w:val="00E844FF"/>
    <w:pPr>
      <w:spacing w:after="100"/>
      <w:ind w:left="240"/>
    </w:pPr>
  </w:style>
  <w:style w:type="paragraph" w:styleId="TOC3">
    <w:name w:val="toc 3"/>
    <w:basedOn w:val="Normal"/>
    <w:next w:val="Normal"/>
    <w:autoRedefine/>
    <w:uiPriority w:val="39"/>
    <w:unhideWhenUsed/>
    <w:rsid w:val="00E844FF"/>
    <w:pPr>
      <w:spacing w:after="100"/>
      <w:ind w:left="480"/>
    </w:pPr>
  </w:style>
  <w:style w:type="character" w:styleId="Hyperlink">
    <w:name w:val="Hyperlink"/>
    <w:basedOn w:val="DefaultParagraphFont"/>
    <w:uiPriority w:val="99"/>
    <w:unhideWhenUsed/>
    <w:rsid w:val="00E844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82558">
      <w:bodyDiv w:val="1"/>
      <w:marLeft w:val="0"/>
      <w:marRight w:val="0"/>
      <w:marTop w:val="0"/>
      <w:marBottom w:val="0"/>
      <w:divBdr>
        <w:top w:val="none" w:sz="0" w:space="0" w:color="auto"/>
        <w:left w:val="none" w:sz="0" w:space="0" w:color="auto"/>
        <w:bottom w:val="none" w:sz="0" w:space="0" w:color="auto"/>
        <w:right w:val="none" w:sz="0" w:space="0" w:color="auto"/>
      </w:divBdr>
    </w:div>
    <w:div w:id="160512832">
      <w:bodyDiv w:val="1"/>
      <w:marLeft w:val="0"/>
      <w:marRight w:val="0"/>
      <w:marTop w:val="0"/>
      <w:marBottom w:val="0"/>
      <w:divBdr>
        <w:top w:val="none" w:sz="0" w:space="0" w:color="auto"/>
        <w:left w:val="none" w:sz="0" w:space="0" w:color="auto"/>
        <w:bottom w:val="none" w:sz="0" w:space="0" w:color="auto"/>
        <w:right w:val="none" w:sz="0" w:space="0" w:color="auto"/>
      </w:divBdr>
    </w:div>
    <w:div w:id="358624737">
      <w:bodyDiv w:val="1"/>
      <w:marLeft w:val="0"/>
      <w:marRight w:val="0"/>
      <w:marTop w:val="0"/>
      <w:marBottom w:val="0"/>
      <w:divBdr>
        <w:top w:val="none" w:sz="0" w:space="0" w:color="auto"/>
        <w:left w:val="none" w:sz="0" w:space="0" w:color="auto"/>
        <w:bottom w:val="none" w:sz="0" w:space="0" w:color="auto"/>
        <w:right w:val="none" w:sz="0" w:space="0" w:color="auto"/>
      </w:divBdr>
    </w:div>
    <w:div w:id="485127083">
      <w:bodyDiv w:val="1"/>
      <w:marLeft w:val="0"/>
      <w:marRight w:val="0"/>
      <w:marTop w:val="0"/>
      <w:marBottom w:val="0"/>
      <w:divBdr>
        <w:top w:val="none" w:sz="0" w:space="0" w:color="auto"/>
        <w:left w:val="none" w:sz="0" w:space="0" w:color="auto"/>
        <w:bottom w:val="none" w:sz="0" w:space="0" w:color="auto"/>
        <w:right w:val="none" w:sz="0" w:space="0" w:color="auto"/>
      </w:divBdr>
    </w:div>
    <w:div w:id="779884659">
      <w:bodyDiv w:val="1"/>
      <w:marLeft w:val="0"/>
      <w:marRight w:val="0"/>
      <w:marTop w:val="0"/>
      <w:marBottom w:val="0"/>
      <w:divBdr>
        <w:top w:val="none" w:sz="0" w:space="0" w:color="auto"/>
        <w:left w:val="none" w:sz="0" w:space="0" w:color="auto"/>
        <w:bottom w:val="none" w:sz="0" w:space="0" w:color="auto"/>
        <w:right w:val="none" w:sz="0" w:space="0" w:color="auto"/>
      </w:divBdr>
    </w:div>
    <w:div w:id="1496258846">
      <w:bodyDiv w:val="1"/>
      <w:marLeft w:val="0"/>
      <w:marRight w:val="0"/>
      <w:marTop w:val="0"/>
      <w:marBottom w:val="0"/>
      <w:divBdr>
        <w:top w:val="none" w:sz="0" w:space="0" w:color="auto"/>
        <w:left w:val="none" w:sz="0" w:space="0" w:color="auto"/>
        <w:bottom w:val="none" w:sz="0" w:space="0" w:color="auto"/>
        <w:right w:val="none" w:sz="0" w:space="0" w:color="auto"/>
      </w:divBdr>
    </w:div>
    <w:div w:id="1735079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E0328-4CDB-42F9-B0AE-099CE85109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4115</TotalTime>
  <Pages>15</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12</cp:revision>
  <dcterms:created xsi:type="dcterms:W3CDTF">2023-03-14T02:14:00Z</dcterms:created>
  <dcterms:modified xsi:type="dcterms:W3CDTF">2023-05-03T12:58:00Z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4e0fc24efcaac8066219d91af95088c88d8e9317724c0782144f5b60fbb47a60</vt:lpwstr>
  </property>
</Properties>
</file>