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33C6" w14:textId="77777777" w:rsidR="008C2D90" w:rsidRPr="006150AF" w:rsidRDefault="006150AF" w:rsidP="006150AF">
      <w:pPr>
        <w:jc w:val="center"/>
        <w:rPr>
          <w:b/>
        </w:rPr>
      </w:pPr>
      <w:r w:rsidRPr="006150AF">
        <w:rPr>
          <w:b/>
        </w:rPr>
        <w:t>BMLW4001</w:t>
      </w:r>
    </w:p>
    <w:p w14:paraId="28E11649" w14:textId="0923AEB6" w:rsidR="006150AF" w:rsidRDefault="006150AF" w:rsidP="006150AF">
      <w:pPr>
        <w:jc w:val="center"/>
        <w:rPr>
          <w:b/>
        </w:rPr>
      </w:pPr>
      <w:r w:rsidRPr="006150AF">
        <w:rPr>
          <w:b/>
        </w:rPr>
        <w:t>Law and Legal Practice</w:t>
      </w:r>
    </w:p>
    <w:p w14:paraId="38F2343D" w14:textId="2964E94F" w:rsidR="00420DD1" w:rsidRDefault="00420DD1" w:rsidP="006150AF">
      <w:pPr>
        <w:jc w:val="center"/>
        <w:rPr>
          <w:b/>
        </w:rPr>
      </w:pPr>
      <w:r>
        <w:rPr>
          <w:b/>
        </w:rPr>
        <w:t>Student name: Sylwia Maciejewska</w:t>
      </w:r>
    </w:p>
    <w:p w14:paraId="1F573339" w14:textId="7D99B501" w:rsidR="00420DD1" w:rsidRPr="006150AF" w:rsidRDefault="00420DD1" w:rsidP="006150AF">
      <w:pPr>
        <w:jc w:val="center"/>
        <w:rPr>
          <w:b/>
        </w:rPr>
      </w:pPr>
      <w:r>
        <w:rPr>
          <w:b/>
        </w:rPr>
        <w:t>Student number: 2130318</w:t>
      </w:r>
    </w:p>
    <w:p w14:paraId="67ED04A4" w14:textId="654E8B6D" w:rsidR="006150AF" w:rsidRDefault="006150AF" w:rsidP="000A4577">
      <w:pPr>
        <w:spacing w:line="276" w:lineRule="auto"/>
        <w:jc w:val="left"/>
      </w:pPr>
      <w:r>
        <w:br w:type="page"/>
      </w:r>
    </w:p>
    <w:p w14:paraId="0AD7F93F" w14:textId="77777777" w:rsidR="006150AF" w:rsidRPr="006150AF" w:rsidRDefault="006150AF" w:rsidP="00477237">
      <w:pPr>
        <w:pStyle w:val="Heading2"/>
      </w:pPr>
      <w:bookmarkStart w:id="0" w:name="_Toc124034698"/>
      <w:r w:rsidRPr="006150AF">
        <w:lastRenderedPageBreak/>
        <w:t>Task 1</w:t>
      </w:r>
      <w:bookmarkEnd w:id="0"/>
    </w:p>
    <w:p w14:paraId="1A81AE6B" w14:textId="77777777" w:rsidR="006150AF" w:rsidRPr="00477237" w:rsidRDefault="006150AF">
      <w:pPr>
        <w:rPr>
          <w:b/>
        </w:rPr>
      </w:pPr>
      <w:r w:rsidRPr="006150AF">
        <w:rPr>
          <w:b/>
        </w:rPr>
        <w:t>The main principles of the SRA Code of Conduct</w:t>
      </w:r>
      <w:r w:rsidR="00477237">
        <w:rPr>
          <w:b/>
        </w:rPr>
        <w:t xml:space="preserve">: </w:t>
      </w:r>
      <w:r w:rsidR="00477237" w:rsidRPr="00477237">
        <w:t>Every member of a law firm, not simply those working on civil litigation cases, has a responsibility to adhere to the standards of the Solicitors Regulation Authority Handbook and exercise the requisite level of competence and care in all client issues. It lays forth 10 essential Principles that every fee-earner must abide by, and which describe the ideals that should inform their professional character and behaviour</w:t>
      </w:r>
      <w:r w:rsidR="00C524AF">
        <w:t xml:space="preserve"> </w:t>
      </w:r>
      <w:r w:rsidR="00C524AF" w:rsidRPr="00C524AF">
        <w:t>(Baker, 2012)</w:t>
      </w:r>
      <w:r w:rsidR="00477237" w:rsidRPr="00477237">
        <w:t>. The Lawyers Regulation Authority's Code of Conduct 2011 (SRACC 2011) is also included, outlining the responsibilities of solicitors and their staff (including chartered legal executives). These responsibilities span crucial ground, touching on matters like budgeting, potential for conflict of interest, and protection of private information. Their conduct must be consistent with the public's continued faith in them and the delivery of justice.</w:t>
      </w:r>
      <w:r>
        <w:t xml:space="preserve"> </w:t>
      </w:r>
    </w:p>
    <w:p w14:paraId="7C0D121D" w14:textId="77777777" w:rsidR="006150AF" w:rsidRPr="00477237" w:rsidRDefault="006150AF">
      <w:pPr>
        <w:rPr>
          <w:b/>
        </w:rPr>
      </w:pPr>
      <w:r w:rsidRPr="00F0182D">
        <w:rPr>
          <w:b/>
        </w:rPr>
        <w:t>Client care requirements</w:t>
      </w:r>
      <w:r w:rsidR="00477237">
        <w:rPr>
          <w:b/>
        </w:rPr>
        <w:t xml:space="preserve">: </w:t>
      </w:r>
      <w:r w:rsidR="00477237" w:rsidRPr="00477237">
        <w:t>Pursuant to the appropriate administration of justice, a lawyer has a duty to represent a client in a way that safeguards the client's interests in the issue. A lawyer's assistance to a client must be professional and thorough, provided in a timely way, and tailored to the individual's situation. It is his responsibility to provide clients all the information they need to make educated choices about the services they require, the way their case will be handled, and the available solutions</w:t>
      </w:r>
      <w:r w:rsidR="00C524AF">
        <w:t xml:space="preserve"> </w:t>
      </w:r>
      <w:r w:rsidR="00C524AF" w:rsidRPr="00C524AF">
        <w:t>(Aroso and Atienza, 2022)</w:t>
      </w:r>
      <w:r w:rsidR="00477237" w:rsidRPr="00477237">
        <w:t>. To accomplish this goal, he should consult with his client to determine if the benefits of proceeding with the case outweigh the costs and risks, including the possibility of having to reimburse opposing counsel for their fees.</w:t>
      </w:r>
      <w:r w:rsidR="00F0182D">
        <w:t xml:space="preserve"> </w:t>
      </w:r>
    </w:p>
    <w:p w14:paraId="1C7CDB2C" w14:textId="77777777" w:rsidR="00F0182D" w:rsidRPr="00477237" w:rsidRDefault="006150AF" w:rsidP="00F0182D">
      <w:pPr>
        <w:rPr>
          <w:b/>
        </w:rPr>
      </w:pPr>
      <w:r w:rsidRPr="00F0182D">
        <w:rPr>
          <w:b/>
        </w:rPr>
        <w:t>Client confidentiality</w:t>
      </w:r>
      <w:r w:rsidR="00477237">
        <w:rPr>
          <w:b/>
        </w:rPr>
        <w:t xml:space="preserve">: </w:t>
      </w:r>
      <w:r w:rsidR="00477237" w:rsidRPr="00477237">
        <w:t>Legal counsel and their support employees have an ethical obligation to protect their clients' information. This responsibility is perpetual and can be waived only by the client, Parliament, or the court</w:t>
      </w:r>
      <w:r w:rsidR="00C524AF">
        <w:t xml:space="preserve"> </w:t>
      </w:r>
      <w:r w:rsidR="00C524AF" w:rsidRPr="00C524AF">
        <w:t>(Boon, 2022)</w:t>
      </w:r>
      <w:r w:rsidR="00477237" w:rsidRPr="00477237">
        <w:t>. Clients who tell their lawyers they plan to break the law are not protected by the attorney-client privilege.</w:t>
      </w:r>
    </w:p>
    <w:p w14:paraId="7CF0EB8A" w14:textId="77777777" w:rsidR="006150AF" w:rsidRPr="00477237" w:rsidRDefault="006150AF">
      <w:pPr>
        <w:rPr>
          <w:b/>
        </w:rPr>
      </w:pPr>
      <w:r w:rsidRPr="00F0182D">
        <w:rPr>
          <w:b/>
        </w:rPr>
        <w:t>Conflicts of interest</w:t>
      </w:r>
      <w:r w:rsidR="00477237">
        <w:rPr>
          <w:b/>
        </w:rPr>
        <w:t xml:space="preserve">: </w:t>
      </w:r>
      <w:r w:rsidR="00477237" w:rsidRPr="00477237">
        <w:t>In SRACC 2011, conflicts of interest are discussed in Chapter 3. Even though a lawyer must always look out for his clients' best interests (as per Principle 4), there may be occasions when his clients' needs are at odds with one other. A civil litigator is in a difficult position since he or she cannot represent the interests of both sides to a dispute if asked to do so. It is also feasible for a lawyer's interests to clash with those of their client</w:t>
      </w:r>
      <w:r w:rsidR="00685BD9">
        <w:t xml:space="preserve"> </w:t>
      </w:r>
      <w:r w:rsidR="00685BD9" w:rsidRPr="00685BD9">
        <w:t>(Jones and Cownie, 2020)</w:t>
      </w:r>
      <w:r w:rsidR="00477237" w:rsidRPr="00477237">
        <w:t>.</w:t>
      </w:r>
    </w:p>
    <w:p w14:paraId="4189150E" w14:textId="4F11CA5A" w:rsidR="00F0182D" w:rsidRPr="00477237" w:rsidRDefault="006150AF" w:rsidP="00F0182D">
      <w:pPr>
        <w:rPr>
          <w:b/>
        </w:rPr>
      </w:pPr>
      <w:r w:rsidRPr="00F0182D">
        <w:rPr>
          <w:b/>
        </w:rPr>
        <w:lastRenderedPageBreak/>
        <w:t>Risk and compliance</w:t>
      </w:r>
      <w:r w:rsidR="00477237">
        <w:rPr>
          <w:b/>
        </w:rPr>
        <w:t xml:space="preserve">: </w:t>
      </w:r>
      <w:r w:rsidR="00477237" w:rsidRPr="00477237">
        <w:t xml:space="preserve">Solicitors are ethically obligated to disclose any conflicts of interest to their clients when they are consulted on subjects in whom they have a financial stake. The customer will be able to evaluate the solicitor's performance and decide </w:t>
      </w:r>
      <w:r w:rsidR="00A772BB" w:rsidRPr="00477237">
        <w:t>whether</w:t>
      </w:r>
      <w:r w:rsidR="00477237" w:rsidRPr="00477237">
        <w:t xml:space="preserve"> to retain their services</w:t>
      </w:r>
      <w:r w:rsidR="00C524AF">
        <w:t xml:space="preserve"> </w:t>
      </w:r>
      <w:r w:rsidR="00C524AF" w:rsidRPr="00C524AF">
        <w:t>(Boon, 2014)</w:t>
      </w:r>
      <w:r w:rsidR="00477237" w:rsidRPr="00477237">
        <w:t>. A lawyer has an ethical obligation to tell a client to choose another attorney if the client's case might be impacted by the lawyer's own financial or other interests. Any compensation received by a lawyer for recommending a client to another business, such as a mortgage broker, must be disclosed to the client. Trust and respect are the cornerstones of the attorney-client relationship. When the solicitor and client have established open lines of communication and mutual confidence, they may work together to find solutions to the client's problems</w:t>
      </w:r>
      <w:r w:rsidR="00685BD9">
        <w:t xml:space="preserve"> </w:t>
      </w:r>
      <w:r w:rsidR="00685BD9" w:rsidRPr="00685BD9">
        <w:t>(Levin and Mather, 2012)</w:t>
      </w:r>
      <w:r w:rsidR="00477237" w:rsidRPr="00477237">
        <w:t>. A high standard of legal service always includes treating clients with decency and respect.</w:t>
      </w:r>
    </w:p>
    <w:p w14:paraId="42F980BE" w14:textId="77777777" w:rsidR="006150AF" w:rsidRPr="00477237" w:rsidRDefault="006150AF" w:rsidP="00F0182D">
      <w:pPr>
        <w:rPr>
          <w:b/>
        </w:rPr>
      </w:pPr>
      <w:r w:rsidRPr="00F0182D">
        <w:rPr>
          <w:b/>
        </w:rPr>
        <w:t>Anti-money laundering</w:t>
      </w:r>
      <w:r w:rsidR="00477237">
        <w:rPr>
          <w:b/>
        </w:rPr>
        <w:t xml:space="preserve">: </w:t>
      </w:r>
      <w:r w:rsidR="00477237" w:rsidRPr="00477237">
        <w:t>As a result of its track record, the United Kingdom is often avoided as a money-laundering destination. Money launderers seek out law firms and attorneys because of the services they offer and the trust they inspire in their clients. Therefore, lawyers have both a professional and ethical responsibility to mitigate this threat</w:t>
      </w:r>
      <w:r w:rsidR="00685BD9">
        <w:t xml:space="preserve"> </w:t>
      </w:r>
      <w:r w:rsidR="00685BD9" w:rsidRPr="00685BD9">
        <w:t>(Loughrey, 2011)</w:t>
      </w:r>
      <w:r w:rsidR="00477237" w:rsidRPr="00477237">
        <w:t>. The effects of money laundering are widespread and far-reaching, affecting every sector of our business and society here at home and throughout the world. It facilitates the use of proceeds from illicit activities such as the drug and gun trade, human trafficking, and fraud by criminals and their allies. Companies of all sizes need to be on high alert for the possibility that they will be utilised in a money laundering scheme. Services that might be used by money launderers were outlined in the Money Laundering, Terrorist Financing, and Transfer of Funds Regulations 2017.</w:t>
      </w:r>
    </w:p>
    <w:p w14:paraId="78CCDDE0" w14:textId="77777777" w:rsidR="00F0182D" w:rsidRPr="00477237" w:rsidRDefault="00F0182D">
      <w:pPr>
        <w:rPr>
          <w:b/>
        </w:rPr>
      </w:pPr>
      <w:r w:rsidRPr="00F0182D">
        <w:rPr>
          <w:b/>
        </w:rPr>
        <w:t>General due diligence</w:t>
      </w:r>
      <w:r w:rsidR="00477237">
        <w:rPr>
          <w:b/>
        </w:rPr>
        <w:t xml:space="preserve">: </w:t>
      </w:r>
      <w:r w:rsidR="00477237">
        <w:t>T</w:t>
      </w:r>
      <w:r w:rsidR="00477237" w:rsidRPr="00477237">
        <w:t>o deliver a competent and professional service, solicitors need to have extensive legal knowledge and experience. They should only take on a customer if they are confident in their ability to accomplish the job to the client's satisfaction in a timely manner. A lawyer has a duty to keep their word to their client, their colleagues, and the court</w:t>
      </w:r>
      <w:r w:rsidR="00C524AF">
        <w:t xml:space="preserve"> </w:t>
      </w:r>
      <w:r w:rsidR="00C524AF" w:rsidRPr="00C524AF">
        <w:t>(Baker, 2012)</w:t>
      </w:r>
      <w:r w:rsidR="00477237" w:rsidRPr="00477237">
        <w:t>. This might be demonstrated, for instance, by promptly replying to written correspondence, electronic messages, and telephone inquiries. A lawyer has an obligation to refuse clients whose requests for legal services cannot be fulfilled within a reasonable time frame. For instance, if a lawyer has too much on their plate and cannot guarantee that the client will receive satisfactory service within a reasonable time frame, then they should decline the case.</w:t>
      </w:r>
    </w:p>
    <w:p w14:paraId="6668C6F2" w14:textId="77777777" w:rsidR="00F0182D" w:rsidRPr="00F0182D" w:rsidRDefault="00F0182D" w:rsidP="00477237">
      <w:pPr>
        <w:pStyle w:val="Heading2"/>
      </w:pPr>
      <w:bookmarkStart w:id="1" w:name="_Toc124034699"/>
      <w:r w:rsidRPr="00F0182D">
        <w:lastRenderedPageBreak/>
        <w:t>Task 2</w:t>
      </w:r>
      <w:bookmarkEnd w:id="1"/>
    </w:p>
    <w:p w14:paraId="5CA51365" w14:textId="77777777" w:rsidR="00E56063" w:rsidRDefault="00477237" w:rsidP="00E56063">
      <w:r w:rsidRPr="00477237">
        <w:t xml:space="preserve">In an interview, two parties work together to get information from a subject. Maintaining an interview format throughout the meeting is a primary objective. If a client or witness is being recalcitrant, </w:t>
      </w:r>
      <w:r>
        <w:t xml:space="preserve">a solicitor must </w:t>
      </w:r>
      <w:r w:rsidRPr="00477237">
        <w:t>try approaching the issue from several perspectives. A solicitor is not permitted to conduct a client interview in public unless it is necessary for reasons of safety or for other reasons. The witness will feel more comfortable sharing facts if they are able to do it in private</w:t>
      </w:r>
      <w:r w:rsidR="00685BD9">
        <w:t xml:space="preserve"> </w:t>
      </w:r>
      <w:r w:rsidR="00685BD9" w:rsidRPr="00685BD9">
        <w:t>(Loughrey, 2011)</w:t>
      </w:r>
      <w:r w:rsidRPr="00477237">
        <w:t>. The safety of the witness may be compromised if the attorney chooses to conduct the interview in an enclosed space without windows. If this is not an option, the attorney should keep the door ajar so that the client still feels like they have some level of privacy.</w:t>
      </w:r>
    </w:p>
    <w:p w14:paraId="43E5EF98" w14:textId="77777777" w:rsidR="00E56063" w:rsidRDefault="00E56063" w:rsidP="00E56063">
      <w:r w:rsidRPr="00477237">
        <w:rPr>
          <w:b/>
        </w:rPr>
        <w:t>Office interviews:</w:t>
      </w:r>
      <w:r>
        <w:t xml:space="preserve"> </w:t>
      </w:r>
      <w:r w:rsidR="00477237" w:rsidRPr="00477237">
        <w:t>The conventional one-on-one interview is more comfortable and authoritative in an office setting.</w:t>
      </w:r>
      <w:r>
        <w:t xml:space="preserve"> </w:t>
      </w:r>
    </w:p>
    <w:p w14:paraId="67257541" w14:textId="77777777" w:rsidR="00E56063" w:rsidRDefault="00E56063" w:rsidP="00E56063">
      <w:r w:rsidRPr="00477237">
        <w:rPr>
          <w:b/>
        </w:rPr>
        <w:t xml:space="preserve">Conference room: </w:t>
      </w:r>
      <w:r w:rsidR="00477237" w:rsidRPr="00477237">
        <w:t>When conducting interviews with several people or reviewing several papers, a conference room is an immense help.</w:t>
      </w:r>
      <w:r>
        <w:t xml:space="preserve"> </w:t>
      </w:r>
    </w:p>
    <w:p w14:paraId="2310330E" w14:textId="77777777" w:rsidR="00E56063" w:rsidRDefault="00E56063" w:rsidP="00E56063">
      <w:r w:rsidRPr="00477237">
        <w:rPr>
          <w:b/>
        </w:rPr>
        <w:t>Field interviews:</w:t>
      </w:r>
      <w:r>
        <w:t xml:space="preserve"> </w:t>
      </w:r>
      <w:r w:rsidR="00477237" w:rsidRPr="00477237">
        <w:t>It is not uncommon to conduct interviews out in the field. A good solicitor would do their best to make the environment comfortable for sharing information.</w:t>
      </w:r>
    </w:p>
    <w:p w14:paraId="3F835DE7" w14:textId="77777777" w:rsidR="00E56063" w:rsidRDefault="00477237" w:rsidP="00477237">
      <w:r>
        <w:t>There is value in taking the time to think over potential interview questions ahead of time. These inquiries can be readily transformed into interrogatories or requests for admissions as part of the discovery process. In preparing interview questions, a lawyer is essentially establishing the groundwork for other pre-trial papers</w:t>
      </w:r>
      <w:r w:rsidR="00C524AF">
        <w:t xml:space="preserve"> </w:t>
      </w:r>
      <w:r w:rsidR="00C524AF" w:rsidRPr="00C524AF">
        <w:t>(Boon, 2014)</w:t>
      </w:r>
      <w:r>
        <w:t>. The beginning of a case is the ideal moment to interview a new client. In reality, the first few meetings between a client and a lawyer are the most crucial. At least 90% of the knowledge they need to know will be gained from these gatherings. As the case proceeds, however, the connections between the parties involved become rigid and routine, the responses become automatic, and the insights are buried behind an ever-growing pile of detail. The majority of society lacks knowledge and confidence in the judicial system</w:t>
      </w:r>
      <w:r w:rsidR="00685BD9">
        <w:t xml:space="preserve"> </w:t>
      </w:r>
      <w:r w:rsidR="00685BD9" w:rsidRPr="00685BD9">
        <w:t>(Phillips, 2016)</w:t>
      </w:r>
      <w:r>
        <w:t>. There was probably a stressful experience that led the client to seek help. A good salesman will go out of his way to ensure a positive customer experience.</w:t>
      </w:r>
    </w:p>
    <w:p w14:paraId="06BC67B3" w14:textId="77777777" w:rsidR="000A4577" w:rsidRDefault="000A4577" w:rsidP="00477237">
      <w:pPr>
        <w:pStyle w:val="Heading2"/>
      </w:pPr>
      <w:bookmarkStart w:id="2" w:name="_Toc124034700"/>
    </w:p>
    <w:p w14:paraId="2DB63B24" w14:textId="1147B376" w:rsidR="00E56063" w:rsidRPr="00366352" w:rsidRDefault="00E56063" w:rsidP="00477237">
      <w:pPr>
        <w:pStyle w:val="Heading2"/>
      </w:pPr>
      <w:r w:rsidRPr="00366352">
        <w:t>Task 3</w:t>
      </w:r>
      <w:bookmarkEnd w:id="2"/>
    </w:p>
    <w:p w14:paraId="43078DD9" w14:textId="77777777" w:rsidR="00E56063" w:rsidRDefault="00477237" w:rsidP="00E56063">
      <w:r w:rsidRPr="00477237">
        <w:t>The needs of the client and the responsibilities of the lawyer might often be at odds. It is possible that lawyers will have to say no to clients in certain situations. Attorneys have a fiduciary duty to their clients and cannot act in their own or the firm's self-interest. Managing the financial burden of litigation is a major worry for each litigant.</w:t>
      </w:r>
      <w:r w:rsidR="00366352">
        <w:t xml:space="preserve"> </w:t>
      </w:r>
    </w:p>
    <w:p w14:paraId="13D99966" w14:textId="77777777" w:rsidR="00366352" w:rsidRDefault="00477237" w:rsidP="00366352">
      <w:r w:rsidRPr="00C524AF">
        <w:rPr>
          <w:b/>
        </w:rPr>
        <w:t>General Cost Principles:</w:t>
      </w:r>
      <w:r w:rsidR="00C524AF">
        <w:t xml:space="preserve"> </w:t>
      </w:r>
      <w:r w:rsidR="00C524AF" w:rsidRPr="00C524AF">
        <w:t>Each side in the lawsuit must bear its own expenses when they arise. The court will decide which side should pay the other's legal fees at the conclusion of the case. The norm states that whoever ends up on the losing end of a case must cover the other side's legal fees, however this is not always the case</w:t>
      </w:r>
      <w:r w:rsidR="00685BD9">
        <w:t xml:space="preserve"> </w:t>
      </w:r>
      <w:r w:rsidR="00685BD9" w:rsidRPr="00685BD9">
        <w:t>(Jones and Cownie, 2020)</w:t>
      </w:r>
      <w:r w:rsidR="00C524AF" w:rsidRPr="00C524AF">
        <w:t>. In particular, the judge may impose sanctions, which can have a considerable effect on any costs judgement, for procedural violations and/or the behaviour of the parties.</w:t>
      </w:r>
    </w:p>
    <w:p w14:paraId="1DDE902F" w14:textId="77777777" w:rsidR="00366352" w:rsidRDefault="00C524AF" w:rsidP="00366352">
      <w:r w:rsidRPr="00C524AF">
        <w:rPr>
          <w:b/>
        </w:rPr>
        <w:t>Deferred Payment Plan:</w:t>
      </w:r>
      <w:r>
        <w:t xml:space="preserve"> </w:t>
      </w:r>
      <w:r w:rsidRPr="00C524AF">
        <w:t>Payment may be agreed to be delayed until a future date, either upon realisation of specific proceeds or resolution of the action, in certain forms of litigation. When money is at stake in a contested trust or probate dispute, this form of funding might be a lifesaver</w:t>
      </w:r>
      <w:r w:rsidR="00685BD9">
        <w:t xml:space="preserve"> </w:t>
      </w:r>
      <w:r w:rsidR="00685BD9" w:rsidRPr="00685BD9">
        <w:t>(Levin and Mather, 2012)</w:t>
      </w:r>
      <w:r w:rsidRPr="00C524AF">
        <w:t>. Third-party lawsuit funding loans are also a possibility.</w:t>
      </w:r>
      <w:r w:rsidR="00366352">
        <w:t xml:space="preserve"> </w:t>
      </w:r>
    </w:p>
    <w:p w14:paraId="7E4E2267" w14:textId="35183F4C" w:rsidR="00366352" w:rsidRDefault="00C524AF" w:rsidP="00366352">
      <w:r w:rsidRPr="00C524AF">
        <w:rPr>
          <w:b/>
        </w:rPr>
        <w:t>Fixed Fees:</w:t>
      </w:r>
      <w:r>
        <w:t xml:space="preserve"> </w:t>
      </w:r>
      <w:r w:rsidRPr="00C524AF">
        <w:t xml:space="preserve">It goes without saying that we keep customers abreast of the cost situation at each step of a case, but in some </w:t>
      </w:r>
      <w:r w:rsidR="00A772BB" w:rsidRPr="00C524AF">
        <w:t>cases,</w:t>
      </w:r>
      <w:r w:rsidRPr="00C524AF">
        <w:t xml:space="preserve"> they can guarantee certainty of these costs by giving fixed rates or a ceiling on the level of fees that could be incurred.</w:t>
      </w:r>
    </w:p>
    <w:p w14:paraId="168AC6A0" w14:textId="77777777" w:rsidR="00366352" w:rsidRDefault="00C524AF" w:rsidP="00366352">
      <w:r w:rsidRPr="00C524AF">
        <w:rPr>
          <w:b/>
        </w:rPr>
        <w:t>Litigation Funding:</w:t>
      </w:r>
      <w:r>
        <w:t xml:space="preserve"> </w:t>
      </w:r>
      <w:r w:rsidRPr="00C524AF">
        <w:t>A litigation funder is an investor who pays for all aspects of a lawsuit in advance in exchange for a percentage of the settlement or verdict</w:t>
      </w:r>
      <w:r>
        <w:t xml:space="preserve"> </w:t>
      </w:r>
      <w:r w:rsidRPr="00C524AF">
        <w:t>(Boon, 2022). In theory, a lawsuit with a monetary or damage award may be a strong candidate for financing. Due to the fact that the funder receives no money until the case is won, the strength of the claim and the financial stability of the defendant both play significant roles in determining whether or not the lawsuit may be funded</w:t>
      </w:r>
      <w:r>
        <w:t xml:space="preserve"> </w:t>
      </w:r>
      <w:r w:rsidRPr="00C524AF">
        <w:t>(Aroso and Atienza, 2022). Since the funder must not meddle in the case, there should be no discernible difference between a litigant who pays for the lawsuit out of their own pocket and one who uses financing. It is up to the client to determine whether to reach a settlement or pursue litigation.</w:t>
      </w:r>
    </w:p>
    <w:p w14:paraId="64F2AFAE" w14:textId="77777777" w:rsidR="00366352" w:rsidRDefault="00366352" w:rsidP="00366352"/>
    <w:p w14:paraId="4D4A91F5" w14:textId="77777777" w:rsidR="00685BD9" w:rsidRDefault="00685BD9">
      <w:pPr>
        <w:spacing w:line="276" w:lineRule="auto"/>
        <w:jc w:val="left"/>
      </w:pPr>
      <w:r>
        <w:br w:type="page"/>
      </w:r>
    </w:p>
    <w:p w14:paraId="40CE457C" w14:textId="77777777" w:rsidR="00685BD9" w:rsidRDefault="00685BD9" w:rsidP="00685BD9">
      <w:pPr>
        <w:pStyle w:val="Heading2"/>
      </w:pPr>
      <w:bookmarkStart w:id="3" w:name="_Toc124034701"/>
      <w:r>
        <w:lastRenderedPageBreak/>
        <w:t>References</w:t>
      </w:r>
      <w:bookmarkEnd w:id="3"/>
    </w:p>
    <w:p w14:paraId="444C8BF3" w14:textId="77777777" w:rsidR="00685BD9" w:rsidRDefault="00685BD9" w:rsidP="00685BD9">
      <w:pPr>
        <w:pStyle w:val="NormalWeb"/>
        <w:spacing w:before="0" w:beforeAutospacing="0" w:after="240" w:afterAutospacing="0" w:line="360" w:lineRule="auto"/>
      </w:pPr>
      <w:r>
        <w:t xml:space="preserve">Aroso, M. and Atienza, M. (2022). </w:t>
      </w:r>
      <w:r>
        <w:rPr>
          <w:i/>
          <w:iCs/>
        </w:rPr>
        <w:t>Human Dignity and the Autonomy of Law</w:t>
      </w:r>
      <w:r>
        <w:t>. Springer Nature.</w:t>
      </w:r>
    </w:p>
    <w:p w14:paraId="47A1C451" w14:textId="20C0AD65" w:rsidR="00685BD9" w:rsidRDefault="00685BD9" w:rsidP="00685BD9">
      <w:pPr>
        <w:pStyle w:val="NormalWeb"/>
        <w:spacing w:before="0" w:beforeAutospacing="0" w:after="240" w:afterAutospacing="0" w:line="360" w:lineRule="auto"/>
      </w:pPr>
      <w:r>
        <w:t xml:space="preserve">Baker, J.G. (2012). </w:t>
      </w:r>
      <w:r>
        <w:rPr>
          <w:i/>
          <w:iCs/>
        </w:rPr>
        <w:t xml:space="preserve">Serving two </w:t>
      </w:r>
      <w:r w:rsidR="00A772BB">
        <w:rPr>
          <w:i/>
          <w:iCs/>
        </w:rPr>
        <w:t>masters:</w:t>
      </w:r>
      <w:r>
        <w:rPr>
          <w:i/>
          <w:iCs/>
        </w:rPr>
        <w:t xml:space="preserve"> Conflicts of interest in the modern law firm.</w:t>
      </w:r>
      <w:r>
        <w:t xml:space="preserve"> Portland: Hart Pub.</w:t>
      </w:r>
    </w:p>
    <w:p w14:paraId="23F52581" w14:textId="77777777" w:rsidR="00685BD9" w:rsidRDefault="00685BD9" w:rsidP="00685BD9">
      <w:pPr>
        <w:pStyle w:val="NormalWeb"/>
        <w:spacing w:before="0" w:beforeAutospacing="0" w:after="240" w:afterAutospacing="0" w:line="360" w:lineRule="auto"/>
      </w:pPr>
      <w:r>
        <w:t xml:space="preserve">Boon, A. (2014). </w:t>
      </w:r>
      <w:r>
        <w:rPr>
          <w:i/>
          <w:iCs/>
        </w:rPr>
        <w:t>The Ethics and Conduct of Lawyers in England and Wales</w:t>
      </w:r>
      <w:r>
        <w:t>. Bloomsbury Publishing.</w:t>
      </w:r>
    </w:p>
    <w:p w14:paraId="0EAC83AF" w14:textId="77777777" w:rsidR="00685BD9" w:rsidRDefault="00685BD9" w:rsidP="00685BD9">
      <w:pPr>
        <w:pStyle w:val="NormalWeb"/>
        <w:spacing w:before="0" w:beforeAutospacing="0" w:after="240" w:afterAutospacing="0" w:line="360" w:lineRule="auto"/>
      </w:pPr>
      <w:r>
        <w:t xml:space="preserve">Boon, A. (2022). </w:t>
      </w:r>
      <w:r>
        <w:rPr>
          <w:i/>
          <w:iCs/>
        </w:rPr>
        <w:t>Lawyers and the Rule of Law</w:t>
      </w:r>
      <w:r>
        <w:t>. Bloomsbury Publishing.</w:t>
      </w:r>
    </w:p>
    <w:p w14:paraId="0B447E6F" w14:textId="77777777" w:rsidR="00685BD9" w:rsidRDefault="00685BD9" w:rsidP="00685BD9">
      <w:pPr>
        <w:pStyle w:val="NormalWeb"/>
        <w:spacing w:before="0" w:beforeAutospacing="0" w:after="240" w:afterAutospacing="0" w:line="360" w:lineRule="auto"/>
      </w:pPr>
      <w:r>
        <w:t xml:space="preserve">Jones, E. and Cownie, F. (2020). </w:t>
      </w:r>
      <w:r>
        <w:rPr>
          <w:i/>
          <w:iCs/>
        </w:rPr>
        <w:t>Key Directions in Legal Education</w:t>
      </w:r>
      <w:r>
        <w:t>. Routledge.</w:t>
      </w:r>
    </w:p>
    <w:p w14:paraId="5DB32218" w14:textId="7D4735C7" w:rsidR="00685BD9" w:rsidRDefault="00685BD9" w:rsidP="00685BD9">
      <w:pPr>
        <w:pStyle w:val="NormalWeb"/>
        <w:spacing w:before="0" w:beforeAutospacing="0" w:after="240" w:afterAutospacing="0" w:line="360" w:lineRule="auto"/>
      </w:pPr>
      <w:r>
        <w:t xml:space="preserve">Levin, L.C. and Mather, L.M. (2012). </w:t>
      </w:r>
      <w:r>
        <w:rPr>
          <w:i/>
          <w:iCs/>
        </w:rPr>
        <w:t xml:space="preserve">Lawyers in </w:t>
      </w:r>
      <w:r w:rsidR="00A772BB">
        <w:rPr>
          <w:i/>
          <w:iCs/>
        </w:rPr>
        <w:t>practice:</w:t>
      </w:r>
      <w:r>
        <w:rPr>
          <w:i/>
          <w:iCs/>
        </w:rPr>
        <w:t xml:space="preserve"> ethical decision making in context</w:t>
      </w:r>
      <w:r>
        <w:t xml:space="preserve">. </w:t>
      </w:r>
      <w:r w:rsidR="00A772BB">
        <w:t>Chicago;</w:t>
      </w:r>
      <w:r>
        <w:t xml:space="preserve"> London: The University Of Chicago Press.</w:t>
      </w:r>
    </w:p>
    <w:p w14:paraId="3C2FCE48" w14:textId="77777777" w:rsidR="00685BD9" w:rsidRDefault="00685BD9" w:rsidP="00685BD9">
      <w:pPr>
        <w:pStyle w:val="NormalWeb"/>
        <w:spacing w:before="0" w:beforeAutospacing="0" w:after="240" w:afterAutospacing="0" w:line="360" w:lineRule="auto"/>
      </w:pPr>
      <w:r>
        <w:t xml:space="preserve">Loughrey, J. (2011). </w:t>
      </w:r>
      <w:r>
        <w:rPr>
          <w:i/>
          <w:iCs/>
        </w:rPr>
        <w:t>Corporate Lawyers and Corporate Governance</w:t>
      </w:r>
      <w:r>
        <w:t>. Cambridge University Press.</w:t>
      </w:r>
    </w:p>
    <w:p w14:paraId="110978A6" w14:textId="77777777" w:rsidR="00685BD9" w:rsidRDefault="00685BD9" w:rsidP="00685BD9">
      <w:pPr>
        <w:pStyle w:val="NormalWeb"/>
        <w:spacing w:before="0" w:beforeAutospacing="0" w:after="240" w:afterAutospacing="0" w:line="360" w:lineRule="auto"/>
      </w:pPr>
      <w:r>
        <w:t xml:space="preserve">Phillips, S.F. (2016). </w:t>
      </w:r>
      <w:r>
        <w:rPr>
          <w:i/>
          <w:iCs/>
        </w:rPr>
        <w:t>Ethics of the Legal Profession</w:t>
      </w:r>
      <w:r>
        <w:t>. Routledge.</w:t>
      </w:r>
    </w:p>
    <w:p w14:paraId="33663FA3" w14:textId="77777777" w:rsidR="00E56063" w:rsidRDefault="00E56063" w:rsidP="00E56063"/>
    <w:sectPr w:rsidR="00E5606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C0A52" w14:textId="77777777" w:rsidR="00097D25" w:rsidRDefault="00097D25" w:rsidP="006150AF">
      <w:pPr>
        <w:spacing w:after="0" w:line="240" w:lineRule="auto"/>
      </w:pPr>
      <w:r>
        <w:separator/>
      </w:r>
    </w:p>
  </w:endnote>
  <w:endnote w:type="continuationSeparator" w:id="0">
    <w:p w14:paraId="2BFB98E3" w14:textId="77777777" w:rsidR="00097D25" w:rsidRDefault="00097D25" w:rsidP="006150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72F54" w14:textId="77777777" w:rsidR="00564BC8" w:rsidRDefault="00564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65159"/>
      <w:docPartObj>
        <w:docPartGallery w:val="Page Numbers (Bottom of Page)"/>
        <w:docPartUnique/>
      </w:docPartObj>
    </w:sdtPr>
    <w:sdtEndPr>
      <w:rPr>
        <w:noProof/>
      </w:rPr>
    </w:sdtEndPr>
    <w:sdtContent>
      <w:p w14:paraId="4D4BF5F2" w14:textId="77777777" w:rsidR="006150AF" w:rsidRDefault="006150AF">
        <w:pPr>
          <w:pStyle w:val="Footer"/>
          <w:jc w:val="right"/>
        </w:pPr>
        <w:r>
          <w:fldChar w:fldCharType="begin"/>
        </w:r>
        <w:r>
          <w:instrText xml:space="preserve"> PAGE   \* MERGEFORMAT </w:instrText>
        </w:r>
        <w:r>
          <w:fldChar w:fldCharType="separate"/>
        </w:r>
        <w:r w:rsidR="00564BC8">
          <w:rPr>
            <w:noProof/>
          </w:rPr>
          <w:t>1</w:t>
        </w:r>
        <w:r>
          <w:rPr>
            <w:noProof/>
          </w:rPr>
          <w:fldChar w:fldCharType="end"/>
        </w:r>
      </w:p>
    </w:sdtContent>
  </w:sdt>
  <w:p w14:paraId="762730F5" w14:textId="77777777" w:rsidR="006150AF" w:rsidRDefault="006150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E9D2" w14:textId="77777777" w:rsidR="00564BC8" w:rsidRDefault="00564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DD4A1" w14:textId="77777777" w:rsidR="00097D25" w:rsidRDefault="00097D25" w:rsidP="006150AF">
      <w:pPr>
        <w:spacing w:after="0" w:line="240" w:lineRule="auto"/>
      </w:pPr>
      <w:r>
        <w:separator/>
      </w:r>
    </w:p>
  </w:footnote>
  <w:footnote w:type="continuationSeparator" w:id="0">
    <w:p w14:paraId="41F533E1" w14:textId="77777777" w:rsidR="00097D25" w:rsidRDefault="00097D25" w:rsidP="006150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89FA0" w14:textId="77777777" w:rsidR="00564BC8" w:rsidRDefault="00564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7B7EF" w14:textId="77777777" w:rsidR="00564BC8" w:rsidRDefault="00564B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B2EA" w14:textId="77777777" w:rsidR="00564BC8" w:rsidRDefault="00564B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12F0"/>
    <w:rsid w:val="00097D25"/>
    <w:rsid w:val="000A4577"/>
    <w:rsid w:val="000F3E73"/>
    <w:rsid w:val="002012F0"/>
    <w:rsid w:val="00366352"/>
    <w:rsid w:val="00420DD1"/>
    <w:rsid w:val="00477237"/>
    <w:rsid w:val="005459FD"/>
    <w:rsid w:val="00564BC8"/>
    <w:rsid w:val="006150AF"/>
    <w:rsid w:val="00685BD9"/>
    <w:rsid w:val="006F5DDF"/>
    <w:rsid w:val="008123ED"/>
    <w:rsid w:val="008C2D90"/>
    <w:rsid w:val="00A772BB"/>
    <w:rsid w:val="00C524AF"/>
    <w:rsid w:val="00E56063"/>
    <w:rsid w:val="00EF6960"/>
    <w:rsid w:val="00F0182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3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E7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123E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0F3E73"/>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autoRedefine/>
    <w:uiPriority w:val="9"/>
    <w:unhideWhenUsed/>
    <w:qFormat/>
    <w:rsid w:val="005459FD"/>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3"/>
    <w:rPr>
      <w:rFonts w:ascii="Times New Roman" w:eastAsiaTheme="majorEastAsia" w:hAnsi="Times New Roman" w:cstheme="majorBidi"/>
      <w:b/>
      <w:bCs/>
      <w:color w:val="4F81BD" w:themeColor="accent1"/>
      <w:sz w:val="28"/>
      <w:szCs w:val="26"/>
    </w:rPr>
  </w:style>
  <w:style w:type="character" w:customStyle="1" w:styleId="Heading1Char">
    <w:name w:val="Heading 1 Char"/>
    <w:basedOn w:val="DefaultParagraphFont"/>
    <w:link w:val="Heading1"/>
    <w:uiPriority w:val="9"/>
    <w:rsid w:val="008123ED"/>
    <w:rPr>
      <w:rFonts w:ascii="Times New Roman" w:eastAsiaTheme="majorEastAsia" w:hAnsi="Times New Roman" w:cstheme="majorBidi"/>
      <w:b/>
      <w:bCs/>
      <w:color w:val="365F91" w:themeColor="accent1" w:themeShade="BF"/>
      <w:sz w:val="32"/>
      <w:szCs w:val="28"/>
    </w:rPr>
  </w:style>
  <w:style w:type="character" w:customStyle="1" w:styleId="Heading3Char">
    <w:name w:val="Heading 3 Char"/>
    <w:basedOn w:val="DefaultParagraphFont"/>
    <w:link w:val="Heading3"/>
    <w:uiPriority w:val="9"/>
    <w:rsid w:val="005459FD"/>
    <w:rPr>
      <w:rFonts w:ascii="Times New Roman" w:eastAsiaTheme="majorEastAsia" w:hAnsi="Times New Roman" w:cstheme="majorBidi"/>
      <w:b/>
      <w:bCs/>
      <w:color w:val="4F81BD" w:themeColor="accent1"/>
      <w:sz w:val="24"/>
    </w:rPr>
  </w:style>
  <w:style w:type="paragraph" w:styleId="Header">
    <w:name w:val="header"/>
    <w:basedOn w:val="Normal"/>
    <w:link w:val="HeaderChar"/>
    <w:uiPriority w:val="99"/>
    <w:unhideWhenUsed/>
    <w:rsid w:val="006150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0AF"/>
    <w:rPr>
      <w:rFonts w:ascii="Times New Roman" w:hAnsi="Times New Roman"/>
      <w:sz w:val="24"/>
    </w:rPr>
  </w:style>
  <w:style w:type="paragraph" w:styleId="Footer">
    <w:name w:val="footer"/>
    <w:basedOn w:val="Normal"/>
    <w:link w:val="FooterChar"/>
    <w:uiPriority w:val="99"/>
    <w:unhideWhenUsed/>
    <w:rsid w:val="006150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0AF"/>
    <w:rPr>
      <w:rFonts w:ascii="Times New Roman" w:hAnsi="Times New Roman"/>
      <w:sz w:val="24"/>
    </w:rPr>
  </w:style>
  <w:style w:type="paragraph" w:styleId="TOCHeading">
    <w:name w:val="TOC Heading"/>
    <w:basedOn w:val="Heading1"/>
    <w:next w:val="Normal"/>
    <w:uiPriority w:val="39"/>
    <w:unhideWhenUsed/>
    <w:qFormat/>
    <w:rsid w:val="006150AF"/>
    <w:pPr>
      <w:spacing w:line="276" w:lineRule="auto"/>
      <w:jc w:val="left"/>
      <w:outlineLvl w:val="9"/>
    </w:pPr>
    <w:rPr>
      <w:rFonts w:asciiTheme="majorHAnsi" w:hAnsiTheme="majorHAnsi"/>
      <w:sz w:val="28"/>
      <w:lang w:val="en-US" w:eastAsia="ja-JP"/>
    </w:rPr>
  </w:style>
  <w:style w:type="paragraph" w:styleId="BalloonText">
    <w:name w:val="Balloon Text"/>
    <w:basedOn w:val="Normal"/>
    <w:link w:val="BalloonTextChar"/>
    <w:uiPriority w:val="99"/>
    <w:semiHidden/>
    <w:unhideWhenUsed/>
    <w:rsid w:val="006150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0AF"/>
    <w:rPr>
      <w:rFonts w:ascii="Tahoma" w:hAnsi="Tahoma" w:cs="Tahoma"/>
      <w:sz w:val="16"/>
      <w:szCs w:val="16"/>
    </w:rPr>
  </w:style>
  <w:style w:type="paragraph" w:styleId="NormalWeb">
    <w:name w:val="Normal (Web)"/>
    <w:basedOn w:val="Normal"/>
    <w:uiPriority w:val="99"/>
    <w:semiHidden/>
    <w:unhideWhenUsed/>
    <w:rsid w:val="00685BD9"/>
    <w:pPr>
      <w:spacing w:before="100" w:beforeAutospacing="1" w:after="100" w:afterAutospacing="1" w:line="240" w:lineRule="auto"/>
      <w:jc w:val="left"/>
    </w:pPr>
    <w:rPr>
      <w:rFonts w:eastAsia="Times New Roman" w:cs="Times New Roman"/>
      <w:szCs w:val="24"/>
      <w:lang w:eastAsia="en-GB"/>
    </w:rPr>
  </w:style>
  <w:style w:type="paragraph" w:styleId="TOC2">
    <w:name w:val="toc 2"/>
    <w:basedOn w:val="Normal"/>
    <w:next w:val="Normal"/>
    <w:autoRedefine/>
    <w:uiPriority w:val="39"/>
    <w:unhideWhenUsed/>
    <w:rsid w:val="00685BD9"/>
    <w:pPr>
      <w:tabs>
        <w:tab w:val="right" w:leader="dot" w:pos="9016"/>
      </w:tabs>
      <w:spacing w:after="100"/>
    </w:pPr>
  </w:style>
  <w:style w:type="character" w:styleId="Hyperlink">
    <w:name w:val="Hyperlink"/>
    <w:basedOn w:val="DefaultParagraphFont"/>
    <w:uiPriority w:val="99"/>
    <w:unhideWhenUsed/>
    <w:rsid w:val="00685B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128259">
      <w:bodyDiv w:val="1"/>
      <w:marLeft w:val="0"/>
      <w:marRight w:val="0"/>
      <w:marTop w:val="0"/>
      <w:marBottom w:val="0"/>
      <w:divBdr>
        <w:top w:val="none" w:sz="0" w:space="0" w:color="auto"/>
        <w:left w:val="none" w:sz="0" w:space="0" w:color="auto"/>
        <w:bottom w:val="none" w:sz="0" w:space="0" w:color="auto"/>
        <w:right w:val="none" w:sz="0" w:space="0" w:color="auto"/>
      </w:divBdr>
      <w:divsChild>
        <w:div w:id="211695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52DCF-4B67-4CA8-96CB-6DEC5D007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1608</Words>
  <Characters>9168</Characters>
  <Application>Microsoft Office Word</Application>
  <DocSecurity>0</DocSecurity>
  <Lines>76</Lines>
  <Paragraphs>21</Paragraphs>
  <ScaleCrop>false</ScaleCrop>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2023-01-13T16:48:00Z</dcterms:created>
  <dcterms:modified xsi:type="dcterms:W3CDTF">2023-01-13T16:52:00Z</dcterms:modified>
</cp:coreProperties>
</file>