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987F8" w14:textId="6010EC5E" w:rsidR="00AB3165" w:rsidRPr="001148FA" w:rsidRDefault="00AB3165" w:rsidP="001148FA">
      <w:pPr>
        <w:pStyle w:val="Bibliography"/>
        <w:spacing w:line="360" w:lineRule="auto"/>
        <w:jc w:val="both"/>
        <w:rPr>
          <w:rFonts w:ascii="Arial" w:hAnsi="Arial" w:cs="Arial"/>
          <w:sz w:val="24"/>
          <w:szCs w:val="24"/>
        </w:rPr>
      </w:pPr>
      <w:r w:rsidRPr="001148FA">
        <w:rPr>
          <w:rFonts w:ascii="Arial" w:hAnsi="Arial" w:cs="Arial"/>
          <w:sz w:val="24"/>
          <w:szCs w:val="24"/>
        </w:rPr>
        <w:t xml:space="preserve">Part </w:t>
      </w:r>
      <w:r w:rsidR="0046044C" w:rsidRPr="001148FA">
        <w:rPr>
          <w:rFonts w:ascii="Arial" w:hAnsi="Arial" w:cs="Arial"/>
          <w:sz w:val="24"/>
          <w:szCs w:val="24"/>
        </w:rPr>
        <w:t>A</w:t>
      </w:r>
    </w:p>
    <w:p w14:paraId="323BAF62" w14:textId="77777777" w:rsidR="001148FA" w:rsidRPr="001148FA" w:rsidRDefault="001148FA" w:rsidP="001148FA">
      <w:pPr>
        <w:spacing w:line="360" w:lineRule="auto"/>
        <w:jc w:val="both"/>
        <w:rPr>
          <w:rFonts w:ascii="Arial" w:hAnsi="Arial" w:cs="Arial"/>
          <w:sz w:val="24"/>
          <w:szCs w:val="24"/>
        </w:rPr>
      </w:pPr>
      <w:r w:rsidRPr="001148FA">
        <w:rPr>
          <w:rFonts w:ascii="Arial" w:hAnsi="Arial" w:cs="Arial"/>
          <w:sz w:val="24"/>
          <w:szCs w:val="24"/>
        </w:rPr>
        <w:t xml:space="preserve">This reflection examines my first 18 months as a Mental Health Social Worker within a multidisciplinary team in the Ministry of Defence (MOD). Utilizing Rolfe et al.’s (2001) "What? So What? Now What?" model, I identify the tensions between the dominant medical model </w:t>
      </w:r>
      <w:sdt>
        <w:sdtPr>
          <w:rPr>
            <w:rFonts w:ascii="Arial" w:hAnsi="Arial" w:cs="Arial"/>
            <w:sz w:val="24"/>
            <w:szCs w:val="24"/>
          </w:rPr>
          <w:id w:val="374826064"/>
          <w:citation/>
        </w:sdtPr>
        <w:sdtContent>
          <w:r w:rsidRPr="001148FA">
            <w:rPr>
              <w:rFonts w:ascii="Arial" w:hAnsi="Arial" w:cs="Arial"/>
              <w:sz w:val="24"/>
              <w:szCs w:val="24"/>
            </w:rPr>
            <w:fldChar w:fldCharType="begin"/>
          </w:r>
          <w:r w:rsidRPr="001148FA">
            <w:rPr>
              <w:rFonts w:ascii="Arial" w:hAnsi="Arial" w:cs="Arial"/>
              <w:sz w:val="24"/>
              <w:szCs w:val="24"/>
            </w:rPr>
            <w:instrText xml:space="preserve"> CITATION Aft24 \l 2057 </w:instrText>
          </w:r>
          <w:r w:rsidRPr="001148FA">
            <w:rPr>
              <w:rFonts w:ascii="Arial" w:hAnsi="Arial" w:cs="Arial"/>
              <w:sz w:val="24"/>
              <w:szCs w:val="24"/>
            </w:rPr>
            <w:fldChar w:fldCharType="separate"/>
          </w:r>
          <w:r w:rsidRPr="001148FA">
            <w:rPr>
              <w:rFonts w:ascii="Arial" w:hAnsi="Arial" w:cs="Arial"/>
              <w:noProof/>
              <w:sz w:val="24"/>
              <w:szCs w:val="24"/>
            </w:rPr>
            <w:t>(Aftab, 2024)</w:t>
          </w:r>
          <w:r w:rsidRPr="001148FA">
            <w:rPr>
              <w:rFonts w:ascii="Arial" w:hAnsi="Arial" w:cs="Arial"/>
              <w:sz w:val="24"/>
              <w:szCs w:val="24"/>
            </w:rPr>
            <w:fldChar w:fldCharType="end"/>
          </w:r>
        </w:sdtContent>
      </w:sdt>
      <w:r w:rsidRPr="001148FA">
        <w:rPr>
          <w:rFonts w:ascii="Arial" w:hAnsi="Arial" w:cs="Arial"/>
          <w:sz w:val="24"/>
          <w:szCs w:val="24"/>
        </w:rPr>
        <w:t xml:space="preserve"> and the social model in health and social care. While the medical model focuses on biological diagnosis, the social model addresses environmental causation </w:t>
      </w:r>
      <w:sdt>
        <w:sdtPr>
          <w:rPr>
            <w:rFonts w:ascii="Arial" w:hAnsi="Arial" w:cs="Arial"/>
            <w:sz w:val="24"/>
            <w:szCs w:val="24"/>
          </w:rPr>
          <w:id w:val="-794359878"/>
          <w:citation/>
        </w:sdtPr>
        <w:sdtContent>
          <w:r w:rsidRPr="001148FA">
            <w:rPr>
              <w:rFonts w:ascii="Arial" w:hAnsi="Arial" w:cs="Arial"/>
              <w:sz w:val="24"/>
              <w:szCs w:val="24"/>
            </w:rPr>
            <w:fldChar w:fldCharType="begin"/>
          </w:r>
          <w:r w:rsidRPr="001148FA">
            <w:rPr>
              <w:rFonts w:ascii="Arial" w:hAnsi="Arial" w:cs="Arial"/>
              <w:sz w:val="24"/>
              <w:szCs w:val="24"/>
            </w:rPr>
            <w:instrText xml:space="preserve"> CITATION Car24 \l 2057 </w:instrText>
          </w:r>
          <w:r w:rsidRPr="001148FA">
            <w:rPr>
              <w:rFonts w:ascii="Arial" w:hAnsi="Arial" w:cs="Arial"/>
              <w:sz w:val="24"/>
              <w:szCs w:val="24"/>
            </w:rPr>
            <w:fldChar w:fldCharType="separate"/>
          </w:r>
          <w:r w:rsidRPr="001148FA">
            <w:rPr>
              <w:rFonts w:ascii="Arial" w:hAnsi="Arial" w:cs="Arial"/>
              <w:noProof/>
              <w:sz w:val="24"/>
              <w:szCs w:val="24"/>
            </w:rPr>
            <w:t>(Care Learning, 2024)</w:t>
          </w:r>
          <w:r w:rsidRPr="001148FA">
            <w:rPr>
              <w:rFonts w:ascii="Arial" w:hAnsi="Arial" w:cs="Arial"/>
              <w:sz w:val="24"/>
              <w:szCs w:val="24"/>
            </w:rPr>
            <w:fldChar w:fldCharType="end"/>
          </w:r>
        </w:sdtContent>
      </w:sdt>
      <w:r w:rsidRPr="001148FA">
        <w:rPr>
          <w:rFonts w:ascii="Arial" w:hAnsi="Arial" w:cs="Arial"/>
          <w:sz w:val="24"/>
          <w:szCs w:val="24"/>
        </w:rPr>
        <w:t xml:space="preserve">. I argue that a holistic approach—integrating both perspectives—is essential for supporting individuals transitioning from military life. This analysis identifies practice challenges and outlines professional development goals to improve outcomes through balanced, person-centred interventions. </w:t>
      </w:r>
    </w:p>
    <w:p w14:paraId="36C41061" w14:textId="77777777" w:rsidR="001148FA" w:rsidRPr="001148FA" w:rsidRDefault="001148FA" w:rsidP="001148FA">
      <w:pPr>
        <w:spacing w:line="360" w:lineRule="auto"/>
        <w:jc w:val="both"/>
        <w:rPr>
          <w:rFonts w:ascii="Arial" w:hAnsi="Arial" w:cs="Arial"/>
          <w:sz w:val="24"/>
          <w:szCs w:val="24"/>
        </w:rPr>
      </w:pPr>
    </w:p>
    <w:p w14:paraId="1AB5218C" w14:textId="77777777" w:rsidR="001148FA" w:rsidRPr="001148FA" w:rsidRDefault="001148FA" w:rsidP="001148FA">
      <w:pPr>
        <w:spacing w:line="360" w:lineRule="auto"/>
        <w:jc w:val="both"/>
        <w:rPr>
          <w:rFonts w:ascii="Arial" w:hAnsi="Arial" w:cs="Arial"/>
          <w:sz w:val="24"/>
          <w:szCs w:val="24"/>
        </w:rPr>
      </w:pPr>
      <w:r w:rsidRPr="001148FA">
        <w:rPr>
          <w:rFonts w:ascii="Arial" w:hAnsi="Arial" w:cs="Arial"/>
          <w:b/>
          <w:bCs/>
          <w:sz w:val="24"/>
          <w:szCs w:val="24"/>
        </w:rPr>
        <w:t>What?</w:t>
      </w:r>
      <w:r w:rsidRPr="001148FA">
        <w:rPr>
          <w:rFonts w:ascii="Arial" w:hAnsi="Arial" w:cs="Arial"/>
          <w:sz w:val="24"/>
          <w:szCs w:val="24"/>
        </w:rPr>
        <w:t xml:space="preserve">  I had found discussing cases in MDT challenging and intimidating.  My role within MDT was to contribute to discussion and identify psychosocial needs as cases were discussed. I lacked the wider knowledge around treatment, medication, diagnosis and treatment pathways.  </w:t>
      </w:r>
      <w:r w:rsidRPr="001148FA">
        <w:rPr>
          <w:rFonts w:ascii="Arial" w:hAnsi="Arial" w:cs="Arial"/>
          <w:b/>
          <w:bCs/>
          <w:sz w:val="24"/>
          <w:szCs w:val="24"/>
        </w:rPr>
        <w:t>So What?</w:t>
      </w:r>
      <w:r w:rsidRPr="001148FA">
        <w:rPr>
          <w:rFonts w:ascii="Arial" w:hAnsi="Arial" w:cs="Arial"/>
          <w:sz w:val="24"/>
          <w:szCs w:val="24"/>
        </w:rPr>
        <w:t xml:space="preserve">  I identified that I would need to widen my knowledge.  I am a confident communicator and believed that my lack of knowledge was the key to overcoming this issue.  </w:t>
      </w:r>
      <w:r w:rsidRPr="001148FA">
        <w:rPr>
          <w:rFonts w:ascii="Arial" w:hAnsi="Arial" w:cs="Arial"/>
          <w:b/>
          <w:bCs/>
          <w:sz w:val="24"/>
          <w:szCs w:val="24"/>
        </w:rPr>
        <w:t>What Now?</w:t>
      </w:r>
      <w:r w:rsidRPr="001148FA">
        <w:rPr>
          <w:rFonts w:ascii="Arial" w:hAnsi="Arial" w:cs="Arial"/>
          <w:sz w:val="24"/>
          <w:szCs w:val="24"/>
        </w:rPr>
        <w:t xml:space="preserve">  In supervision I raised my concerns and we agreed for me to spend time shadowing the assessment team and jointly work with the Community Psychiatric Nurses (CPN’s).  The plan was to give me confidence to contribute at MDT level and it was agreed to continue shadowing other professionals to grow my knowledge and skills. </w:t>
      </w:r>
    </w:p>
    <w:p w14:paraId="31D4B633" w14:textId="77777777" w:rsidR="001148FA" w:rsidRPr="001148FA" w:rsidRDefault="001148FA" w:rsidP="001148FA">
      <w:pPr>
        <w:spacing w:line="360" w:lineRule="auto"/>
        <w:jc w:val="both"/>
        <w:rPr>
          <w:rFonts w:ascii="Arial" w:hAnsi="Arial" w:cs="Arial"/>
          <w:sz w:val="24"/>
          <w:szCs w:val="24"/>
        </w:rPr>
      </w:pPr>
    </w:p>
    <w:p w14:paraId="485EA129" w14:textId="77777777" w:rsidR="001148FA" w:rsidRPr="001148FA" w:rsidRDefault="001148FA" w:rsidP="001148FA">
      <w:pPr>
        <w:spacing w:line="360" w:lineRule="auto"/>
        <w:jc w:val="both"/>
        <w:rPr>
          <w:rFonts w:ascii="Arial" w:hAnsi="Arial" w:cs="Arial"/>
          <w:sz w:val="24"/>
          <w:szCs w:val="24"/>
        </w:rPr>
      </w:pPr>
      <w:r w:rsidRPr="001148FA">
        <w:rPr>
          <w:rFonts w:ascii="Arial" w:hAnsi="Arial" w:cs="Arial"/>
          <w:b/>
          <w:bCs/>
          <w:sz w:val="24"/>
          <w:szCs w:val="24"/>
        </w:rPr>
        <w:t>What?</w:t>
      </w:r>
      <w:r w:rsidRPr="001148FA">
        <w:rPr>
          <w:rFonts w:ascii="Arial" w:hAnsi="Arial" w:cs="Arial"/>
          <w:sz w:val="24"/>
          <w:szCs w:val="24"/>
        </w:rPr>
        <w:t xml:space="preserve"> The military is a very process driven organisation which operates within a power structure of rank and order. Working in the military can challenge professional values and, while it is acknowledged that the nature of the military requires such structure to perform its primary goal, it presents a challenge to health and social care support. </w:t>
      </w:r>
      <w:r w:rsidRPr="001148FA">
        <w:rPr>
          <w:rFonts w:ascii="Arial" w:hAnsi="Arial" w:cs="Arial"/>
          <w:b/>
          <w:bCs/>
          <w:sz w:val="24"/>
          <w:szCs w:val="24"/>
        </w:rPr>
        <w:t>So What?</w:t>
      </w:r>
      <w:r w:rsidRPr="001148FA">
        <w:rPr>
          <w:rFonts w:ascii="Arial" w:hAnsi="Arial" w:cs="Arial"/>
          <w:sz w:val="24"/>
          <w:szCs w:val="24"/>
        </w:rPr>
        <w:t xml:space="preserve"> I experience this in my role as the individuals I support are expected to show respect to higher ranking personnel and subsequently higher ranking personnel are expected to create barriers and distance when interacting with perceived juniors.  My grade is the equivalent of a senior manager and as such most of the patients begin the relationship calling me ‘Sir’ and clearly demonstrate a </w:t>
      </w:r>
      <w:r w:rsidRPr="001148FA">
        <w:rPr>
          <w:rFonts w:ascii="Arial" w:hAnsi="Arial" w:cs="Arial"/>
          <w:sz w:val="24"/>
          <w:szCs w:val="24"/>
        </w:rPr>
        <w:lastRenderedPageBreak/>
        <w:t xml:space="preserve">professional respect which creates an unequal power dynamic which can lead to difficulties developing a trusting relationship.  Social Care Wales Codes of Professional Practice (CoPP) </w:t>
      </w:r>
      <w:sdt>
        <w:sdtPr>
          <w:rPr>
            <w:rFonts w:ascii="Arial" w:hAnsi="Arial" w:cs="Arial"/>
            <w:sz w:val="24"/>
            <w:szCs w:val="24"/>
          </w:rPr>
          <w:id w:val="2012953939"/>
          <w:citation/>
        </w:sdtPr>
        <w:sdtContent>
          <w:r w:rsidRPr="001148FA">
            <w:rPr>
              <w:rFonts w:ascii="Arial" w:hAnsi="Arial" w:cs="Arial"/>
              <w:sz w:val="24"/>
              <w:szCs w:val="24"/>
            </w:rPr>
            <w:fldChar w:fldCharType="begin"/>
          </w:r>
          <w:r w:rsidRPr="001148FA">
            <w:rPr>
              <w:rFonts w:ascii="Arial" w:hAnsi="Arial" w:cs="Arial"/>
              <w:sz w:val="24"/>
              <w:szCs w:val="24"/>
            </w:rPr>
            <w:instrText xml:space="preserve"> CITATION Wal17 \l 2057 </w:instrText>
          </w:r>
          <w:r w:rsidRPr="001148FA">
            <w:rPr>
              <w:rFonts w:ascii="Arial" w:hAnsi="Arial" w:cs="Arial"/>
              <w:sz w:val="24"/>
              <w:szCs w:val="24"/>
            </w:rPr>
            <w:fldChar w:fldCharType="separate"/>
          </w:r>
          <w:r w:rsidRPr="001148FA">
            <w:rPr>
              <w:rFonts w:ascii="Arial" w:hAnsi="Arial" w:cs="Arial"/>
              <w:noProof/>
              <w:sz w:val="24"/>
              <w:szCs w:val="24"/>
            </w:rPr>
            <w:t>(Social Care Wales, 2017)</w:t>
          </w:r>
          <w:r w:rsidRPr="001148FA">
            <w:rPr>
              <w:rFonts w:ascii="Arial" w:hAnsi="Arial" w:cs="Arial"/>
              <w:sz w:val="24"/>
              <w:szCs w:val="24"/>
            </w:rPr>
            <w:fldChar w:fldCharType="end"/>
          </w:r>
        </w:sdtContent>
      </w:sdt>
      <w:r w:rsidRPr="001148FA">
        <w:rPr>
          <w:rFonts w:ascii="Arial" w:hAnsi="Arial" w:cs="Arial"/>
          <w:sz w:val="24"/>
          <w:szCs w:val="24"/>
        </w:rPr>
        <w:t xml:space="preserve"> requires professional accountability and practitioners to establish and maintain trust with individuals they support.  Having raised this in supervision, my manager informed me this is an ongoing challenge to practitioners.  </w:t>
      </w:r>
      <w:r w:rsidRPr="001148FA">
        <w:rPr>
          <w:rFonts w:ascii="Arial" w:hAnsi="Arial" w:cs="Arial"/>
          <w:b/>
          <w:bCs/>
          <w:sz w:val="24"/>
          <w:szCs w:val="24"/>
        </w:rPr>
        <w:t xml:space="preserve">What now? </w:t>
      </w:r>
      <w:r w:rsidRPr="001148FA">
        <w:rPr>
          <w:rFonts w:ascii="Arial" w:hAnsi="Arial" w:cs="Arial"/>
          <w:sz w:val="24"/>
          <w:szCs w:val="24"/>
        </w:rPr>
        <w:t xml:space="preserve">The key principles of the Social Services and Well-being (Wales) Act (2014) include voice and control and co-production.  According to Research in Practice (2024), it is vital for practitioners to both understand the power they hold and to consider how that power is viewed by the individual.  Developmental areas for my consideration were agreed in supervision to research communication skills in social work practice and anti-oppressive practice. </w:t>
      </w:r>
    </w:p>
    <w:p w14:paraId="71598B8A" w14:textId="77777777" w:rsidR="001148FA" w:rsidRPr="001148FA" w:rsidRDefault="001148FA" w:rsidP="001148FA">
      <w:pPr>
        <w:spacing w:line="360" w:lineRule="auto"/>
        <w:jc w:val="both"/>
        <w:rPr>
          <w:rFonts w:ascii="Arial" w:hAnsi="Arial" w:cs="Arial"/>
          <w:sz w:val="24"/>
          <w:szCs w:val="24"/>
        </w:rPr>
      </w:pPr>
    </w:p>
    <w:p w14:paraId="46BDC67D" w14:textId="6F6284D7" w:rsidR="001148FA" w:rsidRPr="001148FA" w:rsidRDefault="001148FA" w:rsidP="001148FA">
      <w:pPr>
        <w:spacing w:line="360" w:lineRule="auto"/>
        <w:jc w:val="both"/>
        <w:rPr>
          <w:rFonts w:ascii="Arial" w:hAnsi="Arial" w:cs="Arial"/>
          <w:sz w:val="24"/>
          <w:szCs w:val="24"/>
        </w:rPr>
      </w:pPr>
      <w:r w:rsidRPr="001148FA">
        <w:rPr>
          <w:rFonts w:ascii="Arial" w:hAnsi="Arial" w:cs="Arial"/>
          <w:sz w:val="24"/>
          <w:szCs w:val="24"/>
        </w:rPr>
        <w:t xml:space="preserve">The third identified area for development and consideration relates to developing complex therapeutic communication skills.  </w:t>
      </w:r>
      <w:r w:rsidRPr="001148FA">
        <w:rPr>
          <w:rFonts w:ascii="Arial" w:hAnsi="Arial" w:cs="Arial"/>
          <w:b/>
          <w:bCs/>
          <w:sz w:val="24"/>
          <w:szCs w:val="24"/>
        </w:rPr>
        <w:t xml:space="preserve">What? </w:t>
      </w:r>
      <w:r w:rsidRPr="001148FA">
        <w:rPr>
          <w:rFonts w:ascii="Arial" w:hAnsi="Arial" w:cs="Arial"/>
          <w:sz w:val="24"/>
          <w:szCs w:val="24"/>
        </w:rPr>
        <w:t xml:space="preserve">The individuals I support have a diagnosis of a mental health disorder. The symptoms of mental health disorders, particularly in individuals who’s treatment has not completed or not successful, can create a barrier to change and reduce motivation </w:t>
      </w:r>
      <w:sdt>
        <w:sdtPr>
          <w:rPr>
            <w:rFonts w:ascii="Arial" w:hAnsi="Arial" w:cs="Arial"/>
            <w:sz w:val="24"/>
            <w:szCs w:val="24"/>
          </w:rPr>
          <w:id w:val="1220864345"/>
          <w:citation/>
        </w:sdtPr>
        <w:sdtContent>
          <w:r w:rsidRPr="001148FA">
            <w:rPr>
              <w:rFonts w:ascii="Arial" w:hAnsi="Arial" w:cs="Arial"/>
              <w:sz w:val="24"/>
              <w:szCs w:val="24"/>
            </w:rPr>
            <w:fldChar w:fldCharType="begin"/>
          </w:r>
          <w:r w:rsidRPr="001148FA">
            <w:rPr>
              <w:rFonts w:ascii="Arial" w:hAnsi="Arial" w:cs="Arial"/>
              <w:sz w:val="24"/>
              <w:szCs w:val="24"/>
            </w:rPr>
            <w:instrText xml:space="preserve"> CITATION Fin25 \l 2057 </w:instrText>
          </w:r>
          <w:r w:rsidRPr="001148FA">
            <w:rPr>
              <w:rFonts w:ascii="Arial" w:hAnsi="Arial" w:cs="Arial"/>
              <w:sz w:val="24"/>
              <w:szCs w:val="24"/>
            </w:rPr>
            <w:fldChar w:fldCharType="separate"/>
          </w:r>
          <w:r w:rsidRPr="001148FA">
            <w:rPr>
              <w:rFonts w:ascii="Arial" w:hAnsi="Arial" w:cs="Arial"/>
              <w:noProof/>
              <w:sz w:val="24"/>
              <w:szCs w:val="24"/>
            </w:rPr>
            <w:t>(Fine, 2025)</w:t>
          </w:r>
          <w:r w:rsidRPr="001148FA">
            <w:rPr>
              <w:rFonts w:ascii="Arial" w:hAnsi="Arial" w:cs="Arial"/>
              <w:sz w:val="24"/>
              <w:szCs w:val="24"/>
            </w:rPr>
            <w:fldChar w:fldCharType="end"/>
          </w:r>
        </w:sdtContent>
      </w:sdt>
      <w:r w:rsidRPr="001148FA">
        <w:rPr>
          <w:rFonts w:ascii="Arial" w:hAnsi="Arial" w:cs="Arial"/>
          <w:sz w:val="24"/>
          <w:szCs w:val="24"/>
        </w:rPr>
        <w:t xml:space="preserve">. </w:t>
      </w:r>
      <w:r w:rsidRPr="001148FA">
        <w:rPr>
          <w:rFonts w:ascii="Arial" w:hAnsi="Arial" w:cs="Arial"/>
          <w:b/>
          <w:bCs/>
          <w:sz w:val="24"/>
          <w:szCs w:val="24"/>
        </w:rPr>
        <w:t xml:space="preserve">So What? </w:t>
      </w:r>
      <w:r w:rsidRPr="001148FA">
        <w:rPr>
          <w:rFonts w:ascii="Arial" w:hAnsi="Arial" w:cs="Arial"/>
          <w:sz w:val="24"/>
          <w:szCs w:val="24"/>
        </w:rPr>
        <w:t xml:space="preserve">As a newly qualified social worker I am suitably equipped with communication skills to practice effectively within my role and to adapt to the needs of the individual appropriately in accordance with CoPP.  However, having the skills to support individuals to manage symptoms of anxiety, depression, PTSD and other mental health disorders can enable a mental health social worker within the MOD to facilitate individuals to make meaningful change and reach their own outcomes.  </w:t>
      </w:r>
      <w:r w:rsidRPr="001148FA">
        <w:rPr>
          <w:rFonts w:ascii="Arial" w:hAnsi="Arial" w:cs="Arial"/>
          <w:b/>
          <w:bCs/>
          <w:sz w:val="24"/>
          <w:szCs w:val="24"/>
        </w:rPr>
        <w:t>What now?</w:t>
      </w:r>
      <w:r w:rsidRPr="001148FA">
        <w:rPr>
          <w:rFonts w:ascii="Arial" w:hAnsi="Arial" w:cs="Arial"/>
          <w:sz w:val="24"/>
          <w:szCs w:val="24"/>
        </w:rPr>
        <w:t xml:space="preserve"> Having discussed this development need in supervision, I identified several training opportunities having researched mental health and social work approaches </w:t>
      </w:r>
      <w:sdt>
        <w:sdtPr>
          <w:rPr>
            <w:rFonts w:ascii="Arial" w:hAnsi="Arial" w:cs="Arial"/>
            <w:sz w:val="24"/>
            <w:szCs w:val="24"/>
          </w:rPr>
          <w:id w:val="1992517854"/>
          <w:citation/>
        </w:sdtPr>
        <w:sdtContent>
          <w:r w:rsidRPr="001148FA">
            <w:rPr>
              <w:rFonts w:ascii="Arial" w:hAnsi="Arial" w:cs="Arial"/>
              <w:sz w:val="24"/>
              <w:szCs w:val="24"/>
            </w:rPr>
            <w:fldChar w:fldCharType="begin"/>
          </w:r>
          <w:r w:rsidRPr="001148FA">
            <w:rPr>
              <w:rFonts w:ascii="Arial" w:hAnsi="Arial" w:cs="Arial"/>
              <w:sz w:val="24"/>
              <w:szCs w:val="24"/>
            </w:rPr>
            <w:instrText xml:space="preserve"> CITATION Ray08 \l 2057 </w:instrText>
          </w:r>
          <w:r w:rsidRPr="001148FA">
            <w:rPr>
              <w:rFonts w:ascii="Arial" w:hAnsi="Arial" w:cs="Arial"/>
              <w:sz w:val="24"/>
              <w:szCs w:val="24"/>
            </w:rPr>
            <w:fldChar w:fldCharType="separate"/>
          </w:r>
          <w:r w:rsidRPr="001148FA">
            <w:rPr>
              <w:rFonts w:ascii="Arial" w:hAnsi="Arial" w:cs="Arial"/>
              <w:noProof/>
              <w:sz w:val="24"/>
              <w:szCs w:val="24"/>
            </w:rPr>
            <w:t>(Ray, et al., 2008)</w:t>
          </w:r>
          <w:r w:rsidRPr="001148FA">
            <w:rPr>
              <w:rFonts w:ascii="Arial" w:hAnsi="Arial" w:cs="Arial"/>
              <w:sz w:val="24"/>
              <w:szCs w:val="24"/>
            </w:rPr>
            <w:fldChar w:fldCharType="end"/>
          </w:r>
        </w:sdtContent>
      </w:sdt>
      <w:r w:rsidRPr="001148FA">
        <w:rPr>
          <w:rFonts w:ascii="Arial" w:hAnsi="Arial" w:cs="Arial"/>
          <w:sz w:val="24"/>
          <w:szCs w:val="24"/>
        </w:rPr>
        <w:t xml:space="preserve">.  It was agreed that training in Trauma Informed Practice (TIP), Anxiety Management, and Acceptance and Commitment Therapy (ACT) would be a benefit to my practice and the organisation.  Trauma-informed practice prioritises safety, trust, and empowerment by acknowledging the impact of trauma and avoiding re-traumatization </w:t>
      </w:r>
      <w:sdt>
        <w:sdtPr>
          <w:rPr>
            <w:rFonts w:ascii="Arial" w:hAnsi="Arial" w:cs="Arial"/>
            <w:sz w:val="24"/>
            <w:szCs w:val="24"/>
          </w:rPr>
          <w:id w:val="-1286967118"/>
          <w:citation/>
        </w:sdtPr>
        <w:sdtContent>
          <w:r w:rsidRPr="001148FA">
            <w:rPr>
              <w:rFonts w:ascii="Arial" w:hAnsi="Arial" w:cs="Arial"/>
              <w:sz w:val="24"/>
              <w:szCs w:val="24"/>
            </w:rPr>
            <w:fldChar w:fldCharType="begin"/>
          </w:r>
          <w:r w:rsidRPr="001148FA">
            <w:rPr>
              <w:rFonts w:ascii="Arial" w:hAnsi="Arial" w:cs="Arial"/>
              <w:sz w:val="24"/>
              <w:szCs w:val="24"/>
            </w:rPr>
            <w:instrText xml:space="preserve"> CITATION Bri23 \l 2057 </w:instrText>
          </w:r>
          <w:r w:rsidRPr="001148FA">
            <w:rPr>
              <w:rFonts w:ascii="Arial" w:hAnsi="Arial" w:cs="Arial"/>
              <w:sz w:val="24"/>
              <w:szCs w:val="24"/>
            </w:rPr>
            <w:fldChar w:fldCharType="separate"/>
          </w:r>
          <w:r w:rsidRPr="001148FA">
            <w:rPr>
              <w:rFonts w:ascii="Arial" w:hAnsi="Arial" w:cs="Arial"/>
              <w:noProof/>
              <w:sz w:val="24"/>
              <w:szCs w:val="24"/>
            </w:rPr>
            <w:t>(Bright &amp; Collins-Taylor, 2023)</w:t>
          </w:r>
          <w:r w:rsidRPr="001148FA">
            <w:rPr>
              <w:rFonts w:ascii="Arial" w:hAnsi="Arial" w:cs="Arial"/>
              <w:sz w:val="24"/>
              <w:szCs w:val="24"/>
            </w:rPr>
            <w:fldChar w:fldCharType="end"/>
          </w:r>
        </w:sdtContent>
      </w:sdt>
      <w:r w:rsidRPr="001148FA">
        <w:rPr>
          <w:rFonts w:ascii="Arial" w:hAnsi="Arial" w:cs="Arial"/>
          <w:sz w:val="24"/>
          <w:szCs w:val="24"/>
        </w:rPr>
        <w:t xml:space="preserve">.  Social workers support individuals with anxiety by providing holistic support, including evidence-based therapies such as ACT, and consider solution-focussed approaches to tackle the causes of anxiety while helping individuals cope with the symptoms. In mental health social work, ACT promotes psychological </w:t>
      </w:r>
      <w:r w:rsidRPr="001148FA">
        <w:rPr>
          <w:rFonts w:ascii="Arial" w:hAnsi="Arial" w:cs="Arial"/>
          <w:sz w:val="24"/>
          <w:szCs w:val="24"/>
        </w:rPr>
        <w:lastRenderedPageBreak/>
        <w:t>flexibility by helping patients accept difficult emotions while committing to values-based action</w:t>
      </w:r>
      <w:r w:rsidR="00AB1A99">
        <w:rPr>
          <w:rFonts w:ascii="Arial" w:hAnsi="Arial" w:cs="Arial"/>
          <w:sz w:val="24"/>
          <w:szCs w:val="24"/>
        </w:rPr>
        <w:t>s</w:t>
      </w:r>
      <w:r w:rsidRPr="001148FA">
        <w:rPr>
          <w:rFonts w:ascii="Arial" w:hAnsi="Arial" w:cs="Arial"/>
          <w:sz w:val="24"/>
          <w:szCs w:val="24"/>
        </w:rPr>
        <w:t>.</w:t>
      </w:r>
    </w:p>
    <w:p w14:paraId="797480EC" w14:textId="77777777" w:rsidR="001148FA" w:rsidRPr="001148FA" w:rsidRDefault="001148FA" w:rsidP="001148FA">
      <w:pPr>
        <w:spacing w:line="360" w:lineRule="auto"/>
        <w:jc w:val="both"/>
        <w:rPr>
          <w:rFonts w:ascii="Arial" w:hAnsi="Arial" w:cs="Arial"/>
          <w:sz w:val="24"/>
          <w:szCs w:val="24"/>
        </w:rPr>
      </w:pPr>
      <w:r w:rsidRPr="001148FA">
        <w:rPr>
          <w:rFonts w:ascii="Arial" w:hAnsi="Arial" w:cs="Arial"/>
          <w:sz w:val="24"/>
          <w:szCs w:val="24"/>
        </w:rPr>
        <w:t>Using Rolfe’s model, this reflection considers 18 months as a military mental health social worker. Identified developments include gaining confidence working in a predominantly medical-model through shadowing, navigating military power structures using anti-oppressive practice, and enhancing therapeutic outcomes. Future goals focus on TIP and ACT to provide person-centred support that balances achieving goals with psychosocial needs.</w:t>
      </w:r>
    </w:p>
    <w:p w14:paraId="096F0798" w14:textId="77777777" w:rsidR="001148FA" w:rsidRPr="001148FA" w:rsidRDefault="001148FA" w:rsidP="001148FA">
      <w:pPr>
        <w:spacing w:line="360" w:lineRule="auto"/>
        <w:jc w:val="both"/>
        <w:rPr>
          <w:rFonts w:ascii="Arial" w:hAnsi="Arial" w:cs="Arial"/>
          <w:sz w:val="24"/>
          <w:szCs w:val="24"/>
        </w:rPr>
      </w:pPr>
      <w:r w:rsidRPr="001148FA">
        <w:rPr>
          <w:rFonts w:ascii="Arial" w:hAnsi="Arial" w:cs="Arial"/>
          <w:sz w:val="24"/>
          <w:szCs w:val="24"/>
        </w:rPr>
        <w:t>Word count: 797</w:t>
      </w:r>
    </w:p>
    <w:p w14:paraId="1F672338" w14:textId="77777777" w:rsidR="00AB3165" w:rsidRPr="001148FA" w:rsidRDefault="00AB3165" w:rsidP="001148FA">
      <w:pPr>
        <w:spacing w:line="360" w:lineRule="auto"/>
        <w:jc w:val="both"/>
        <w:rPr>
          <w:rFonts w:ascii="Arial" w:hAnsi="Arial" w:cs="Arial"/>
          <w:sz w:val="24"/>
          <w:szCs w:val="24"/>
        </w:rPr>
      </w:pPr>
    </w:p>
    <w:p w14:paraId="004FDA97" w14:textId="77777777" w:rsidR="00AB3165" w:rsidRPr="001148FA" w:rsidRDefault="00AB3165" w:rsidP="001148FA">
      <w:pPr>
        <w:spacing w:line="360" w:lineRule="auto"/>
        <w:jc w:val="both"/>
        <w:rPr>
          <w:rFonts w:ascii="Arial" w:hAnsi="Arial" w:cs="Arial"/>
          <w:sz w:val="24"/>
          <w:szCs w:val="24"/>
        </w:rPr>
      </w:pPr>
    </w:p>
    <w:p w14:paraId="29EE9E0E" w14:textId="52BEE479" w:rsidR="00E45F34" w:rsidRPr="001148FA" w:rsidRDefault="00E45F34" w:rsidP="001148FA">
      <w:pPr>
        <w:spacing w:line="360" w:lineRule="auto"/>
        <w:jc w:val="both"/>
        <w:rPr>
          <w:rFonts w:ascii="Arial" w:hAnsi="Arial" w:cs="Arial"/>
          <w:sz w:val="24"/>
          <w:szCs w:val="24"/>
        </w:rPr>
      </w:pPr>
      <w:r w:rsidRPr="001148FA">
        <w:rPr>
          <w:rFonts w:ascii="Arial" w:hAnsi="Arial" w:cs="Arial"/>
          <w:sz w:val="24"/>
          <w:szCs w:val="24"/>
        </w:rPr>
        <w:t xml:space="preserve">Part </w:t>
      </w:r>
      <w:r w:rsidR="00AB3165" w:rsidRPr="001148FA">
        <w:rPr>
          <w:rFonts w:ascii="Arial" w:hAnsi="Arial" w:cs="Arial"/>
          <w:sz w:val="24"/>
          <w:szCs w:val="24"/>
        </w:rPr>
        <w:t>B</w:t>
      </w:r>
    </w:p>
    <w:p w14:paraId="17542274" w14:textId="76335271" w:rsidR="006E0DEC" w:rsidRPr="001148FA" w:rsidRDefault="006E0DEC" w:rsidP="001148FA">
      <w:pPr>
        <w:spacing w:line="360" w:lineRule="auto"/>
        <w:jc w:val="both"/>
        <w:rPr>
          <w:rFonts w:ascii="Arial" w:hAnsi="Arial" w:cs="Arial"/>
          <w:sz w:val="24"/>
          <w:szCs w:val="24"/>
        </w:rPr>
      </w:pPr>
      <w:r w:rsidRPr="001148FA">
        <w:rPr>
          <w:rFonts w:ascii="Arial" w:hAnsi="Arial" w:cs="Arial"/>
          <w:sz w:val="24"/>
          <w:szCs w:val="24"/>
        </w:rPr>
        <w:t>Gibbs’ (1998) Reflective Cycle will be used to retrospectively evaluate the 3 developmental areas identified in the first part of this task. This model helps to revisit the issue, analyse and evaluate, demonstrate learning and plan further improvement.</w:t>
      </w:r>
    </w:p>
    <w:p w14:paraId="752A22A8" w14:textId="2ADF7D2F" w:rsidR="006E0DEC" w:rsidRPr="001148FA" w:rsidRDefault="006E0DEC" w:rsidP="001148FA">
      <w:pPr>
        <w:spacing w:line="360" w:lineRule="auto"/>
        <w:jc w:val="both"/>
        <w:rPr>
          <w:rFonts w:ascii="Arial" w:hAnsi="Arial" w:cs="Arial"/>
          <w:sz w:val="24"/>
          <w:szCs w:val="24"/>
        </w:rPr>
      </w:pPr>
      <w:r w:rsidRPr="001148FA">
        <w:rPr>
          <w:rFonts w:ascii="Arial" w:hAnsi="Arial" w:cs="Arial"/>
          <w:sz w:val="24"/>
          <w:szCs w:val="24"/>
        </w:rPr>
        <w:t xml:space="preserve">The first developmental area related to a lack of confidence within the MDT. During supervision we agreed for me to shadow experienced clinicians from across the disciplines. I spent </w:t>
      </w:r>
      <w:r w:rsidR="00776057" w:rsidRPr="001148FA">
        <w:rPr>
          <w:rFonts w:ascii="Arial" w:hAnsi="Arial" w:cs="Arial"/>
          <w:sz w:val="24"/>
          <w:szCs w:val="24"/>
        </w:rPr>
        <w:t>time with</w:t>
      </w:r>
      <w:r w:rsidRPr="001148FA">
        <w:rPr>
          <w:rFonts w:ascii="Arial" w:hAnsi="Arial" w:cs="Arial"/>
          <w:sz w:val="24"/>
          <w:szCs w:val="24"/>
        </w:rPr>
        <w:t xml:space="preserve"> consultant psychiatrists, clinical psychologists, mental health social workers (MHSW) and community psychiatric nurses which has given me a better understanding and increased knowledge of assessment and treatment pathways. Furthermore, I have researched the impacts of mental health disorders, in particular trauma informed disorders (Van Der Kolk, 2014) (Goldstein, et al., 2024) (Haines, et al., 2018). I have now become more </w:t>
      </w:r>
      <w:r w:rsidR="001E35C9" w:rsidRPr="001148FA">
        <w:rPr>
          <w:rFonts w:ascii="Arial" w:hAnsi="Arial" w:cs="Arial"/>
          <w:sz w:val="24"/>
          <w:szCs w:val="24"/>
        </w:rPr>
        <w:t>confident discussing</w:t>
      </w:r>
      <w:r w:rsidRPr="001148FA">
        <w:rPr>
          <w:rFonts w:ascii="Arial" w:hAnsi="Arial" w:cs="Arial"/>
          <w:sz w:val="24"/>
          <w:szCs w:val="24"/>
        </w:rPr>
        <w:t xml:space="preserve"> cases in MDT and furthermore have been instrumental in pushing for more social work input at the assessment stage to identify social stressors which, when addressed alongside treatment in a more holistic way, can lead to better outcomes. My manager has subsequently requested I sit in the Network Allocations Meeting which considers which interventions the team will offer patients. The role in this meeting is to identify social stressor which may be impacting their mental health and hampering treatment and recovery.  This more holistic, approach to the team assessments and MDT discussions aligns more with the code of professional practice </w:t>
      </w:r>
      <w:r w:rsidR="00144064" w:rsidRPr="001148FA">
        <w:rPr>
          <w:rFonts w:ascii="Arial" w:hAnsi="Arial" w:cs="Arial"/>
          <w:sz w:val="24"/>
          <w:szCs w:val="24"/>
        </w:rPr>
        <w:t>(</w:t>
      </w:r>
      <w:r w:rsidR="00542813" w:rsidRPr="001148FA">
        <w:rPr>
          <w:rFonts w:ascii="Arial" w:hAnsi="Arial" w:cs="Arial"/>
          <w:sz w:val="24"/>
          <w:szCs w:val="24"/>
        </w:rPr>
        <w:t>SCW, 2017) (COPP)</w:t>
      </w:r>
      <w:r w:rsidRPr="001148FA">
        <w:rPr>
          <w:rFonts w:ascii="Arial" w:hAnsi="Arial" w:cs="Arial"/>
          <w:sz w:val="24"/>
          <w:szCs w:val="24"/>
        </w:rPr>
        <w:t xml:space="preserve">, and the </w:t>
      </w:r>
      <w:r w:rsidRPr="001148FA">
        <w:rPr>
          <w:rFonts w:ascii="Arial" w:hAnsi="Arial" w:cs="Arial"/>
          <w:sz w:val="24"/>
          <w:szCs w:val="24"/>
        </w:rPr>
        <w:lastRenderedPageBreak/>
        <w:t>principles of early intervention, co-production and preventative working which underpin SSWBA.</w:t>
      </w:r>
    </w:p>
    <w:p w14:paraId="16E29C60" w14:textId="4DC63E83" w:rsidR="006E0DEC" w:rsidRPr="001148FA" w:rsidRDefault="006E0DEC" w:rsidP="001148FA">
      <w:pPr>
        <w:spacing w:line="360" w:lineRule="auto"/>
        <w:jc w:val="both"/>
        <w:rPr>
          <w:rFonts w:ascii="Arial" w:hAnsi="Arial" w:cs="Arial"/>
          <w:sz w:val="24"/>
          <w:szCs w:val="24"/>
        </w:rPr>
      </w:pPr>
      <w:r w:rsidRPr="001148FA">
        <w:rPr>
          <w:rFonts w:ascii="Arial" w:hAnsi="Arial" w:cs="Arial"/>
          <w:sz w:val="24"/>
          <w:szCs w:val="24"/>
        </w:rPr>
        <w:t xml:space="preserve">The next area identified related to an imbalance of power and the challenges to create trusting relationships within the dynamics of the military rank-based structure.   Often the may consider themselves either junior or senior to the practitioner depending on their own rank. Recognising that social workers hold legitimate powers under law, and control of resources, is important. However, to support individuals to make meaningful changes to their lives, they are also required to create trust and work collaboratively from a place of equality (COPP) </w:t>
      </w:r>
      <w:sdt>
        <w:sdtPr>
          <w:rPr>
            <w:rFonts w:ascii="Arial" w:hAnsi="Arial" w:cs="Arial"/>
            <w:sz w:val="24"/>
            <w:szCs w:val="24"/>
          </w:rPr>
          <w:id w:val="-460652774"/>
          <w:citation/>
        </w:sdtPr>
        <w:sdtEndPr/>
        <w:sdtContent>
          <w:r w:rsidR="00D451A8" w:rsidRPr="001148FA">
            <w:rPr>
              <w:rFonts w:ascii="Arial" w:hAnsi="Arial" w:cs="Arial"/>
              <w:sz w:val="24"/>
              <w:szCs w:val="24"/>
            </w:rPr>
            <w:fldChar w:fldCharType="begin"/>
          </w:r>
          <w:r w:rsidR="00D451A8" w:rsidRPr="001148FA">
            <w:rPr>
              <w:rFonts w:ascii="Arial" w:hAnsi="Arial" w:cs="Arial"/>
              <w:sz w:val="24"/>
              <w:szCs w:val="24"/>
            </w:rPr>
            <w:instrText xml:space="preserve"> CITATION Woo15 \l 2057 </w:instrText>
          </w:r>
          <w:r w:rsidR="00D451A8" w:rsidRPr="001148FA">
            <w:rPr>
              <w:rFonts w:ascii="Arial" w:hAnsi="Arial" w:cs="Arial"/>
              <w:sz w:val="24"/>
              <w:szCs w:val="24"/>
            </w:rPr>
            <w:fldChar w:fldCharType="separate"/>
          </w:r>
          <w:r w:rsidR="007B739A" w:rsidRPr="001148FA">
            <w:rPr>
              <w:rFonts w:ascii="Arial" w:hAnsi="Arial" w:cs="Arial"/>
              <w:noProof/>
              <w:sz w:val="24"/>
              <w:szCs w:val="24"/>
            </w:rPr>
            <w:t>(Wooten, 2015)</w:t>
          </w:r>
          <w:r w:rsidR="00D451A8" w:rsidRPr="001148FA">
            <w:rPr>
              <w:rFonts w:ascii="Arial" w:hAnsi="Arial" w:cs="Arial"/>
              <w:sz w:val="24"/>
              <w:szCs w:val="24"/>
            </w:rPr>
            <w:fldChar w:fldCharType="end"/>
          </w:r>
        </w:sdtContent>
      </w:sdt>
      <w:r w:rsidRPr="001148FA">
        <w:rPr>
          <w:rFonts w:ascii="Arial" w:hAnsi="Arial" w:cs="Arial"/>
          <w:sz w:val="24"/>
          <w:szCs w:val="24"/>
        </w:rPr>
        <w:t xml:space="preserve">.  Central to social work practice in Wales is a person-centred approach and to ensure that they individual has voice and control </w:t>
      </w:r>
      <w:sdt>
        <w:sdtPr>
          <w:rPr>
            <w:rFonts w:ascii="Arial" w:hAnsi="Arial" w:cs="Arial"/>
            <w:sz w:val="24"/>
            <w:szCs w:val="24"/>
          </w:rPr>
          <w:id w:val="278846280"/>
          <w:citation/>
        </w:sdtPr>
        <w:sdtEndPr/>
        <w:sdtContent>
          <w:r w:rsidR="0013318D" w:rsidRPr="001148FA">
            <w:rPr>
              <w:rFonts w:ascii="Arial" w:hAnsi="Arial" w:cs="Arial"/>
              <w:sz w:val="24"/>
              <w:szCs w:val="24"/>
            </w:rPr>
            <w:fldChar w:fldCharType="begin"/>
          </w:r>
          <w:r w:rsidR="0013318D" w:rsidRPr="001148FA">
            <w:rPr>
              <w:rFonts w:ascii="Arial" w:hAnsi="Arial" w:cs="Arial"/>
              <w:sz w:val="24"/>
              <w:szCs w:val="24"/>
            </w:rPr>
            <w:instrText xml:space="preserve"> CITATION Soc25 \l 2057 </w:instrText>
          </w:r>
          <w:r w:rsidR="0013318D" w:rsidRPr="001148FA">
            <w:rPr>
              <w:rFonts w:ascii="Arial" w:hAnsi="Arial" w:cs="Arial"/>
              <w:sz w:val="24"/>
              <w:szCs w:val="24"/>
            </w:rPr>
            <w:fldChar w:fldCharType="separate"/>
          </w:r>
          <w:r w:rsidR="007B739A" w:rsidRPr="001148FA">
            <w:rPr>
              <w:rFonts w:ascii="Arial" w:hAnsi="Arial" w:cs="Arial"/>
              <w:noProof/>
              <w:sz w:val="24"/>
              <w:szCs w:val="24"/>
            </w:rPr>
            <w:t>(Social Care Wales, 2025)</w:t>
          </w:r>
          <w:r w:rsidR="0013318D" w:rsidRPr="001148FA">
            <w:rPr>
              <w:rFonts w:ascii="Arial" w:hAnsi="Arial" w:cs="Arial"/>
              <w:sz w:val="24"/>
              <w:szCs w:val="24"/>
            </w:rPr>
            <w:fldChar w:fldCharType="end"/>
          </w:r>
        </w:sdtContent>
      </w:sdt>
    </w:p>
    <w:p w14:paraId="0E95D157" w14:textId="4C1D8700" w:rsidR="006E0DEC" w:rsidRPr="001148FA" w:rsidRDefault="006E0DEC" w:rsidP="001148FA">
      <w:pPr>
        <w:spacing w:line="360" w:lineRule="auto"/>
        <w:jc w:val="both"/>
        <w:rPr>
          <w:rFonts w:ascii="Arial" w:hAnsi="Arial" w:cs="Arial"/>
          <w:sz w:val="24"/>
          <w:szCs w:val="24"/>
        </w:rPr>
      </w:pPr>
      <w:r w:rsidRPr="001148FA">
        <w:rPr>
          <w:rFonts w:ascii="Arial" w:hAnsi="Arial" w:cs="Arial"/>
          <w:sz w:val="24"/>
          <w:szCs w:val="24"/>
        </w:rPr>
        <w:t>I have researched communication styles, in particular Trevithick (</w:t>
      </w:r>
      <w:r w:rsidR="00DE086B" w:rsidRPr="001148FA">
        <w:rPr>
          <w:rFonts w:ascii="Arial" w:hAnsi="Arial" w:cs="Arial"/>
          <w:sz w:val="24"/>
          <w:szCs w:val="24"/>
        </w:rPr>
        <w:t>2003</w:t>
      </w:r>
      <w:r w:rsidRPr="001148FA">
        <w:rPr>
          <w:rFonts w:ascii="Arial" w:hAnsi="Arial" w:cs="Arial"/>
          <w:sz w:val="24"/>
          <w:szCs w:val="24"/>
        </w:rPr>
        <w:t xml:space="preserve">) who advocates for relationship-based practice focussing on the ‘use of self’ which encourages reflection and the impacts on individuals communicating with practitioners. Further research was done into Anti-oppressive practice to strengthen my awareness of how these dynamics impact social work within the military </w:t>
      </w:r>
      <w:sdt>
        <w:sdtPr>
          <w:rPr>
            <w:rFonts w:ascii="Arial" w:hAnsi="Arial" w:cs="Arial"/>
            <w:sz w:val="24"/>
            <w:szCs w:val="24"/>
          </w:rPr>
          <w:id w:val="1301731803"/>
          <w:citation/>
        </w:sdtPr>
        <w:sdtEndPr/>
        <w:sdtContent>
          <w:r w:rsidR="00952A92" w:rsidRPr="001148FA">
            <w:rPr>
              <w:rFonts w:ascii="Arial" w:hAnsi="Arial" w:cs="Arial"/>
              <w:sz w:val="24"/>
              <w:szCs w:val="24"/>
            </w:rPr>
            <w:fldChar w:fldCharType="begin"/>
          </w:r>
          <w:r w:rsidR="00952A92" w:rsidRPr="001148FA">
            <w:rPr>
              <w:rFonts w:ascii="Arial" w:hAnsi="Arial" w:cs="Arial"/>
              <w:sz w:val="24"/>
              <w:szCs w:val="24"/>
            </w:rPr>
            <w:instrText xml:space="preserve"> CITATION Dom02 \l 2057 </w:instrText>
          </w:r>
          <w:r w:rsidR="00952A92" w:rsidRPr="001148FA">
            <w:rPr>
              <w:rFonts w:ascii="Arial" w:hAnsi="Arial" w:cs="Arial"/>
              <w:sz w:val="24"/>
              <w:szCs w:val="24"/>
            </w:rPr>
            <w:fldChar w:fldCharType="separate"/>
          </w:r>
          <w:r w:rsidR="007B739A" w:rsidRPr="001148FA">
            <w:rPr>
              <w:rFonts w:ascii="Arial" w:hAnsi="Arial" w:cs="Arial"/>
              <w:noProof/>
              <w:sz w:val="24"/>
              <w:szCs w:val="24"/>
            </w:rPr>
            <w:t>(Dominelli, 2002)</w:t>
          </w:r>
          <w:r w:rsidR="00952A92" w:rsidRPr="001148FA">
            <w:rPr>
              <w:rFonts w:ascii="Arial" w:hAnsi="Arial" w:cs="Arial"/>
              <w:sz w:val="24"/>
              <w:szCs w:val="24"/>
            </w:rPr>
            <w:fldChar w:fldCharType="end"/>
          </w:r>
        </w:sdtContent>
      </w:sdt>
      <w:r w:rsidRPr="001148FA">
        <w:rPr>
          <w:rFonts w:ascii="Arial" w:hAnsi="Arial" w:cs="Arial"/>
          <w:sz w:val="24"/>
          <w:szCs w:val="24"/>
        </w:rPr>
        <w:t>. I use active listening, reflective statements, and collaborative goal-setting to ensure they have voice and control. I prioritise co-produced intervention to ensure agency and shared decision-making, whilst acknowledging honestly what consequences the actions we take may have on their career. </w:t>
      </w:r>
    </w:p>
    <w:p w14:paraId="248CAE81" w14:textId="77777777" w:rsidR="006E0DEC" w:rsidRPr="001148FA" w:rsidRDefault="006E0DEC" w:rsidP="001148FA">
      <w:pPr>
        <w:spacing w:line="360" w:lineRule="auto"/>
        <w:jc w:val="both"/>
        <w:rPr>
          <w:rFonts w:ascii="Arial" w:hAnsi="Arial" w:cs="Arial"/>
          <w:sz w:val="24"/>
          <w:szCs w:val="24"/>
        </w:rPr>
      </w:pPr>
      <w:r w:rsidRPr="001148FA">
        <w:rPr>
          <w:rFonts w:ascii="Arial" w:hAnsi="Arial" w:cs="Arial"/>
          <w:sz w:val="24"/>
          <w:szCs w:val="24"/>
        </w:rPr>
        <w:t>I have utilised supervision and patient feedback to develop in this area. Supervision provides space for reflection and we have identified that I have a tendency to be biased towards the lower ranked patients.  I am aware that this comes from a more radical social worker perspective which has underpinned by views on the wider society and has given me cause to ensure the bias is recognised and addressed.Feedback from service users and colleagues has further refined my approach, supporting more trusting relationships and improved therapeutic outcomes. This is evidenced in the feedback from the observation task and patient feedback which regularly mentions trust and a sense of being heard.</w:t>
      </w:r>
    </w:p>
    <w:p w14:paraId="440F51AC" w14:textId="6B88C7BF" w:rsidR="006E0DEC" w:rsidRPr="001148FA" w:rsidRDefault="006E0DEC" w:rsidP="001148FA">
      <w:pPr>
        <w:spacing w:line="360" w:lineRule="auto"/>
        <w:jc w:val="both"/>
        <w:rPr>
          <w:rFonts w:ascii="Arial" w:hAnsi="Arial" w:cs="Arial"/>
          <w:sz w:val="24"/>
          <w:szCs w:val="24"/>
        </w:rPr>
      </w:pPr>
      <w:r w:rsidRPr="001148FA">
        <w:rPr>
          <w:rFonts w:ascii="Arial" w:hAnsi="Arial" w:cs="Arial"/>
          <w:sz w:val="24"/>
          <w:szCs w:val="24"/>
        </w:rPr>
        <w:t xml:space="preserve">The final area for development was to build further skills specific to the role of mental health social worker. During supervision and as part of shadowing other professionals as part of the first part of this piece we felt that Anxiety Mangement, Trauma informed </w:t>
      </w:r>
      <w:r w:rsidRPr="001148FA">
        <w:rPr>
          <w:rFonts w:ascii="Arial" w:hAnsi="Arial" w:cs="Arial"/>
          <w:sz w:val="24"/>
          <w:szCs w:val="24"/>
        </w:rPr>
        <w:lastRenderedPageBreak/>
        <w:t>approach and Acceptance and Commitment Therapy (ACT) skills would benefit my practice.  Most of the individuals I work with continue to require low intensity therapeutic input af</w:t>
      </w:r>
      <w:r w:rsidR="00B60A93" w:rsidRPr="001148FA">
        <w:rPr>
          <w:rFonts w:ascii="Arial" w:hAnsi="Arial" w:cs="Arial"/>
          <w:sz w:val="24"/>
          <w:szCs w:val="24"/>
        </w:rPr>
        <w:t>t</w:t>
      </w:r>
      <w:r w:rsidRPr="001148FA">
        <w:rPr>
          <w:rFonts w:ascii="Arial" w:hAnsi="Arial" w:cs="Arial"/>
          <w:sz w:val="24"/>
          <w:szCs w:val="24"/>
        </w:rPr>
        <w:t>er they have completed formal therapy and the skills acquired from these areas can help to continue their recovery, retain stability and support them to achieve their goals.  </w:t>
      </w:r>
    </w:p>
    <w:p w14:paraId="1ABCFFEA" w14:textId="3E03A411" w:rsidR="006E0DEC" w:rsidRPr="001148FA" w:rsidRDefault="006E0DEC" w:rsidP="001148FA">
      <w:pPr>
        <w:spacing w:line="360" w:lineRule="auto"/>
        <w:jc w:val="both"/>
        <w:rPr>
          <w:rFonts w:ascii="Arial" w:hAnsi="Arial" w:cs="Arial"/>
          <w:sz w:val="24"/>
          <w:szCs w:val="24"/>
        </w:rPr>
      </w:pPr>
      <w:r w:rsidRPr="001148FA">
        <w:rPr>
          <w:rFonts w:ascii="Arial" w:hAnsi="Arial" w:cs="Arial"/>
          <w:sz w:val="24"/>
          <w:szCs w:val="24"/>
        </w:rPr>
        <w:t xml:space="preserve">I have attended a </w:t>
      </w:r>
      <w:r w:rsidR="00B60A93" w:rsidRPr="001148FA">
        <w:rPr>
          <w:rFonts w:ascii="Arial" w:hAnsi="Arial" w:cs="Arial"/>
          <w:sz w:val="24"/>
          <w:szCs w:val="24"/>
        </w:rPr>
        <w:t>3-day</w:t>
      </w:r>
      <w:r w:rsidRPr="001148FA">
        <w:rPr>
          <w:rFonts w:ascii="Arial" w:hAnsi="Arial" w:cs="Arial"/>
          <w:sz w:val="24"/>
          <w:szCs w:val="24"/>
        </w:rPr>
        <w:t xml:space="preserve"> ACT level 3 course which can help an individual make life-choices in line with their values, while learning to live alongside traumatic thoughts.  I have also attended a </w:t>
      </w:r>
      <w:r w:rsidR="00B60A93" w:rsidRPr="001148FA">
        <w:rPr>
          <w:rFonts w:ascii="Arial" w:hAnsi="Arial" w:cs="Arial"/>
          <w:sz w:val="24"/>
          <w:szCs w:val="24"/>
        </w:rPr>
        <w:t>2-day</w:t>
      </w:r>
      <w:r w:rsidRPr="001148FA">
        <w:rPr>
          <w:rFonts w:ascii="Arial" w:hAnsi="Arial" w:cs="Arial"/>
          <w:sz w:val="24"/>
          <w:szCs w:val="24"/>
        </w:rPr>
        <w:t xml:space="preserve"> online Anxiety Management course.  This has given me skills to help individuals become aware of increasing anxiety, grounding and de-escalation techniques, tolerance of uncertainty and restructuring threat-based thoughts.</w:t>
      </w:r>
    </w:p>
    <w:p w14:paraId="1B3920D2" w14:textId="5F7BB0E1" w:rsidR="00F851E4" w:rsidRPr="001148FA" w:rsidRDefault="006E0DEC" w:rsidP="001148FA">
      <w:pPr>
        <w:spacing w:line="360" w:lineRule="auto"/>
        <w:jc w:val="both"/>
        <w:rPr>
          <w:rFonts w:ascii="Arial" w:hAnsi="Arial" w:cs="Arial"/>
          <w:sz w:val="24"/>
          <w:szCs w:val="24"/>
        </w:rPr>
      </w:pPr>
      <w:r w:rsidRPr="001148FA">
        <w:rPr>
          <w:rFonts w:ascii="Arial" w:hAnsi="Arial" w:cs="Arial"/>
          <w:sz w:val="24"/>
          <w:szCs w:val="24"/>
        </w:rPr>
        <w:t xml:space="preserve">Research was carried out on trauma informed practice, and has improved my skill set in relation to understanding the neurobiological impacts of trauma, recognising trauma responses and identifying triggers which may induce those responses, such as hyperarousal, flight/flight/freeze and dissociation </w:t>
      </w:r>
      <w:sdt>
        <w:sdtPr>
          <w:rPr>
            <w:rFonts w:ascii="Arial" w:hAnsi="Arial" w:cs="Arial"/>
            <w:sz w:val="24"/>
            <w:szCs w:val="24"/>
          </w:rPr>
          <w:id w:val="1011339276"/>
          <w:citation/>
        </w:sdtPr>
        <w:sdtEndPr/>
        <w:sdtContent>
          <w:r w:rsidR="00B60A93" w:rsidRPr="001148FA">
            <w:rPr>
              <w:rFonts w:ascii="Arial" w:hAnsi="Arial" w:cs="Arial"/>
              <w:sz w:val="24"/>
              <w:szCs w:val="24"/>
            </w:rPr>
            <w:fldChar w:fldCharType="begin"/>
          </w:r>
          <w:r w:rsidR="00B60A93" w:rsidRPr="001148FA">
            <w:rPr>
              <w:rFonts w:ascii="Arial" w:hAnsi="Arial" w:cs="Arial"/>
              <w:sz w:val="24"/>
              <w:szCs w:val="24"/>
            </w:rPr>
            <w:instrText xml:space="preserve"> CITATION Van \l 2057 </w:instrText>
          </w:r>
          <w:r w:rsidR="00B60A93" w:rsidRPr="001148FA">
            <w:rPr>
              <w:rFonts w:ascii="Arial" w:hAnsi="Arial" w:cs="Arial"/>
              <w:sz w:val="24"/>
              <w:szCs w:val="24"/>
            </w:rPr>
            <w:fldChar w:fldCharType="separate"/>
          </w:r>
          <w:r w:rsidR="007B739A" w:rsidRPr="001148FA">
            <w:rPr>
              <w:rFonts w:ascii="Arial" w:hAnsi="Arial" w:cs="Arial"/>
              <w:noProof/>
              <w:sz w:val="24"/>
              <w:szCs w:val="24"/>
            </w:rPr>
            <w:t>(Van Der Kolk, 2014)</w:t>
          </w:r>
          <w:r w:rsidR="00B60A93" w:rsidRPr="001148FA">
            <w:rPr>
              <w:rFonts w:ascii="Arial" w:hAnsi="Arial" w:cs="Arial"/>
              <w:sz w:val="24"/>
              <w:szCs w:val="24"/>
            </w:rPr>
            <w:fldChar w:fldCharType="end"/>
          </w:r>
        </w:sdtContent>
      </w:sdt>
      <w:r w:rsidRPr="001148FA">
        <w:rPr>
          <w:rFonts w:ascii="Arial" w:hAnsi="Arial" w:cs="Arial"/>
          <w:sz w:val="24"/>
          <w:szCs w:val="24"/>
        </w:rPr>
        <w:t xml:space="preserve">.   Understanding the </w:t>
      </w:r>
      <w:r w:rsidR="00B60A93" w:rsidRPr="001148FA">
        <w:rPr>
          <w:rFonts w:ascii="Arial" w:hAnsi="Arial" w:cs="Arial"/>
          <w:sz w:val="24"/>
          <w:szCs w:val="24"/>
        </w:rPr>
        <w:t>long-standing</w:t>
      </w:r>
      <w:r w:rsidRPr="001148FA">
        <w:rPr>
          <w:rFonts w:ascii="Arial" w:hAnsi="Arial" w:cs="Arial"/>
          <w:sz w:val="24"/>
          <w:szCs w:val="24"/>
        </w:rPr>
        <w:t xml:space="preserve"> impact of childhood trauma has also helped me to evidence-base discussions with patients around why they may be experiencing some responses.  This, along with the growth in communication styles has made significant improvements in my confidence in practice.</w:t>
      </w:r>
    </w:p>
    <w:p w14:paraId="4B1FA083" w14:textId="0E93C890" w:rsidR="00E356D2" w:rsidRPr="001148FA" w:rsidRDefault="00E356D2" w:rsidP="001148FA">
      <w:pPr>
        <w:spacing w:line="360" w:lineRule="auto"/>
        <w:jc w:val="both"/>
        <w:rPr>
          <w:rFonts w:ascii="Arial" w:hAnsi="Arial" w:cs="Arial"/>
          <w:sz w:val="24"/>
          <w:szCs w:val="24"/>
        </w:rPr>
      </w:pPr>
      <w:r w:rsidRPr="001148FA">
        <w:rPr>
          <w:rFonts w:ascii="Arial" w:hAnsi="Arial" w:cs="Arial"/>
          <w:sz w:val="24"/>
          <w:szCs w:val="24"/>
        </w:rPr>
        <w:t>Word count</w:t>
      </w:r>
      <w:r w:rsidR="008B329B" w:rsidRPr="001148FA">
        <w:rPr>
          <w:rFonts w:ascii="Arial" w:hAnsi="Arial" w:cs="Arial"/>
          <w:sz w:val="24"/>
          <w:szCs w:val="24"/>
        </w:rPr>
        <w:t>: 807</w:t>
      </w:r>
    </w:p>
    <w:p w14:paraId="004FDD88" w14:textId="77777777" w:rsidR="00A76745" w:rsidRPr="001148FA" w:rsidRDefault="00A76745" w:rsidP="001148FA">
      <w:pPr>
        <w:spacing w:line="360" w:lineRule="auto"/>
        <w:jc w:val="both"/>
        <w:rPr>
          <w:rFonts w:ascii="Arial" w:hAnsi="Arial" w:cs="Arial"/>
          <w:sz w:val="24"/>
          <w:szCs w:val="24"/>
        </w:rPr>
      </w:pPr>
    </w:p>
    <w:sdt>
      <w:sdtPr>
        <w:rPr>
          <w:rFonts w:ascii="Arial" w:hAnsi="Arial" w:cs="Arial"/>
          <w:sz w:val="24"/>
          <w:szCs w:val="24"/>
        </w:rPr>
        <w:id w:val="-573587230"/>
        <w:bibliography/>
      </w:sdtPr>
      <w:sdtEndPr/>
      <w:sdtContent>
        <w:p w14:paraId="2E303F48" w14:textId="1F4497F2" w:rsidR="00E45F34" w:rsidRPr="001148FA" w:rsidRDefault="00E45F34" w:rsidP="001148FA">
          <w:pPr>
            <w:spacing w:line="360" w:lineRule="auto"/>
            <w:jc w:val="both"/>
            <w:rPr>
              <w:rFonts w:ascii="Arial" w:hAnsi="Arial" w:cs="Arial"/>
            </w:rPr>
          </w:pPr>
        </w:p>
        <w:p w14:paraId="78E93A7D" w14:textId="24520E9D" w:rsidR="00A76745" w:rsidRPr="001148FA" w:rsidRDefault="00AB1A99" w:rsidP="001148FA">
          <w:pPr>
            <w:spacing w:line="360" w:lineRule="auto"/>
            <w:jc w:val="both"/>
            <w:rPr>
              <w:rFonts w:ascii="Arial" w:hAnsi="Arial" w:cs="Arial"/>
              <w:sz w:val="24"/>
              <w:szCs w:val="24"/>
            </w:rPr>
          </w:pPr>
        </w:p>
      </w:sdtContent>
    </w:sdt>
    <w:p w14:paraId="78D743F3" w14:textId="77777777" w:rsidR="00A76745" w:rsidRPr="001148FA" w:rsidRDefault="00A76745" w:rsidP="001148FA">
      <w:pPr>
        <w:spacing w:line="360" w:lineRule="auto"/>
        <w:jc w:val="both"/>
        <w:rPr>
          <w:rFonts w:ascii="Arial" w:hAnsi="Arial" w:cs="Arial"/>
          <w:sz w:val="24"/>
          <w:szCs w:val="24"/>
        </w:rPr>
      </w:pPr>
    </w:p>
    <w:sectPr w:rsidR="00A76745" w:rsidRPr="001148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7C7"/>
    <w:rsid w:val="00034709"/>
    <w:rsid w:val="00046857"/>
    <w:rsid w:val="000C08B1"/>
    <w:rsid w:val="001148FA"/>
    <w:rsid w:val="0013318D"/>
    <w:rsid w:val="00144064"/>
    <w:rsid w:val="001D4AEA"/>
    <w:rsid w:val="001E35C9"/>
    <w:rsid w:val="001E5D7A"/>
    <w:rsid w:val="001F3381"/>
    <w:rsid w:val="00247D9B"/>
    <w:rsid w:val="00273B32"/>
    <w:rsid w:val="003147C7"/>
    <w:rsid w:val="0034421B"/>
    <w:rsid w:val="003A3C8E"/>
    <w:rsid w:val="00442A32"/>
    <w:rsid w:val="0046044C"/>
    <w:rsid w:val="00486652"/>
    <w:rsid w:val="00542813"/>
    <w:rsid w:val="0056196E"/>
    <w:rsid w:val="006D5293"/>
    <w:rsid w:val="006E0DEC"/>
    <w:rsid w:val="00776057"/>
    <w:rsid w:val="007B739A"/>
    <w:rsid w:val="00855F05"/>
    <w:rsid w:val="008B329B"/>
    <w:rsid w:val="008C0450"/>
    <w:rsid w:val="00952A92"/>
    <w:rsid w:val="00A57C3B"/>
    <w:rsid w:val="00A76745"/>
    <w:rsid w:val="00A9255A"/>
    <w:rsid w:val="00AB1A99"/>
    <w:rsid w:val="00AB3165"/>
    <w:rsid w:val="00B60A93"/>
    <w:rsid w:val="00B80BC3"/>
    <w:rsid w:val="00D42A5F"/>
    <w:rsid w:val="00D451A8"/>
    <w:rsid w:val="00D73E17"/>
    <w:rsid w:val="00D74E49"/>
    <w:rsid w:val="00DE086B"/>
    <w:rsid w:val="00E20417"/>
    <w:rsid w:val="00E356D2"/>
    <w:rsid w:val="00E45F34"/>
    <w:rsid w:val="00EB2877"/>
    <w:rsid w:val="00F851E4"/>
    <w:rsid w:val="00FB17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81148"/>
  <w15:chartTrackingRefBased/>
  <w15:docId w15:val="{28F17B39-5CEB-412A-9EF4-0D1FCDE46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47C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147C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147C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147C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147C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147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47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47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47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47C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147C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147C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147C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147C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147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47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47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47C7"/>
    <w:rPr>
      <w:rFonts w:eastAsiaTheme="majorEastAsia" w:cstheme="majorBidi"/>
      <w:color w:val="272727" w:themeColor="text1" w:themeTint="D8"/>
    </w:rPr>
  </w:style>
  <w:style w:type="paragraph" w:styleId="Title">
    <w:name w:val="Title"/>
    <w:basedOn w:val="Normal"/>
    <w:next w:val="Normal"/>
    <w:link w:val="TitleChar"/>
    <w:uiPriority w:val="10"/>
    <w:qFormat/>
    <w:rsid w:val="003147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47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47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47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47C7"/>
    <w:pPr>
      <w:spacing w:before="160"/>
      <w:jc w:val="center"/>
    </w:pPr>
    <w:rPr>
      <w:i/>
      <w:iCs/>
      <w:color w:val="404040" w:themeColor="text1" w:themeTint="BF"/>
    </w:rPr>
  </w:style>
  <w:style w:type="character" w:customStyle="1" w:styleId="QuoteChar">
    <w:name w:val="Quote Char"/>
    <w:basedOn w:val="DefaultParagraphFont"/>
    <w:link w:val="Quote"/>
    <w:uiPriority w:val="29"/>
    <w:rsid w:val="003147C7"/>
    <w:rPr>
      <w:i/>
      <w:iCs/>
      <w:color w:val="404040" w:themeColor="text1" w:themeTint="BF"/>
    </w:rPr>
  </w:style>
  <w:style w:type="paragraph" w:styleId="ListParagraph">
    <w:name w:val="List Paragraph"/>
    <w:basedOn w:val="Normal"/>
    <w:uiPriority w:val="34"/>
    <w:qFormat/>
    <w:rsid w:val="003147C7"/>
    <w:pPr>
      <w:ind w:left="720"/>
      <w:contextualSpacing/>
    </w:pPr>
  </w:style>
  <w:style w:type="character" w:styleId="IntenseEmphasis">
    <w:name w:val="Intense Emphasis"/>
    <w:basedOn w:val="DefaultParagraphFont"/>
    <w:uiPriority w:val="21"/>
    <w:qFormat/>
    <w:rsid w:val="003147C7"/>
    <w:rPr>
      <w:i/>
      <w:iCs/>
      <w:color w:val="2F5496" w:themeColor="accent1" w:themeShade="BF"/>
    </w:rPr>
  </w:style>
  <w:style w:type="paragraph" w:styleId="IntenseQuote">
    <w:name w:val="Intense Quote"/>
    <w:basedOn w:val="Normal"/>
    <w:next w:val="Normal"/>
    <w:link w:val="IntenseQuoteChar"/>
    <w:uiPriority w:val="30"/>
    <w:qFormat/>
    <w:rsid w:val="003147C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147C7"/>
    <w:rPr>
      <w:i/>
      <w:iCs/>
      <w:color w:val="2F5496" w:themeColor="accent1" w:themeShade="BF"/>
    </w:rPr>
  </w:style>
  <w:style w:type="character" w:styleId="IntenseReference">
    <w:name w:val="Intense Reference"/>
    <w:basedOn w:val="DefaultParagraphFont"/>
    <w:uiPriority w:val="32"/>
    <w:qFormat/>
    <w:rsid w:val="003147C7"/>
    <w:rPr>
      <w:b/>
      <w:bCs/>
      <w:smallCaps/>
      <w:color w:val="2F5496" w:themeColor="accent1" w:themeShade="BF"/>
      <w:spacing w:val="5"/>
    </w:rPr>
  </w:style>
  <w:style w:type="character" w:styleId="Hyperlink">
    <w:name w:val="Hyperlink"/>
    <w:basedOn w:val="DefaultParagraphFont"/>
    <w:uiPriority w:val="99"/>
    <w:unhideWhenUsed/>
    <w:rsid w:val="006E0DEC"/>
    <w:rPr>
      <w:color w:val="0563C1" w:themeColor="hyperlink"/>
      <w:u w:val="single"/>
    </w:rPr>
  </w:style>
  <w:style w:type="character" w:styleId="UnresolvedMention">
    <w:name w:val="Unresolved Mention"/>
    <w:basedOn w:val="DefaultParagraphFont"/>
    <w:uiPriority w:val="99"/>
    <w:semiHidden/>
    <w:unhideWhenUsed/>
    <w:rsid w:val="006E0DEC"/>
    <w:rPr>
      <w:color w:val="605E5C"/>
      <w:shd w:val="clear" w:color="auto" w:fill="E1DFDD"/>
    </w:rPr>
  </w:style>
  <w:style w:type="character" w:styleId="FollowedHyperlink">
    <w:name w:val="FollowedHyperlink"/>
    <w:basedOn w:val="DefaultParagraphFont"/>
    <w:uiPriority w:val="99"/>
    <w:semiHidden/>
    <w:unhideWhenUsed/>
    <w:rsid w:val="00D451A8"/>
    <w:rPr>
      <w:color w:val="954F72" w:themeColor="followedHyperlink"/>
      <w:u w:val="single"/>
    </w:rPr>
  </w:style>
  <w:style w:type="paragraph" w:styleId="Bibliography">
    <w:name w:val="Bibliography"/>
    <w:basedOn w:val="Normal"/>
    <w:next w:val="Normal"/>
    <w:uiPriority w:val="37"/>
    <w:unhideWhenUsed/>
    <w:rsid w:val="00F851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032389">
      <w:bodyDiv w:val="1"/>
      <w:marLeft w:val="0"/>
      <w:marRight w:val="0"/>
      <w:marTop w:val="0"/>
      <w:marBottom w:val="0"/>
      <w:divBdr>
        <w:top w:val="none" w:sz="0" w:space="0" w:color="auto"/>
        <w:left w:val="none" w:sz="0" w:space="0" w:color="auto"/>
        <w:bottom w:val="none" w:sz="0" w:space="0" w:color="auto"/>
        <w:right w:val="none" w:sz="0" w:space="0" w:color="auto"/>
      </w:divBdr>
    </w:div>
    <w:div w:id="291713897">
      <w:bodyDiv w:val="1"/>
      <w:marLeft w:val="0"/>
      <w:marRight w:val="0"/>
      <w:marTop w:val="0"/>
      <w:marBottom w:val="0"/>
      <w:divBdr>
        <w:top w:val="none" w:sz="0" w:space="0" w:color="auto"/>
        <w:left w:val="none" w:sz="0" w:space="0" w:color="auto"/>
        <w:bottom w:val="none" w:sz="0" w:space="0" w:color="auto"/>
        <w:right w:val="none" w:sz="0" w:space="0" w:color="auto"/>
      </w:divBdr>
    </w:div>
    <w:div w:id="357856936">
      <w:bodyDiv w:val="1"/>
      <w:marLeft w:val="0"/>
      <w:marRight w:val="0"/>
      <w:marTop w:val="0"/>
      <w:marBottom w:val="0"/>
      <w:divBdr>
        <w:top w:val="none" w:sz="0" w:space="0" w:color="auto"/>
        <w:left w:val="none" w:sz="0" w:space="0" w:color="auto"/>
        <w:bottom w:val="none" w:sz="0" w:space="0" w:color="auto"/>
        <w:right w:val="none" w:sz="0" w:space="0" w:color="auto"/>
      </w:divBdr>
    </w:div>
    <w:div w:id="419446612">
      <w:bodyDiv w:val="1"/>
      <w:marLeft w:val="0"/>
      <w:marRight w:val="0"/>
      <w:marTop w:val="0"/>
      <w:marBottom w:val="0"/>
      <w:divBdr>
        <w:top w:val="none" w:sz="0" w:space="0" w:color="auto"/>
        <w:left w:val="none" w:sz="0" w:space="0" w:color="auto"/>
        <w:bottom w:val="none" w:sz="0" w:space="0" w:color="auto"/>
        <w:right w:val="none" w:sz="0" w:space="0" w:color="auto"/>
      </w:divBdr>
    </w:div>
    <w:div w:id="521163279">
      <w:bodyDiv w:val="1"/>
      <w:marLeft w:val="0"/>
      <w:marRight w:val="0"/>
      <w:marTop w:val="0"/>
      <w:marBottom w:val="0"/>
      <w:divBdr>
        <w:top w:val="none" w:sz="0" w:space="0" w:color="auto"/>
        <w:left w:val="none" w:sz="0" w:space="0" w:color="auto"/>
        <w:bottom w:val="none" w:sz="0" w:space="0" w:color="auto"/>
        <w:right w:val="none" w:sz="0" w:space="0" w:color="auto"/>
      </w:divBdr>
    </w:div>
    <w:div w:id="560291487">
      <w:bodyDiv w:val="1"/>
      <w:marLeft w:val="0"/>
      <w:marRight w:val="0"/>
      <w:marTop w:val="0"/>
      <w:marBottom w:val="0"/>
      <w:divBdr>
        <w:top w:val="none" w:sz="0" w:space="0" w:color="auto"/>
        <w:left w:val="none" w:sz="0" w:space="0" w:color="auto"/>
        <w:bottom w:val="none" w:sz="0" w:space="0" w:color="auto"/>
        <w:right w:val="none" w:sz="0" w:space="0" w:color="auto"/>
      </w:divBdr>
    </w:div>
    <w:div w:id="578366847">
      <w:bodyDiv w:val="1"/>
      <w:marLeft w:val="0"/>
      <w:marRight w:val="0"/>
      <w:marTop w:val="0"/>
      <w:marBottom w:val="0"/>
      <w:divBdr>
        <w:top w:val="none" w:sz="0" w:space="0" w:color="auto"/>
        <w:left w:val="none" w:sz="0" w:space="0" w:color="auto"/>
        <w:bottom w:val="none" w:sz="0" w:space="0" w:color="auto"/>
        <w:right w:val="none" w:sz="0" w:space="0" w:color="auto"/>
      </w:divBdr>
    </w:div>
    <w:div w:id="834957861">
      <w:bodyDiv w:val="1"/>
      <w:marLeft w:val="0"/>
      <w:marRight w:val="0"/>
      <w:marTop w:val="0"/>
      <w:marBottom w:val="0"/>
      <w:divBdr>
        <w:top w:val="none" w:sz="0" w:space="0" w:color="auto"/>
        <w:left w:val="none" w:sz="0" w:space="0" w:color="auto"/>
        <w:bottom w:val="none" w:sz="0" w:space="0" w:color="auto"/>
        <w:right w:val="none" w:sz="0" w:space="0" w:color="auto"/>
      </w:divBdr>
    </w:div>
    <w:div w:id="974994308">
      <w:bodyDiv w:val="1"/>
      <w:marLeft w:val="0"/>
      <w:marRight w:val="0"/>
      <w:marTop w:val="0"/>
      <w:marBottom w:val="0"/>
      <w:divBdr>
        <w:top w:val="none" w:sz="0" w:space="0" w:color="auto"/>
        <w:left w:val="none" w:sz="0" w:space="0" w:color="auto"/>
        <w:bottom w:val="none" w:sz="0" w:space="0" w:color="auto"/>
        <w:right w:val="none" w:sz="0" w:space="0" w:color="auto"/>
      </w:divBdr>
    </w:div>
    <w:div w:id="1076050097">
      <w:bodyDiv w:val="1"/>
      <w:marLeft w:val="0"/>
      <w:marRight w:val="0"/>
      <w:marTop w:val="0"/>
      <w:marBottom w:val="0"/>
      <w:divBdr>
        <w:top w:val="none" w:sz="0" w:space="0" w:color="auto"/>
        <w:left w:val="none" w:sz="0" w:space="0" w:color="auto"/>
        <w:bottom w:val="none" w:sz="0" w:space="0" w:color="auto"/>
        <w:right w:val="none" w:sz="0" w:space="0" w:color="auto"/>
      </w:divBdr>
    </w:div>
    <w:div w:id="1265307804">
      <w:bodyDiv w:val="1"/>
      <w:marLeft w:val="0"/>
      <w:marRight w:val="0"/>
      <w:marTop w:val="0"/>
      <w:marBottom w:val="0"/>
      <w:divBdr>
        <w:top w:val="none" w:sz="0" w:space="0" w:color="auto"/>
        <w:left w:val="none" w:sz="0" w:space="0" w:color="auto"/>
        <w:bottom w:val="none" w:sz="0" w:space="0" w:color="auto"/>
        <w:right w:val="none" w:sz="0" w:space="0" w:color="auto"/>
      </w:divBdr>
    </w:div>
    <w:div w:id="1284120398">
      <w:bodyDiv w:val="1"/>
      <w:marLeft w:val="0"/>
      <w:marRight w:val="0"/>
      <w:marTop w:val="0"/>
      <w:marBottom w:val="0"/>
      <w:divBdr>
        <w:top w:val="none" w:sz="0" w:space="0" w:color="auto"/>
        <w:left w:val="none" w:sz="0" w:space="0" w:color="auto"/>
        <w:bottom w:val="none" w:sz="0" w:space="0" w:color="auto"/>
        <w:right w:val="none" w:sz="0" w:space="0" w:color="auto"/>
      </w:divBdr>
    </w:div>
    <w:div w:id="1609435403">
      <w:bodyDiv w:val="1"/>
      <w:marLeft w:val="0"/>
      <w:marRight w:val="0"/>
      <w:marTop w:val="0"/>
      <w:marBottom w:val="0"/>
      <w:divBdr>
        <w:top w:val="none" w:sz="0" w:space="0" w:color="auto"/>
        <w:left w:val="none" w:sz="0" w:space="0" w:color="auto"/>
        <w:bottom w:val="none" w:sz="0" w:space="0" w:color="auto"/>
        <w:right w:val="none" w:sz="0" w:space="0" w:color="auto"/>
      </w:divBdr>
    </w:div>
    <w:div w:id="1619213366">
      <w:bodyDiv w:val="1"/>
      <w:marLeft w:val="0"/>
      <w:marRight w:val="0"/>
      <w:marTop w:val="0"/>
      <w:marBottom w:val="0"/>
      <w:divBdr>
        <w:top w:val="none" w:sz="0" w:space="0" w:color="auto"/>
        <w:left w:val="none" w:sz="0" w:space="0" w:color="auto"/>
        <w:bottom w:val="none" w:sz="0" w:space="0" w:color="auto"/>
        <w:right w:val="none" w:sz="0" w:space="0" w:color="auto"/>
      </w:divBdr>
    </w:div>
    <w:div w:id="210071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Gib88</b:Tag>
    <b:SourceType>Book</b:SourceType>
    <b:Guid>{3A8A2CA5-80BC-4AD0-8AB8-C4B29DA5867F}</b:Guid>
    <b:Title>Learning by Doing: A guide to teaching and learning methods</b:Title>
    <b:Year>1988</b:Year>
    <b:City>Oxford</b:City>
    <b:Publisher>Further Education Unit, Oxford Polytechnic</b:Publisher>
    <b:Author>
      <b:Author>
        <b:NameList>
          <b:Person>
            <b:Last>Gibbs</b:Last>
            <b:First>G</b:First>
          </b:Person>
        </b:NameList>
      </b:Author>
    </b:Author>
    <b:RefOrder>5</b:RefOrder>
  </b:Source>
  <b:Source>
    <b:Tag>Van</b:Tag>
    <b:SourceType>Book</b:SourceType>
    <b:Guid>{CC090BDB-9984-421C-B99D-B933AB15BEA1}</b:Guid>
    <b:Title>The body keeps the score: brain, mind, and body in the healing of trauma</b:Title>
    <b:City>New York</b:City>
    <b:Publisher>Viking</b:Publisher>
    <b:Author>
      <b:Author>
        <b:NameList>
          <b:Person>
            <b:Last>Van Der Kolk</b:Last>
            <b:First>Bessel</b:First>
          </b:Person>
        </b:NameList>
      </b:Author>
    </b:Author>
    <b:Year>2014</b:Year>
    <b:RefOrder>4</b:RefOrder>
  </b:Source>
  <b:Source>
    <b:Tag>Gol24</b:Tag>
    <b:SourceType>JournalArticle</b:SourceType>
    <b:Guid>{0082E59C-71FE-422E-AC06-7FDF916D2E40}</b:Guid>
    <b:Title>Effectiveness of Trauma-Informed Care Implementation in Health Care Settings: Systematic Review of Reviews and Realist Synthesis</b:Title>
    <b:Year>2024</b:Year>
    <b:JournalName>The Permanente Journal</b:JournalName>
    <b:Pages>135-150</b:Pages>
    <b:Volume>28</b:Volume>
    <b:Issue>1</b:Issue>
    <b:Author>
      <b:Author>
        <b:NameList>
          <b:Person>
            <b:Last>Goldstein</b:Last>
            <b:First>Ellen</b:First>
          </b:Person>
          <b:Person>
            <b:Last>Chokshi</b:Last>
            <b:First>Binny</b:First>
          </b:Person>
          <b:Person>
            <b:Last>Melendez-Torres</b:Last>
            <b:First>G</b:First>
          </b:Person>
          <b:Person>
            <b:Last>Rios</b:Last>
            <b:First>Anna</b:First>
          </b:Person>
          <b:Person>
            <b:Last>Jelley</b:Last>
            <b:First>Martina</b:First>
          </b:Person>
          <b:Person>
            <b:Last>Lewis-O'Connor</b:Last>
            <b:First>Annie</b:First>
          </b:Person>
        </b:NameList>
      </b:Author>
    </b:Author>
    <b:RefOrder>6</b:RefOrder>
  </b:Source>
  <b:Source>
    <b:Tag>Hai18</b:Tag>
    <b:SourceType>JournalArticle</b:SourceType>
    <b:Guid>{9A464418-8DBA-4CA4-BF97-79DB334522B2}</b:Guid>
    <b:Title>Multidisciplinary team functioning and decision making within forensic mental health</b:Title>
    <b:JournalName>Mental Health Review Journal</b:JournalName>
    <b:Year>2018</b:Year>
    <b:Pages>185-196</b:Pages>
    <b:Volume>23</b:Volume>
    <b:Issue>3</b:Issue>
    <b:Author>
      <b:Author>
        <b:NameList>
          <b:Person>
            <b:Last>Haines</b:Last>
            <b:First>Alina</b:First>
          </b:Person>
          <b:Person>
            <b:Last>Perkins</b:Last>
            <b:First>Elizabeth</b:First>
          </b:Person>
          <b:Person>
            <b:Last>Evans</b:Last>
            <b:First>Elizabeth</b:First>
          </b:Person>
          <b:Person>
            <b:Last>McCabe</b:Last>
            <b:First>Rhiannah</b:First>
          </b:Person>
        </b:NameList>
      </b:Author>
    </b:Author>
    <b:RefOrder>7</b:RefOrder>
  </b:Source>
  <b:Source>
    <b:Tag>Bro79</b:Tag>
    <b:SourceType>Book</b:SourceType>
    <b:Guid>{85C4138B-B682-4854-912C-D185E52F3894}</b:Guid>
    <b:Title>The Ecology of Human Development</b:Title>
    <b:Year>1979</b:Year>
    <b:City>Cambridge, MA</b:City>
    <b:Publisher>Harvard University Press</b:Publisher>
    <b:Author>
      <b:Author>
        <b:NameList>
          <b:Person>
            <b:Last>Bronfenbrenner</b:Last>
            <b:First>U</b:First>
          </b:Person>
        </b:NameList>
      </b:Author>
    </b:Author>
    <b:RefOrder>8</b:RefOrder>
  </b:Source>
  <b:Source>
    <b:Tag>Woo15</b:Tag>
    <b:SourceType>JournalArticle</b:SourceType>
    <b:Guid>{6382E37D-15C1-4894-8236-39DAC32A0A51}</b:Guid>
    <b:Title>Military Social Work: Opportunities and Challenges for Social Work Education</b:Title>
    <b:Year>2015</b:Year>
    <b:JournalName>National Library of Medicine</b:JournalName>
    <b:Pages>6-25</b:Pages>
    <b:Volume>51</b:Volume>
    <b:Issue>1</b:Issue>
    <b:Author>
      <b:Author>
        <b:NameList>
          <b:Person>
            <b:Last>Wooten</b:Last>
            <b:First>Nikki</b:First>
          </b:Person>
        </b:NameList>
      </b:Author>
    </b:Author>
    <b:YearAccessed>2026</b:YearAccessed>
    <b:MonthAccessed>Feb</b:MonthAccessed>
    <b:DayAccessed>12</b:DayAccessed>
    <b:URL>https://pmc.ncbi.nlm.nih.gov/articles/PMC4469218/</b:URL>
    <b:RefOrder>1</b:RefOrder>
  </b:Source>
  <b:Source>
    <b:Tag>Soc25</b:Tag>
    <b:SourceType>InternetSite</b:SourceType>
    <b:Guid>{C943D80B-81F6-44F2-B7D1-10660C220548}</b:Guid>
    <b:Author>
      <b:Author>
        <b:Corporate>Social Care Wales</b:Corporate>
      </b:Author>
    </b:Author>
    <b:Title>Overview, Social Services and Well-being (Wales) Act 2014</b:Title>
    <b:Year>2025</b:Year>
    <b:Month>September</b:Month>
    <b:Day>16</b:Day>
    <b:YearAccessed>2026</b:YearAccessed>
    <b:MonthAccessed>Feb</b:MonthAccessed>
    <b:DayAccessed>12</b:DayAccessed>
    <b:URL>https://socialcare.wales/resources-guidance/information-and-learning-hub/sswbact/overview</b:URL>
    <b:InternetSiteTitle>Social Care Wales</b:InternetSiteTitle>
    <b:RefOrder>2</b:RefOrder>
  </b:Source>
  <b:Source>
    <b:Tag>Dom02</b:Tag>
    <b:SourceType>Book</b:SourceType>
    <b:Guid>{9D4A94DB-4327-47FD-A702-A8736DEA68BD}</b:Guid>
    <b:Title>Anti-Oppressive Social Work Theory and Practice</b:Title>
    <b:Year>2002</b:Year>
    <b:City>Basingstoke</b:City>
    <b:Publisher>Palgrave MacMillan</b:Publisher>
    <b:Author>
      <b:Author>
        <b:NameList>
          <b:Person>
            <b:Last>Dominelli</b:Last>
            <b:First>Lena</b:First>
          </b:Person>
        </b:NameList>
      </b:Author>
    </b:Author>
    <b:RefOrder>3</b:RefOrder>
  </b:Source>
  <b:Source>
    <b:Tag>Aft24</b:Tag>
    <b:SourceType>Book</b:SourceType>
    <b:Guid>{8092A7AB-8564-4C8C-BB22-AC7363CBE36A}</b:Guid>
    <b:Title>Conversations in #Critical Psychiatry</b:Title>
    <b:Year>2024</b:Year>
    <b:City>Oxford</b:City>
    <b:Publisher>Oxford Academic</b:Publisher>
    <b:Author>
      <b:Author>
        <b:NameList>
          <b:Person>
            <b:Last>Aftab</b:Last>
            <b:First>Awais</b:First>
          </b:Person>
        </b:NameList>
      </b:Author>
    </b:Author>
    <b:RefOrder>1</b:RefOrder>
  </b:Source>
  <b:Source>
    <b:Tag>Car24</b:Tag>
    <b:SourceType>InternetSite</b:SourceType>
    <b:Guid>{010CD8B2-87D6-4374-B815-16E04580E1F0}</b:Guid>
    <b:Title>Compare and Contrast the Medical Model and Social Model of Health</b:Title>
    <b:Year>2024</b:Year>
    <b:Author>
      <b:Author>
        <b:Corporate>Care Learning</b:Corporate>
      </b:Author>
    </b:Author>
    <b:YearAccessed>2025</b:YearAccessed>
    <b:MonthAccessed>March</b:MonthAccessed>
    <b:DayAccessed>23</b:DayAccessed>
    <b:URL>https://carelearning.org.uk/qualifications/level-3-extended-hsc/hsc-dmo12/1-2-compare-and-contrast-the-medical-model-and-social-model-of-health/?form=MG0AV3</b:URL>
    <b:RefOrder>2</b:RefOrder>
  </b:Source>
  <b:Source>
    <b:Tag>Wal17</b:Tag>
    <b:SourceType>Report</b:SourceType>
    <b:Guid>{D661312B-99E2-4EFF-9E23-28941B1FAA53}</b:Guid>
    <b:Author>
      <b:Author>
        <b:NameList>
          <b:Person>
            <b:Last>Social Care Wales</b:Last>
          </b:Person>
        </b:NameList>
      </b:Author>
    </b:Author>
    <b:Title>Code of professional practice for social care</b:Title>
    <b:Year>2017</b:Year>
    <b:Publisher>Social Care Wales</b:Publisher>
    <b:City>Cardiff</b:City>
    <b:RefOrder>3</b:RefOrder>
  </b:Source>
  <b:Source>
    <b:Tag>Fin25</b:Tag>
    <b:SourceType>JournalArticle</b:SourceType>
    <b:Guid>{D12A7F3F-D289-4389-967E-D604F73560A2}</b:Guid>
    <b:Title>The Implications of Motivational Barriers to Care in Mental Health Contexts</b:Title>
    <b:JournalName>AJOB Neuroscience</b:JournalName>
    <b:Year>2025</b:Year>
    <b:Pages>186-189</b:Pages>
    <b:Volume>16</b:Volume>
    <b:Issue>3</b:Issue>
    <b:Author>
      <b:Author>
        <b:NameList>
          <b:Person>
            <b:Last>Fine</b:Last>
            <b:First>Lia</b:First>
          </b:Person>
        </b:NameList>
      </b:Author>
    </b:Author>
    <b:RefOrder>4</b:RefOrder>
  </b:Source>
  <b:Source>
    <b:Tag>Ray08</b:Tag>
    <b:SourceType>Book</b:SourceType>
    <b:Guid>{DF344DD6-2E81-43ED-B99E-5F2937792C63}</b:Guid>
    <b:Title>Mental Health and Social Work</b:Title>
    <b:Year>2008</b:Year>
    <b:City>London</b:City>
    <b:Publisher>Social Care Institute for Excellence</b:Publisher>
    <b:Author>
      <b:Author>
        <b:NameList>
          <b:Person>
            <b:Last>Ray</b:Last>
            <b:First>Mo</b:First>
          </b:Person>
          <b:Person>
            <b:Last>Pugh</b:Last>
            <b:First>Richard</b:First>
          </b:Person>
          <b:Person>
            <b:Last>Roberts</b:Last>
            <b:First>Diane</b:First>
          </b:Person>
          <b:Person>
            <b:Last>Beech</b:Last>
            <b:First>Bernard</b:First>
          </b:Person>
        </b:NameList>
      </b:Author>
    </b:Author>
    <b:RefOrder>5</b:RefOrder>
  </b:Source>
  <b:Source>
    <b:Tag>Bri23</b:Tag>
    <b:SourceType>InternetSite</b:SourceType>
    <b:Guid>{8F38B962-6558-4CB9-B5D5-2DB9C98EB686}</b:Guid>
    <b:Title>Trauma-informed approaches</b:Title>
    <b:Year>2023</b:Year>
    <b:Author>
      <b:Author>
        <b:NameList>
          <b:Person>
            <b:Last>Bright</b:Last>
            <b:First>Cordis</b:First>
          </b:Person>
          <b:Person>
            <b:Last>Collins-Taylor</b:Last>
            <b:First>Emma</b:First>
          </b:Person>
        </b:NameList>
      </b:Author>
    </b:Author>
    <b:YearAccessed>2026</b:YearAccessed>
    <b:MonthAccessed>January</b:MonthAccessed>
    <b:DayAccessed>20</b:DayAccessed>
    <b:URL>https://insightcollective.socialcare.wales/evidence-summaries/trauma-informed-approaches</b:URL>
    <b:RefOrder>6</b:RefOrder>
  </b:Source>
</b:Sources>
</file>

<file path=customXml/itemProps1.xml><?xml version="1.0" encoding="utf-8"?>
<ds:datastoreItem xmlns:ds="http://schemas.openxmlformats.org/officeDocument/2006/customXml" ds:itemID="{620DB5BB-B5B3-497C-9BF1-6E58BDB16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1674</Words>
  <Characters>9560</Characters>
  <Application>Microsoft Office Word</Application>
  <DocSecurity>0</DocSecurity>
  <Lines>154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Pretsell, Alan C2 (UKStratCom-DMS-DPHC-WRE-MHSW)</dc:creator>
  <cp:keywords/>
  <dc:description/>
  <cp:lastModifiedBy>Pretsell, Alan C2 (UKStratCom-DMS-DPHC-WRE-MHSW)</cp:lastModifiedBy>
  <cp:revision>3</cp:revision>
  <dcterms:created xsi:type="dcterms:W3CDTF">2026-02-19T13:27:00Z</dcterms:created>
  <dcterms:modified xsi:type="dcterms:W3CDTF">2026-02-19T13:27:00Z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8a60473-494b-4586-a1bb-b0e663054676_Enabled">
    <vt:lpwstr>true</vt:lpwstr>
  </property>
  <property fmtid="{D5CDD505-2E9C-101B-9397-08002B2CF9AE}" pid="3" name="MSIP_Label_d8a60473-494b-4586-a1bb-b0e663054676_SetDate">
    <vt:lpwstr>2026-02-08T12:35:16Z</vt:lpwstr>
  </property>
  <property fmtid="{D5CDD505-2E9C-101B-9397-08002B2CF9AE}" pid="4" name="MSIP_Label_d8a60473-494b-4586-a1bb-b0e663054676_Method">
    <vt:lpwstr>Privileged</vt:lpwstr>
  </property>
  <property fmtid="{D5CDD505-2E9C-101B-9397-08002B2CF9AE}" pid="5" name="MSIP_Label_d8a60473-494b-4586-a1bb-b0e663054676_Name">
    <vt:lpwstr>MOD-1-O-‘UNMARKED’</vt:lpwstr>
  </property>
  <property fmtid="{D5CDD505-2E9C-101B-9397-08002B2CF9AE}" pid="6" name="MSIP_Label_d8a60473-494b-4586-a1bb-b0e663054676_SiteId">
    <vt:lpwstr>be7760ed-5953-484b-ae95-d0a16dfa09e5</vt:lpwstr>
  </property>
  <property fmtid="{D5CDD505-2E9C-101B-9397-08002B2CF9AE}" pid="7" name="MSIP_Label_d8a60473-494b-4586-a1bb-b0e663054676_ActionId">
    <vt:lpwstr>3b7256c6-ca58-4f8d-b255-5f717b519417</vt:lpwstr>
  </property>
  <property fmtid="{D5CDD505-2E9C-101B-9397-08002B2CF9AE}" pid="8" name="MSIP_Label_d8a60473-494b-4586-a1bb-b0e663054676_ContentBits">
    <vt:lpwstr>0</vt:lpwstr>
  </property>
  <property fmtid="{D5CDD505-2E9C-101B-9397-08002B2CF9AE}" pid="9" name="MSIP_Label_d8a60473-494b-4586-a1bb-b0e663054676_Tag">
    <vt:lpwstr>10, 0, 1, 1</vt:lpwstr>
  </property>
</Properties>
</file>