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3CF7A" w14:textId="6F4E4FC0" w:rsidR="005E1B15" w:rsidRPr="005E1B15" w:rsidRDefault="005E1B15" w:rsidP="005E1B15">
      <w:pPr>
        <w:jc w:val="center"/>
        <w:rPr>
          <w:lang w:val="en-US"/>
        </w:rPr>
      </w:pPr>
      <w:r w:rsidRPr="005E1B15">
        <w:rPr>
          <w:noProof/>
          <w:lang w:val="en-US"/>
        </w:rPr>
        <w:drawing>
          <wp:inline distT="0" distB="0" distL="0" distR="0" wp14:anchorId="0DEF3859" wp14:editId="71A2B327">
            <wp:extent cx="3383280" cy="1356360"/>
            <wp:effectExtent l="0" t="0" r="7620" b="0"/>
            <wp:docPr id="490152052"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9BB3BAF" w14:textId="77777777" w:rsidR="005E1B15" w:rsidRPr="005E1B15" w:rsidRDefault="005E1B15" w:rsidP="005E1B15">
      <w:pPr>
        <w:jc w:val="center"/>
        <w:rPr>
          <w:lang w:val="en-US"/>
        </w:rPr>
      </w:pPr>
    </w:p>
    <w:p w14:paraId="0EED838A" w14:textId="31A5F511" w:rsidR="005E1B15" w:rsidRPr="005E1B15" w:rsidRDefault="005E1B15" w:rsidP="005E1B15">
      <w:pPr>
        <w:jc w:val="center"/>
        <w:rPr>
          <w:b/>
          <w:bCs/>
          <w:lang w:val="en-US"/>
        </w:rPr>
      </w:pPr>
      <w:r w:rsidRPr="005E1B15">
        <w:rPr>
          <w:b/>
          <w:bCs/>
          <w:lang w:val="en-US"/>
        </w:rPr>
        <w:t>Student Name:</w:t>
      </w:r>
      <w:r w:rsidR="001A31C5" w:rsidRPr="001A31C5">
        <w:t xml:space="preserve"> </w:t>
      </w:r>
      <w:r w:rsidR="001A31C5" w:rsidRPr="001A31C5">
        <w:rPr>
          <w:b/>
          <w:bCs/>
          <w:lang w:val="en-US"/>
        </w:rPr>
        <w:t>Neelkumar Dipakkumar Patel</w:t>
      </w:r>
    </w:p>
    <w:p w14:paraId="48DC0C3D" w14:textId="77777777" w:rsidR="005E1B15" w:rsidRPr="005E1B15" w:rsidRDefault="005E1B15" w:rsidP="005E1B15">
      <w:pPr>
        <w:jc w:val="center"/>
        <w:rPr>
          <w:b/>
          <w:bCs/>
          <w:lang w:val="en-US"/>
        </w:rPr>
      </w:pPr>
    </w:p>
    <w:p w14:paraId="558A4AB6" w14:textId="454A048C" w:rsidR="005E1B15" w:rsidRPr="005E1B15" w:rsidRDefault="005E1B15" w:rsidP="005E1B15">
      <w:pPr>
        <w:jc w:val="center"/>
        <w:rPr>
          <w:b/>
          <w:bCs/>
          <w:lang w:val="en-US"/>
        </w:rPr>
      </w:pPr>
      <w:r w:rsidRPr="005E1B15">
        <w:rPr>
          <w:b/>
          <w:bCs/>
          <w:lang w:val="en-US"/>
        </w:rPr>
        <w:t>Student ID:</w:t>
      </w:r>
      <w:r w:rsidR="001A31C5" w:rsidRPr="001A31C5">
        <w:t xml:space="preserve"> </w:t>
      </w:r>
      <w:r w:rsidR="001A31C5" w:rsidRPr="001A31C5">
        <w:rPr>
          <w:b/>
          <w:bCs/>
          <w:lang w:val="en-US"/>
        </w:rPr>
        <w:t>2530038</w:t>
      </w:r>
    </w:p>
    <w:p w14:paraId="35610BC6" w14:textId="77777777" w:rsidR="005E1B15" w:rsidRPr="005E1B15" w:rsidRDefault="005E1B15" w:rsidP="005E1B15">
      <w:pPr>
        <w:jc w:val="center"/>
        <w:rPr>
          <w:lang w:val="en-US"/>
        </w:rPr>
      </w:pPr>
    </w:p>
    <w:p w14:paraId="670D74BB" w14:textId="77777777" w:rsidR="005E1B15" w:rsidRPr="005E1B15" w:rsidRDefault="005E1B15" w:rsidP="005E1B15">
      <w:pPr>
        <w:jc w:val="center"/>
        <w:rPr>
          <w:b/>
          <w:bCs/>
          <w:lang w:val="en-US"/>
        </w:rPr>
      </w:pPr>
      <w:r w:rsidRPr="005E1B15">
        <w:rPr>
          <w:b/>
          <w:bCs/>
          <w:lang w:val="en-US"/>
        </w:rPr>
        <w:t>Module Name: International Marketing: Financial Management</w:t>
      </w:r>
    </w:p>
    <w:p w14:paraId="0A4426EB" w14:textId="77777777" w:rsidR="005E1B15" w:rsidRPr="005E1B15" w:rsidRDefault="005E1B15" w:rsidP="005E1B15">
      <w:pPr>
        <w:jc w:val="center"/>
        <w:rPr>
          <w:b/>
          <w:bCs/>
          <w:lang w:val="en-US"/>
        </w:rPr>
      </w:pPr>
    </w:p>
    <w:p w14:paraId="1B74EDB8" w14:textId="6BE452FA" w:rsidR="005E1B15" w:rsidRPr="005E1B15" w:rsidRDefault="005E1B15" w:rsidP="005E1B15">
      <w:pPr>
        <w:jc w:val="center"/>
        <w:rPr>
          <w:b/>
          <w:bCs/>
          <w:lang w:val="en-US"/>
        </w:rPr>
      </w:pPr>
      <w:r w:rsidRPr="005E1B15">
        <w:rPr>
          <w:b/>
          <w:bCs/>
          <w:lang w:val="en-US"/>
        </w:rPr>
        <w:t>Module Code: LCMB7002</w:t>
      </w:r>
    </w:p>
    <w:p w14:paraId="6FD05D25" w14:textId="77777777" w:rsidR="005E1B15" w:rsidRPr="005E1B15" w:rsidRDefault="005E1B15" w:rsidP="005E1B15">
      <w:pPr>
        <w:jc w:val="center"/>
        <w:rPr>
          <w:b/>
          <w:bCs/>
          <w:lang w:val="en-US"/>
        </w:rPr>
      </w:pPr>
    </w:p>
    <w:p w14:paraId="27924237" w14:textId="4EC6CD37" w:rsidR="005E1B15" w:rsidRPr="005E1B15" w:rsidRDefault="005E1B15" w:rsidP="005E1B15">
      <w:pPr>
        <w:jc w:val="center"/>
        <w:rPr>
          <w:b/>
          <w:bCs/>
          <w:lang w:val="en-US"/>
        </w:rPr>
      </w:pPr>
      <w:r w:rsidRPr="005E1B15">
        <w:rPr>
          <w:b/>
          <w:bCs/>
          <w:lang w:val="en-US"/>
        </w:rPr>
        <w:t>Lecturer’s Name:</w:t>
      </w:r>
      <w:r w:rsidR="001A31C5" w:rsidRPr="001A31C5">
        <w:t xml:space="preserve"> </w:t>
      </w:r>
      <w:r w:rsidR="001A31C5" w:rsidRPr="001A31C5">
        <w:rPr>
          <w:b/>
          <w:bCs/>
          <w:lang w:val="en-US"/>
        </w:rPr>
        <w:t>Shengfeng mei</w:t>
      </w:r>
    </w:p>
    <w:p w14:paraId="3102EF81" w14:textId="77777777" w:rsidR="005E1B15" w:rsidRPr="005E1B15" w:rsidRDefault="005E1B15" w:rsidP="005E1B15">
      <w:pPr>
        <w:jc w:val="center"/>
        <w:rPr>
          <w:b/>
          <w:bCs/>
          <w:lang w:val="en-US"/>
        </w:rPr>
      </w:pPr>
    </w:p>
    <w:p w14:paraId="58AAF231" w14:textId="77777777" w:rsidR="005E1B15" w:rsidRPr="005E1B15" w:rsidRDefault="005E1B15" w:rsidP="005E1B15">
      <w:pPr>
        <w:jc w:val="center"/>
        <w:rPr>
          <w:b/>
          <w:bCs/>
          <w:lang w:val="en-US"/>
        </w:rPr>
      </w:pPr>
    </w:p>
    <w:p w14:paraId="311A22D6" w14:textId="1EE8A080" w:rsidR="005E1B15" w:rsidRPr="005E1B15" w:rsidRDefault="005E1B15" w:rsidP="005E1B15">
      <w:pPr>
        <w:jc w:val="center"/>
        <w:rPr>
          <w:b/>
          <w:bCs/>
          <w:lang w:val="en-US"/>
        </w:rPr>
      </w:pPr>
      <w:r w:rsidRPr="005E1B15">
        <w:rPr>
          <w:b/>
          <w:bCs/>
          <w:lang w:val="en-US"/>
        </w:rPr>
        <w:t>Work Count: 5</w:t>
      </w:r>
      <w:r>
        <w:rPr>
          <w:b/>
          <w:bCs/>
          <w:lang w:val="en-US"/>
        </w:rPr>
        <w:t>027</w:t>
      </w:r>
    </w:p>
    <w:p w14:paraId="546E4BD8" w14:textId="50E7E0C5" w:rsidR="00BC07D3" w:rsidRPr="00CE2117" w:rsidRDefault="00BC07D3" w:rsidP="005E1B15"/>
    <w:p w14:paraId="51B022DE" w14:textId="77777777" w:rsidR="005E1B15" w:rsidRDefault="005E1B15">
      <w:pPr>
        <w:rPr>
          <w:b/>
          <w:bCs/>
          <w:sz w:val="28"/>
          <w:szCs w:val="28"/>
        </w:rPr>
      </w:pPr>
    </w:p>
    <w:p w14:paraId="5FA4AEF7" w14:textId="77777777" w:rsidR="005E1B15" w:rsidRDefault="005E1B15">
      <w:pPr>
        <w:spacing w:line="278" w:lineRule="auto"/>
        <w:jc w:val="left"/>
        <w:rPr>
          <w:b/>
          <w:bCs/>
          <w:sz w:val="28"/>
          <w:szCs w:val="28"/>
        </w:rPr>
      </w:pPr>
      <w:r>
        <w:rPr>
          <w:b/>
          <w:bCs/>
          <w:sz w:val="28"/>
          <w:szCs w:val="28"/>
        </w:rPr>
        <w:br w:type="page"/>
      </w:r>
    </w:p>
    <w:p w14:paraId="5C8158EC" w14:textId="4DF5677E" w:rsidR="00416FD6" w:rsidRPr="00CE2117" w:rsidRDefault="00416FD6" w:rsidP="005E1B15">
      <w:pPr>
        <w:spacing w:line="278" w:lineRule="auto"/>
        <w:jc w:val="left"/>
        <w:rPr>
          <w:b/>
          <w:bCs/>
          <w:sz w:val="28"/>
          <w:szCs w:val="28"/>
        </w:rPr>
      </w:pPr>
      <w:r w:rsidRPr="00CE2117">
        <w:rPr>
          <w:b/>
          <w:bCs/>
          <w:sz w:val="28"/>
          <w:szCs w:val="28"/>
        </w:rPr>
        <w:lastRenderedPageBreak/>
        <w:t>Table of Contents</w:t>
      </w:r>
    </w:p>
    <w:p w14:paraId="32908261" w14:textId="73B86E27" w:rsidR="007D6638" w:rsidRDefault="00C23A3D">
      <w:pPr>
        <w:pStyle w:val="TOC1"/>
        <w:tabs>
          <w:tab w:val="right" w:leader="dot" w:pos="9350"/>
        </w:tabs>
        <w:rPr>
          <w:rFonts w:asciiTheme="minorHAnsi" w:eastAsiaTheme="minorEastAsia" w:hAnsiTheme="minorHAnsi"/>
          <w:noProof/>
          <w:lang w:val="en-US" w:bidi="si-LK"/>
        </w:rPr>
      </w:pPr>
      <w:r w:rsidRPr="00CE2117">
        <w:rPr>
          <w:b/>
          <w:bCs/>
          <w:sz w:val="28"/>
          <w:szCs w:val="28"/>
        </w:rPr>
        <w:fldChar w:fldCharType="begin"/>
      </w:r>
      <w:r w:rsidRPr="00CE2117">
        <w:rPr>
          <w:b/>
          <w:bCs/>
          <w:sz w:val="28"/>
          <w:szCs w:val="28"/>
        </w:rPr>
        <w:instrText xml:space="preserve"> TOC \o "1-6" \h \z \u </w:instrText>
      </w:r>
      <w:r w:rsidRPr="00CE2117">
        <w:rPr>
          <w:b/>
          <w:bCs/>
          <w:sz w:val="28"/>
          <w:szCs w:val="28"/>
        </w:rPr>
        <w:fldChar w:fldCharType="separate"/>
      </w:r>
      <w:hyperlink w:anchor="_Toc227947962" w:history="1">
        <w:r w:rsidR="007D6638" w:rsidRPr="002B5A1C">
          <w:rPr>
            <w:rStyle w:val="Hyperlink"/>
            <w:noProof/>
          </w:rPr>
          <w:t>1. Financial Health Check</w:t>
        </w:r>
        <w:r w:rsidR="007D6638">
          <w:rPr>
            <w:noProof/>
            <w:webHidden/>
          </w:rPr>
          <w:tab/>
        </w:r>
        <w:r w:rsidR="007D6638">
          <w:rPr>
            <w:noProof/>
            <w:webHidden/>
          </w:rPr>
          <w:fldChar w:fldCharType="begin"/>
        </w:r>
        <w:r w:rsidR="007D6638">
          <w:rPr>
            <w:noProof/>
            <w:webHidden/>
          </w:rPr>
          <w:instrText xml:space="preserve"> PAGEREF _Toc227947962 \h </w:instrText>
        </w:r>
        <w:r w:rsidR="007D6638">
          <w:rPr>
            <w:noProof/>
            <w:webHidden/>
          </w:rPr>
        </w:r>
        <w:r w:rsidR="007D6638">
          <w:rPr>
            <w:noProof/>
            <w:webHidden/>
          </w:rPr>
          <w:fldChar w:fldCharType="separate"/>
        </w:r>
        <w:r w:rsidR="007D6638">
          <w:rPr>
            <w:noProof/>
            <w:webHidden/>
          </w:rPr>
          <w:t>7</w:t>
        </w:r>
        <w:r w:rsidR="007D6638">
          <w:rPr>
            <w:noProof/>
            <w:webHidden/>
          </w:rPr>
          <w:fldChar w:fldCharType="end"/>
        </w:r>
      </w:hyperlink>
    </w:p>
    <w:p w14:paraId="6CE69F79" w14:textId="554CB592" w:rsidR="007D6638" w:rsidRDefault="007D6638">
      <w:pPr>
        <w:pStyle w:val="TOC2"/>
        <w:tabs>
          <w:tab w:val="right" w:leader="dot" w:pos="9350"/>
        </w:tabs>
        <w:rPr>
          <w:rFonts w:asciiTheme="minorHAnsi" w:eastAsiaTheme="minorEastAsia" w:hAnsiTheme="minorHAnsi"/>
          <w:noProof/>
          <w:lang w:val="en-US" w:bidi="si-LK"/>
        </w:rPr>
      </w:pPr>
      <w:hyperlink w:anchor="_Toc227947963" w:history="1">
        <w:r w:rsidRPr="002B5A1C">
          <w:rPr>
            <w:rStyle w:val="Hyperlink"/>
            <w:noProof/>
          </w:rPr>
          <w:t>1.1 Introduction</w:t>
        </w:r>
        <w:r>
          <w:rPr>
            <w:noProof/>
            <w:webHidden/>
          </w:rPr>
          <w:tab/>
        </w:r>
        <w:r>
          <w:rPr>
            <w:noProof/>
            <w:webHidden/>
          </w:rPr>
          <w:fldChar w:fldCharType="begin"/>
        </w:r>
        <w:r>
          <w:rPr>
            <w:noProof/>
            <w:webHidden/>
          </w:rPr>
          <w:instrText xml:space="preserve"> PAGEREF _Toc227947963 \h </w:instrText>
        </w:r>
        <w:r>
          <w:rPr>
            <w:noProof/>
            <w:webHidden/>
          </w:rPr>
        </w:r>
        <w:r>
          <w:rPr>
            <w:noProof/>
            <w:webHidden/>
          </w:rPr>
          <w:fldChar w:fldCharType="separate"/>
        </w:r>
        <w:r>
          <w:rPr>
            <w:noProof/>
            <w:webHidden/>
          </w:rPr>
          <w:t>7</w:t>
        </w:r>
        <w:r>
          <w:rPr>
            <w:noProof/>
            <w:webHidden/>
          </w:rPr>
          <w:fldChar w:fldCharType="end"/>
        </w:r>
      </w:hyperlink>
    </w:p>
    <w:p w14:paraId="6680D5CC" w14:textId="4365E25E" w:rsidR="007D6638" w:rsidRDefault="007D6638">
      <w:pPr>
        <w:pStyle w:val="TOC2"/>
        <w:tabs>
          <w:tab w:val="right" w:leader="dot" w:pos="9350"/>
        </w:tabs>
        <w:rPr>
          <w:rFonts w:asciiTheme="minorHAnsi" w:eastAsiaTheme="minorEastAsia" w:hAnsiTheme="minorHAnsi"/>
          <w:noProof/>
          <w:lang w:val="en-US" w:bidi="si-LK"/>
        </w:rPr>
      </w:pPr>
      <w:hyperlink w:anchor="_Toc227947964" w:history="1">
        <w:r w:rsidRPr="002B5A1C">
          <w:rPr>
            <w:rStyle w:val="Hyperlink"/>
            <w:noProof/>
          </w:rPr>
          <w:t>1.2 Financial Statements 5-year period</w:t>
        </w:r>
        <w:r>
          <w:rPr>
            <w:noProof/>
            <w:webHidden/>
          </w:rPr>
          <w:tab/>
        </w:r>
        <w:r>
          <w:rPr>
            <w:noProof/>
            <w:webHidden/>
          </w:rPr>
          <w:fldChar w:fldCharType="begin"/>
        </w:r>
        <w:r>
          <w:rPr>
            <w:noProof/>
            <w:webHidden/>
          </w:rPr>
          <w:instrText xml:space="preserve"> PAGEREF _Toc227947964 \h </w:instrText>
        </w:r>
        <w:r>
          <w:rPr>
            <w:noProof/>
            <w:webHidden/>
          </w:rPr>
        </w:r>
        <w:r>
          <w:rPr>
            <w:noProof/>
            <w:webHidden/>
          </w:rPr>
          <w:fldChar w:fldCharType="separate"/>
        </w:r>
        <w:r>
          <w:rPr>
            <w:noProof/>
            <w:webHidden/>
          </w:rPr>
          <w:t>8</w:t>
        </w:r>
        <w:r>
          <w:rPr>
            <w:noProof/>
            <w:webHidden/>
          </w:rPr>
          <w:fldChar w:fldCharType="end"/>
        </w:r>
      </w:hyperlink>
    </w:p>
    <w:p w14:paraId="7796E23A" w14:textId="35CF2F41" w:rsidR="007D6638" w:rsidRDefault="007D6638">
      <w:pPr>
        <w:pStyle w:val="TOC2"/>
        <w:tabs>
          <w:tab w:val="right" w:leader="dot" w:pos="9350"/>
        </w:tabs>
        <w:rPr>
          <w:rFonts w:asciiTheme="minorHAnsi" w:eastAsiaTheme="minorEastAsia" w:hAnsiTheme="minorHAnsi"/>
          <w:noProof/>
          <w:lang w:val="en-US" w:bidi="si-LK"/>
        </w:rPr>
      </w:pPr>
      <w:hyperlink w:anchor="_Toc227947965" w:history="1">
        <w:r w:rsidRPr="002B5A1C">
          <w:rPr>
            <w:rStyle w:val="Hyperlink"/>
            <w:noProof/>
          </w:rPr>
          <w:t>1.3 Profitability Ratios</w:t>
        </w:r>
        <w:r>
          <w:rPr>
            <w:noProof/>
            <w:webHidden/>
          </w:rPr>
          <w:tab/>
        </w:r>
        <w:r>
          <w:rPr>
            <w:noProof/>
            <w:webHidden/>
          </w:rPr>
          <w:fldChar w:fldCharType="begin"/>
        </w:r>
        <w:r>
          <w:rPr>
            <w:noProof/>
            <w:webHidden/>
          </w:rPr>
          <w:instrText xml:space="preserve"> PAGEREF _Toc227947965 \h </w:instrText>
        </w:r>
        <w:r>
          <w:rPr>
            <w:noProof/>
            <w:webHidden/>
          </w:rPr>
        </w:r>
        <w:r>
          <w:rPr>
            <w:noProof/>
            <w:webHidden/>
          </w:rPr>
          <w:fldChar w:fldCharType="separate"/>
        </w:r>
        <w:r>
          <w:rPr>
            <w:noProof/>
            <w:webHidden/>
          </w:rPr>
          <w:t>8</w:t>
        </w:r>
        <w:r>
          <w:rPr>
            <w:noProof/>
            <w:webHidden/>
          </w:rPr>
          <w:fldChar w:fldCharType="end"/>
        </w:r>
      </w:hyperlink>
    </w:p>
    <w:p w14:paraId="7271B338" w14:textId="10C610B7" w:rsidR="007D6638" w:rsidRDefault="007D6638">
      <w:pPr>
        <w:pStyle w:val="TOC2"/>
        <w:tabs>
          <w:tab w:val="right" w:leader="dot" w:pos="9350"/>
        </w:tabs>
        <w:rPr>
          <w:rFonts w:asciiTheme="minorHAnsi" w:eastAsiaTheme="minorEastAsia" w:hAnsiTheme="minorHAnsi"/>
          <w:noProof/>
          <w:lang w:val="en-US" w:bidi="si-LK"/>
        </w:rPr>
      </w:pPr>
      <w:hyperlink w:anchor="_Toc227947966" w:history="1">
        <w:r w:rsidRPr="002B5A1C">
          <w:rPr>
            <w:rStyle w:val="Hyperlink"/>
            <w:noProof/>
          </w:rPr>
          <w:t>1.4 Liquidity Ratios</w:t>
        </w:r>
        <w:r>
          <w:rPr>
            <w:noProof/>
            <w:webHidden/>
          </w:rPr>
          <w:tab/>
        </w:r>
        <w:r>
          <w:rPr>
            <w:noProof/>
            <w:webHidden/>
          </w:rPr>
          <w:fldChar w:fldCharType="begin"/>
        </w:r>
        <w:r>
          <w:rPr>
            <w:noProof/>
            <w:webHidden/>
          </w:rPr>
          <w:instrText xml:space="preserve"> PAGEREF _Toc227947966 \h </w:instrText>
        </w:r>
        <w:r>
          <w:rPr>
            <w:noProof/>
            <w:webHidden/>
          </w:rPr>
        </w:r>
        <w:r>
          <w:rPr>
            <w:noProof/>
            <w:webHidden/>
          </w:rPr>
          <w:fldChar w:fldCharType="separate"/>
        </w:r>
        <w:r>
          <w:rPr>
            <w:noProof/>
            <w:webHidden/>
          </w:rPr>
          <w:t>12</w:t>
        </w:r>
        <w:r>
          <w:rPr>
            <w:noProof/>
            <w:webHidden/>
          </w:rPr>
          <w:fldChar w:fldCharType="end"/>
        </w:r>
      </w:hyperlink>
    </w:p>
    <w:p w14:paraId="0EF557C5" w14:textId="449A05B1" w:rsidR="007D6638" w:rsidRDefault="007D6638">
      <w:pPr>
        <w:pStyle w:val="TOC2"/>
        <w:tabs>
          <w:tab w:val="right" w:leader="dot" w:pos="9350"/>
        </w:tabs>
        <w:rPr>
          <w:rFonts w:asciiTheme="minorHAnsi" w:eastAsiaTheme="minorEastAsia" w:hAnsiTheme="minorHAnsi"/>
          <w:noProof/>
          <w:lang w:val="en-US" w:bidi="si-LK"/>
        </w:rPr>
      </w:pPr>
      <w:hyperlink w:anchor="_Toc227947967" w:history="1">
        <w:r w:rsidRPr="002B5A1C">
          <w:rPr>
            <w:rStyle w:val="Hyperlink"/>
            <w:noProof/>
          </w:rPr>
          <w:t>1.5 Efficiency Ratios</w:t>
        </w:r>
        <w:r>
          <w:rPr>
            <w:noProof/>
            <w:webHidden/>
          </w:rPr>
          <w:tab/>
        </w:r>
        <w:r>
          <w:rPr>
            <w:noProof/>
            <w:webHidden/>
          </w:rPr>
          <w:fldChar w:fldCharType="begin"/>
        </w:r>
        <w:r>
          <w:rPr>
            <w:noProof/>
            <w:webHidden/>
          </w:rPr>
          <w:instrText xml:space="preserve"> PAGEREF _Toc227947967 \h </w:instrText>
        </w:r>
        <w:r>
          <w:rPr>
            <w:noProof/>
            <w:webHidden/>
          </w:rPr>
        </w:r>
        <w:r>
          <w:rPr>
            <w:noProof/>
            <w:webHidden/>
          </w:rPr>
          <w:fldChar w:fldCharType="separate"/>
        </w:r>
        <w:r>
          <w:rPr>
            <w:noProof/>
            <w:webHidden/>
          </w:rPr>
          <w:t>13</w:t>
        </w:r>
        <w:r>
          <w:rPr>
            <w:noProof/>
            <w:webHidden/>
          </w:rPr>
          <w:fldChar w:fldCharType="end"/>
        </w:r>
      </w:hyperlink>
    </w:p>
    <w:p w14:paraId="7534CDBF" w14:textId="1CAC95DC" w:rsidR="007D6638" w:rsidRDefault="007D6638">
      <w:pPr>
        <w:pStyle w:val="TOC2"/>
        <w:tabs>
          <w:tab w:val="right" w:leader="dot" w:pos="9350"/>
        </w:tabs>
        <w:rPr>
          <w:rFonts w:asciiTheme="minorHAnsi" w:eastAsiaTheme="minorEastAsia" w:hAnsiTheme="minorHAnsi"/>
          <w:noProof/>
          <w:lang w:val="en-US" w:bidi="si-LK"/>
        </w:rPr>
      </w:pPr>
      <w:hyperlink w:anchor="_Toc227947968" w:history="1">
        <w:r w:rsidRPr="002B5A1C">
          <w:rPr>
            <w:rStyle w:val="Hyperlink"/>
            <w:noProof/>
          </w:rPr>
          <w:t>1.6 Gearing (Leverage) Ratios</w:t>
        </w:r>
        <w:r>
          <w:rPr>
            <w:noProof/>
            <w:webHidden/>
          </w:rPr>
          <w:tab/>
        </w:r>
        <w:r>
          <w:rPr>
            <w:noProof/>
            <w:webHidden/>
          </w:rPr>
          <w:fldChar w:fldCharType="begin"/>
        </w:r>
        <w:r>
          <w:rPr>
            <w:noProof/>
            <w:webHidden/>
          </w:rPr>
          <w:instrText xml:space="preserve"> PAGEREF _Toc227947968 \h </w:instrText>
        </w:r>
        <w:r>
          <w:rPr>
            <w:noProof/>
            <w:webHidden/>
          </w:rPr>
        </w:r>
        <w:r>
          <w:rPr>
            <w:noProof/>
            <w:webHidden/>
          </w:rPr>
          <w:fldChar w:fldCharType="separate"/>
        </w:r>
        <w:r>
          <w:rPr>
            <w:noProof/>
            <w:webHidden/>
          </w:rPr>
          <w:t>16</w:t>
        </w:r>
        <w:r>
          <w:rPr>
            <w:noProof/>
            <w:webHidden/>
          </w:rPr>
          <w:fldChar w:fldCharType="end"/>
        </w:r>
      </w:hyperlink>
    </w:p>
    <w:p w14:paraId="05C60689" w14:textId="5ABF74EA" w:rsidR="007D6638" w:rsidRDefault="007D6638">
      <w:pPr>
        <w:pStyle w:val="TOC2"/>
        <w:tabs>
          <w:tab w:val="right" w:leader="dot" w:pos="9350"/>
        </w:tabs>
        <w:rPr>
          <w:rFonts w:asciiTheme="minorHAnsi" w:eastAsiaTheme="minorEastAsia" w:hAnsiTheme="minorHAnsi"/>
          <w:noProof/>
          <w:lang w:val="en-US" w:bidi="si-LK"/>
        </w:rPr>
      </w:pPr>
      <w:hyperlink w:anchor="_Toc227947969" w:history="1">
        <w:r w:rsidRPr="002B5A1C">
          <w:rPr>
            <w:rStyle w:val="Hyperlink"/>
            <w:noProof/>
          </w:rPr>
          <w:t>1.7 Investment Ratios</w:t>
        </w:r>
        <w:r>
          <w:rPr>
            <w:noProof/>
            <w:webHidden/>
          </w:rPr>
          <w:tab/>
        </w:r>
        <w:r>
          <w:rPr>
            <w:noProof/>
            <w:webHidden/>
          </w:rPr>
          <w:fldChar w:fldCharType="begin"/>
        </w:r>
        <w:r>
          <w:rPr>
            <w:noProof/>
            <w:webHidden/>
          </w:rPr>
          <w:instrText xml:space="preserve"> PAGEREF _Toc227947969 \h </w:instrText>
        </w:r>
        <w:r>
          <w:rPr>
            <w:noProof/>
            <w:webHidden/>
          </w:rPr>
        </w:r>
        <w:r>
          <w:rPr>
            <w:noProof/>
            <w:webHidden/>
          </w:rPr>
          <w:fldChar w:fldCharType="separate"/>
        </w:r>
        <w:r>
          <w:rPr>
            <w:noProof/>
            <w:webHidden/>
          </w:rPr>
          <w:t>17</w:t>
        </w:r>
        <w:r>
          <w:rPr>
            <w:noProof/>
            <w:webHidden/>
          </w:rPr>
          <w:fldChar w:fldCharType="end"/>
        </w:r>
      </w:hyperlink>
    </w:p>
    <w:p w14:paraId="18F569D9" w14:textId="40104C6E" w:rsidR="007D6638" w:rsidRDefault="007D6638">
      <w:pPr>
        <w:pStyle w:val="TOC2"/>
        <w:tabs>
          <w:tab w:val="right" w:leader="dot" w:pos="9350"/>
        </w:tabs>
        <w:rPr>
          <w:rFonts w:asciiTheme="minorHAnsi" w:eastAsiaTheme="minorEastAsia" w:hAnsiTheme="minorHAnsi"/>
          <w:noProof/>
          <w:lang w:val="en-US" w:bidi="si-LK"/>
        </w:rPr>
      </w:pPr>
      <w:hyperlink w:anchor="_Toc227947970" w:history="1">
        <w:r w:rsidRPr="002B5A1C">
          <w:rPr>
            <w:rStyle w:val="Hyperlink"/>
            <w:noProof/>
          </w:rPr>
          <w:t>1.8 Cash Flow Analysis</w:t>
        </w:r>
        <w:r>
          <w:rPr>
            <w:noProof/>
            <w:webHidden/>
          </w:rPr>
          <w:tab/>
        </w:r>
        <w:r>
          <w:rPr>
            <w:noProof/>
            <w:webHidden/>
          </w:rPr>
          <w:fldChar w:fldCharType="begin"/>
        </w:r>
        <w:r>
          <w:rPr>
            <w:noProof/>
            <w:webHidden/>
          </w:rPr>
          <w:instrText xml:space="preserve"> PAGEREF _Toc227947970 \h </w:instrText>
        </w:r>
        <w:r>
          <w:rPr>
            <w:noProof/>
            <w:webHidden/>
          </w:rPr>
        </w:r>
        <w:r>
          <w:rPr>
            <w:noProof/>
            <w:webHidden/>
          </w:rPr>
          <w:fldChar w:fldCharType="separate"/>
        </w:r>
        <w:r>
          <w:rPr>
            <w:noProof/>
            <w:webHidden/>
          </w:rPr>
          <w:t>18</w:t>
        </w:r>
        <w:r>
          <w:rPr>
            <w:noProof/>
            <w:webHidden/>
          </w:rPr>
          <w:fldChar w:fldCharType="end"/>
        </w:r>
      </w:hyperlink>
    </w:p>
    <w:p w14:paraId="19EA6687" w14:textId="5A5E7FDD" w:rsidR="007D6638" w:rsidRDefault="007D6638">
      <w:pPr>
        <w:pStyle w:val="TOC2"/>
        <w:tabs>
          <w:tab w:val="right" w:leader="dot" w:pos="9350"/>
        </w:tabs>
        <w:rPr>
          <w:rFonts w:asciiTheme="minorHAnsi" w:eastAsiaTheme="minorEastAsia" w:hAnsiTheme="minorHAnsi"/>
          <w:noProof/>
          <w:lang w:val="en-US" w:bidi="si-LK"/>
        </w:rPr>
      </w:pPr>
      <w:hyperlink w:anchor="_Toc227947971" w:history="1">
        <w:r w:rsidRPr="002B5A1C">
          <w:rPr>
            <w:rStyle w:val="Hyperlink"/>
            <w:noProof/>
          </w:rPr>
          <w:t>1.9 Trends, Strengths and Threats</w:t>
        </w:r>
        <w:r>
          <w:rPr>
            <w:noProof/>
            <w:webHidden/>
          </w:rPr>
          <w:tab/>
        </w:r>
        <w:r>
          <w:rPr>
            <w:noProof/>
            <w:webHidden/>
          </w:rPr>
          <w:fldChar w:fldCharType="begin"/>
        </w:r>
        <w:r>
          <w:rPr>
            <w:noProof/>
            <w:webHidden/>
          </w:rPr>
          <w:instrText xml:space="preserve"> PAGEREF _Toc227947971 \h </w:instrText>
        </w:r>
        <w:r>
          <w:rPr>
            <w:noProof/>
            <w:webHidden/>
          </w:rPr>
        </w:r>
        <w:r>
          <w:rPr>
            <w:noProof/>
            <w:webHidden/>
          </w:rPr>
          <w:fldChar w:fldCharType="separate"/>
        </w:r>
        <w:r>
          <w:rPr>
            <w:noProof/>
            <w:webHidden/>
          </w:rPr>
          <w:t>20</w:t>
        </w:r>
        <w:r>
          <w:rPr>
            <w:noProof/>
            <w:webHidden/>
          </w:rPr>
          <w:fldChar w:fldCharType="end"/>
        </w:r>
      </w:hyperlink>
    </w:p>
    <w:p w14:paraId="506C0177" w14:textId="4A49811A" w:rsidR="007D6638" w:rsidRDefault="007D6638">
      <w:pPr>
        <w:pStyle w:val="TOC1"/>
        <w:tabs>
          <w:tab w:val="right" w:leader="dot" w:pos="9350"/>
        </w:tabs>
        <w:rPr>
          <w:rFonts w:asciiTheme="minorHAnsi" w:eastAsiaTheme="minorEastAsia" w:hAnsiTheme="minorHAnsi"/>
          <w:noProof/>
          <w:lang w:val="en-US" w:bidi="si-LK"/>
        </w:rPr>
      </w:pPr>
      <w:hyperlink w:anchor="_Toc227947972" w:history="1">
        <w:r w:rsidRPr="002B5A1C">
          <w:rPr>
            <w:rStyle w:val="Hyperlink"/>
            <w:noProof/>
          </w:rPr>
          <w:t>2. Working Capital Management Analysis</w:t>
        </w:r>
        <w:r>
          <w:rPr>
            <w:noProof/>
            <w:webHidden/>
          </w:rPr>
          <w:tab/>
        </w:r>
        <w:r>
          <w:rPr>
            <w:noProof/>
            <w:webHidden/>
          </w:rPr>
          <w:fldChar w:fldCharType="begin"/>
        </w:r>
        <w:r>
          <w:rPr>
            <w:noProof/>
            <w:webHidden/>
          </w:rPr>
          <w:instrText xml:space="preserve"> PAGEREF _Toc227947972 \h </w:instrText>
        </w:r>
        <w:r>
          <w:rPr>
            <w:noProof/>
            <w:webHidden/>
          </w:rPr>
        </w:r>
        <w:r>
          <w:rPr>
            <w:noProof/>
            <w:webHidden/>
          </w:rPr>
          <w:fldChar w:fldCharType="separate"/>
        </w:r>
        <w:r>
          <w:rPr>
            <w:noProof/>
            <w:webHidden/>
          </w:rPr>
          <w:t>22</w:t>
        </w:r>
        <w:r>
          <w:rPr>
            <w:noProof/>
            <w:webHidden/>
          </w:rPr>
          <w:fldChar w:fldCharType="end"/>
        </w:r>
      </w:hyperlink>
    </w:p>
    <w:p w14:paraId="5A810374" w14:textId="441B66F3" w:rsidR="007D6638" w:rsidRDefault="007D6638">
      <w:pPr>
        <w:pStyle w:val="TOC2"/>
        <w:tabs>
          <w:tab w:val="right" w:leader="dot" w:pos="9350"/>
        </w:tabs>
        <w:rPr>
          <w:rFonts w:asciiTheme="minorHAnsi" w:eastAsiaTheme="minorEastAsia" w:hAnsiTheme="minorHAnsi"/>
          <w:noProof/>
          <w:lang w:val="en-US" w:bidi="si-LK"/>
        </w:rPr>
      </w:pPr>
      <w:hyperlink w:anchor="_Toc227947973" w:history="1">
        <w:r w:rsidRPr="002B5A1C">
          <w:rPr>
            <w:rStyle w:val="Hyperlink"/>
            <w:noProof/>
          </w:rPr>
          <w:t>2.1 Assessment of Cash Operating Cycle (CCC)</w:t>
        </w:r>
        <w:r>
          <w:rPr>
            <w:noProof/>
            <w:webHidden/>
          </w:rPr>
          <w:tab/>
        </w:r>
        <w:r>
          <w:rPr>
            <w:noProof/>
            <w:webHidden/>
          </w:rPr>
          <w:fldChar w:fldCharType="begin"/>
        </w:r>
        <w:r>
          <w:rPr>
            <w:noProof/>
            <w:webHidden/>
          </w:rPr>
          <w:instrText xml:space="preserve"> PAGEREF _Toc227947973 \h </w:instrText>
        </w:r>
        <w:r>
          <w:rPr>
            <w:noProof/>
            <w:webHidden/>
          </w:rPr>
        </w:r>
        <w:r>
          <w:rPr>
            <w:noProof/>
            <w:webHidden/>
          </w:rPr>
          <w:fldChar w:fldCharType="separate"/>
        </w:r>
        <w:r>
          <w:rPr>
            <w:noProof/>
            <w:webHidden/>
          </w:rPr>
          <w:t>22</w:t>
        </w:r>
        <w:r>
          <w:rPr>
            <w:noProof/>
            <w:webHidden/>
          </w:rPr>
          <w:fldChar w:fldCharType="end"/>
        </w:r>
      </w:hyperlink>
    </w:p>
    <w:p w14:paraId="226E4F16" w14:textId="19B7E7D9" w:rsidR="007D6638" w:rsidRDefault="007D6638">
      <w:pPr>
        <w:pStyle w:val="TOC2"/>
        <w:tabs>
          <w:tab w:val="right" w:leader="dot" w:pos="9350"/>
        </w:tabs>
        <w:rPr>
          <w:rFonts w:asciiTheme="minorHAnsi" w:eastAsiaTheme="minorEastAsia" w:hAnsiTheme="minorHAnsi"/>
          <w:noProof/>
          <w:lang w:val="en-US" w:bidi="si-LK"/>
        </w:rPr>
      </w:pPr>
      <w:hyperlink w:anchor="_Toc227947974" w:history="1">
        <w:r w:rsidRPr="002B5A1C">
          <w:rPr>
            <w:rStyle w:val="Hyperlink"/>
            <w:noProof/>
          </w:rPr>
          <w:t>2.2 Liquidity Improvement Strategies through Working Capital Reforms</w:t>
        </w:r>
        <w:r>
          <w:rPr>
            <w:noProof/>
            <w:webHidden/>
          </w:rPr>
          <w:tab/>
        </w:r>
        <w:r>
          <w:rPr>
            <w:noProof/>
            <w:webHidden/>
          </w:rPr>
          <w:fldChar w:fldCharType="begin"/>
        </w:r>
        <w:r>
          <w:rPr>
            <w:noProof/>
            <w:webHidden/>
          </w:rPr>
          <w:instrText xml:space="preserve"> PAGEREF _Toc227947974 \h </w:instrText>
        </w:r>
        <w:r>
          <w:rPr>
            <w:noProof/>
            <w:webHidden/>
          </w:rPr>
        </w:r>
        <w:r>
          <w:rPr>
            <w:noProof/>
            <w:webHidden/>
          </w:rPr>
          <w:fldChar w:fldCharType="separate"/>
        </w:r>
        <w:r>
          <w:rPr>
            <w:noProof/>
            <w:webHidden/>
          </w:rPr>
          <w:t>23</w:t>
        </w:r>
        <w:r>
          <w:rPr>
            <w:noProof/>
            <w:webHidden/>
          </w:rPr>
          <w:fldChar w:fldCharType="end"/>
        </w:r>
      </w:hyperlink>
    </w:p>
    <w:p w14:paraId="7CDCBF94" w14:textId="02662C9F" w:rsidR="007D6638" w:rsidRDefault="007D6638">
      <w:pPr>
        <w:pStyle w:val="TOC3"/>
        <w:tabs>
          <w:tab w:val="right" w:leader="dot" w:pos="9350"/>
        </w:tabs>
        <w:rPr>
          <w:rFonts w:asciiTheme="minorHAnsi" w:eastAsiaTheme="minorEastAsia" w:hAnsiTheme="minorHAnsi"/>
          <w:noProof/>
          <w:lang w:val="en-US" w:bidi="si-LK"/>
        </w:rPr>
      </w:pPr>
      <w:hyperlink w:anchor="_Toc227947975" w:history="1">
        <w:r w:rsidRPr="002B5A1C">
          <w:rPr>
            <w:rStyle w:val="Hyperlink"/>
            <w:noProof/>
          </w:rPr>
          <w:t>2.2.1 Receivables Management</w:t>
        </w:r>
        <w:r>
          <w:rPr>
            <w:noProof/>
            <w:webHidden/>
          </w:rPr>
          <w:tab/>
        </w:r>
        <w:r>
          <w:rPr>
            <w:noProof/>
            <w:webHidden/>
          </w:rPr>
          <w:fldChar w:fldCharType="begin"/>
        </w:r>
        <w:r>
          <w:rPr>
            <w:noProof/>
            <w:webHidden/>
          </w:rPr>
          <w:instrText xml:space="preserve"> PAGEREF _Toc227947975 \h </w:instrText>
        </w:r>
        <w:r>
          <w:rPr>
            <w:noProof/>
            <w:webHidden/>
          </w:rPr>
        </w:r>
        <w:r>
          <w:rPr>
            <w:noProof/>
            <w:webHidden/>
          </w:rPr>
          <w:fldChar w:fldCharType="separate"/>
        </w:r>
        <w:r>
          <w:rPr>
            <w:noProof/>
            <w:webHidden/>
          </w:rPr>
          <w:t>23</w:t>
        </w:r>
        <w:r>
          <w:rPr>
            <w:noProof/>
            <w:webHidden/>
          </w:rPr>
          <w:fldChar w:fldCharType="end"/>
        </w:r>
      </w:hyperlink>
    </w:p>
    <w:p w14:paraId="3BAE80A2" w14:textId="0A78118D" w:rsidR="007D6638" w:rsidRDefault="007D6638">
      <w:pPr>
        <w:pStyle w:val="TOC3"/>
        <w:tabs>
          <w:tab w:val="right" w:leader="dot" w:pos="9350"/>
        </w:tabs>
        <w:rPr>
          <w:rFonts w:asciiTheme="minorHAnsi" w:eastAsiaTheme="minorEastAsia" w:hAnsiTheme="minorHAnsi"/>
          <w:noProof/>
          <w:lang w:val="en-US" w:bidi="si-LK"/>
        </w:rPr>
      </w:pPr>
      <w:hyperlink w:anchor="_Toc227947976" w:history="1">
        <w:r w:rsidRPr="002B5A1C">
          <w:rPr>
            <w:rStyle w:val="Hyperlink"/>
            <w:noProof/>
          </w:rPr>
          <w:t>2.2.2 Inventory Management</w:t>
        </w:r>
        <w:r>
          <w:rPr>
            <w:noProof/>
            <w:webHidden/>
          </w:rPr>
          <w:tab/>
        </w:r>
        <w:r>
          <w:rPr>
            <w:noProof/>
            <w:webHidden/>
          </w:rPr>
          <w:fldChar w:fldCharType="begin"/>
        </w:r>
        <w:r>
          <w:rPr>
            <w:noProof/>
            <w:webHidden/>
          </w:rPr>
          <w:instrText xml:space="preserve"> PAGEREF _Toc227947976 \h </w:instrText>
        </w:r>
        <w:r>
          <w:rPr>
            <w:noProof/>
            <w:webHidden/>
          </w:rPr>
        </w:r>
        <w:r>
          <w:rPr>
            <w:noProof/>
            <w:webHidden/>
          </w:rPr>
          <w:fldChar w:fldCharType="separate"/>
        </w:r>
        <w:r>
          <w:rPr>
            <w:noProof/>
            <w:webHidden/>
          </w:rPr>
          <w:t>24</w:t>
        </w:r>
        <w:r>
          <w:rPr>
            <w:noProof/>
            <w:webHidden/>
          </w:rPr>
          <w:fldChar w:fldCharType="end"/>
        </w:r>
      </w:hyperlink>
    </w:p>
    <w:p w14:paraId="3089A809" w14:textId="074906E0" w:rsidR="007D6638" w:rsidRDefault="007D6638">
      <w:pPr>
        <w:pStyle w:val="TOC3"/>
        <w:tabs>
          <w:tab w:val="right" w:leader="dot" w:pos="9350"/>
        </w:tabs>
        <w:rPr>
          <w:rFonts w:asciiTheme="minorHAnsi" w:eastAsiaTheme="minorEastAsia" w:hAnsiTheme="minorHAnsi"/>
          <w:noProof/>
          <w:lang w:val="en-US" w:bidi="si-LK"/>
        </w:rPr>
      </w:pPr>
      <w:hyperlink w:anchor="_Toc227947977" w:history="1">
        <w:r w:rsidRPr="002B5A1C">
          <w:rPr>
            <w:rStyle w:val="Hyperlink"/>
            <w:noProof/>
          </w:rPr>
          <w:t>2.2.3 Payables Management</w:t>
        </w:r>
        <w:r>
          <w:rPr>
            <w:noProof/>
            <w:webHidden/>
          </w:rPr>
          <w:tab/>
        </w:r>
        <w:r>
          <w:rPr>
            <w:noProof/>
            <w:webHidden/>
          </w:rPr>
          <w:fldChar w:fldCharType="begin"/>
        </w:r>
        <w:r>
          <w:rPr>
            <w:noProof/>
            <w:webHidden/>
          </w:rPr>
          <w:instrText xml:space="preserve"> PAGEREF _Toc227947977 \h </w:instrText>
        </w:r>
        <w:r>
          <w:rPr>
            <w:noProof/>
            <w:webHidden/>
          </w:rPr>
        </w:r>
        <w:r>
          <w:rPr>
            <w:noProof/>
            <w:webHidden/>
          </w:rPr>
          <w:fldChar w:fldCharType="separate"/>
        </w:r>
        <w:r>
          <w:rPr>
            <w:noProof/>
            <w:webHidden/>
          </w:rPr>
          <w:t>25</w:t>
        </w:r>
        <w:r>
          <w:rPr>
            <w:noProof/>
            <w:webHidden/>
          </w:rPr>
          <w:fldChar w:fldCharType="end"/>
        </w:r>
      </w:hyperlink>
    </w:p>
    <w:p w14:paraId="2C002B4D" w14:textId="767B93FC" w:rsidR="007D6638" w:rsidRDefault="007D6638">
      <w:pPr>
        <w:pStyle w:val="TOC3"/>
        <w:tabs>
          <w:tab w:val="right" w:leader="dot" w:pos="9350"/>
        </w:tabs>
        <w:rPr>
          <w:rFonts w:asciiTheme="minorHAnsi" w:eastAsiaTheme="minorEastAsia" w:hAnsiTheme="minorHAnsi"/>
          <w:noProof/>
          <w:lang w:val="en-US" w:bidi="si-LK"/>
        </w:rPr>
      </w:pPr>
      <w:hyperlink w:anchor="_Toc227947978" w:history="1">
        <w:r w:rsidRPr="002B5A1C">
          <w:rPr>
            <w:rStyle w:val="Hyperlink"/>
            <w:noProof/>
          </w:rPr>
          <w:t>2.2.4 Cash Flow Optimisation</w:t>
        </w:r>
        <w:r>
          <w:rPr>
            <w:noProof/>
            <w:webHidden/>
          </w:rPr>
          <w:tab/>
        </w:r>
        <w:r>
          <w:rPr>
            <w:noProof/>
            <w:webHidden/>
          </w:rPr>
          <w:fldChar w:fldCharType="begin"/>
        </w:r>
        <w:r>
          <w:rPr>
            <w:noProof/>
            <w:webHidden/>
          </w:rPr>
          <w:instrText xml:space="preserve"> PAGEREF _Toc227947978 \h </w:instrText>
        </w:r>
        <w:r>
          <w:rPr>
            <w:noProof/>
            <w:webHidden/>
          </w:rPr>
        </w:r>
        <w:r>
          <w:rPr>
            <w:noProof/>
            <w:webHidden/>
          </w:rPr>
          <w:fldChar w:fldCharType="separate"/>
        </w:r>
        <w:r>
          <w:rPr>
            <w:noProof/>
            <w:webHidden/>
          </w:rPr>
          <w:t>26</w:t>
        </w:r>
        <w:r>
          <w:rPr>
            <w:noProof/>
            <w:webHidden/>
          </w:rPr>
          <w:fldChar w:fldCharType="end"/>
        </w:r>
      </w:hyperlink>
    </w:p>
    <w:p w14:paraId="1D89EE22" w14:textId="711A8789" w:rsidR="007D6638" w:rsidRDefault="007D6638">
      <w:pPr>
        <w:pStyle w:val="TOC2"/>
        <w:tabs>
          <w:tab w:val="right" w:leader="dot" w:pos="9350"/>
        </w:tabs>
        <w:rPr>
          <w:rFonts w:asciiTheme="minorHAnsi" w:eastAsiaTheme="minorEastAsia" w:hAnsiTheme="minorHAnsi"/>
          <w:noProof/>
          <w:lang w:val="en-US" w:bidi="si-LK"/>
        </w:rPr>
      </w:pPr>
      <w:hyperlink w:anchor="_Toc227947979" w:history="1">
        <w:r w:rsidRPr="002B5A1C">
          <w:rPr>
            <w:rStyle w:val="Hyperlink"/>
            <w:noProof/>
          </w:rPr>
          <w:t>2.3 Short-Term vs Long-Term Financing.</w:t>
        </w:r>
        <w:r>
          <w:rPr>
            <w:noProof/>
            <w:webHidden/>
          </w:rPr>
          <w:tab/>
        </w:r>
        <w:r>
          <w:rPr>
            <w:noProof/>
            <w:webHidden/>
          </w:rPr>
          <w:fldChar w:fldCharType="begin"/>
        </w:r>
        <w:r>
          <w:rPr>
            <w:noProof/>
            <w:webHidden/>
          </w:rPr>
          <w:instrText xml:space="preserve"> PAGEREF _Toc227947979 \h </w:instrText>
        </w:r>
        <w:r>
          <w:rPr>
            <w:noProof/>
            <w:webHidden/>
          </w:rPr>
        </w:r>
        <w:r>
          <w:rPr>
            <w:noProof/>
            <w:webHidden/>
          </w:rPr>
          <w:fldChar w:fldCharType="separate"/>
        </w:r>
        <w:r>
          <w:rPr>
            <w:noProof/>
            <w:webHidden/>
          </w:rPr>
          <w:t>27</w:t>
        </w:r>
        <w:r>
          <w:rPr>
            <w:noProof/>
            <w:webHidden/>
          </w:rPr>
          <w:fldChar w:fldCharType="end"/>
        </w:r>
      </w:hyperlink>
    </w:p>
    <w:p w14:paraId="4F815AED" w14:textId="098AD301" w:rsidR="007D6638" w:rsidRDefault="007D6638">
      <w:pPr>
        <w:pStyle w:val="TOC3"/>
        <w:tabs>
          <w:tab w:val="right" w:leader="dot" w:pos="9350"/>
        </w:tabs>
        <w:rPr>
          <w:rFonts w:asciiTheme="minorHAnsi" w:eastAsiaTheme="minorEastAsia" w:hAnsiTheme="minorHAnsi"/>
          <w:noProof/>
          <w:lang w:val="en-US" w:bidi="si-LK"/>
        </w:rPr>
      </w:pPr>
      <w:hyperlink w:anchor="_Toc227947980" w:history="1">
        <w:r w:rsidRPr="002B5A1C">
          <w:rPr>
            <w:rStyle w:val="Hyperlink"/>
            <w:noProof/>
          </w:rPr>
          <w:t>2.3.1 Short-Term Financing</w:t>
        </w:r>
        <w:r>
          <w:rPr>
            <w:noProof/>
            <w:webHidden/>
          </w:rPr>
          <w:tab/>
        </w:r>
        <w:r>
          <w:rPr>
            <w:noProof/>
            <w:webHidden/>
          </w:rPr>
          <w:fldChar w:fldCharType="begin"/>
        </w:r>
        <w:r>
          <w:rPr>
            <w:noProof/>
            <w:webHidden/>
          </w:rPr>
          <w:instrText xml:space="preserve"> PAGEREF _Toc227947980 \h </w:instrText>
        </w:r>
        <w:r>
          <w:rPr>
            <w:noProof/>
            <w:webHidden/>
          </w:rPr>
        </w:r>
        <w:r>
          <w:rPr>
            <w:noProof/>
            <w:webHidden/>
          </w:rPr>
          <w:fldChar w:fldCharType="separate"/>
        </w:r>
        <w:r>
          <w:rPr>
            <w:noProof/>
            <w:webHidden/>
          </w:rPr>
          <w:t>27</w:t>
        </w:r>
        <w:r>
          <w:rPr>
            <w:noProof/>
            <w:webHidden/>
          </w:rPr>
          <w:fldChar w:fldCharType="end"/>
        </w:r>
      </w:hyperlink>
    </w:p>
    <w:p w14:paraId="308A285D" w14:textId="421C0F86" w:rsidR="007D6638" w:rsidRDefault="007D6638">
      <w:pPr>
        <w:pStyle w:val="TOC3"/>
        <w:tabs>
          <w:tab w:val="right" w:leader="dot" w:pos="9350"/>
        </w:tabs>
        <w:rPr>
          <w:rFonts w:asciiTheme="minorHAnsi" w:eastAsiaTheme="minorEastAsia" w:hAnsiTheme="minorHAnsi"/>
          <w:noProof/>
          <w:lang w:val="en-US" w:bidi="si-LK"/>
        </w:rPr>
      </w:pPr>
      <w:hyperlink w:anchor="_Toc227947981" w:history="1">
        <w:r w:rsidRPr="002B5A1C">
          <w:rPr>
            <w:rStyle w:val="Hyperlink"/>
            <w:noProof/>
          </w:rPr>
          <w:t>2.3.2 Long-Term Financing</w:t>
        </w:r>
        <w:r>
          <w:rPr>
            <w:noProof/>
            <w:webHidden/>
          </w:rPr>
          <w:tab/>
        </w:r>
        <w:r>
          <w:rPr>
            <w:noProof/>
            <w:webHidden/>
          </w:rPr>
          <w:fldChar w:fldCharType="begin"/>
        </w:r>
        <w:r>
          <w:rPr>
            <w:noProof/>
            <w:webHidden/>
          </w:rPr>
          <w:instrText xml:space="preserve"> PAGEREF _Toc227947981 \h </w:instrText>
        </w:r>
        <w:r>
          <w:rPr>
            <w:noProof/>
            <w:webHidden/>
          </w:rPr>
        </w:r>
        <w:r>
          <w:rPr>
            <w:noProof/>
            <w:webHidden/>
          </w:rPr>
          <w:fldChar w:fldCharType="separate"/>
        </w:r>
        <w:r>
          <w:rPr>
            <w:noProof/>
            <w:webHidden/>
          </w:rPr>
          <w:t>28</w:t>
        </w:r>
        <w:r>
          <w:rPr>
            <w:noProof/>
            <w:webHidden/>
          </w:rPr>
          <w:fldChar w:fldCharType="end"/>
        </w:r>
      </w:hyperlink>
    </w:p>
    <w:p w14:paraId="3F3B51B3" w14:textId="2A9150F6" w:rsidR="007D6638" w:rsidRDefault="007D6638">
      <w:pPr>
        <w:pStyle w:val="TOC3"/>
        <w:tabs>
          <w:tab w:val="right" w:leader="dot" w:pos="9350"/>
        </w:tabs>
        <w:rPr>
          <w:rFonts w:asciiTheme="minorHAnsi" w:eastAsiaTheme="minorEastAsia" w:hAnsiTheme="minorHAnsi"/>
          <w:noProof/>
          <w:lang w:val="en-US" w:bidi="si-LK"/>
        </w:rPr>
      </w:pPr>
      <w:hyperlink w:anchor="_Toc227947982" w:history="1">
        <w:r w:rsidRPr="002B5A1C">
          <w:rPr>
            <w:rStyle w:val="Hyperlink"/>
            <w:noProof/>
          </w:rPr>
          <w:t>2.3.3 Strategic Trade-Off</w:t>
        </w:r>
        <w:r>
          <w:rPr>
            <w:noProof/>
            <w:webHidden/>
          </w:rPr>
          <w:tab/>
        </w:r>
        <w:r>
          <w:rPr>
            <w:noProof/>
            <w:webHidden/>
          </w:rPr>
          <w:fldChar w:fldCharType="begin"/>
        </w:r>
        <w:r>
          <w:rPr>
            <w:noProof/>
            <w:webHidden/>
          </w:rPr>
          <w:instrText xml:space="preserve"> PAGEREF _Toc227947982 \h </w:instrText>
        </w:r>
        <w:r>
          <w:rPr>
            <w:noProof/>
            <w:webHidden/>
          </w:rPr>
        </w:r>
        <w:r>
          <w:rPr>
            <w:noProof/>
            <w:webHidden/>
          </w:rPr>
          <w:fldChar w:fldCharType="separate"/>
        </w:r>
        <w:r>
          <w:rPr>
            <w:noProof/>
            <w:webHidden/>
          </w:rPr>
          <w:t>28</w:t>
        </w:r>
        <w:r>
          <w:rPr>
            <w:noProof/>
            <w:webHidden/>
          </w:rPr>
          <w:fldChar w:fldCharType="end"/>
        </w:r>
      </w:hyperlink>
    </w:p>
    <w:p w14:paraId="61BA18AA" w14:textId="41732E0E" w:rsidR="007D6638" w:rsidRDefault="007D6638">
      <w:pPr>
        <w:pStyle w:val="TOC1"/>
        <w:tabs>
          <w:tab w:val="right" w:leader="dot" w:pos="9350"/>
        </w:tabs>
        <w:rPr>
          <w:rFonts w:asciiTheme="minorHAnsi" w:eastAsiaTheme="minorEastAsia" w:hAnsiTheme="minorHAnsi"/>
          <w:noProof/>
          <w:lang w:val="en-US" w:bidi="si-LK"/>
        </w:rPr>
      </w:pPr>
      <w:hyperlink w:anchor="_Toc227947983" w:history="1">
        <w:r w:rsidRPr="002B5A1C">
          <w:rPr>
            <w:rStyle w:val="Hyperlink"/>
            <w:noProof/>
          </w:rPr>
          <w:t>3. Strategic Financial Restructuring Plan</w:t>
        </w:r>
        <w:r>
          <w:rPr>
            <w:noProof/>
            <w:webHidden/>
          </w:rPr>
          <w:tab/>
        </w:r>
        <w:r>
          <w:rPr>
            <w:noProof/>
            <w:webHidden/>
          </w:rPr>
          <w:fldChar w:fldCharType="begin"/>
        </w:r>
        <w:r>
          <w:rPr>
            <w:noProof/>
            <w:webHidden/>
          </w:rPr>
          <w:instrText xml:space="preserve"> PAGEREF _Toc227947983 \h </w:instrText>
        </w:r>
        <w:r>
          <w:rPr>
            <w:noProof/>
            <w:webHidden/>
          </w:rPr>
        </w:r>
        <w:r>
          <w:rPr>
            <w:noProof/>
            <w:webHidden/>
          </w:rPr>
          <w:fldChar w:fldCharType="separate"/>
        </w:r>
        <w:r>
          <w:rPr>
            <w:noProof/>
            <w:webHidden/>
          </w:rPr>
          <w:t>29</w:t>
        </w:r>
        <w:r>
          <w:rPr>
            <w:noProof/>
            <w:webHidden/>
          </w:rPr>
          <w:fldChar w:fldCharType="end"/>
        </w:r>
      </w:hyperlink>
    </w:p>
    <w:p w14:paraId="3B512D64" w14:textId="667C376E" w:rsidR="007D6638" w:rsidRDefault="007D6638">
      <w:pPr>
        <w:pStyle w:val="TOC2"/>
        <w:tabs>
          <w:tab w:val="right" w:leader="dot" w:pos="9350"/>
        </w:tabs>
        <w:rPr>
          <w:rFonts w:asciiTheme="minorHAnsi" w:eastAsiaTheme="minorEastAsia" w:hAnsiTheme="minorHAnsi"/>
          <w:noProof/>
          <w:lang w:val="en-US" w:bidi="si-LK"/>
        </w:rPr>
      </w:pPr>
      <w:hyperlink w:anchor="_Toc227947984" w:history="1">
        <w:r w:rsidRPr="002B5A1C">
          <w:rPr>
            <w:rStyle w:val="Hyperlink"/>
            <w:noProof/>
          </w:rPr>
          <w:t>3.1 Financial Restructuring Options</w:t>
        </w:r>
        <w:r>
          <w:rPr>
            <w:noProof/>
            <w:webHidden/>
          </w:rPr>
          <w:tab/>
        </w:r>
        <w:r>
          <w:rPr>
            <w:noProof/>
            <w:webHidden/>
          </w:rPr>
          <w:fldChar w:fldCharType="begin"/>
        </w:r>
        <w:r>
          <w:rPr>
            <w:noProof/>
            <w:webHidden/>
          </w:rPr>
          <w:instrText xml:space="preserve"> PAGEREF _Toc227947984 \h </w:instrText>
        </w:r>
        <w:r>
          <w:rPr>
            <w:noProof/>
            <w:webHidden/>
          </w:rPr>
        </w:r>
        <w:r>
          <w:rPr>
            <w:noProof/>
            <w:webHidden/>
          </w:rPr>
          <w:fldChar w:fldCharType="separate"/>
        </w:r>
        <w:r>
          <w:rPr>
            <w:noProof/>
            <w:webHidden/>
          </w:rPr>
          <w:t>29</w:t>
        </w:r>
        <w:r>
          <w:rPr>
            <w:noProof/>
            <w:webHidden/>
          </w:rPr>
          <w:fldChar w:fldCharType="end"/>
        </w:r>
      </w:hyperlink>
    </w:p>
    <w:p w14:paraId="344723EE" w14:textId="08C0EA0A" w:rsidR="007D6638" w:rsidRDefault="007D6638">
      <w:pPr>
        <w:pStyle w:val="TOC3"/>
        <w:tabs>
          <w:tab w:val="right" w:leader="dot" w:pos="9350"/>
        </w:tabs>
        <w:rPr>
          <w:rFonts w:asciiTheme="minorHAnsi" w:eastAsiaTheme="minorEastAsia" w:hAnsiTheme="minorHAnsi"/>
          <w:noProof/>
          <w:lang w:val="en-US" w:bidi="si-LK"/>
        </w:rPr>
      </w:pPr>
      <w:hyperlink w:anchor="_Toc227947985" w:history="1">
        <w:r w:rsidRPr="002B5A1C">
          <w:rPr>
            <w:rStyle w:val="Hyperlink"/>
            <w:noProof/>
          </w:rPr>
          <w:t>3.1.1 Divestiture of Non-Core or Low-Return Assets</w:t>
        </w:r>
        <w:r>
          <w:rPr>
            <w:noProof/>
            <w:webHidden/>
          </w:rPr>
          <w:tab/>
        </w:r>
        <w:r>
          <w:rPr>
            <w:noProof/>
            <w:webHidden/>
          </w:rPr>
          <w:fldChar w:fldCharType="begin"/>
        </w:r>
        <w:r>
          <w:rPr>
            <w:noProof/>
            <w:webHidden/>
          </w:rPr>
          <w:instrText xml:space="preserve"> PAGEREF _Toc227947985 \h </w:instrText>
        </w:r>
        <w:r>
          <w:rPr>
            <w:noProof/>
            <w:webHidden/>
          </w:rPr>
        </w:r>
        <w:r>
          <w:rPr>
            <w:noProof/>
            <w:webHidden/>
          </w:rPr>
          <w:fldChar w:fldCharType="separate"/>
        </w:r>
        <w:r>
          <w:rPr>
            <w:noProof/>
            <w:webHidden/>
          </w:rPr>
          <w:t>29</w:t>
        </w:r>
        <w:r>
          <w:rPr>
            <w:noProof/>
            <w:webHidden/>
          </w:rPr>
          <w:fldChar w:fldCharType="end"/>
        </w:r>
      </w:hyperlink>
    </w:p>
    <w:p w14:paraId="283A29B2" w14:textId="6D2D8308" w:rsidR="007D6638" w:rsidRDefault="007D6638">
      <w:pPr>
        <w:pStyle w:val="TOC3"/>
        <w:tabs>
          <w:tab w:val="right" w:leader="dot" w:pos="9350"/>
        </w:tabs>
        <w:rPr>
          <w:rFonts w:asciiTheme="minorHAnsi" w:eastAsiaTheme="minorEastAsia" w:hAnsiTheme="minorHAnsi"/>
          <w:noProof/>
          <w:lang w:val="en-US" w:bidi="si-LK"/>
        </w:rPr>
      </w:pPr>
      <w:hyperlink w:anchor="_Toc227947986" w:history="1">
        <w:r w:rsidRPr="002B5A1C">
          <w:rPr>
            <w:rStyle w:val="Hyperlink"/>
            <w:noProof/>
          </w:rPr>
          <w:t>3.1.2 Merger or Strategic Acquisition</w:t>
        </w:r>
        <w:r>
          <w:rPr>
            <w:noProof/>
            <w:webHidden/>
          </w:rPr>
          <w:tab/>
        </w:r>
        <w:r>
          <w:rPr>
            <w:noProof/>
            <w:webHidden/>
          </w:rPr>
          <w:fldChar w:fldCharType="begin"/>
        </w:r>
        <w:r>
          <w:rPr>
            <w:noProof/>
            <w:webHidden/>
          </w:rPr>
          <w:instrText xml:space="preserve"> PAGEREF _Toc227947986 \h </w:instrText>
        </w:r>
        <w:r>
          <w:rPr>
            <w:noProof/>
            <w:webHidden/>
          </w:rPr>
        </w:r>
        <w:r>
          <w:rPr>
            <w:noProof/>
            <w:webHidden/>
          </w:rPr>
          <w:fldChar w:fldCharType="separate"/>
        </w:r>
        <w:r>
          <w:rPr>
            <w:noProof/>
            <w:webHidden/>
          </w:rPr>
          <w:t>30</w:t>
        </w:r>
        <w:r>
          <w:rPr>
            <w:noProof/>
            <w:webHidden/>
          </w:rPr>
          <w:fldChar w:fldCharType="end"/>
        </w:r>
      </w:hyperlink>
    </w:p>
    <w:p w14:paraId="5A5E4909" w14:textId="17478810" w:rsidR="007D6638" w:rsidRDefault="007D6638">
      <w:pPr>
        <w:pStyle w:val="TOC3"/>
        <w:tabs>
          <w:tab w:val="right" w:leader="dot" w:pos="9350"/>
        </w:tabs>
        <w:rPr>
          <w:rFonts w:asciiTheme="minorHAnsi" w:eastAsiaTheme="minorEastAsia" w:hAnsiTheme="minorHAnsi"/>
          <w:noProof/>
          <w:lang w:val="en-US" w:bidi="si-LK"/>
        </w:rPr>
      </w:pPr>
      <w:hyperlink w:anchor="_Toc227947987" w:history="1">
        <w:r w:rsidRPr="002B5A1C">
          <w:rPr>
            <w:rStyle w:val="Hyperlink"/>
            <w:noProof/>
          </w:rPr>
          <w:t>3.1.3 Equity Injection and Capital Raising</w:t>
        </w:r>
        <w:r>
          <w:rPr>
            <w:noProof/>
            <w:webHidden/>
          </w:rPr>
          <w:tab/>
        </w:r>
        <w:r>
          <w:rPr>
            <w:noProof/>
            <w:webHidden/>
          </w:rPr>
          <w:fldChar w:fldCharType="begin"/>
        </w:r>
        <w:r>
          <w:rPr>
            <w:noProof/>
            <w:webHidden/>
          </w:rPr>
          <w:instrText xml:space="preserve"> PAGEREF _Toc227947987 \h </w:instrText>
        </w:r>
        <w:r>
          <w:rPr>
            <w:noProof/>
            <w:webHidden/>
          </w:rPr>
        </w:r>
        <w:r>
          <w:rPr>
            <w:noProof/>
            <w:webHidden/>
          </w:rPr>
          <w:fldChar w:fldCharType="separate"/>
        </w:r>
        <w:r>
          <w:rPr>
            <w:noProof/>
            <w:webHidden/>
          </w:rPr>
          <w:t>30</w:t>
        </w:r>
        <w:r>
          <w:rPr>
            <w:noProof/>
            <w:webHidden/>
          </w:rPr>
          <w:fldChar w:fldCharType="end"/>
        </w:r>
      </w:hyperlink>
    </w:p>
    <w:p w14:paraId="6E24C106" w14:textId="3EE6C282" w:rsidR="007D6638" w:rsidRDefault="007D6638">
      <w:pPr>
        <w:pStyle w:val="TOC2"/>
        <w:tabs>
          <w:tab w:val="right" w:leader="dot" w:pos="9350"/>
        </w:tabs>
        <w:rPr>
          <w:rFonts w:asciiTheme="minorHAnsi" w:eastAsiaTheme="minorEastAsia" w:hAnsiTheme="minorHAnsi"/>
          <w:noProof/>
          <w:lang w:val="en-US" w:bidi="si-LK"/>
        </w:rPr>
      </w:pPr>
      <w:hyperlink w:anchor="_Toc227947988" w:history="1">
        <w:r w:rsidRPr="002B5A1C">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_Toc227947988 \h </w:instrText>
        </w:r>
        <w:r>
          <w:rPr>
            <w:noProof/>
            <w:webHidden/>
          </w:rPr>
        </w:r>
        <w:r>
          <w:rPr>
            <w:noProof/>
            <w:webHidden/>
          </w:rPr>
          <w:fldChar w:fldCharType="separate"/>
        </w:r>
        <w:r>
          <w:rPr>
            <w:noProof/>
            <w:webHidden/>
          </w:rPr>
          <w:t>31</w:t>
        </w:r>
        <w:r>
          <w:rPr>
            <w:noProof/>
            <w:webHidden/>
          </w:rPr>
          <w:fldChar w:fldCharType="end"/>
        </w:r>
      </w:hyperlink>
    </w:p>
    <w:p w14:paraId="130DEC75" w14:textId="401F78FF" w:rsidR="007D6638" w:rsidRDefault="007D6638">
      <w:pPr>
        <w:pStyle w:val="TOC3"/>
        <w:tabs>
          <w:tab w:val="right" w:leader="dot" w:pos="9350"/>
        </w:tabs>
        <w:rPr>
          <w:rFonts w:asciiTheme="minorHAnsi" w:eastAsiaTheme="minorEastAsia" w:hAnsiTheme="minorHAnsi"/>
          <w:noProof/>
          <w:lang w:val="en-US" w:bidi="si-LK"/>
        </w:rPr>
      </w:pPr>
      <w:hyperlink w:anchor="_Toc227947989" w:history="1">
        <w:r w:rsidRPr="002B5A1C">
          <w:rPr>
            <w:rStyle w:val="Hyperlink"/>
            <w:noProof/>
          </w:rPr>
          <w:t>3.2.1 Debt Restructuring and Refinancing</w:t>
        </w:r>
        <w:r>
          <w:rPr>
            <w:noProof/>
            <w:webHidden/>
          </w:rPr>
          <w:tab/>
        </w:r>
        <w:r>
          <w:rPr>
            <w:noProof/>
            <w:webHidden/>
          </w:rPr>
          <w:fldChar w:fldCharType="begin"/>
        </w:r>
        <w:r>
          <w:rPr>
            <w:noProof/>
            <w:webHidden/>
          </w:rPr>
          <w:instrText xml:space="preserve"> PAGEREF _Toc227947989 \h </w:instrText>
        </w:r>
        <w:r>
          <w:rPr>
            <w:noProof/>
            <w:webHidden/>
          </w:rPr>
        </w:r>
        <w:r>
          <w:rPr>
            <w:noProof/>
            <w:webHidden/>
          </w:rPr>
          <w:fldChar w:fldCharType="separate"/>
        </w:r>
        <w:r>
          <w:rPr>
            <w:noProof/>
            <w:webHidden/>
          </w:rPr>
          <w:t>31</w:t>
        </w:r>
        <w:r>
          <w:rPr>
            <w:noProof/>
            <w:webHidden/>
          </w:rPr>
          <w:fldChar w:fldCharType="end"/>
        </w:r>
      </w:hyperlink>
    </w:p>
    <w:p w14:paraId="1834FFED" w14:textId="2BF1D229" w:rsidR="007D6638" w:rsidRDefault="007D6638">
      <w:pPr>
        <w:pStyle w:val="TOC3"/>
        <w:tabs>
          <w:tab w:val="right" w:leader="dot" w:pos="9350"/>
        </w:tabs>
        <w:rPr>
          <w:rFonts w:asciiTheme="minorHAnsi" w:eastAsiaTheme="minorEastAsia" w:hAnsiTheme="minorHAnsi"/>
          <w:noProof/>
          <w:lang w:val="en-US" w:bidi="si-LK"/>
        </w:rPr>
      </w:pPr>
      <w:hyperlink w:anchor="_Toc227947990" w:history="1">
        <w:r w:rsidRPr="002B5A1C">
          <w:rPr>
            <w:rStyle w:val="Hyperlink"/>
            <w:noProof/>
          </w:rPr>
          <w:t>3.2.2 Impact on Shareholder Value</w:t>
        </w:r>
        <w:r>
          <w:rPr>
            <w:noProof/>
            <w:webHidden/>
          </w:rPr>
          <w:tab/>
        </w:r>
        <w:r>
          <w:rPr>
            <w:noProof/>
            <w:webHidden/>
          </w:rPr>
          <w:fldChar w:fldCharType="begin"/>
        </w:r>
        <w:r>
          <w:rPr>
            <w:noProof/>
            <w:webHidden/>
          </w:rPr>
          <w:instrText xml:space="preserve"> PAGEREF _Toc227947990 \h </w:instrText>
        </w:r>
        <w:r>
          <w:rPr>
            <w:noProof/>
            <w:webHidden/>
          </w:rPr>
        </w:r>
        <w:r>
          <w:rPr>
            <w:noProof/>
            <w:webHidden/>
          </w:rPr>
          <w:fldChar w:fldCharType="separate"/>
        </w:r>
        <w:r>
          <w:rPr>
            <w:noProof/>
            <w:webHidden/>
          </w:rPr>
          <w:t>32</w:t>
        </w:r>
        <w:r>
          <w:rPr>
            <w:noProof/>
            <w:webHidden/>
          </w:rPr>
          <w:fldChar w:fldCharType="end"/>
        </w:r>
      </w:hyperlink>
    </w:p>
    <w:p w14:paraId="444ADC26" w14:textId="764FACA2" w:rsidR="007D6638" w:rsidRDefault="007D6638">
      <w:pPr>
        <w:pStyle w:val="TOC3"/>
        <w:tabs>
          <w:tab w:val="right" w:leader="dot" w:pos="9350"/>
        </w:tabs>
        <w:rPr>
          <w:rFonts w:asciiTheme="minorHAnsi" w:eastAsiaTheme="minorEastAsia" w:hAnsiTheme="minorHAnsi"/>
          <w:noProof/>
          <w:lang w:val="en-US" w:bidi="si-LK"/>
        </w:rPr>
      </w:pPr>
      <w:hyperlink w:anchor="_Toc227947991" w:history="1">
        <w:r w:rsidRPr="002B5A1C">
          <w:rPr>
            <w:rStyle w:val="Hyperlink"/>
            <w:noProof/>
          </w:rPr>
          <w:t>3.2.3 Operational Flexibility</w:t>
        </w:r>
        <w:r>
          <w:rPr>
            <w:noProof/>
            <w:webHidden/>
          </w:rPr>
          <w:tab/>
        </w:r>
        <w:r>
          <w:rPr>
            <w:noProof/>
            <w:webHidden/>
          </w:rPr>
          <w:fldChar w:fldCharType="begin"/>
        </w:r>
        <w:r>
          <w:rPr>
            <w:noProof/>
            <w:webHidden/>
          </w:rPr>
          <w:instrText xml:space="preserve"> PAGEREF _Toc227947991 \h </w:instrText>
        </w:r>
        <w:r>
          <w:rPr>
            <w:noProof/>
            <w:webHidden/>
          </w:rPr>
        </w:r>
        <w:r>
          <w:rPr>
            <w:noProof/>
            <w:webHidden/>
          </w:rPr>
          <w:fldChar w:fldCharType="separate"/>
        </w:r>
        <w:r>
          <w:rPr>
            <w:noProof/>
            <w:webHidden/>
          </w:rPr>
          <w:t>32</w:t>
        </w:r>
        <w:r>
          <w:rPr>
            <w:noProof/>
            <w:webHidden/>
          </w:rPr>
          <w:fldChar w:fldCharType="end"/>
        </w:r>
      </w:hyperlink>
    </w:p>
    <w:p w14:paraId="06EC685D" w14:textId="0B4EBA98" w:rsidR="007D6638" w:rsidRDefault="007D6638">
      <w:pPr>
        <w:pStyle w:val="TOC2"/>
        <w:tabs>
          <w:tab w:val="right" w:leader="dot" w:pos="9350"/>
        </w:tabs>
        <w:rPr>
          <w:rFonts w:asciiTheme="minorHAnsi" w:eastAsiaTheme="minorEastAsia" w:hAnsiTheme="minorHAnsi"/>
          <w:noProof/>
          <w:lang w:val="en-US" w:bidi="si-LK"/>
        </w:rPr>
      </w:pPr>
      <w:hyperlink w:anchor="_Toc227947992" w:history="1">
        <w:r w:rsidRPr="002B5A1C">
          <w:rPr>
            <w:rStyle w:val="Hyperlink"/>
            <w:noProof/>
          </w:rPr>
          <w:t>3.3 International and Ethical Considerations</w:t>
        </w:r>
        <w:r>
          <w:rPr>
            <w:noProof/>
            <w:webHidden/>
          </w:rPr>
          <w:tab/>
        </w:r>
        <w:r>
          <w:rPr>
            <w:noProof/>
            <w:webHidden/>
          </w:rPr>
          <w:fldChar w:fldCharType="begin"/>
        </w:r>
        <w:r>
          <w:rPr>
            <w:noProof/>
            <w:webHidden/>
          </w:rPr>
          <w:instrText xml:space="preserve"> PAGEREF _Toc227947992 \h </w:instrText>
        </w:r>
        <w:r>
          <w:rPr>
            <w:noProof/>
            <w:webHidden/>
          </w:rPr>
        </w:r>
        <w:r>
          <w:rPr>
            <w:noProof/>
            <w:webHidden/>
          </w:rPr>
          <w:fldChar w:fldCharType="separate"/>
        </w:r>
        <w:r>
          <w:rPr>
            <w:noProof/>
            <w:webHidden/>
          </w:rPr>
          <w:t>33</w:t>
        </w:r>
        <w:r>
          <w:rPr>
            <w:noProof/>
            <w:webHidden/>
          </w:rPr>
          <w:fldChar w:fldCharType="end"/>
        </w:r>
      </w:hyperlink>
    </w:p>
    <w:p w14:paraId="366C60FF" w14:textId="022BF020" w:rsidR="007D6638" w:rsidRDefault="007D6638">
      <w:pPr>
        <w:pStyle w:val="TOC1"/>
        <w:tabs>
          <w:tab w:val="right" w:leader="dot" w:pos="9350"/>
        </w:tabs>
        <w:rPr>
          <w:rFonts w:asciiTheme="minorHAnsi" w:eastAsiaTheme="minorEastAsia" w:hAnsiTheme="minorHAnsi"/>
          <w:noProof/>
          <w:lang w:val="en-US" w:bidi="si-LK"/>
        </w:rPr>
      </w:pPr>
      <w:hyperlink w:anchor="_Toc227947993" w:history="1">
        <w:r w:rsidRPr="002B5A1C">
          <w:rPr>
            <w:rStyle w:val="Hyperlink"/>
            <w:noProof/>
          </w:rPr>
          <w:t>4. Investment Appraisal and Capital Budgeting</w:t>
        </w:r>
        <w:r>
          <w:rPr>
            <w:noProof/>
            <w:webHidden/>
          </w:rPr>
          <w:tab/>
        </w:r>
        <w:r>
          <w:rPr>
            <w:noProof/>
            <w:webHidden/>
          </w:rPr>
          <w:fldChar w:fldCharType="begin"/>
        </w:r>
        <w:r>
          <w:rPr>
            <w:noProof/>
            <w:webHidden/>
          </w:rPr>
          <w:instrText xml:space="preserve"> PAGEREF _Toc227947993 \h </w:instrText>
        </w:r>
        <w:r>
          <w:rPr>
            <w:noProof/>
            <w:webHidden/>
          </w:rPr>
        </w:r>
        <w:r>
          <w:rPr>
            <w:noProof/>
            <w:webHidden/>
          </w:rPr>
          <w:fldChar w:fldCharType="separate"/>
        </w:r>
        <w:r>
          <w:rPr>
            <w:noProof/>
            <w:webHidden/>
          </w:rPr>
          <w:t>34</w:t>
        </w:r>
        <w:r>
          <w:rPr>
            <w:noProof/>
            <w:webHidden/>
          </w:rPr>
          <w:fldChar w:fldCharType="end"/>
        </w:r>
      </w:hyperlink>
    </w:p>
    <w:p w14:paraId="76D1ECBA" w14:textId="3B184B19" w:rsidR="007D6638" w:rsidRDefault="007D6638">
      <w:pPr>
        <w:pStyle w:val="TOC2"/>
        <w:tabs>
          <w:tab w:val="right" w:leader="dot" w:pos="9350"/>
        </w:tabs>
        <w:rPr>
          <w:rFonts w:asciiTheme="minorHAnsi" w:eastAsiaTheme="minorEastAsia" w:hAnsiTheme="minorHAnsi"/>
          <w:noProof/>
          <w:lang w:val="en-US" w:bidi="si-LK"/>
        </w:rPr>
      </w:pPr>
      <w:hyperlink w:anchor="_Toc227947994" w:history="1">
        <w:r w:rsidRPr="002B5A1C">
          <w:rPr>
            <w:rStyle w:val="Hyperlink"/>
            <w:noProof/>
          </w:rPr>
          <w:t>4.1 Payback Period Analysis</w:t>
        </w:r>
        <w:r>
          <w:rPr>
            <w:noProof/>
            <w:webHidden/>
          </w:rPr>
          <w:tab/>
        </w:r>
        <w:r>
          <w:rPr>
            <w:noProof/>
            <w:webHidden/>
          </w:rPr>
          <w:fldChar w:fldCharType="begin"/>
        </w:r>
        <w:r>
          <w:rPr>
            <w:noProof/>
            <w:webHidden/>
          </w:rPr>
          <w:instrText xml:space="preserve"> PAGEREF _Toc227947994 \h </w:instrText>
        </w:r>
        <w:r>
          <w:rPr>
            <w:noProof/>
            <w:webHidden/>
          </w:rPr>
        </w:r>
        <w:r>
          <w:rPr>
            <w:noProof/>
            <w:webHidden/>
          </w:rPr>
          <w:fldChar w:fldCharType="separate"/>
        </w:r>
        <w:r>
          <w:rPr>
            <w:noProof/>
            <w:webHidden/>
          </w:rPr>
          <w:t>34</w:t>
        </w:r>
        <w:r>
          <w:rPr>
            <w:noProof/>
            <w:webHidden/>
          </w:rPr>
          <w:fldChar w:fldCharType="end"/>
        </w:r>
      </w:hyperlink>
    </w:p>
    <w:p w14:paraId="6E739075" w14:textId="311C8BB3" w:rsidR="007D6638" w:rsidRDefault="007D6638">
      <w:pPr>
        <w:pStyle w:val="TOC2"/>
        <w:tabs>
          <w:tab w:val="right" w:leader="dot" w:pos="9350"/>
        </w:tabs>
        <w:rPr>
          <w:rFonts w:asciiTheme="minorHAnsi" w:eastAsiaTheme="minorEastAsia" w:hAnsiTheme="minorHAnsi"/>
          <w:noProof/>
          <w:lang w:val="en-US" w:bidi="si-LK"/>
        </w:rPr>
      </w:pPr>
      <w:hyperlink w:anchor="_Toc227947995" w:history="1">
        <w:r w:rsidRPr="002B5A1C">
          <w:rPr>
            <w:rStyle w:val="Hyperlink"/>
            <w:noProof/>
          </w:rPr>
          <w:t>4.2 Accounting Rate of Return (ARR)</w:t>
        </w:r>
        <w:r>
          <w:rPr>
            <w:noProof/>
            <w:webHidden/>
          </w:rPr>
          <w:tab/>
        </w:r>
        <w:r>
          <w:rPr>
            <w:noProof/>
            <w:webHidden/>
          </w:rPr>
          <w:fldChar w:fldCharType="begin"/>
        </w:r>
        <w:r>
          <w:rPr>
            <w:noProof/>
            <w:webHidden/>
          </w:rPr>
          <w:instrText xml:space="preserve"> PAGEREF _Toc227947995 \h </w:instrText>
        </w:r>
        <w:r>
          <w:rPr>
            <w:noProof/>
            <w:webHidden/>
          </w:rPr>
        </w:r>
        <w:r>
          <w:rPr>
            <w:noProof/>
            <w:webHidden/>
          </w:rPr>
          <w:fldChar w:fldCharType="separate"/>
        </w:r>
        <w:r>
          <w:rPr>
            <w:noProof/>
            <w:webHidden/>
          </w:rPr>
          <w:t>35</w:t>
        </w:r>
        <w:r>
          <w:rPr>
            <w:noProof/>
            <w:webHidden/>
          </w:rPr>
          <w:fldChar w:fldCharType="end"/>
        </w:r>
      </w:hyperlink>
    </w:p>
    <w:p w14:paraId="6279C021" w14:textId="3383B12F" w:rsidR="007D6638" w:rsidRDefault="007D6638">
      <w:pPr>
        <w:pStyle w:val="TOC2"/>
        <w:tabs>
          <w:tab w:val="right" w:leader="dot" w:pos="9350"/>
        </w:tabs>
        <w:rPr>
          <w:rFonts w:asciiTheme="minorHAnsi" w:eastAsiaTheme="minorEastAsia" w:hAnsiTheme="minorHAnsi"/>
          <w:noProof/>
          <w:lang w:val="en-US" w:bidi="si-LK"/>
        </w:rPr>
      </w:pPr>
      <w:hyperlink w:anchor="_Toc227947996" w:history="1">
        <w:r w:rsidRPr="002B5A1C">
          <w:rPr>
            <w:rStyle w:val="Hyperlink"/>
            <w:noProof/>
          </w:rPr>
          <w:t>4.3 Net Present Value (NPV)</w:t>
        </w:r>
        <w:r>
          <w:rPr>
            <w:noProof/>
            <w:webHidden/>
          </w:rPr>
          <w:tab/>
        </w:r>
        <w:r>
          <w:rPr>
            <w:noProof/>
            <w:webHidden/>
          </w:rPr>
          <w:fldChar w:fldCharType="begin"/>
        </w:r>
        <w:r>
          <w:rPr>
            <w:noProof/>
            <w:webHidden/>
          </w:rPr>
          <w:instrText xml:space="preserve"> PAGEREF _Toc227947996 \h </w:instrText>
        </w:r>
        <w:r>
          <w:rPr>
            <w:noProof/>
            <w:webHidden/>
          </w:rPr>
        </w:r>
        <w:r>
          <w:rPr>
            <w:noProof/>
            <w:webHidden/>
          </w:rPr>
          <w:fldChar w:fldCharType="separate"/>
        </w:r>
        <w:r>
          <w:rPr>
            <w:noProof/>
            <w:webHidden/>
          </w:rPr>
          <w:t>35</w:t>
        </w:r>
        <w:r>
          <w:rPr>
            <w:noProof/>
            <w:webHidden/>
          </w:rPr>
          <w:fldChar w:fldCharType="end"/>
        </w:r>
      </w:hyperlink>
    </w:p>
    <w:p w14:paraId="73CC93EB" w14:textId="1DBF8D6D" w:rsidR="007D6638" w:rsidRDefault="007D6638">
      <w:pPr>
        <w:pStyle w:val="TOC2"/>
        <w:tabs>
          <w:tab w:val="right" w:leader="dot" w:pos="9350"/>
        </w:tabs>
        <w:rPr>
          <w:rFonts w:asciiTheme="minorHAnsi" w:eastAsiaTheme="minorEastAsia" w:hAnsiTheme="minorHAnsi"/>
          <w:noProof/>
          <w:lang w:val="en-US" w:bidi="si-LK"/>
        </w:rPr>
      </w:pPr>
      <w:hyperlink w:anchor="_Toc227947997" w:history="1">
        <w:r w:rsidRPr="002B5A1C">
          <w:rPr>
            <w:rStyle w:val="Hyperlink"/>
            <w:noProof/>
          </w:rPr>
          <w:t>4.4 Profitability Index (PI)</w:t>
        </w:r>
        <w:r>
          <w:rPr>
            <w:noProof/>
            <w:webHidden/>
          </w:rPr>
          <w:tab/>
        </w:r>
        <w:r>
          <w:rPr>
            <w:noProof/>
            <w:webHidden/>
          </w:rPr>
          <w:fldChar w:fldCharType="begin"/>
        </w:r>
        <w:r>
          <w:rPr>
            <w:noProof/>
            <w:webHidden/>
          </w:rPr>
          <w:instrText xml:space="preserve"> PAGEREF _Toc227947997 \h </w:instrText>
        </w:r>
        <w:r>
          <w:rPr>
            <w:noProof/>
            <w:webHidden/>
          </w:rPr>
        </w:r>
        <w:r>
          <w:rPr>
            <w:noProof/>
            <w:webHidden/>
          </w:rPr>
          <w:fldChar w:fldCharType="separate"/>
        </w:r>
        <w:r>
          <w:rPr>
            <w:noProof/>
            <w:webHidden/>
          </w:rPr>
          <w:t>36</w:t>
        </w:r>
        <w:r>
          <w:rPr>
            <w:noProof/>
            <w:webHidden/>
          </w:rPr>
          <w:fldChar w:fldCharType="end"/>
        </w:r>
      </w:hyperlink>
    </w:p>
    <w:p w14:paraId="0A5387B9" w14:textId="416FF689" w:rsidR="007D6638" w:rsidRDefault="007D6638">
      <w:pPr>
        <w:pStyle w:val="TOC2"/>
        <w:tabs>
          <w:tab w:val="right" w:leader="dot" w:pos="9350"/>
        </w:tabs>
        <w:rPr>
          <w:rFonts w:asciiTheme="minorHAnsi" w:eastAsiaTheme="minorEastAsia" w:hAnsiTheme="minorHAnsi"/>
          <w:noProof/>
          <w:lang w:val="en-US" w:bidi="si-LK"/>
        </w:rPr>
      </w:pPr>
      <w:hyperlink w:anchor="_Toc227947998" w:history="1">
        <w:r w:rsidRPr="002B5A1C">
          <w:rPr>
            <w:rStyle w:val="Hyperlink"/>
            <w:noProof/>
          </w:rPr>
          <w:t>4.5 Internal Rate of Return (IRR)</w:t>
        </w:r>
        <w:r>
          <w:rPr>
            <w:noProof/>
            <w:webHidden/>
          </w:rPr>
          <w:tab/>
        </w:r>
        <w:r>
          <w:rPr>
            <w:noProof/>
            <w:webHidden/>
          </w:rPr>
          <w:fldChar w:fldCharType="begin"/>
        </w:r>
        <w:r>
          <w:rPr>
            <w:noProof/>
            <w:webHidden/>
          </w:rPr>
          <w:instrText xml:space="preserve"> PAGEREF _Toc227947998 \h </w:instrText>
        </w:r>
        <w:r>
          <w:rPr>
            <w:noProof/>
            <w:webHidden/>
          </w:rPr>
        </w:r>
        <w:r>
          <w:rPr>
            <w:noProof/>
            <w:webHidden/>
          </w:rPr>
          <w:fldChar w:fldCharType="separate"/>
        </w:r>
        <w:r>
          <w:rPr>
            <w:noProof/>
            <w:webHidden/>
          </w:rPr>
          <w:t>37</w:t>
        </w:r>
        <w:r>
          <w:rPr>
            <w:noProof/>
            <w:webHidden/>
          </w:rPr>
          <w:fldChar w:fldCharType="end"/>
        </w:r>
      </w:hyperlink>
    </w:p>
    <w:p w14:paraId="418A86AB" w14:textId="7CBAE627" w:rsidR="007D6638" w:rsidRDefault="007D6638">
      <w:pPr>
        <w:pStyle w:val="TOC2"/>
        <w:tabs>
          <w:tab w:val="right" w:leader="dot" w:pos="9350"/>
        </w:tabs>
        <w:rPr>
          <w:rFonts w:asciiTheme="minorHAnsi" w:eastAsiaTheme="minorEastAsia" w:hAnsiTheme="minorHAnsi"/>
          <w:noProof/>
          <w:lang w:val="en-US" w:bidi="si-LK"/>
        </w:rPr>
      </w:pPr>
      <w:hyperlink w:anchor="_Toc227947999" w:history="1">
        <w:r w:rsidRPr="002B5A1C">
          <w:rPr>
            <w:rStyle w:val="Hyperlink"/>
            <w:noProof/>
          </w:rPr>
          <w:t>4.6 Comparative Evaluation of Projects</w:t>
        </w:r>
        <w:r>
          <w:rPr>
            <w:noProof/>
            <w:webHidden/>
          </w:rPr>
          <w:tab/>
        </w:r>
        <w:r>
          <w:rPr>
            <w:noProof/>
            <w:webHidden/>
          </w:rPr>
          <w:fldChar w:fldCharType="begin"/>
        </w:r>
        <w:r>
          <w:rPr>
            <w:noProof/>
            <w:webHidden/>
          </w:rPr>
          <w:instrText xml:space="preserve"> PAGEREF _Toc227947999 \h </w:instrText>
        </w:r>
        <w:r>
          <w:rPr>
            <w:noProof/>
            <w:webHidden/>
          </w:rPr>
        </w:r>
        <w:r>
          <w:rPr>
            <w:noProof/>
            <w:webHidden/>
          </w:rPr>
          <w:fldChar w:fldCharType="separate"/>
        </w:r>
        <w:r>
          <w:rPr>
            <w:noProof/>
            <w:webHidden/>
          </w:rPr>
          <w:t>37</w:t>
        </w:r>
        <w:r>
          <w:rPr>
            <w:noProof/>
            <w:webHidden/>
          </w:rPr>
          <w:fldChar w:fldCharType="end"/>
        </w:r>
      </w:hyperlink>
    </w:p>
    <w:p w14:paraId="7A5D2C61" w14:textId="414B1F5D" w:rsidR="007D6638" w:rsidRDefault="007D6638">
      <w:pPr>
        <w:pStyle w:val="TOC2"/>
        <w:tabs>
          <w:tab w:val="right" w:leader="dot" w:pos="9350"/>
        </w:tabs>
        <w:rPr>
          <w:rFonts w:asciiTheme="minorHAnsi" w:eastAsiaTheme="minorEastAsia" w:hAnsiTheme="minorHAnsi"/>
          <w:noProof/>
          <w:lang w:val="en-US" w:bidi="si-LK"/>
        </w:rPr>
      </w:pPr>
      <w:hyperlink w:anchor="_Toc227948000" w:history="1">
        <w:r w:rsidRPr="002B5A1C">
          <w:rPr>
            <w:rStyle w:val="Hyperlink"/>
            <w:noProof/>
          </w:rPr>
          <w:t>4.7 Capital Rationing Decision</w:t>
        </w:r>
        <w:r>
          <w:rPr>
            <w:noProof/>
            <w:webHidden/>
          </w:rPr>
          <w:tab/>
        </w:r>
        <w:r>
          <w:rPr>
            <w:noProof/>
            <w:webHidden/>
          </w:rPr>
          <w:fldChar w:fldCharType="begin"/>
        </w:r>
        <w:r>
          <w:rPr>
            <w:noProof/>
            <w:webHidden/>
          </w:rPr>
          <w:instrText xml:space="preserve"> PAGEREF _Toc227948000 \h </w:instrText>
        </w:r>
        <w:r>
          <w:rPr>
            <w:noProof/>
            <w:webHidden/>
          </w:rPr>
        </w:r>
        <w:r>
          <w:rPr>
            <w:noProof/>
            <w:webHidden/>
          </w:rPr>
          <w:fldChar w:fldCharType="separate"/>
        </w:r>
        <w:r>
          <w:rPr>
            <w:noProof/>
            <w:webHidden/>
          </w:rPr>
          <w:t>38</w:t>
        </w:r>
        <w:r>
          <w:rPr>
            <w:noProof/>
            <w:webHidden/>
          </w:rPr>
          <w:fldChar w:fldCharType="end"/>
        </w:r>
      </w:hyperlink>
    </w:p>
    <w:p w14:paraId="637C7268" w14:textId="4721587B" w:rsidR="007D6638" w:rsidRDefault="007D6638">
      <w:pPr>
        <w:pStyle w:val="TOC2"/>
        <w:tabs>
          <w:tab w:val="right" w:leader="dot" w:pos="9350"/>
        </w:tabs>
        <w:rPr>
          <w:rFonts w:asciiTheme="minorHAnsi" w:eastAsiaTheme="minorEastAsia" w:hAnsiTheme="minorHAnsi"/>
          <w:noProof/>
          <w:lang w:val="en-US" w:bidi="si-LK"/>
        </w:rPr>
      </w:pPr>
      <w:hyperlink w:anchor="_Toc227948001" w:history="1">
        <w:r w:rsidRPr="002B5A1C">
          <w:rPr>
            <w:rStyle w:val="Hyperlink"/>
            <w:noProof/>
          </w:rPr>
          <w:t>4.9 Consideration of Non-Financial Risks</w:t>
        </w:r>
        <w:r>
          <w:rPr>
            <w:noProof/>
            <w:webHidden/>
          </w:rPr>
          <w:tab/>
        </w:r>
        <w:r>
          <w:rPr>
            <w:noProof/>
            <w:webHidden/>
          </w:rPr>
          <w:fldChar w:fldCharType="begin"/>
        </w:r>
        <w:r>
          <w:rPr>
            <w:noProof/>
            <w:webHidden/>
          </w:rPr>
          <w:instrText xml:space="preserve"> PAGEREF _Toc227948001 \h </w:instrText>
        </w:r>
        <w:r>
          <w:rPr>
            <w:noProof/>
            <w:webHidden/>
          </w:rPr>
        </w:r>
        <w:r>
          <w:rPr>
            <w:noProof/>
            <w:webHidden/>
          </w:rPr>
          <w:fldChar w:fldCharType="separate"/>
        </w:r>
        <w:r>
          <w:rPr>
            <w:noProof/>
            <w:webHidden/>
          </w:rPr>
          <w:t>39</w:t>
        </w:r>
        <w:r>
          <w:rPr>
            <w:noProof/>
            <w:webHidden/>
          </w:rPr>
          <w:fldChar w:fldCharType="end"/>
        </w:r>
      </w:hyperlink>
    </w:p>
    <w:p w14:paraId="383DF2A6" w14:textId="3873F071" w:rsidR="007D6638" w:rsidRDefault="007D6638">
      <w:pPr>
        <w:pStyle w:val="TOC2"/>
        <w:tabs>
          <w:tab w:val="right" w:leader="dot" w:pos="9350"/>
        </w:tabs>
        <w:rPr>
          <w:rFonts w:asciiTheme="minorHAnsi" w:eastAsiaTheme="minorEastAsia" w:hAnsiTheme="minorHAnsi"/>
          <w:noProof/>
          <w:lang w:val="en-US" w:bidi="si-LK"/>
        </w:rPr>
      </w:pPr>
      <w:hyperlink w:anchor="_Toc227948002" w:history="1">
        <w:r w:rsidRPr="002B5A1C">
          <w:rPr>
            <w:rStyle w:val="Hyperlink"/>
            <w:noProof/>
          </w:rPr>
          <w:t>4.10 Strategic Implications for Decision-Making</w:t>
        </w:r>
        <w:r>
          <w:rPr>
            <w:noProof/>
            <w:webHidden/>
          </w:rPr>
          <w:tab/>
        </w:r>
        <w:r>
          <w:rPr>
            <w:noProof/>
            <w:webHidden/>
          </w:rPr>
          <w:fldChar w:fldCharType="begin"/>
        </w:r>
        <w:r>
          <w:rPr>
            <w:noProof/>
            <w:webHidden/>
          </w:rPr>
          <w:instrText xml:space="preserve"> PAGEREF _Toc227948002 \h </w:instrText>
        </w:r>
        <w:r>
          <w:rPr>
            <w:noProof/>
            <w:webHidden/>
          </w:rPr>
        </w:r>
        <w:r>
          <w:rPr>
            <w:noProof/>
            <w:webHidden/>
          </w:rPr>
          <w:fldChar w:fldCharType="separate"/>
        </w:r>
        <w:r>
          <w:rPr>
            <w:noProof/>
            <w:webHidden/>
          </w:rPr>
          <w:t>39</w:t>
        </w:r>
        <w:r>
          <w:rPr>
            <w:noProof/>
            <w:webHidden/>
          </w:rPr>
          <w:fldChar w:fldCharType="end"/>
        </w:r>
      </w:hyperlink>
    </w:p>
    <w:p w14:paraId="3B928F3D" w14:textId="5844BE66" w:rsidR="007D6638" w:rsidRDefault="007D6638">
      <w:pPr>
        <w:pStyle w:val="TOC1"/>
        <w:tabs>
          <w:tab w:val="right" w:leader="dot" w:pos="9350"/>
        </w:tabs>
        <w:rPr>
          <w:rFonts w:asciiTheme="minorHAnsi" w:eastAsiaTheme="minorEastAsia" w:hAnsiTheme="minorHAnsi"/>
          <w:noProof/>
          <w:lang w:val="en-US" w:bidi="si-LK"/>
        </w:rPr>
      </w:pPr>
      <w:hyperlink w:anchor="_Toc227948003" w:history="1">
        <w:r w:rsidRPr="002B5A1C">
          <w:rPr>
            <w:rStyle w:val="Hyperlink"/>
            <w:noProof/>
          </w:rPr>
          <w:t>5. Conclusion</w:t>
        </w:r>
        <w:r>
          <w:rPr>
            <w:noProof/>
            <w:webHidden/>
          </w:rPr>
          <w:tab/>
        </w:r>
        <w:r>
          <w:rPr>
            <w:noProof/>
            <w:webHidden/>
          </w:rPr>
          <w:fldChar w:fldCharType="begin"/>
        </w:r>
        <w:r>
          <w:rPr>
            <w:noProof/>
            <w:webHidden/>
          </w:rPr>
          <w:instrText xml:space="preserve"> PAGEREF _Toc227948003 \h </w:instrText>
        </w:r>
        <w:r>
          <w:rPr>
            <w:noProof/>
            <w:webHidden/>
          </w:rPr>
        </w:r>
        <w:r>
          <w:rPr>
            <w:noProof/>
            <w:webHidden/>
          </w:rPr>
          <w:fldChar w:fldCharType="separate"/>
        </w:r>
        <w:r>
          <w:rPr>
            <w:noProof/>
            <w:webHidden/>
          </w:rPr>
          <w:t>40</w:t>
        </w:r>
        <w:r>
          <w:rPr>
            <w:noProof/>
            <w:webHidden/>
          </w:rPr>
          <w:fldChar w:fldCharType="end"/>
        </w:r>
      </w:hyperlink>
    </w:p>
    <w:p w14:paraId="008DF533" w14:textId="7641B65B" w:rsidR="007D6638" w:rsidRDefault="007D6638">
      <w:pPr>
        <w:pStyle w:val="TOC1"/>
        <w:tabs>
          <w:tab w:val="right" w:leader="dot" w:pos="9350"/>
        </w:tabs>
        <w:rPr>
          <w:rFonts w:asciiTheme="minorHAnsi" w:eastAsiaTheme="minorEastAsia" w:hAnsiTheme="minorHAnsi"/>
          <w:noProof/>
          <w:lang w:val="en-US" w:bidi="si-LK"/>
        </w:rPr>
      </w:pPr>
      <w:hyperlink w:anchor="_Toc227948004" w:history="1">
        <w:r w:rsidRPr="002B5A1C">
          <w:rPr>
            <w:rStyle w:val="Hyperlink"/>
            <w:noProof/>
          </w:rPr>
          <w:t>References</w:t>
        </w:r>
        <w:r>
          <w:rPr>
            <w:noProof/>
            <w:webHidden/>
          </w:rPr>
          <w:tab/>
        </w:r>
        <w:r>
          <w:rPr>
            <w:noProof/>
            <w:webHidden/>
          </w:rPr>
          <w:fldChar w:fldCharType="begin"/>
        </w:r>
        <w:r>
          <w:rPr>
            <w:noProof/>
            <w:webHidden/>
          </w:rPr>
          <w:instrText xml:space="preserve"> PAGEREF _Toc227948004 \h </w:instrText>
        </w:r>
        <w:r>
          <w:rPr>
            <w:noProof/>
            <w:webHidden/>
          </w:rPr>
        </w:r>
        <w:r>
          <w:rPr>
            <w:noProof/>
            <w:webHidden/>
          </w:rPr>
          <w:fldChar w:fldCharType="separate"/>
        </w:r>
        <w:r>
          <w:rPr>
            <w:noProof/>
            <w:webHidden/>
          </w:rPr>
          <w:t>40</w:t>
        </w:r>
        <w:r>
          <w:rPr>
            <w:noProof/>
            <w:webHidden/>
          </w:rPr>
          <w:fldChar w:fldCharType="end"/>
        </w:r>
      </w:hyperlink>
    </w:p>
    <w:p w14:paraId="6104576E" w14:textId="0B542279" w:rsidR="007D6638" w:rsidRDefault="007D6638">
      <w:pPr>
        <w:pStyle w:val="TOC1"/>
        <w:tabs>
          <w:tab w:val="right" w:leader="dot" w:pos="9350"/>
        </w:tabs>
        <w:rPr>
          <w:rFonts w:asciiTheme="minorHAnsi" w:eastAsiaTheme="minorEastAsia" w:hAnsiTheme="minorHAnsi"/>
          <w:noProof/>
          <w:lang w:val="en-US" w:bidi="si-LK"/>
        </w:rPr>
      </w:pPr>
      <w:hyperlink w:anchor="_Toc227948005" w:history="1">
        <w:r w:rsidRPr="002B5A1C">
          <w:rPr>
            <w:rStyle w:val="Hyperlink"/>
            <w:noProof/>
          </w:rPr>
          <w:t>Appendices</w:t>
        </w:r>
        <w:r>
          <w:rPr>
            <w:noProof/>
            <w:webHidden/>
          </w:rPr>
          <w:tab/>
        </w:r>
        <w:r>
          <w:rPr>
            <w:noProof/>
            <w:webHidden/>
          </w:rPr>
          <w:fldChar w:fldCharType="begin"/>
        </w:r>
        <w:r>
          <w:rPr>
            <w:noProof/>
            <w:webHidden/>
          </w:rPr>
          <w:instrText xml:space="preserve"> PAGEREF _Toc227948005 \h </w:instrText>
        </w:r>
        <w:r>
          <w:rPr>
            <w:noProof/>
            <w:webHidden/>
          </w:rPr>
        </w:r>
        <w:r>
          <w:rPr>
            <w:noProof/>
            <w:webHidden/>
          </w:rPr>
          <w:fldChar w:fldCharType="separate"/>
        </w:r>
        <w:r>
          <w:rPr>
            <w:noProof/>
            <w:webHidden/>
          </w:rPr>
          <w:t>47</w:t>
        </w:r>
        <w:r>
          <w:rPr>
            <w:noProof/>
            <w:webHidden/>
          </w:rPr>
          <w:fldChar w:fldCharType="end"/>
        </w:r>
      </w:hyperlink>
    </w:p>
    <w:p w14:paraId="7E9AEFC0" w14:textId="6C3982E9" w:rsidR="007D6638" w:rsidRDefault="007D6638">
      <w:pPr>
        <w:pStyle w:val="TOC2"/>
        <w:tabs>
          <w:tab w:val="right" w:leader="dot" w:pos="9350"/>
        </w:tabs>
        <w:rPr>
          <w:rFonts w:asciiTheme="minorHAnsi" w:eastAsiaTheme="minorEastAsia" w:hAnsiTheme="minorHAnsi"/>
          <w:noProof/>
          <w:lang w:val="en-US" w:bidi="si-LK"/>
        </w:rPr>
      </w:pPr>
      <w:hyperlink w:anchor="_Toc227948006" w:history="1">
        <w:r w:rsidRPr="002B5A1C">
          <w:rPr>
            <w:rStyle w:val="Hyperlink"/>
            <w:noProof/>
          </w:rPr>
          <w:t>Excel sheet</w:t>
        </w:r>
        <w:r>
          <w:rPr>
            <w:noProof/>
            <w:webHidden/>
          </w:rPr>
          <w:tab/>
        </w:r>
        <w:r>
          <w:rPr>
            <w:noProof/>
            <w:webHidden/>
          </w:rPr>
          <w:fldChar w:fldCharType="begin"/>
        </w:r>
        <w:r>
          <w:rPr>
            <w:noProof/>
            <w:webHidden/>
          </w:rPr>
          <w:instrText xml:space="preserve"> PAGEREF _Toc227948006 \h </w:instrText>
        </w:r>
        <w:r>
          <w:rPr>
            <w:noProof/>
            <w:webHidden/>
          </w:rPr>
        </w:r>
        <w:r>
          <w:rPr>
            <w:noProof/>
            <w:webHidden/>
          </w:rPr>
          <w:fldChar w:fldCharType="separate"/>
        </w:r>
        <w:r>
          <w:rPr>
            <w:noProof/>
            <w:webHidden/>
          </w:rPr>
          <w:t>47</w:t>
        </w:r>
        <w:r>
          <w:rPr>
            <w:noProof/>
            <w:webHidden/>
          </w:rPr>
          <w:fldChar w:fldCharType="end"/>
        </w:r>
      </w:hyperlink>
    </w:p>
    <w:p w14:paraId="18EC876C" w14:textId="048C4958" w:rsidR="007D6638" w:rsidRDefault="007D6638">
      <w:pPr>
        <w:pStyle w:val="TOC2"/>
        <w:tabs>
          <w:tab w:val="right" w:leader="dot" w:pos="9350"/>
        </w:tabs>
        <w:rPr>
          <w:rFonts w:asciiTheme="minorHAnsi" w:eastAsiaTheme="minorEastAsia" w:hAnsiTheme="minorHAnsi"/>
          <w:noProof/>
          <w:lang w:val="en-US" w:bidi="si-LK"/>
        </w:rPr>
      </w:pPr>
      <w:hyperlink w:anchor="_Toc227948007" w:history="1">
        <w:r w:rsidRPr="002B5A1C">
          <w:rPr>
            <w:rStyle w:val="Hyperlink"/>
            <w:noProof/>
          </w:rPr>
          <w:t>Ratio Analysis</w:t>
        </w:r>
        <w:r>
          <w:rPr>
            <w:noProof/>
            <w:webHidden/>
          </w:rPr>
          <w:tab/>
        </w:r>
        <w:r>
          <w:rPr>
            <w:noProof/>
            <w:webHidden/>
          </w:rPr>
          <w:fldChar w:fldCharType="begin"/>
        </w:r>
        <w:r>
          <w:rPr>
            <w:noProof/>
            <w:webHidden/>
          </w:rPr>
          <w:instrText xml:space="preserve"> PAGEREF _Toc227948007 \h </w:instrText>
        </w:r>
        <w:r>
          <w:rPr>
            <w:noProof/>
            <w:webHidden/>
          </w:rPr>
        </w:r>
        <w:r>
          <w:rPr>
            <w:noProof/>
            <w:webHidden/>
          </w:rPr>
          <w:fldChar w:fldCharType="separate"/>
        </w:r>
        <w:r>
          <w:rPr>
            <w:noProof/>
            <w:webHidden/>
          </w:rPr>
          <w:t>47</w:t>
        </w:r>
        <w:r>
          <w:rPr>
            <w:noProof/>
            <w:webHidden/>
          </w:rPr>
          <w:fldChar w:fldCharType="end"/>
        </w:r>
      </w:hyperlink>
    </w:p>
    <w:p w14:paraId="4513F8A6" w14:textId="66642D88" w:rsidR="007D6638" w:rsidRDefault="007D6638">
      <w:pPr>
        <w:pStyle w:val="TOC2"/>
        <w:tabs>
          <w:tab w:val="right" w:leader="dot" w:pos="9350"/>
        </w:tabs>
        <w:rPr>
          <w:rFonts w:asciiTheme="minorHAnsi" w:eastAsiaTheme="minorEastAsia" w:hAnsiTheme="minorHAnsi"/>
          <w:noProof/>
          <w:lang w:val="en-US" w:bidi="si-LK"/>
        </w:rPr>
      </w:pPr>
      <w:hyperlink w:anchor="_Toc227948008" w:history="1">
        <w:r w:rsidRPr="002B5A1C">
          <w:rPr>
            <w:rStyle w:val="Hyperlink"/>
            <w:noProof/>
          </w:rPr>
          <w:t>Cash Conversion Calculations</w:t>
        </w:r>
        <w:r>
          <w:rPr>
            <w:noProof/>
            <w:webHidden/>
          </w:rPr>
          <w:tab/>
        </w:r>
        <w:r>
          <w:rPr>
            <w:noProof/>
            <w:webHidden/>
          </w:rPr>
          <w:fldChar w:fldCharType="begin"/>
        </w:r>
        <w:r>
          <w:rPr>
            <w:noProof/>
            <w:webHidden/>
          </w:rPr>
          <w:instrText xml:space="preserve"> PAGEREF _Toc227948008 \h </w:instrText>
        </w:r>
        <w:r>
          <w:rPr>
            <w:noProof/>
            <w:webHidden/>
          </w:rPr>
        </w:r>
        <w:r>
          <w:rPr>
            <w:noProof/>
            <w:webHidden/>
          </w:rPr>
          <w:fldChar w:fldCharType="separate"/>
        </w:r>
        <w:r>
          <w:rPr>
            <w:noProof/>
            <w:webHidden/>
          </w:rPr>
          <w:t>52</w:t>
        </w:r>
        <w:r>
          <w:rPr>
            <w:noProof/>
            <w:webHidden/>
          </w:rPr>
          <w:fldChar w:fldCharType="end"/>
        </w:r>
      </w:hyperlink>
    </w:p>
    <w:p w14:paraId="12B083D6" w14:textId="2A36DDE9" w:rsidR="00416FD6" w:rsidRPr="00CE2117" w:rsidRDefault="00C23A3D">
      <w:pPr>
        <w:rPr>
          <w:b/>
          <w:bCs/>
          <w:sz w:val="28"/>
          <w:szCs w:val="28"/>
        </w:rPr>
      </w:pPr>
      <w:r w:rsidRPr="00CE2117">
        <w:rPr>
          <w:b/>
          <w:bCs/>
          <w:sz w:val="28"/>
          <w:szCs w:val="28"/>
        </w:rPr>
        <w:fldChar w:fldCharType="end"/>
      </w:r>
    </w:p>
    <w:p w14:paraId="59C7E34F" w14:textId="77777777" w:rsidR="00416FD6" w:rsidRPr="00CE2117" w:rsidRDefault="00416FD6">
      <w:pPr>
        <w:rPr>
          <w:b/>
          <w:bCs/>
          <w:sz w:val="28"/>
          <w:szCs w:val="28"/>
        </w:rPr>
      </w:pPr>
    </w:p>
    <w:p w14:paraId="0B1DA6AB" w14:textId="77777777" w:rsidR="00416FD6" w:rsidRPr="00CE2117" w:rsidRDefault="00416FD6">
      <w:pPr>
        <w:rPr>
          <w:b/>
          <w:bCs/>
          <w:sz w:val="28"/>
          <w:szCs w:val="28"/>
        </w:rPr>
      </w:pPr>
    </w:p>
    <w:p w14:paraId="2361D7C9" w14:textId="77777777" w:rsidR="00416FD6" w:rsidRPr="00CE2117" w:rsidRDefault="00416FD6">
      <w:pPr>
        <w:rPr>
          <w:b/>
          <w:bCs/>
          <w:sz w:val="28"/>
          <w:szCs w:val="28"/>
        </w:rPr>
      </w:pPr>
    </w:p>
    <w:p w14:paraId="456644C5" w14:textId="77777777" w:rsidR="00416FD6" w:rsidRPr="00CE2117" w:rsidRDefault="00416FD6">
      <w:pPr>
        <w:rPr>
          <w:b/>
          <w:bCs/>
          <w:sz w:val="28"/>
          <w:szCs w:val="28"/>
        </w:rPr>
      </w:pPr>
    </w:p>
    <w:p w14:paraId="7BAA5F01" w14:textId="77777777" w:rsidR="00416FD6" w:rsidRPr="00CE2117" w:rsidRDefault="00416FD6">
      <w:pPr>
        <w:rPr>
          <w:b/>
          <w:bCs/>
          <w:sz w:val="28"/>
          <w:szCs w:val="28"/>
        </w:rPr>
      </w:pPr>
    </w:p>
    <w:p w14:paraId="3738FFA3" w14:textId="77777777" w:rsidR="00416FD6" w:rsidRPr="00CE2117" w:rsidRDefault="00416FD6">
      <w:pPr>
        <w:rPr>
          <w:b/>
          <w:bCs/>
          <w:sz w:val="28"/>
          <w:szCs w:val="28"/>
        </w:rPr>
      </w:pPr>
    </w:p>
    <w:p w14:paraId="1F06BC17" w14:textId="77777777" w:rsidR="00396EB6" w:rsidRPr="00CE2117" w:rsidRDefault="00396EB6">
      <w:pPr>
        <w:rPr>
          <w:b/>
          <w:bCs/>
          <w:sz w:val="28"/>
          <w:szCs w:val="28"/>
        </w:rPr>
      </w:pPr>
    </w:p>
    <w:p w14:paraId="30BCD936" w14:textId="77777777" w:rsidR="00396EB6" w:rsidRPr="00CE2117" w:rsidRDefault="00396EB6">
      <w:pPr>
        <w:rPr>
          <w:b/>
          <w:bCs/>
          <w:sz w:val="28"/>
          <w:szCs w:val="28"/>
        </w:rPr>
      </w:pPr>
    </w:p>
    <w:p w14:paraId="24E44936" w14:textId="77777777" w:rsidR="00396EB6" w:rsidRPr="00CE2117" w:rsidRDefault="00396EB6">
      <w:pPr>
        <w:rPr>
          <w:b/>
          <w:bCs/>
          <w:sz w:val="28"/>
          <w:szCs w:val="28"/>
        </w:rPr>
      </w:pPr>
    </w:p>
    <w:p w14:paraId="04C20244" w14:textId="77777777" w:rsidR="00396EB6" w:rsidRPr="00CE2117" w:rsidRDefault="00396EB6">
      <w:pPr>
        <w:rPr>
          <w:b/>
          <w:bCs/>
          <w:sz w:val="28"/>
          <w:szCs w:val="28"/>
        </w:rPr>
      </w:pPr>
    </w:p>
    <w:p w14:paraId="703E4322" w14:textId="6F75391D" w:rsidR="00416FD6" w:rsidRPr="00CE2117" w:rsidRDefault="00416FD6">
      <w:pPr>
        <w:rPr>
          <w:b/>
          <w:bCs/>
          <w:sz w:val="28"/>
          <w:szCs w:val="28"/>
        </w:rPr>
      </w:pPr>
      <w:r w:rsidRPr="00CE2117">
        <w:rPr>
          <w:b/>
          <w:bCs/>
          <w:sz w:val="28"/>
          <w:szCs w:val="28"/>
        </w:rPr>
        <w:t>List of Tables</w:t>
      </w:r>
    </w:p>
    <w:p w14:paraId="709F1D59" w14:textId="33958165" w:rsidR="00396EB6" w:rsidRPr="00CE2117" w:rsidRDefault="00C23A3D">
      <w:pPr>
        <w:pStyle w:val="TableofFigures"/>
        <w:tabs>
          <w:tab w:val="right" w:leader="dot" w:pos="9350"/>
        </w:tabs>
        <w:rPr>
          <w:rFonts w:asciiTheme="minorHAnsi" w:eastAsiaTheme="minorEastAsia" w:hAnsiTheme="minorHAnsi"/>
        </w:rPr>
      </w:pPr>
      <w:r w:rsidRPr="00CE2117">
        <w:rPr>
          <w:b/>
          <w:bCs/>
          <w:sz w:val="28"/>
          <w:szCs w:val="28"/>
        </w:rPr>
        <w:fldChar w:fldCharType="begin"/>
      </w:r>
      <w:r w:rsidRPr="00CE2117">
        <w:rPr>
          <w:b/>
          <w:bCs/>
          <w:sz w:val="28"/>
          <w:szCs w:val="28"/>
        </w:rPr>
        <w:instrText xml:space="preserve"> TOC \h \z \c "Table" </w:instrText>
      </w:r>
      <w:r w:rsidRPr="00CE2117">
        <w:rPr>
          <w:b/>
          <w:bCs/>
          <w:sz w:val="28"/>
          <w:szCs w:val="28"/>
        </w:rPr>
        <w:fldChar w:fldCharType="separate"/>
      </w:r>
      <w:hyperlink w:anchor="_Toc227927287" w:history="1">
        <w:r w:rsidR="00396EB6" w:rsidRPr="00CE2117">
          <w:rPr>
            <w:rStyle w:val="Hyperlink"/>
          </w:rPr>
          <w:t>Table 3: Payback Period (PBP)</w:t>
        </w:r>
        <w:r w:rsidR="00396EB6" w:rsidRPr="00CE2117">
          <w:rPr>
            <w:webHidden/>
          </w:rPr>
          <w:tab/>
        </w:r>
        <w:r w:rsidR="00396EB6" w:rsidRPr="00CE2117">
          <w:rPr>
            <w:webHidden/>
          </w:rPr>
          <w:fldChar w:fldCharType="begin"/>
        </w:r>
        <w:r w:rsidR="00396EB6" w:rsidRPr="00CE2117">
          <w:rPr>
            <w:webHidden/>
          </w:rPr>
          <w:instrText xml:space="preserve"> PAGEREF _Toc227927287 \h </w:instrText>
        </w:r>
        <w:r w:rsidR="00396EB6" w:rsidRPr="00CE2117">
          <w:rPr>
            <w:webHidden/>
          </w:rPr>
        </w:r>
        <w:r w:rsidR="00396EB6" w:rsidRPr="00CE2117">
          <w:rPr>
            <w:webHidden/>
          </w:rPr>
          <w:fldChar w:fldCharType="separate"/>
        </w:r>
        <w:r w:rsidR="002952B2" w:rsidRPr="00CE2117">
          <w:rPr>
            <w:webHidden/>
          </w:rPr>
          <w:t>36</w:t>
        </w:r>
        <w:r w:rsidR="00396EB6" w:rsidRPr="00CE2117">
          <w:rPr>
            <w:webHidden/>
          </w:rPr>
          <w:fldChar w:fldCharType="end"/>
        </w:r>
      </w:hyperlink>
    </w:p>
    <w:p w14:paraId="2335CFF4" w14:textId="379E72C2" w:rsidR="00396EB6" w:rsidRPr="00CE2117" w:rsidRDefault="00396EB6">
      <w:pPr>
        <w:pStyle w:val="TableofFigures"/>
        <w:tabs>
          <w:tab w:val="right" w:leader="dot" w:pos="9350"/>
        </w:tabs>
        <w:rPr>
          <w:rFonts w:asciiTheme="minorHAnsi" w:eastAsiaTheme="minorEastAsia" w:hAnsiTheme="minorHAnsi"/>
        </w:rPr>
      </w:pPr>
      <w:hyperlink w:anchor="_Toc227927288" w:history="1">
        <w:r w:rsidRPr="00CE2117">
          <w:rPr>
            <w:rStyle w:val="Hyperlink"/>
          </w:rPr>
          <w:t>Table 4: Accounting Rate of Return (ARR)</w:t>
        </w:r>
        <w:r w:rsidRPr="00CE2117">
          <w:rPr>
            <w:webHidden/>
          </w:rPr>
          <w:tab/>
        </w:r>
        <w:r w:rsidRPr="00CE2117">
          <w:rPr>
            <w:webHidden/>
          </w:rPr>
          <w:fldChar w:fldCharType="begin"/>
        </w:r>
        <w:r w:rsidRPr="00CE2117">
          <w:rPr>
            <w:webHidden/>
          </w:rPr>
          <w:instrText xml:space="preserve"> PAGEREF _Toc227927288 \h </w:instrText>
        </w:r>
        <w:r w:rsidRPr="00CE2117">
          <w:rPr>
            <w:webHidden/>
          </w:rPr>
        </w:r>
        <w:r w:rsidRPr="00CE2117">
          <w:rPr>
            <w:webHidden/>
          </w:rPr>
          <w:fldChar w:fldCharType="separate"/>
        </w:r>
        <w:r w:rsidR="002952B2" w:rsidRPr="00CE2117">
          <w:rPr>
            <w:webHidden/>
          </w:rPr>
          <w:t>37</w:t>
        </w:r>
        <w:r w:rsidRPr="00CE2117">
          <w:rPr>
            <w:webHidden/>
          </w:rPr>
          <w:fldChar w:fldCharType="end"/>
        </w:r>
      </w:hyperlink>
    </w:p>
    <w:p w14:paraId="6277776A" w14:textId="62B15857" w:rsidR="00396EB6" w:rsidRPr="00CE2117" w:rsidRDefault="00396EB6">
      <w:pPr>
        <w:pStyle w:val="TableofFigures"/>
        <w:tabs>
          <w:tab w:val="right" w:leader="dot" w:pos="9350"/>
        </w:tabs>
        <w:rPr>
          <w:rFonts w:asciiTheme="minorHAnsi" w:eastAsiaTheme="minorEastAsia" w:hAnsiTheme="minorHAnsi"/>
        </w:rPr>
      </w:pPr>
      <w:hyperlink w:anchor="_Toc227927289" w:history="1">
        <w:r w:rsidRPr="00CE2117">
          <w:rPr>
            <w:rStyle w:val="Hyperlink"/>
          </w:rPr>
          <w:t>Table 5: Net Present Value (NPV)</w:t>
        </w:r>
        <w:r w:rsidRPr="00CE2117">
          <w:rPr>
            <w:webHidden/>
          </w:rPr>
          <w:tab/>
        </w:r>
        <w:r w:rsidRPr="00CE2117">
          <w:rPr>
            <w:webHidden/>
          </w:rPr>
          <w:fldChar w:fldCharType="begin"/>
        </w:r>
        <w:r w:rsidRPr="00CE2117">
          <w:rPr>
            <w:webHidden/>
          </w:rPr>
          <w:instrText xml:space="preserve"> PAGEREF _Toc227927289 \h </w:instrText>
        </w:r>
        <w:r w:rsidRPr="00CE2117">
          <w:rPr>
            <w:webHidden/>
          </w:rPr>
        </w:r>
        <w:r w:rsidRPr="00CE2117">
          <w:rPr>
            <w:webHidden/>
          </w:rPr>
          <w:fldChar w:fldCharType="separate"/>
        </w:r>
        <w:r w:rsidR="002952B2" w:rsidRPr="00CE2117">
          <w:rPr>
            <w:webHidden/>
          </w:rPr>
          <w:t>37</w:t>
        </w:r>
        <w:r w:rsidRPr="00CE2117">
          <w:rPr>
            <w:webHidden/>
          </w:rPr>
          <w:fldChar w:fldCharType="end"/>
        </w:r>
      </w:hyperlink>
    </w:p>
    <w:p w14:paraId="1C2D0B0E" w14:textId="63BFF8C9" w:rsidR="00396EB6" w:rsidRPr="00CE2117" w:rsidRDefault="00396EB6">
      <w:pPr>
        <w:pStyle w:val="TableofFigures"/>
        <w:tabs>
          <w:tab w:val="right" w:leader="dot" w:pos="9350"/>
        </w:tabs>
        <w:rPr>
          <w:rFonts w:asciiTheme="minorHAnsi" w:eastAsiaTheme="minorEastAsia" w:hAnsiTheme="minorHAnsi"/>
        </w:rPr>
      </w:pPr>
      <w:hyperlink w:anchor="_Toc227927290" w:history="1">
        <w:r w:rsidRPr="00CE2117">
          <w:rPr>
            <w:rStyle w:val="Hyperlink"/>
          </w:rPr>
          <w:t>Table 6: Profitability Index (PI)</w:t>
        </w:r>
        <w:r w:rsidRPr="00CE2117">
          <w:rPr>
            <w:webHidden/>
          </w:rPr>
          <w:tab/>
        </w:r>
        <w:r w:rsidRPr="00CE2117">
          <w:rPr>
            <w:webHidden/>
          </w:rPr>
          <w:fldChar w:fldCharType="begin"/>
        </w:r>
        <w:r w:rsidRPr="00CE2117">
          <w:rPr>
            <w:webHidden/>
          </w:rPr>
          <w:instrText xml:space="preserve"> PAGEREF _Toc227927290 \h </w:instrText>
        </w:r>
        <w:r w:rsidRPr="00CE2117">
          <w:rPr>
            <w:webHidden/>
          </w:rPr>
        </w:r>
        <w:r w:rsidRPr="00CE2117">
          <w:rPr>
            <w:webHidden/>
          </w:rPr>
          <w:fldChar w:fldCharType="separate"/>
        </w:r>
        <w:r w:rsidR="002952B2" w:rsidRPr="00CE2117">
          <w:rPr>
            <w:webHidden/>
          </w:rPr>
          <w:t>38</w:t>
        </w:r>
        <w:r w:rsidRPr="00CE2117">
          <w:rPr>
            <w:webHidden/>
          </w:rPr>
          <w:fldChar w:fldCharType="end"/>
        </w:r>
      </w:hyperlink>
    </w:p>
    <w:p w14:paraId="070DE0FF" w14:textId="6ED314EF" w:rsidR="00396EB6" w:rsidRPr="00CE2117" w:rsidRDefault="00396EB6">
      <w:pPr>
        <w:pStyle w:val="TableofFigures"/>
        <w:tabs>
          <w:tab w:val="right" w:leader="dot" w:pos="9350"/>
        </w:tabs>
        <w:rPr>
          <w:rFonts w:asciiTheme="minorHAnsi" w:eastAsiaTheme="minorEastAsia" w:hAnsiTheme="minorHAnsi"/>
        </w:rPr>
      </w:pPr>
      <w:hyperlink w:anchor="_Toc227927291" w:history="1">
        <w:r w:rsidRPr="00CE2117">
          <w:rPr>
            <w:rStyle w:val="Hyperlink"/>
          </w:rPr>
          <w:t>Table 7: Internal Rate of Return (IRR)</w:t>
        </w:r>
        <w:r w:rsidRPr="00CE2117">
          <w:rPr>
            <w:webHidden/>
          </w:rPr>
          <w:tab/>
        </w:r>
        <w:r w:rsidRPr="00CE2117">
          <w:rPr>
            <w:webHidden/>
          </w:rPr>
          <w:fldChar w:fldCharType="begin"/>
        </w:r>
        <w:r w:rsidRPr="00CE2117">
          <w:rPr>
            <w:webHidden/>
          </w:rPr>
          <w:instrText xml:space="preserve"> PAGEREF _Toc227927291 \h </w:instrText>
        </w:r>
        <w:r w:rsidRPr="00CE2117">
          <w:rPr>
            <w:webHidden/>
          </w:rPr>
        </w:r>
        <w:r w:rsidRPr="00CE2117">
          <w:rPr>
            <w:webHidden/>
          </w:rPr>
          <w:fldChar w:fldCharType="separate"/>
        </w:r>
        <w:r w:rsidR="002952B2" w:rsidRPr="00CE2117">
          <w:rPr>
            <w:webHidden/>
          </w:rPr>
          <w:t>38</w:t>
        </w:r>
        <w:r w:rsidRPr="00CE2117">
          <w:rPr>
            <w:webHidden/>
          </w:rPr>
          <w:fldChar w:fldCharType="end"/>
        </w:r>
      </w:hyperlink>
    </w:p>
    <w:p w14:paraId="3A7D3FFF" w14:textId="0100B747" w:rsidR="00396EB6" w:rsidRPr="00CE2117" w:rsidRDefault="00396EB6">
      <w:pPr>
        <w:pStyle w:val="TableofFigures"/>
        <w:tabs>
          <w:tab w:val="right" w:leader="dot" w:pos="9350"/>
        </w:tabs>
        <w:rPr>
          <w:rFonts w:asciiTheme="minorHAnsi" w:eastAsiaTheme="minorEastAsia" w:hAnsiTheme="minorHAnsi"/>
        </w:rPr>
      </w:pPr>
      <w:hyperlink w:anchor="_Toc227927292" w:history="1">
        <w:r w:rsidRPr="00CE2117">
          <w:rPr>
            <w:rStyle w:val="Hyperlink"/>
          </w:rPr>
          <w:t>Table 8: Evaluation of Projects</w:t>
        </w:r>
        <w:r w:rsidRPr="00CE2117">
          <w:rPr>
            <w:webHidden/>
          </w:rPr>
          <w:tab/>
        </w:r>
        <w:r w:rsidRPr="00CE2117">
          <w:rPr>
            <w:webHidden/>
          </w:rPr>
          <w:fldChar w:fldCharType="begin"/>
        </w:r>
        <w:r w:rsidRPr="00CE2117">
          <w:rPr>
            <w:webHidden/>
          </w:rPr>
          <w:instrText xml:space="preserve"> PAGEREF _Toc227927292 \h </w:instrText>
        </w:r>
        <w:r w:rsidRPr="00CE2117">
          <w:rPr>
            <w:webHidden/>
          </w:rPr>
        </w:r>
        <w:r w:rsidRPr="00CE2117">
          <w:rPr>
            <w:webHidden/>
          </w:rPr>
          <w:fldChar w:fldCharType="separate"/>
        </w:r>
        <w:r w:rsidR="002952B2" w:rsidRPr="00CE2117">
          <w:rPr>
            <w:webHidden/>
          </w:rPr>
          <w:t>39</w:t>
        </w:r>
        <w:r w:rsidRPr="00CE2117">
          <w:rPr>
            <w:webHidden/>
          </w:rPr>
          <w:fldChar w:fldCharType="end"/>
        </w:r>
      </w:hyperlink>
    </w:p>
    <w:p w14:paraId="720CFDAA" w14:textId="4054F333" w:rsidR="00396EB6" w:rsidRPr="00CE2117" w:rsidRDefault="00396EB6">
      <w:pPr>
        <w:pStyle w:val="TableofFigures"/>
        <w:tabs>
          <w:tab w:val="right" w:leader="dot" w:pos="9350"/>
        </w:tabs>
        <w:rPr>
          <w:rFonts w:asciiTheme="minorHAnsi" w:eastAsiaTheme="minorEastAsia" w:hAnsiTheme="minorHAnsi"/>
        </w:rPr>
      </w:pPr>
      <w:hyperlink w:anchor="_Toc227927293" w:history="1">
        <w:r w:rsidRPr="00CE2117">
          <w:rPr>
            <w:rStyle w:val="Hyperlink"/>
          </w:rPr>
          <w:t>Table 9: Possible Project Combinations</w:t>
        </w:r>
        <w:r w:rsidRPr="00CE2117">
          <w:rPr>
            <w:webHidden/>
          </w:rPr>
          <w:tab/>
        </w:r>
        <w:r w:rsidRPr="00CE2117">
          <w:rPr>
            <w:webHidden/>
          </w:rPr>
          <w:fldChar w:fldCharType="begin"/>
        </w:r>
        <w:r w:rsidRPr="00CE2117">
          <w:rPr>
            <w:webHidden/>
          </w:rPr>
          <w:instrText xml:space="preserve"> PAGEREF _Toc227927293 \h </w:instrText>
        </w:r>
        <w:r w:rsidRPr="00CE2117">
          <w:rPr>
            <w:webHidden/>
          </w:rPr>
        </w:r>
        <w:r w:rsidRPr="00CE2117">
          <w:rPr>
            <w:webHidden/>
          </w:rPr>
          <w:fldChar w:fldCharType="separate"/>
        </w:r>
        <w:r w:rsidR="002952B2" w:rsidRPr="00CE2117">
          <w:rPr>
            <w:webHidden/>
          </w:rPr>
          <w:t>40</w:t>
        </w:r>
        <w:r w:rsidRPr="00CE2117">
          <w:rPr>
            <w:webHidden/>
          </w:rPr>
          <w:fldChar w:fldCharType="end"/>
        </w:r>
      </w:hyperlink>
    </w:p>
    <w:p w14:paraId="776C4F67" w14:textId="04CBD82B" w:rsidR="00396EB6" w:rsidRPr="00CE2117" w:rsidRDefault="00396EB6">
      <w:pPr>
        <w:pStyle w:val="TableofFigures"/>
        <w:tabs>
          <w:tab w:val="right" w:leader="dot" w:pos="9350"/>
        </w:tabs>
        <w:rPr>
          <w:rFonts w:asciiTheme="minorHAnsi" w:eastAsiaTheme="minorEastAsia" w:hAnsiTheme="minorHAnsi"/>
        </w:rPr>
      </w:pPr>
      <w:hyperlink w:anchor="_Toc227927294" w:history="1">
        <w:r w:rsidRPr="00CE2117">
          <w:rPr>
            <w:rStyle w:val="Hyperlink"/>
          </w:rPr>
          <w:t>Table 10: Optimal Combination Selection</w:t>
        </w:r>
        <w:r w:rsidRPr="00CE2117">
          <w:rPr>
            <w:webHidden/>
          </w:rPr>
          <w:tab/>
        </w:r>
        <w:r w:rsidRPr="00CE2117">
          <w:rPr>
            <w:webHidden/>
          </w:rPr>
          <w:fldChar w:fldCharType="begin"/>
        </w:r>
        <w:r w:rsidRPr="00CE2117">
          <w:rPr>
            <w:webHidden/>
          </w:rPr>
          <w:instrText xml:space="preserve"> PAGEREF _Toc227927294 \h </w:instrText>
        </w:r>
        <w:r w:rsidRPr="00CE2117">
          <w:rPr>
            <w:webHidden/>
          </w:rPr>
        </w:r>
        <w:r w:rsidRPr="00CE2117">
          <w:rPr>
            <w:webHidden/>
          </w:rPr>
          <w:fldChar w:fldCharType="separate"/>
        </w:r>
        <w:r w:rsidR="002952B2" w:rsidRPr="00CE2117">
          <w:rPr>
            <w:webHidden/>
          </w:rPr>
          <w:t>41</w:t>
        </w:r>
        <w:r w:rsidRPr="00CE2117">
          <w:rPr>
            <w:webHidden/>
          </w:rPr>
          <w:fldChar w:fldCharType="end"/>
        </w:r>
      </w:hyperlink>
    </w:p>
    <w:p w14:paraId="4AD26730" w14:textId="112F0AF2" w:rsidR="00C23A3D" w:rsidRPr="00CE2117" w:rsidRDefault="00C23A3D">
      <w:pPr>
        <w:rPr>
          <w:b/>
          <w:bCs/>
          <w:sz w:val="28"/>
          <w:szCs w:val="28"/>
        </w:rPr>
      </w:pPr>
      <w:r w:rsidRPr="00CE2117">
        <w:rPr>
          <w:b/>
          <w:bCs/>
          <w:sz w:val="28"/>
          <w:szCs w:val="28"/>
        </w:rPr>
        <w:fldChar w:fldCharType="end"/>
      </w:r>
    </w:p>
    <w:p w14:paraId="3057F612" w14:textId="77777777" w:rsidR="00416FD6" w:rsidRPr="00CE2117" w:rsidRDefault="00416FD6">
      <w:pPr>
        <w:rPr>
          <w:b/>
          <w:bCs/>
          <w:sz w:val="28"/>
          <w:szCs w:val="28"/>
        </w:rPr>
      </w:pPr>
    </w:p>
    <w:p w14:paraId="2C9F2F47" w14:textId="77777777" w:rsidR="00416FD6" w:rsidRPr="00CE2117" w:rsidRDefault="00416FD6">
      <w:pPr>
        <w:rPr>
          <w:b/>
          <w:bCs/>
          <w:sz w:val="28"/>
          <w:szCs w:val="28"/>
        </w:rPr>
      </w:pPr>
    </w:p>
    <w:p w14:paraId="0A8F1AB5" w14:textId="77777777" w:rsidR="00416FD6" w:rsidRPr="00CE2117" w:rsidRDefault="00416FD6">
      <w:pPr>
        <w:rPr>
          <w:b/>
          <w:bCs/>
          <w:sz w:val="28"/>
          <w:szCs w:val="28"/>
        </w:rPr>
      </w:pPr>
    </w:p>
    <w:p w14:paraId="3689CFD5" w14:textId="77777777" w:rsidR="00416FD6" w:rsidRPr="00CE2117" w:rsidRDefault="00416FD6">
      <w:pPr>
        <w:rPr>
          <w:b/>
          <w:bCs/>
          <w:sz w:val="28"/>
          <w:szCs w:val="28"/>
        </w:rPr>
      </w:pPr>
    </w:p>
    <w:p w14:paraId="20D10BB1" w14:textId="77777777" w:rsidR="00416FD6" w:rsidRPr="00CE2117" w:rsidRDefault="00416FD6">
      <w:pPr>
        <w:rPr>
          <w:b/>
          <w:bCs/>
          <w:sz w:val="28"/>
          <w:szCs w:val="28"/>
        </w:rPr>
      </w:pPr>
    </w:p>
    <w:p w14:paraId="19717859" w14:textId="77777777" w:rsidR="00416FD6" w:rsidRPr="00CE2117" w:rsidRDefault="00416FD6">
      <w:pPr>
        <w:rPr>
          <w:b/>
          <w:bCs/>
          <w:sz w:val="28"/>
          <w:szCs w:val="28"/>
        </w:rPr>
      </w:pPr>
    </w:p>
    <w:p w14:paraId="1889952B" w14:textId="77777777" w:rsidR="00416FD6" w:rsidRPr="00CE2117" w:rsidRDefault="00416FD6">
      <w:pPr>
        <w:rPr>
          <w:b/>
          <w:bCs/>
          <w:sz w:val="28"/>
          <w:szCs w:val="28"/>
        </w:rPr>
      </w:pPr>
    </w:p>
    <w:p w14:paraId="4AE5FA9D" w14:textId="77777777" w:rsidR="00416FD6" w:rsidRPr="00CE2117" w:rsidRDefault="00416FD6">
      <w:pPr>
        <w:rPr>
          <w:b/>
          <w:bCs/>
          <w:sz w:val="28"/>
          <w:szCs w:val="28"/>
        </w:rPr>
      </w:pPr>
    </w:p>
    <w:p w14:paraId="7EF8E851" w14:textId="77777777" w:rsidR="00416FD6" w:rsidRPr="00CE2117" w:rsidRDefault="00416FD6">
      <w:pPr>
        <w:rPr>
          <w:b/>
          <w:bCs/>
          <w:sz w:val="28"/>
          <w:szCs w:val="28"/>
        </w:rPr>
      </w:pPr>
    </w:p>
    <w:p w14:paraId="3837F361" w14:textId="77777777" w:rsidR="00416FD6" w:rsidRPr="00CE2117" w:rsidRDefault="00416FD6">
      <w:pPr>
        <w:rPr>
          <w:b/>
          <w:bCs/>
          <w:sz w:val="28"/>
          <w:szCs w:val="28"/>
        </w:rPr>
      </w:pPr>
    </w:p>
    <w:p w14:paraId="4154D21B" w14:textId="77777777" w:rsidR="00416FD6" w:rsidRPr="00CE2117" w:rsidRDefault="00416FD6">
      <w:pPr>
        <w:rPr>
          <w:b/>
          <w:bCs/>
          <w:sz w:val="28"/>
          <w:szCs w:val="28"/>
        </w:rPr>
      </w:pPr>
    </w:p>
    <w:p w14:paraId="0458F1CF" w14:textId="77777777" w:rsidR="00416FD6" w:rsidRPr="00CE2117" w:rsidRDefault="00416FD6">
      <w:pPr>
        <w:rPr>
          <w:b/>
          <w:bCs/>
          <w:sz w:val="28"/>
          <w:szCs w:val="28"/>
        </w:rPr>
      </w:pPr>
    </w:p>
    <w:p w14:paraId="42530F41" w14:textId="77777777" w:rsidR="00396EB6" w:rsidRPr="00CE2117" w:rsidRDefault="00396EB6">
      <w:pPr>
        <w:rPr>
          <w:b/>
          <w:bCs/>
          <w:sz w:val="28"/>
          <w:szCs w:val="28"/>
        </w:rPr>
      </w:pPr>
    </w:p>
    <w:p w14:paraId="1443CFD9" w14:textId="6551024B" w:rsidR="00416FD6" w:rsidRPr="00CE2117" w:rsidRDefault="00416FD6">
      <w:pPr>
        <w:rPr>
          <w:b/>
          <w:bCs/>
          <w:sz w:val="28"/>
          <w:szCs w:val="28"/>
        </w:rPr>
      </w:pPr>
      <w:r w:rsidRPr="00CE2117">
        <w:rPr>
          <w:b/>
          <w:bCs/>
          <w:sz w:val="28"/>
          <w:szCs w:val="28"/>
        </w:rPr>
        <w:t>List of Figures</w:t>
      </w:r>
    </w:p>
    <w:p w14:paraId="76007E2C" w14:textId="627F8D17" w:rsidR="00396EB6" w:rsidRPr="00CE2117" w:rsidRDefault="00C23A3D">
      <w:pPr>
        <w:pStyle w:val="TableofFigures"/>
        <w:tabs>
          <w:tab w:val="right" w:leader="dot" w:pos="9350"/>
        </w:tabs>
        <w:rPr>
          <w:rFonts w:asciiTheme="minorHAnsi" w:eastAsiaTheme="minorEastAsia" w:hAnsiTheme="minorHAnsi"/>
        </w:rPr>
      </w:pPr>
      <w:r w:rsidRPr="00CE2117">
        <w:rPr>
          <w:b/>
          <w:bCs/>
          <w:sz w:val="28"/>
          <w:szCs w:val="28"/>
        </w:rPr>
        <w:fldChar w:fldCharType="begin"/>
      </w:r>
      <w:r w:rsidRPr="00CE2117">
        <w:rPr>
          <w:b/>
          <w:bCs/>
          <w:sz w:val="28"/>
          <w:szCs w:val="28"/>
        </w:rPr>
        <w:instrText xml:space="preserve"> TOC \h \z \c "Figure" </w:instrText>
      </w:r>
      <w:r w:rsidRPr="00CE2117">
        <w:rPr>
          <w:b/>
          <w:bCs/>
          <w:sz w:val="28"/>
          <w:szCs w:val="28"/>
        </w:rPr>
        <w:fldChar w:fldCharType="separate"/>
      </w:r>
      <w:hyperlink w:anchor="_Toc227927242" w:history="1">
        <w:r w:rsidR="00396EB6" w:rsidRPr="00CE2117">
          <w:rPr>
            <w:rStyle w:val="Hyperlink"/>
          </w:rPr>
          <w:t>Figure 1: Hyundai Motor Company</w:t>
        </w:r>
        <w:r w:rsidR="00396EB6" w:rsidRPr="00CE2117">
          <w:rPr>
            <w:webHidden/>
          </w:rPr>
          <w:tab/>
        </w:r>
        <w:r w:rsidR="00396EB6" w:rsidRPr="00CE2117">
          <w:rPr>
            <w:webHidden/>
          </w:rPr>
          <w:fldChar w:fldCharType="begin"/>
        </w:r>
        <w:r w:rsidR="00396EB6" w:rsidRPr="00CE2117">
          <w:rPr>
            <w:webHidden/>
          </w:rPr>
          <w:instrText xml:space="preserve"> PAGEREF _Toc227927242 \h </w:instrText>
        </w:r>
        <w:r w:rsidR="00396EB6" w:rsidRPr="00CE2117">
          <w:rPr>
            <w:webHidden/>
          </w:rPr>
        </w:r>
        <w:r w:rsidR="00396EB6" w:rsidRPr="00CE2117">
          <w:rPr>
            <w:webHidden/>
          </w:rPr>
          <w:fldChar w:fldCharType="separate"/>
        </w:r>
        <w:r w:rsidR="002952B2" w:rsidRPr="00CE2117">
          <w:rPr>
            <w:webHidden/>
          </w:rPr>
          <w:t>7</w:t>
        </w:r>
        <w:r w:rsidR="00396EB6" w:rsidRPr="00CE2117">
          <w:rPr>
            <w:webHidden/>
          </w:rPr>
          <w:fldChar w:fldCharType="end"/>
        </w:r>
      </w:hyperlink>
    </w:p>
    <w:p w14:paraId="0BF55606" w14:textId="11D9A612" w:rsidR="00396EB6" w:rsidRPr="00CE2117" w:rsidRDefault="00396EB6">
      <w:pPr>
        <w:pStyle w:val="TableofFigures"/>
        <w:tabs>
          <w:tab w:val="right" w:leader="dot" w:pos="9350"/>
        </w:tabs>
        <w:rPr>
          <w:rFonts w:asciiTheme="minorHAnsi" w:eastAsiaTheme="minorEastAsia" w:hAnsiTheme="minorHAnsi"/>
        </w:rPr>
      </w:pPr>
      <w:hyperlink w:anchor="_Toc227927243" w:history="1">
        <w:r w:rsidRPr="00CE2117">
          <w:rPr>
            <w:rStyle w:val="Hyperlink"/>
          </w:rPr>
          <w:t>Figure 3: Gross Profit Margin</w:t>
        </w:r>
        <w:r w:rsidRPr="00CE2117">
          <w:rPr>
            <w:webHidden/>
          </w:rPr>
          <w:tab/>
        </w:r>
        <w:r w:rsidRPr="00CE2117">
          <w:rPr>
            <w:webHidden/>
          </w:rPr>
          <w:fldChar w:fldCharType="begin"/>
        </w:r>
        <w:r w:rsidRPr="00CE2117">
          <w:rPr>
            <w:webHidden/>
          </w:rPr>
          <w:instrText xml:space="preserve"> PAGEREF _Toc227927243 \h </w:instrText>
        </w:r>
        <w:r w:rsidRPr="00CE2117">
          <w:rPr>
            <w:webHidden/>
          </w:rPr>
        </w:r>
        <w:r w:rsidRPr="00CE2117">
          <w:rPr>
            <w:webHidden/>
          </w:rPr>
          <w:fldChar w:fldCharType="separate"/>
        </w:r>
        <w:r w:rsidR="002952B2" w:rsidRPr="00CE2117">
          <w:rPr>
            <w:webHidden/>
          </w:rPr>
          <w:t>8</w:t>
        </w:r>
        <w:r w:rsidRPr="00CE2117">
          <w:rPr>
            <w:webHidden/>
          </w:rPr>
          <w:fldChar w:fldCharType="end"/>
        </w:r>
      </w:hyperlink>
    </w:p>
    <w:p w14:paraId="5DF1D75B" w14:textId="44CDBF8D" w:rsidR="00396EB6" w:rsidRPr="00CE2117" w:rsidRDefault="00396EB6">
      <w:pPr>
        <w:pStyle w:val="TableofFigures"/>
        <w:tabs>
          <w:tab w:val="right" w:leader="dot" w:pos="9350"/>
        </w:tabs>
        <w:rPr>
          <w:rFonts w:asciiTheme="minorHAnsi" w:eastAsiaTheme="minorEastAsia" w:hAnsiTheme="minorHAnsi"/>
        </w:rPr>
      </w:pPr>
      <w:hyperlink w:anchor="_Toc227927244" w:history="1">
        <w:r w:rsidRPr="00CE2117">
          <w:rPr>
            <w:rStyle w:val="Hyperlink"/>
          </w:rPr>
          <w:t>Figure 4: Net Profit Margin</w:t>
        </w:r>
        <w:r w:rsidRPr="00CE2117">
          <w:rPr>
            <w:webHidden/>
          </w:rPr>
          <w:tab/>
        </w:r>
        <w:r w:rsidRPr="00CE2117">
          <w:rPr>
            <w:webHidden/>
          </w:rPr>
          <w:fldChar w:fldCharType="begin"/>
        </w:r>
        <w:r w:rsidRPr="00CE2117">
          <w:rPr>
            <w:webHidden/>
          </w:rPr>
          <w:instrText xml:space="preserve"> PAGEREF _Toc227927244 \h </w:instrText>
        </w:r>
        <w:r w:rsidRPr="00CE2117">
          <w:rPr>
            <w:webHidden/>
          </w:rPr>
        </w:r>
        <w:r w:rsidRPr="00CE2117">
          <w:rPr>
            <w:webHidden/>
          </w:rPr>
          <w:fldChar w:fldCharType="separate"/>
        </w:r>
        <w:r w:rsidR="002952B2" w:rsidRPr="00CE2117">
          <w:rPr>
            <w:webHidden/>
          </w:rPr>
          <w:t>9</w:t>
        </w:r>
        <w:r w:rsidRPr="00CE2117">
          <w:rPr>
            <w:webHidden/>
          </w:rPr>
          <w:fldChar w:fldCharType="end"/>
        </w:r>
      </w:hyperlink>
    </w:p>
    <w:p w14:paraId="21DF9A39" w14:textId="6C1815ED" w:rsidR="00396EB6" w:rsidRPr="00CE2117" w:rsidRDefault="00396EB6">
      <w:pPr>
        <w:pStyle w:val="TableofFigures"/>
        <w:tabs>
          <w:tab w:val="right" w:leader="dot" w:pos="9350"/>
        </w:tabs>
        <w:rPr>
          <w:rFonts w:asciiTheme="minorHAnsi" w:eastAsiaTheme="minorEastAsia" w:hAnsiTheme="minorHAnsi"/>
        </w:rPr>
      </w:pPr>
      <w:hyperlink w:anchor="_Toc227927245" w:history="1">
        <w:r w:rsidRPr="00CE2117">
          <w:rPr>
            <w:rStyle w:val="Hyperlink"/>
          </w:rPr>
          <w:t>Figure 5: Operating Profit Margin</w:t>
        </w:r>
        <w:r w:rsidRPr="00CE2117">
          <w:rPr>
            <w:webHidden/>
          </w:rPr>
          <w:tab/>
        </w:r>
        <w:r w:rsidRPr="00CE2117">
          <w:rPr>
            <w:webHidden/>
          </w:rPr>
          <w:fldChar w:fldCharType="begin"/>
        </w:r>
        <w:r w:rsidRPr="00CE2117">
          <w:rPr>
            <w:webHidden/>
          </w:rPr>
          <w:instrText xml:space="preserve"> PAGEREF _Toc227927245 \h </w:instrText>
        </w:r>
        <w:r w:rsidRPr="00CE2117">
          <w:rPr>
            <w:webHidden/>
          </w:rPr>
        </w:r>
        <w:r w:rsidRPr="00CE2117">
          <w:rPr>
            <w:webHidden/>
          </w:rPr>
          <w:fldChar w:fldCharType="separate"/>
        </w:r>
        <w:r w:rsidR="002952B2" w:rsidRPr="00CE2117">
          <w:rPr>
            <w:webHidden/>
          </w:rPr>
          <w:t>9</w:t>
        </w:r>
        <w:r w:rsidRPr="00CE2117">
          <w:rPr>
            <w:webHidden/>
          </w:rPr>
          <w:fldChar w:fldCharType="end"/>
        </w:r>
      </w:hyperlink>
    </w:p>
    <w:p w14:paraId="1A2C4038" w14:textId="7CA65B96" w:rsidR="00396EB6" w:rsidRPr="00CE2117" w:rsidRDefault="00396EB6">
      <w:pPr>
        <w:pStyle w:val="TableofFigures"/>
        <w:tabs>
          <w:tab w:val="right" w:leader="dot" w:pos="9350"/>
        </w:tabs>
        <w:rPr>
          <w:rFonts w:asciiTheme="minorHAnsi" w:eastAsiaTheme="minorEastAsia" w:hAnsiTheme="minorHAnsi"/>
        </w:rPr>
      </w:pPr>
      <w:hyperlink w:anchor="_Toc227927246" w:history="1">
        <w:r w:rsidRPr="00CE2117">
          <w:rPr>
            <w:rStyle w:val="Hyperlink"/>
          </w:rPr>
          <w:t>Figure 6: Return on Assets (ROA)</w:t>
        </w:r>
        <w:r w:rsidRPr="00CE2117">
          <w:rPr>
            <w:webHidden/>
          </w:rPr>
          <w:tab/>
        </w:r>
        <w:r w:rsidRPr="00CE2117">
          <w:rPr>
            <w:webHidden/>
          </w:rPr>
          <w:fldChar w:fldCharType="begin"/>
        </w:r>
        <w:r w:rsidRPr="00CE2117">
          <w:rPr>
            <w:webHidden/>
          </w:rPr>
          <w:instrText xml:space="preserve"> PAGEREF _Toc227927246 \h </w:instrText>
        </w:r>
        <w:r w:rsidRPr="00CE2117">
          <w:rPr>
            <w:webHidden/>
          </w:rPr>
        </w:r>
        <w:r w:rsidRPr="00CE2117">
          <w:rPr>
            <w:webHidden/>
          </w:rPr>
          <w:fldChar w:fldCharType="separate"/>
        </w:r>
        <w:r w:rsidR="002952B2" w:rsidRPr="00CE2117">
          <w:rPr>
            <w:webHidden/>
          </w:rPr>
          <w:t>10</w:t>
        </w:r>
        <w:r w:rsidRPr="00CE2117">
          <w:rPr>
            <w:webHidden/>
          </w:rPr>
          <w:fldChar w:fldCharType="end"/>
        </w:r>
      </w:hyperlink>
    </w:p>
    <w:p w14:paraId="2EA87112" w14:textId="4FDC4472" w:rsidR="00396EB6" w:rsidRPr="00CE2117" w:rsidRDefault="00396EB6">
      <w:pPr>
        <w:pStyle w:val="TableofFigures"/>
        <w:tabs>
          <w:tab w:val="right" w:leader="dot" w:pos="9350"/>
        </w:tabs>
        <w:rPr>
          <w:rFonts w:asciiTheme="minorHAnsi" w:eastAsiaTheme="minorEastAsia" w:hAnsiTheme="minorHAnsi"/>
        </w:rPr>
      </w:pPr>
      <w:hyperlink w:anchor="_Toc227927247" w:history="1">
        <w:r w:rsidRPr="00CE2117">
          <w:rPr>
            <w:rStyle w:val="Hyperlink"/>
          </w:rPr>
          <w:t>Figure 7: Return on Equity (ROE)</w:t>
        </w:r>
        <w:r w:rsidRPr="00CE2117">
          <w:rPr>
            <w:webHidden/>
          </w:rPr>
          <w:tab/>
        </w:r>
        <w:r w:rsidRPr="00CE2117">
          <w:rPr>
            <w:webHidden/>
          </w:rPr>
          <w:fldChar w:fldCharType="begin"/>
        </w:r>
        <w:r w:rsidRPr="00CE2117">
          <w:rPr>
            <w:webHidden/>
          </w:rPr>
          <w:instrText xml:space="preserve"> PAGEREF _Toc227927247 \h </w:instrText>
        </w:r>
        <w:r w:rsidRPr="00CE2117">
          <w:rPr>
            <w:webHidden/>
          </w:rPr>
        </w:r>
        <w:r w:rsidRPr="00CE2117">
          <w:rPr>
            <w:webHidden/>
          </w:rPr>
          <w:fldChar w:fldCharType="separate"/>
        </w:r>
        <w:r w:rsidR="002952B2" w:rsidRPr="00CE2117">
          <w:rPr>
            <w:webHidden/>
          </w:rPr>
          <w:t>11</w:t>
        </w:r>
        <w:r w:rsidRPr="00CE2117">
          <w:rPr>
            <w:webHidden/>
          </w:rPr>
          <w:fldChar w:fldCharType="end"/>
        </w:r>
      </w:hyperlink>
    </w:p>
    <w:p w14:paraId="0F069962" w14:textId="74C0E458" w:rsidR="00396EB6" w:rsidRPr="00CE2117" w:rsidRDefault="00396EB6">
      <w:pPr>
        <w:pStyle w:val="TableofFigures"/>
        <w:tabs>
          <w:tab w:val="right" w:leader="dot" w:pos="9350"/>
        </w:tabs>
        <w:rPr>
          <w:rFonts w:asciiTheme="minorHAnsi" w:eastAsiaTheme="minorEastAsia" w:hAnsiTheme="minorHAnsi"/>
        </w:rPr>
      </w:pPr>
      <w:hyperlink w:anchor="_Toc227927248" w:history="1">
        <w:r w:rsidRPr="00CE2117">
          <w:rPr>
            <w:rStyle w:val="Hyperlink"/>
          </w:rPr>
          <w:t>Figure 8: Current Ratio</w:t>
        </w:r>
        <w:r w:rsidRPr="00CE2117">
          <w:rPr>
            <w:webHidden/>
          </w:rPr>
          <w:tab/>
        </w:r>
        <w:r w:rsidRPr="00CE2117">
          <w:rPr>
            <w:webHidden/>
          </w:rPr>
          <w:fldChar w:fldCharType="begin"/>
        </w:r>
        <w:r w:rsidRPr="00CE2117">
          <w:rPr>
            <w:webHidden/>
          </w:rPr>
          <w:instrText xml:space="preserve"> PAGEREF _Toc227927248 \h </w:instrText>
        </w:r>
        <w:r w:rsidRPr="00CE2117">
          <w:rPr>
            <w:webHidden/>
          </w:rPr>
        </w:r>
        <w:r w:rsidRPr="00CE2117">
          <w:rPr>
            <w:webHidden/>
          </w:rPr>
          <w:fldChar w:fldCharType="separate"/>
        </w:r>
        <w:r w:rsidR="002952B2" w:rsidRPr="00CE2117">
          <w:rPr>
            <w:webHidden/>
          </w:rPr>
          <w:t>11</w:t>
        </w:r>
        <w:r w:rsidRPr="00CE2117">
          <w:rPr>
            <w:webHidden/>
          </w:rPr>
          <w:fldChar w:fldCharType="end"/>
        </w:r>
      </w:hyperlink>
    </w:p>
    <w:p w14:paraId="0B36EFEA" w14:textId="02E8E6EA" w:rsidR="00396EB6" w:rsidRPr="00CE2117" w:rsidRDefault="00396EB6">
      <w:pPr>
        <w:pStyle w:val="TableofFigures"/>
        <w:tabs>
          <w:tab w:val="right" w:leader="dot" w:pos="9350"/>
        </w:tabs>
        <w:rPr>
          <w:rFonts w:asciiTheme="minorHAnsi" w:eastAsiaTheme="minorEastAsia" w:hAnsiTheme="minorHAnsi"/>
        </w:rPr>
      </w:pPr>
      <w:hyperlink w:anchor="_Toc227927249" w:history="1">
        <w:r w:rsidRPr="00CE2117">
          <w:rPr>
            <w:rStyle w:val="Hyperlink"/>
          </w:rPr>
          <w:t>Figure 9: Quick Ratio</w:t>
        </w:r>
        <w:r w:rsidRPr="00CE2117">
          <w:rPr>
            <w:webHidden/>
          </w:rPr>
          <w:tab/>
        </w:r>
        <w:r w:rsidRPr="00CE2117">
          <w:rPr>
            <w:webHidden/>
          </w:rPr>
          <w:fldChar w:fldCharType="begin"/>
        </w:r>
        <w:r w:rsidRPr="00CE2117">
          <w:rPr>
            <w:webHidden/>
          </w:rPr>
          <w:instrText xml:space="preserve"> PAGEREF _Toc227927249 \h </w:instrText>
        </w:r>
        <w:r w:rsidRPr="00CE2117">
          <w:rPr>
            <w:webHidden/>
          </w:rPr>
        </w:r>
        <w:r w:rsidRPr="00CE2117">
          <w:rPr>
            <w:webHidden/>
          </w:rPr>
          <w:fldChar w:fldCharType="separate"/>
        </w:r>
        <w:r w:rsidR="002952B2" w:rsidRPr="00CE2117">
          <w:rPr>
            <w:webHidden/>
          </w:rPr>
          <w:t>12</w:t>
        </w:r>
        <w:r w:rsidRPr="00CE2117">
          <w:rPr>
            <w:webHidden/>
          </w:rPr>
          <w:fldChar w:fldCharType="end"/>
        </w:r>
      </w:hyperlink>
    </w:p>
    <w:p w14:paraId="559E9708" w14:textId="68B4BFC7" w:rsidR="00396EB6" w:rsidRPr="00CE2117" w:rsidRDefault="00396EB6">
      <w:pPr>
        <w:pStyle w:val="TableofFigures"/>
        <w:tabs>
          <w:tab w:val="right" w:leader="dot" w:pos="9350"/>
        </w:tabs>
        <w:rPr>
          <w:rFonts w:asciiTheme="minorHAnsi" w:eastAsiaTheme="minorEastAsia" w:hAnsiTheme="minorHAnsi"/>
        </w:rPr>
      </w:pPr>
      <w:hyperlink w:anchor="_Toc227927250" w:history="1">
        <w:r w:rsidRPr="00CE2117">
          <w:rPr>
            <w:rStyle w:val="Hyperlink"/>
          </w:rPr>
          <w:t>Figure 10: Inventory Turnover</w:t>
        </w:r>
        <w:r w:rsidRPr="00CE2117">
          <w:rPr>
            <w:webHidden/>
          </w:rPr>
          <w:tab/>
        </w:r>
        <w:r w:rsidRPr="00CE2117">
          <w:rPr>
            <w:webHidden/>
          </w:rPr>
          <w:fldChar w:fldCharType="begin"/>
        </w:r>
        <w:r w:rsidRPr="00CE2117">
          <w:rPr>
            <w:webHidden/>
          </w:rPr>
          <w:instrText xml:space="preserve"> PAGEREF _Toc227927250 \h </w:instrText>
        </w:r>
        <w:r w:rsidRPr="00CE2117">
          <w:rPr>
            <w:webHidden/>
          </w:rPr>
        </w:r>
        <w:r w:rsidRPr="00CE2117">
          <w:rPr>
            <w:webHidden/>
          </w:rPr>
          <w:fldChar w:fldCharType="separate"/>
        </w:r>
        <w:r w:rsidR="002952B2" w:rsidRPr="00CE2117">
          <w:rPr>
            <w:webHidden/>
          </w:rPr>
          <w:t>12</w:t>
        </w:r>
        <w:r w:rsidRPr="00CE2117">
          <w:rPr>
            <w:webHidden/>
          </w:rPr>
          <w:fldChar w:fldCharType="end"/>
        </w:r>
      </w:hyperlink>
    </w:p>
    <w:p w14:paraId="4015027F" w14:textId="79FE3AE1" w:rsidR="00396EB6" w:rsidRPr="00CE2117" w:rsidRDefault="00396EB6">
      <w:pPr>
        <w:pStyle w:val="TableofFigures"/>
        <w:tabs>
          <w:tab w:val="right" w:leader="dot" w:pos="9350"/>
        </w:tabs>
        <w:rPr>
          <w:rFonts w:asciiTheme="minorHAnsi" w:eastAsiaTheme="minorEastAsia" w:hAnsiTheme="minorHAnsi"/>
        </w:rPr>
      </w:pPr>
      <w:hyperlink w:anchor="_Toc227927251" w:history="1">
        <w:r w:rsidRPr="00CE2117">
          <w:rPr>
            <w:rStyle w:val="Hyperlink"/>
          </w:rPr>
          <w:t>Figure 11: Receivables Collection Period</w:t>
        </w:r>
        <w:r w:rsidRPr="00CE2117">
          <w:rPr>
            <w:webHidden/>
          </w:rPr>
          <w:tab/>
        </w:r>
        <w:r w:rsidRPr="00CE2117">
          <w:rPr>
            <w:webHidden/>
          </w:rPr>
          <w:fldChar w:fldCharType="begin"/>
        </w:r>
        <w:r w:rsidRPr="00CE2117">
          <w:rPr>
            <w:webHidden/>
          </w:rPr>
          <w:instrText xml:space="preserve"> PAGEREF _Toc227927251 \h </w:instrText>
        </w:r>
        <w:r w:rsidRPr="00CE2117">
          <w:rPr>
            <w:webHidden/>
          </w:rPr>
        </w:r>
        <w:r w:rsidRPr="00CE2117">
          <w:rPr>
            <w:webHidden/>
          </w:rPr>
          <w:fldChar w:fldCharType="separate"/>
        </w:r>
        <w:r w:rsidR="002952B2" w:rsidRPr="00CE2117">
          <w:rPr>
            <w:webHidden/>
          </w:rPr>
          <w:t>13</w:t>
        </w:r>
        <w:r w:rsidRPr="00CE2117">
          <w:rPr>
            <w:webHidden/>
          </w:rPr>
          <w:fldChar w:fldCharType="end"/>
        </w:r>
      </w:hyperlink>
    </w:p>
    <w:p w14:paraId="010D8DE5" w14:textId="27A48C9D" w:rsidR="00396EB6" w:rsidRPr="00CE2117" w:rsidRDefault="00396EB6">
      <w:pPr>
        <w:pStyle w:val="TableofFigures"/>
        <w:tabs>
          <w:tab w:val="right" w:leader="dot" w:pos="9350"/>
        </w:tabs>
        <w:rPr>
          <w:rFonts w:asciiTheme="minorHAnsi" w:eastAsiaTheme="minorEastAsia" w:hAnsiTheme="minorHAnsi"/>
        </w:rPr>
      </w:pPr>
      <w:hyperlink w:anchor="_Toc227927252" w:history="1">
        <w:r w:rsidRPr="00CE2117">
          <w:rPr>
            <w:rStyle w:val="Hyperlink"/>
          </w:rPr>
          <w:t>Figure 12: Payables Payment Period</w:t>
        </w:r>
        <w:r w:rsidRPr="00CE2117">
          <w:rPr>
            <w:webHidden/>
          </w:rPr>
          <w:tab/>
        </w:r>
        <w:r w:rsidRPr="00CE2117">
          <w:rPr>
            <w:webHidden/>
          </w:rPr>
          <w:fldChar w:fldCharType="begin"/>
        </w:r>
        <w:r w:rsidRPr="00CE2117">
          <w:rPr>
            <w:webHidden/>
          </w:rPr>
          <w:instrText xml:space="preserve"> PAGEREF _Toc227927252 \h </w:instrText>
        </w:r>
        <w:r w:rsidRPr="00CE2117">
          <w:rPr>
            <w:webHidden/>
          </w:rPr>
        </w:r>
        <w:r w:rsidRPr="00CE2117">
          <w:rPr>
            <w:webHidden/>
          </w:rPr>
          <w:fldChar w:fldCharType="separate"/>
        </w:r>
        <w:r w:rsidR="002952B2" w:rsidRPr="00CE2117">
          <w:rPr>
            <w:webHidden/>
          </w:rPr>
          <w:t>13</w:t>
        </w:r>
        <w:r w:rsidRPr="00CE2117">
          <w:rPr>
            <w:webHidden/>
          </w:rPr>
          <w:fldChar w:fldCharType="end"/>
        </w:r>
      </w:hyperlink>
    </w:p>
    <w:p w14:paraId="00092FCF" w14:textId="698CF913" w:rsidR="00396EB6" w:rsidRPr="00CE2117" w:rsidRDefault="00396EB6">
      <w:pPr>
        <w:pStyle w:val="TableofFigures"/>
        <w:tabs>
          <w:tab w:val="right" w:leader="dot" w:pos="9350"/>
        </w:tabs>
        <w:rPr>
          <w:rFonts w:asciiTheme="minorHAnsi" w:eastAsiaTheme="minorEastAsia" w:hAnsiTheme="minorHAnsi"/>
        </w:rPr>
      </w:pPr>
      <w:hyperlink w:anchor="_Toc227927253" w:history="1">
        <w:r w:rsidRPr="00CE2117">
          <w:rPr>
            <w:rStyle w:val="Hyperlink"/>
          </w:rPr>
          <w:t>Figure 13: Total Asset Turnover</w:t>
        </w:r>
        <w:r w:rsidRPr="00CE2117">
          <w:rPr>
            <w:webHidden/>
          </w:rPr>
          <w:tab/>
        </w:r>
        <w:r w:rsidRPr="00CE2117">
          <w:rPr>
            <w:webHidden/>
          </w:rPr>
          <w:fldChar w:fldCharType="begin"/>
        </w:r>
        <w:r w:rsidRPr="00CE2117">
          <w:rPr>
            <w:webHidden/>
          </w:rPr>
          <w:instrText xml:space="preserve"> PAGEREF _Toc227927253 \h </w:instrText>
        </w:r>
        <w:r w:rsidRPr="00CE2117">
          <w:rPr>
            <w:webHidden/>
          </w:rPr>
        </w:r>
        <w:r w:rsidRPr="00CE2117">
          <w:rPr>
            <w:webHidden/>
          </w:rPr>
          <w:fldChar w:fldCharType="separate"/>
        </w:r>
        <w:r w:rsidR="002952B2" w:rsidRPr="00CE2117">
          <w:rPr>
            <w:webHidden/>
          </w:rPr>
          <w:t>14</w:t>
        </w:r>
        <w:r w:rsidRPr="00CE2117">
          <w:rPr>
            <w:webHidden/>
          </w:rPr>
          <w:fldChar w:fldCharType="end"/>
        </w:r>
      </w:hyperlink>
    </w:p>
    <w:p w14:paraId="7B7BD2B7" w14:textId="03FD79F3" w:rsidR="00396EB6" w:rsidRPr="00CE2117" w:rsidRDefault="00396EB6">
      <w:pPr>
        <w:pStyle w:val="TableofFigures"/>
        <w:tabs>
          <w:tab w:val="right" w:leader="dot" w:pos="9350"/>
        </w:tabs>
        <w:rPr>
          <w:rFonts w:asciiTheme="minorHAnsi" w:eastAsiaTheme="minorEastAsia" w:hAnsiTheme="minorHAnsi"/>
        </w:rPr>
      </w:pPr>
      <w:hyperlink w:anchor="_Toc227927254" w:history="1">
        <w:r w:rsidRPr="00CE2117">
          <w:rPr>
            <w:rStyle w:val="Hyperlink"/>
          </w:rPr>
          <w:t>Figure 14: Debt to Equity Ratio</w:t>
        </w:r>
        <w:r w:rsidRPr="00CE2117">
          <w:rPr>
            <w:webHidden/>
          </w:rPr>
          <w:tab/>
        </w:r>
        <w:r w:rsidRPr="00CE2117">
          <w:rPr>
            <w:webHidden/>
          </w:rPr>
          <w:fldChar w:fldCharType="begin"/>
        </w:r>
        <w:r w:rsidRPr="00CE2117">
          <w:rPr>
            <w:webHidden/>
          </w:rPr>
          <w:instrText xml:space="preserve"> PAGEREF _Toc227927254 \h </w:instrText>
        </w:r>
        <w:r w:rsidRPr="00CE2117">
          <w:rPr>
            <w:webHidden/>
          </w:rPr>
        </w:r>
        <w:r w:rsidRPr="00CE2117">
          <w:rPr>
            <w:webHidden/>
          </w:rPr>
          <w:fldChar w:fldCharType="separate"/>
        </w:r>
        <w:r w:rsidR="002952B2" w:rsidRPr="00CE2117">
          <w:rPr>
            <w:webHidden/>
          </w:rPr>
          <w:t>15</w:t>
        </w:r>
        <w:r w:rsidRPr="00CE2117">
          <w:rPr>
            <w:webHidden/>
          </w:rPr>
          <w:fldChar w:fldCharType="end"/>
        </w:r>
      </w:hyperlink>
    </w:p>
    <w:p w14:paraId="584FBCDC" w14:textId="53B92FFD" w:rsidR="00396EB6" w:rsidRPr="00CE2117" w:rsidRDefault="00396EB6">
      <w:pPr>
        <w:pStyle w:val="TableofFigures"/>
        <w:tabs>
          <w:tab w:val="right" w:leader="dot" w:pos="9350"/>
        </w:tabs>
        <w:rPr>
          <w:rFonts w:asciiTheme="minorHAnsi" w:eastAsiaTheme="minorEastAsia" w:hAnsiTheme="minorHAnsi"/>
        </w:rPr>
      </w:pPr>
      <w:hyperlink w:anchor="_Toc227927255" w:history="1">
        <w:r w:rsidRPr="00CE2117">
          <w:rPr>
            <w:rStyle w:val="Hyperlink"/>
          </w:rPr>
          <w:t>Figure 15: Interest Coverage Ratio</w:t>
        </w:r>
        <w:r w:rsidRPr="00CE2117">
          <w:rPr>
            <w:webHidden/>
          </w:rPr>
          <w:tab/>
        </w:r>
        <w:r w:rsidRPr="00CE2117">
          <w:rPr>
            <w:webHidden/>
          </w:rPr>
          <w:fldChar w:fldCharType="begin"/>
        </w:r>
        <w:r w:rsidRPr="00CE2117">
          <w:rPr>
            <w:webHidden/>
          </w:rPr>
          <w:instrText xml:space="preserve"> PAGEREF _Toc227927255 \h </w:instrText>
        </w:r>
        <w:r w:rsidRPr="00CE2117">
          <w:rPr>
            <w:webHidden/>
          </w:rPr>
        </w:r>
        <w:r w:rsidRPr="00CE2117">
          <w:rPr>
            <w:webHidden/>
          </w:rPr>
          <w:fldChar w:fldCharType="separate"/>
        </w:r>
        <w:r w:rsidR="002952B2" w:rsidRPr="00CE2117">
          <w:rPr>
            <w:webHidden/>
          </w:rPr>
          <w:t>15</w:t>
        </w:r>
        <w:r w:rsidRPr="00CE2117">
          <w:rPr>
            <w:webHidden/>
          </w:rPr>
          <w:fldChar w:fldCharType="end"/>
        </w:r>
      </w:hyperlink>
    </w:p>
    <w:p w14:paraId="060D39CA" w14:textId="0BED06AF" w:rsidR="00396EB6" w:rsidRPr="00CE2117" w:rsidRDefault="00396EB6">
      <w:pPr>
        <w:pStyle w:val="TableofFigures"/>
        <w:tabs>
          <w:tab w:val="right" w:leader="dot" w:pos="9350"/>
        </w:tabs>
        <w:rPr>
          <w:rFonts w:asciiTheme="minorHAnsi" w:eastAsiaTheme="minorEastAsia" w:hAnsiTheme="minorHAnsi"/>
        </w:rPr>
      </w:pPr>
      <w:hyperlink w:anchor="_Toc227927256" w:history="1">
        <w:r w:rsidRPr="00CE2117">
          <w:rPr>
            <w:rStyle w:val="Hyperlink"/>
          </w:rPr>
          <w:t>Figure 16: Earnings per Share (EPS)</w:t>
        </w:r>
        <w:r w:rsidRPr="00CE2117">
          <w:rPr>
            <w:webHidden/>
          </w:rPr>
          <w:tab/>
        </w:r>
        <w:r w:rsidRPr="00CE2117">
          <w:rPr>
            <w:webHidden/>
          </w:rPr>
          <w:fldChar w:fldCharType="begin"/>
        </w:r>
        <w:r w:rsidRPr="00CE2117">
          <w:rPr>
            <w:webHidden/>
          </w:rPr>
          <w:instrText xml:space="preserve"> PAGEREF _Toc227927256 \h </w:instrText>
        </w:r>
        <w:r w:rsidRPr="00CE2117">
          <w:rPr>
            <w:webHidden/>
          </w:rPr>
        </w:r>
        <w:r w:rsidRPr="00CE2117">
          <w:rPr>
            <w:webHidden/>
          </w:rPr>
          <w:fldChar w:fldCharType="separate"/>
        </w:r>
        <w:r w:rsidR="002952B2" w:rsidRPr="00CE2117">
          <w:rPr>
            <w:webHidden/>
          </w:rPr>
          <w:t>16</w:t>
        </w:r>
        <w:r w:rsidRPr="00CE2117">
          <w:rPr>
            <w:webHidden/>
          </w:rPr>
          <w:fldChar w:fldCharType="end"/>
        </w:r>
      </w:hyperlink>
    </w:p>
    <w:p w14:paraId="446EA325" w14:textId="126D3B76" w:rsidR="00396EB6" w:rsidRPr="00CE2117" w:rsidRDefault="00396EB6">
      <w:pPr>
        <w:pStyle w:val="TableofFigures"/>
        <w:tabs>
          <w:tab w:val="right" w:leader="dot" w:pos="9350"/>
        </w:tabs>
        <w:rPr>
          <w:rFonts w:asciiTheme="minorHAnsi" w:eastAsiaTheme="minorEastAsia" w:hAnsiTheme="minorHAnsi"/>
        </w:rPr>
      </w:pPr>
      <w:hyperlink w:anchor="_Toc227927257" w:history="1">
        <w:r w:rsidRPr="00CE2117">
          <w:rPr>
            <w:rStyle w:val="Hyperlink"/>
          </w:rPr>
          <w:t>Figure 17: Price/Earnings Ratio (P/E)</w:t>
        </w:r>
        <w:r w:rsidRPr="00CE2117">
          <w:rPr>
            <w:webHidden/>
          </w:rPr>
          <w:tab/>
        </w:r>
        <w:r w:rsidRPr="00CE2117">
          <w:rPr>
            <w:webHidden/>
          </w:rPr>
          <w:fldChar w:fldCharType="begin"/>
        </w:r>
        <w:r w:rsidRPr="00CE2117">
          <w:rPr>
            <w:webHidden/>
          </w:rPr>
          <w:instrText xml:space="preserve"> PAGEREF _Toc227927257 \h </w:instrText>
        </w:r>
        <w:r w:rsidRPr="00CE2117">
          <w:rPr>
            <w:webHidden/>
          </w:rPr>
        </w:r>
        <w:r w:rsidRPr="00CE2117">
          <w:rPr>
            <w:webHidden/>
          </w:rPr>
          <w:fldChar w:fldCharType="separate"/>
        </w:r>
        <w:r w:rsidR="002952B2" w:rsidRPr="00CE2117">
          <w:rPr>
            <w:webHidden/>
          </w:rPr>
          <w:t>16</w:t>
        </w:r>
        <w:r w:rsidRPr="00CE2117">
          <w:rPr>
            <w:webHidden/>
          </w:rPr>
          <w:fldChar w:fldCharType="end"/>
        </w:r>
      </w:hyperlink>
    </w:p>
    <w:p w14:paraId="63759516" w14:textId="1C141B46" w:rsidR="00396EB6" w:rsidRPr="00CE2117" w:rsidRDefault="00396EB6">
      <w:pPr>
        <w:pStyle w:val="TableofFigures"/>
        <w:tabs>
          <w:tab w:val="right" w:leader="dot" w:pos="9350"/>
        </w:tabs>
        <w:rPr>
          <w:rFonts w:asciiTheme="minorHAnsi" w:eastAsiaTheme="minorEastAsia" w:hAnsiTheme="minorHAnsi"/>
        </w:rPr>
      </w:pPr>
      <w:hyperlink w:anchor="_Toc227927258" w:history="1">
        <w:r w:rsidRPr="00CE2117">
          <w:rPr>
            <w:rStyle w:val="Hyperlink"/>
          </w:rPr>
          <w:t>Figure 18: Operating Cash Flow</w:t>
        </w:r>
        <w:r w:rsidRPr="00CE2117">
          <w:rPr>
            <w:webHidden/>
          </w:rPr>
          <w:tab/>
        </w:r>
        <w:r w:rsidRPr="00CE2117">
          <w:rPr>
            <w:webHidden/>
          </w:rPr>
          <w:fldChar w:fldCharType="begin"/>
        </w:r>
        <w:r w:rsidRPr="00CE2117">
          <w:rPr>
            <w:webHidden/>
          </w:rPr>
          <w:instrText xml:space="preserve"> PAGEREF _Toc227927258 \h </w:instrText>
        </w:r>
        <w:r w:rsidRPr="00CE2117">
          <w:rPr>
            <w:webHidden/>
          </w:rPr>
        </w:r>
        <w:r w:rsidRPr="00CE2117">
          <w:rPr>
            <w:webHidden/>
          </w:rPr>
          <w:fldChar w:fldCharType="separate"/>
        </w:r>
        <w:r w:rsidR="002952B2" w:rsidRPr="00CE2117">
          <w:rPr>
            <w:webHidden/>
          </w:rPr>
          <w:t>17</w:t>
        </w:r>
        <w:r w:rsidRPr="00CE2117">
          <w:rPr>
            <w:webHidden/>
          </w:rPr>
          <w:fldChar w:fldCharType="end"/>
        </w:r>
      </w:hyperlink>
    </w:p>
    <w:p w14:paraId="30E5543F" w14:textId="6D13C1C6" w:rsidR="00396EB6" w:rsidRPr="00CE2117" w:rsidRDefault="00396EB6">
      <w:pPr>
        <w:pStyle w:val="TableofFigures"/>
        <w:tabs>
          <w:tab w:val="right" w:leader="dot" w:pos="9350"/>
        </w:tabs>
        <w:rPr>
          <w:rFonts w:asciiTheme="minorHAnsi" w:eastAsiaTheme="minorEastAsia" w:hAnsiTheme="minorHAnsi"/>
        </w:rPr>
      </w:pPr>
      <w:hyperlink w:anchor="_Toc227927259" w:history="1">
        <w:r w:rsidRPr="00CE2117">
          <w:rPr>
            <w:rStyle w:val="Hyperlink"/>
          </w:rPr>
          <w:t>Figure 19: Free Cash Flow</w:t>
        </w:r>
        <w:r w:rsidRPr="00CE2117">
          <w:rPr>
            <w:webHidden/>
          </w:rPr>
          <w:tab/>
        </w:r>
        <w:r w:rsidRPr="00CE2117">
          <w:rPr>
            <w:webHidden/>
          </w:rPr>
          <w:fldChar w:fldCharType="begin"/>
        </w:r>
        <w:r w:rsidRPr="00CE2117">
          <w:rPr>
            <w:webHidden/>
          </w:rPr>
          <w:instrText xml:space="preserve"> PAGEREF _Toc227927259 \h </w:instrText>
        </w:r>
        <w:r w:rsidRPr="00CE2117">
          <w:rPr>
            <w:webHidden/>
          </w:rPr>
        </w:r>
        <w:r w:rsidRPr="00CE2117">
          <w:rPr>
            <w:webHidden/>
          </w:rPr>
          <w:fldChar w:fldCharType="separate"/>
        </w:r>
        <w:r w:rsidR="002952B2" w:rsidRPr="00CE2117">
          <w:rPr>
            <w:webHidden/>
          </w:rPr>
          <w:t>18</w:t>
        </w:r>
        <w:r w:rsidRPr="00CE2117">
          <w:rPr>
            <w:webHidden/>
          </w:rPr>
          <w:fldChar w:fldCharType="end"/>
        </w:r>
      </w:hyperlink>
    </w:p>
    <w:p w14:paraId="68DDB3E6" w14:textId="055F6E74" w:rsidR="00396EB6" w:rsidRPr="00CE2117" w:rsidRDefault="00396EB6">
      <w:pPr>
        <w:pStyle w:val="TableofFigures"/>
        <w:tabs>
          <w:tab w:val="right" w:leader="dot" w:pos="9350"/>
        </w:tabs>
        <w:rPr>
          <w:rFonts w:asciiTheme="minorHAnsi" w:eastAsiaTheme="minorEastAsia" w:hAnsiTheme="minorHAnsi"/>
        </w:rPr>
      </w:pPr>
      <w:hyperlink w:anchor="_Toc227927260" w:history="1">
        <w:r w:rsidRPr="00CE2117">
          <w:rPr>
            <w:rStyle w:val="Hyperlink"/>
          </w:rPr>
          <w:t>Figure 20: Cash Flow Adequacy</w:t>
        </w:r>
        <w:r w:rsidRPr="00CE2117">
          <w:rPr>
            <w:webHidden/>
          </w:rPr>
          <w:tab/>
        </w:r>
        <w:r w:rsidRPr="00CE2117">
          <w:rPr>
            <w:webHidden/>
          </w:rPr>
          <w:fldChar w:fldCharType="begin"/>
        </w:r>
        <w:r w:rsidRPr="00CE2117">
          <w:rPr>
            <w:webHidden/>
          </w:rPr>
          <w:instrText xml:space="preserve"> PAGEREF _Toc227927260 \h </w:instrText>
        </w:r>
        <w:r w:rsidRPr="00CE2117">
          <w:rPr>
            <w:webHidden/>
          </w:rPr>
        </w:r>
        <w:r w:rsidRPr="00CE2117">
          <w:rPr>
            <w:webHidden/>
          </w:rPr>
          <w:fldChar w:fldCharType="separate"/>
        </w:r>
        <w:r w:rsidR="002952B2" w:rsidRPr="00CE2117">
          <w:rPr>
            <w:webHidden/>
          </w:rPr>
          <w:t>18</w:t>
        </w:r>
        <w:r w:rsidRPr="00CE2117">
          <w:rPr>
            <w:webHidden/>
          </w:rPr>
          <w:fldChar w:fldCharType="end"/>
        </w:r>
      </w:hyperlink>
    </w:p>
    <w:p w14:paraId="1C4B758B" w14:textId="2ADA97FE" w:rsidR="00396EB6" w:rsidRPr="00CE2117" w:rsidRDefault="00396EB6">
      <w:pPr>
        <w:pStyle w:val="TableofFigures"/>
        <w:tabs>
          <w:tab w:val="right" w:leader="dot" w:pos="9350"/>
        </w:tabs>
        <w:rPr>
          <w:rFonts w:asciiTheme="minorHAnsi" w:eastAsiaTheme="minorEastAsia" w:hAnsiTheme="minorHAnsi"/>
        </w:rPr>
      </w:pPr>
      <w:hyperlink w:anchor="_Toc227927261" w:history="1">
        <w:r w:rsidRPr="00CE2117">
          <w:rPr>
            <w:rStyle w:val="Hyperlink"/>
          </w:rPr>
          <w:t>Figure 21: Trends, Strengths and Threats</w:t>
        </w:r>
        <w:r w:rsidRPr="00CE2117">
          <w:rPr>
            <w:webHidden/>
          </w:rPr>
          <w:tab/>
        </w:r>
        <w:r w:rsidRPr="00CE2117">
          <w:rPr>
            <w:webHidden/>
          </w:rPr>
          <w:fldChar w:fldCharType="begin"/>
        </w:r>
        <w:r w:rsidRPr="00CE2117">
          <w:rPr>
            <w:webHidden/>
          </w:rPr>
          <w:instrText xml:space="preserve"> PAGEREF _Toc227927261 \h </w:instrText>
        </w:r>
        <w:r w:rsidRPr="00CE2117">
          <w:rPr>
            <w:webHidden/>
          </w:rPr>
        </w:r>
        <w:r w:rsidRPr="00CE2117">
          <w:rPr>
            <w:webHidden/>
          </w:rPr>
          <w:fldChar w:fldCharType="separate"/>
        </w:r>
        <w:r w:rsidR="002952B2" w:rsidRPr="00CE2117">
          <w:rPr>
            <w:webHidden/>
          </w:rPr>
          <w:t>19</w:t>
        </w:r>
        <w:r w:rsidRPr="00CE2117">
          <w:rPr>
            <w:webHidden/>
          </w:rPr>
          <w:fldChar w:fldCharType="end"/>
        </w:r>
      </w:hyperlink>
    </w:p>
    <w:p w14:paraId="15E91A0F" w14:textId="3B0E9F37" w:rsidR="00396EB6" w:rsidRPr="00CE2117" w:rsidRDefault="00396EB6">
      <w:pPr>
        <w:pStyle w:val="TableofFigures"/>
        <w:tabs>
          <w:tab w:val="right" w:leader="dot" w:pos="9350"/>
        </w:tabs>
        <w:rPr>
          <w:rFonts w:asciiTheme="minorHAnsi" w:eastAsiaTheme="minorEastAsia" w:hAnsiTheme="minorHAnsi"/>
        </w:rPr>
      </w:pPr>
      <w:hyperlink w:anchor="_Toc227927262" w:history="1">
        <w:r w:rsidRPr="00CE2117">
          <w:rPr>
            <w:rStyle w:val="Hyperlink"/>
          </w:rPr>
          <w:t>Figure 22: Cash Operating Cycle Data</w:t>
        </w:r>
        <w:r w:rsidRPr="00CE2117">
          <w:rPr>
            <w:webHidden/>
          </w:rPr>
          <w:tab/>
        </w:r>
        <w:r w:rsidRPr="00CE2117">
          <w:rPr>
            <w:webHidden/>
          </w:rPr>
          <w:fldChar w:fldCharType="begin"/>
        </w:r>
        <w:r w:rsidRPr="00CE2117">
          <w:rPr>
            <w:webHidden/>
          </w:rPr>
          <w:instrText xml:space="preserve"> PAGEREF _Toc227927262 \h </w:instrText>
        </w:r>
        <w:r w:rsidRPr="00CE2117">
          <w:rPr>
            <w:webHidden/>
          </w:rPr>
        </w:r>
        <w:r w:rsidRPr="00CE2117">
          <w:rPr>
            <w:webHidden/>
          </w:rPr>
          <w:fldChar w:fldCharType="separate"/>
        </w:r>
        <w:r w:rsidR="002952B2" w:rsidRPr="00CE2117">
          <w:rPr>
            <w:webHidden/>
          </w:rPr>
          <w:t>20</w:t>
        </w:r>
        <w:r w:rsidRPr="00CE2117">
          <w:rPr>
            <w:webHidden/>
          </w:rPr>
          <w:fldChar w:fldCharType="end"/>
        </w:r>
      </w:hyperlink>
    </w:p>
    <w:p w14:paraId="2A996CA5" w14:textId="5FF206E1" w:rsidR="00396EB6" w:rsidRPr="00CE2117" w:rsidRDefault="00396EB6">
      <w:pPr>
        <w:pStyle w:val="TableofFigures"/>
        <w:tabs>
          <w:tab w:val="right" w:leader="dot" w:pos="9350"/>
        </w:tabs>
        <w:rPr>
          <w:rFonts w:asciiTheme="minorHAnsi" w:eastAsiaTheme="minorEastAsia" w:hAnsiTheme="minorHAnsi"/>
        </w:rPr>
      </w:pPr>
      <w:hyperlink w:anchor="_Toc227927263" w:history="1">
        <w:r w:rsidRPr="00CE2117">
          <w:rPr>
            <w:rStyle w:val="Hyperlink"/>
          </w:rPr>
          <w:t>Figure 23: Cash Conversion Cycle (CCC)</w:t>
        </w:r>
        <w:r w:rsidRPr="00CE2117">
          <w:rPr>
            <w:webHidden/>
          </w:rPr>
          <w:tab/>
        </w:r>
        <w:r w:rsidRPr="00CE2117">
          <w:rPr>
            <w:webHidden/>
          </w:rPr>
          <w:fldChar w:fldCharType="begin"/>
        </w:r>
        <w:r w:rsidRPr="00CE2117">
          <w:rPr>
            <w:webHidden/>
          </w:rPr>
          <w:instrText xml:space="preserve"> PAGEREF _Toc227927263 \h </w:instrText>
        </w:r>
        <w:r w:rsidRPr="00CE2117">
          <w:rPr>
            <w:webHidden/>
          </w:rPr>
        </w:r>
        <w:r w:rsidRPr="00CE2117">
          <w:rPr>
            <w:webHidden/>
          </w:rPr>
          <w:fldChar w:fldCharType="separate"/>
        </w:r>
        <w:r w:rsidR="002952B2" w:rsidRPr="00CE2117">
          <w:rPr>
            <w:webHidden/>
          </w:rPr>
          <w:t>20</w:t>
        </w:r>
        <w:r w:rsidRPr="00CE2117">
          <w:rPr>
            <w:webHidden/>
          </w:rPr>
          <w:fldChar w:fldCharType="end"/>
        </w:r>
      </w:hyperlink>
    </w:p>
    <w:p w14:paraId="5AE9BC73" w14:textId="64C8A2C0" w:rsidR="00396EB6" w:rsidRPr="00CE2117" w:rsidRDefault="00396EB6">
      <w:pPr>
        <w:pStyle w:val="TableofFigures"/>
        <w:tabs>
          <w:tab w:val="right" w:leader="dot" w:pos="9350"/>
        </w:tabs>
        <w:rPr>
          <w:rFonts w:asciiTheme="minorHAnsi" w:eastAsiaTheme="minorEastAsia" w:hAnsiTheme="minorHAnsi"/>
        </w:rPr>
      </w:pPr>
      <w:hyperlink w:anchor="_Toc227927264" w:history="1">
        <w:r w:rsidRPr="00CE2117">
          <w:rPr>
            <w:rStyle w:val="Hyperlink"/>
          </w:rPr>
          <w:t>Figure 24: Just-In-Time (JIT)</w:t>
        </w:r>
        <w:r w:rsidRPr="00CE2117">
          <w:rPr>
            <w:webHidden/>
          </w:rPr>
          <w:tab/>
        </w:r>
        <w:r w:rsidRPr="00CE2117">
          <w:rPr>
            <w:webHidden/>
          </w:rPr>
          <w:fldChar w:fldCharType="begin"/>
        </w:r>
        <w:r w:rsidRPr="00CE2117">
          <w:rPr>
            <w:webHidden/>
          </w:rPr>
          <w:instrText xml:space="preserve"> PAGEREF _Toc227927264 \h </w:instrText>
        </w:r>
        <w:r w:rsidRPr="00CE2117">
          <w:rPr>
            <w:webHidden/>
          </w:rPr>
        </w:r>
        <w:r w:rsidRPr="00CE2117">
          <w:rPr>
            <w:webHidden/>
          </w:rPr>
          <w:fldChar w:fldCharType="separate"/>
        </w:r>
        <w:r w:rsidR="002952B2" w:rsidRPr="00CE2117">
          <w:rPr>
            <w:webHidden/>
          </w:rPr>
          <w:t>22</w:t>
        </w:r>
        <w:r w:rsidRPr="00CE2117">
          <w:rPr>
            <w:webHidden/>
          </w:rPr>
          <w:fldChar w:fldCharType="end"/>
        </w:r>
      </w:hyperlink>
    </w:p>
    <w:p w14:paraId="53EF5EB1" w14:textId="49D75B2B" w:rsidR="00396EB6" w:rsidRPr="00CE2117" w:rsidRDefault="00396EB6">
      <w:pPr>
        <w:pStyle w:val="TableofFigures"/>
        <w:tabs>
          <w:tab w:val="right" w:leader="dot" w:pos="9350"/>
        </w:tabs>
        <w:rPr>
          <w:rFonts w:asciiTheme="minorHAnsi" w:eastAsiaTheme="minorEastAsia" w:hAnsiTheme="minorHAnsi"/>
        </w:rPr>
      </w:pPr>
      <w:hyperlink w:anchor="_Toc227927265" w:history="1">
        <w:r w:rsidRPr="00CE2117">
          <w:rPr>
            <w:rStyle w:val="Hyperlink"/>
          </w:rPr>
          <w:t>Figure 25: Receivables Management</w:t>
        </w:r>
        <w:r w:rsidRPr="00CE2117">
          <w:rPr>
            <w:webHidden/>
          </w:rPr>
          <w:tab/>
        </w:r>
        <w:r w:rsidRPr="00CE2117">
          <w:rPr>
            <w:webHidden/>
          </w:rPr>
          <w:fldChar w:fldCharType="begin"/>
        </w:r>
        <w:r w:rsidRPr="00CE2117">
          <w:rPr>
            <w:webHidden/>
          </w:rPr>
          <w:instrText xml:space="preserve"> PAGEREF _Toc227927265 \h </w:instrText>
        </w:r>
        <w:r w:rsidRPr="00CE2117">
          <w:rPr>
            <w:webHidden/>
          </w:rPr>
        </w:r>
        <w:r w:rsidRPr="00CE2117">
          <w:rPr>
            <w:webHidden/>
          </w:rPr>
          <w:fldChar w:fldCharType="separate"/>
        </w:r>
        <w:r w:rsidR="002952B2" w:rsidRPr="00CE2117">
          <w:rPr>
            <w:webHidden/>
          </w:rPr>
          <w:t>22</w:t>
        </w:r>
        <w:r w:rsidRPr="00CE2117">
          <w:rPr>
            <w:webHidden/>
          </w:rPr>
          <w:fldChar w:fldCharType="end"/>
        </w:r>
      </w:hyperlink>
    </w:p>
    <w:p w14:paraId="2110A11E" w14:textId="2C5A16BD" w:rsidR="00396EB6" w:rsidRPr="00CE2117" w:rsidRDefault="00396EB6">
      <w:pPr>
        <w:pStyle w:val="TableofFigures"/>
        <w:tabs>
          <w:tab w:val="right" w:leader="dot" w:pos="9350"/>
        </w:tabs>
        <w:rPr>
          <w:rFonts w:asciiTheme="minorHAnsi" w:eastAsiaTheme="minorEastAsia" w:hAnsiTheme="minorHAnsi"/>
        </w:rPr>
      </w:pPr>
      <w:hyperlink w:anchor="_Toc227927266" w:history="1">
        <w:r w:rsidRPr="00CE2117">
          <w:rPr>
            <w:rStyle w:val="Hyperlink"/>
          </w:rPr>
          <w:t>Figure 26: Supplier Negotiations</w:t>
        </w:r>
        <w:r w:rsidRPr="00CE2117">
          <w:rPr>
            <w:webHidden/>
          </w:rPr>
          <w:tab/>
        </w:r>
        <w:r w:rsidRPr="00CE2117">
          <w:rPr>
            <w:webHidden/>
          </w:rPr>
          <w:fldChar w:fldCharType="begin"/>
        </w:r>
        <w:r w:rsidRPr="00CE2117">
          <w:rPr>
            <w:webHidden/>
          </w:rPr>
          <w:instrText xml:space="preserve"> PAGEREF _Toc227927266 \h </w:instrText>
        </w:r>
        <w:r w:rsidRPr="00CE2117">
          <w:rPr>
            <w:webHidden/>
          </w:rPr>
        </w:r>
        <w:r w:rsidRPr="00CE2117">
          <w:rPr>
            <w:webHidden/>
          </w:rPr>
          <w:fldChar w:fldCharType="separate"/>
        </w:r>
        <w:r w:rsidR="002952B2" w:rsidRPr="00CE2117">
          <w:rPr>
            <w:webHidden/>
          </w:rPr>
          <w:t>23</w:t>
        </w:r>
        <w:r w:rsidRPr="00CE2117">
          <w:rPr>
            <w:webHidden/>
          </w:rPr>
          <w:fldChar w:fldCharType="end"/>
        </w:r>
      </w:hyperlink>
    </w:p>
    <w:p w14:paraId="1601B632" w14:textId="500456CF" w:rsidR="00396EB6" w:rsidRPr="00CE2117" w:rsidRDefault="00396EB6">
      <w:pPr>
        <w:pStyle w:val="TableofFigures"/>
        <w:tabs>
          <w:tab w:val="right" w:leader="dot" w:pos="9350"/>
        </w:tabs>
        <w:rPr>
          <w:rFonts w:asciiTheme="minorHAnsi" w:eastAsiaTheme="minorEastAsia" w:hAnsiTheme="minorHAnsi"/>
        </w:rPr>
      </w:pPr>
      <w:hyperlink w:anchor="_Toc227927267" w:history="1">
        <w:r w:rsidRPr="00CE2117">
          <w:rPr>
            <w:rStyle w:val="Hyperlink"/>
          </w:rPr>
          <w:t>Figure 27: Working Capital Management Strategies for Growing Businesses</w:t>
        </w:r>
        <w:r w:rsidRPr="00CE2117">
          <w:rPr>
            <w:webHidden/>
          </w:rPr>
          <w:tab/>
        </w:r>
        <w:r w:rsidRPr="00CE2117">
          <w:rPr>
            <w:webHidden/>
          </w:rPr>
          <w:fldChar w:fldCharType="begin"/>
        </w:r>
        <w:r w:rsidRPr="00CE2117">
          <w:rPr>
            <w:webHidden/>
          </w:rPr>
          <w:instrText xml:space="preserve"> PAGEREF _Toc227927267 \h </w:instrText>
        </w:r>
        <w:r w:rsidRPr="00CE2117">
          <w:rPr>
            <w:webHidden/>
          </w:rPr>
        </w:r>
        <w:r w:rsidRPr="00CE2117">
          <w:rPr>
            <w:webHidden/>
          </w:rPr>
          <w:fldChar w:fldCharType="separate"/>
        </w:r>
        <w:r w:rsidR="002952B2" w:rsidRPr="00CE2117">
          <w:rPr>
            <w:webHidden/>
          </w:rPr>
          <w:t>23</w:t>
        </w:r>
        <w:r w:rsidRPr="00CE2117">
          <w:rPr>
            <w:webHidden/>
          </w:rPr>
          <w:fldChar w:fldCharType="end"/>
        </w:r>
      </w:hyperlink>
    </w:p>
    <w:p w14:paraId="5AB75BC7" w14:textId="2C518D93" w:rsidR="00396EB6" w:rsidRPr="00CE2117" w:rsidRDefault="00396EB6">
      <w:pPr>
        <w:pStyle w:val="TableofFigures"/>
        <w:tabs>
          <w:tab w:val="right" w:leader="dot" w:pos="9350"/>
        </w:tabs>
        <w:rPr>
          <w:rFonts w:asciiTheme="minorHAnsi" w:eastAsiaTheme="minorEastAsia" w:hAnsiTheme="minorHAnsi"/>
        </w:rPr>
      </w:pPr>
      <w:hyperlink w:anchor="_Toc227927268" w:history="1">
        <w:r w:rsidRPr="00CE2117">
          <w:rPr>
            <w:rStyle w:val="Hyperlink"/>
          </w:rPr>
          <w:t>Figure 28: Short Term Loan</w:t>
        </w:r>
        <w:r w:rsidRPr="00CE2117">
          <w:rPr>
            <w:webHidden/>
          </w:rPr>
          <w:tab/>
        </w:r>
        <w:r w:rsidRPr="00CE2117">
          <w:rPr>
            <w:webHidden/>
          </w:rPr>
          <w:fldChar w:fldCharType="begin"/>
        </w:r>
        <w:r w:rsidRPr="00CE2117">
          <w:rPr>
            <w:webHidden/>
          </w:rPr>
          <w:instrText xml:space="preserve"> PAGEREF _Toc227927268 \h </w:instrText>
        </w:r>
        <w:r w:rsidRPr="00CE2117">
          <w:rPr>
            <w:webHidden/>
          </w:rPr>
        </w:r>
        <w:r w:rsidRPr="00CE2117">
          <w:rPr>
            <w:webHidden/>
          </w:rPr>
          <w:fldChar w:fldCharType="separate"/>
        </w:r>
        <w:r w:rsidR="002952B2" w:rsidRPr="00CE2117">
          <w:rPr>
            <w:webHidden/>
          </w:rPr>
          <w:t>24</w:t>
        </w:r>
        <w:r w:rsidRPr="00CE2117">
          <w:rPr>
            <w:webHidden/>
          </w:rPr>
          <w:fldChar w:fldCharType="end"/>
        </w:r>
      </w:hyperlink>
    </w:p>
    <w:p w14:paraId="4748C34D" w14:textId="583FEE95" w:rsidR="00396EB6" w:rsidRPr="00CE2117" w:rsidRDefault="00396EB6">
      <w:pPr>
        <w:pStyle w:val="TableofFigures"/>
        <w:tabs>
          <w:tab w:val="right" w:leader="dot" w:pos="9350"/>
        </w:tabs>
        <w:rPr>
          <w:rFonts w:asciiTheme="minorHAnsi" w:eastAsiaTheme="minorEastAsia" w:hAnsiTheme="minorHAnsi"/>
        </w:rPr>
      </w:pPr>
      <w:hyperlink w:anchor="_Toc227927269" w:history="1">
        <w:r w:rsidRPr="00CE2117">
          <w:rPr>
            <w:rStyle w:val="Hyperlink"/>
          </w:rPr>
          <w:t>Figure 29: Equity Financing</w:t>
        </w:r>
        <w:r w:rsidRPr="00CE2117">
          <w:rPr>
            <w:webHidden/>
          </w:rPr>
          <w:tab/>
        </w:r>
        <w:r w:rsidRPr="00CE2117">
          <w:rPr>
            <w:webHidden/>
          </w:rPr>
          <w:fldChar w:fldCharType="begin"/>
        </w:r>
        <w:r w:rsidRPr="00CE2117">
          <w:rPr>
            <w:webHidden/>
          </w:rPr>
          <w:instrText xml:space="preserve"> PAGEREF _Toc227927269 \h </w:instrText>
        </w:r>
        <w:r w:rsidRPr="00CE2117">
          <w:rPr>
            <w:webHidden/>
          </w:rPr>
        </w:r>
        <w:r w:rsidRPr="00CE2117">
          <w:rPr>
            <w:webHidden/>
          </w:rPr>
          <w:fldChar w:fldCharType="separate"/>
        </w:r>
        <w:r w:rsidR="002952B2" w:rsidRPr="00CE2117">
          <w:rPr>
            <w:webHidden/>
          </w:rPr>
          <w:t>25</w:t>
        </w:r>
        <w:r w:rsidRPr="00CE2117">
          <w:rPr>
            <w:webHidden/>
          </w:rPr>
          <w:fldChar w:fldCharType="end"/>
        </w:r>
      </w:hyperlink>
    </w:p>
    <w:p w14:paraId="4D792AED" w14:textId="40583E34" w:rsidR="00396EB6" w:rsidRPr="00CE2117" w:rsidRDefault="00396EB6">
      <w:pPr>
        <w:pStyle w:val="TableofFigures"/>
        <w:tabs>
          <w:tab w:val="right" w:leader="dot" w:pos="9350"/>
        </w:tabs>
        <w:rPr>
          <w:rFonts w:asciiTheme="minorHAnsi" w:eastAsiaTheme="minorEastAsia" w:hAnsiTheme="minorHAnsi"/>
        </w:rPr>
      </w:pPr>
      <w:hyperlink w:anchor="_Toc227927270" w:history="1">
        <w:r w:rsidRPr="00CE2117">
          <w:rPr>
            <w:rStyle w:val="Hyperlink"/>
          </w:rPr>
          <w:t>Figure 30: Importance of Cash Conversion Cycle</w:t>
        </w:r>
        <w:r w:rsidRPr="00CE2117">
          <w:rPr>
            <w:webHidden/>
          </w:rPr>
          <w:tab/>
        </w:r>
        <w:r w:rsidRPr="00CE2117">
          <w:rPr>
            <w:webHidden/>
          </w:rPr>
          <w:fldChar w:fldCharType="begin"/>
        </w:r>
        <w:r w:rsidRPr="00CE2117">
          <w:rPr>
            <w:webHidden/>
          </w:rPr>
          <w:instrText xml:space="preserve"> PAGEREF _Toc227927270 \h </w:instrText>
        </w:r>
        <w:r w:rsidRPr="00CE2117">
          <w:rPr>
            <w:webHidden/>
          </w:rPr>
        </w:r>
        <w:r w:rsidRPr="00CE2117">
          <w:rPr>
            <w:webHidden/>
          </w:rPr>
          <w:fldChar w:fldCharType="separate"/>
        </w:r>
        <w:r w:rsidR="002952B2" w:rsidRPr="00CE2117">
          <w:rPr>
            <w:webHidden/>
          </w:rPr>
          <w:t>25</w:t>
        </w:r>
        <w:r w:rsidRPr="00CE2117">
          <w:rPr>
            <w:webHidden/>
          </w:rPr>
          <w:fldChar w:fldCharType="end"/>
        </w:r>
      </w:hyperlink>
    </w:p>
    <w:p w14:paraId="3C70AAA7" w14:textId="6E87FFAE" w:rsidR="00396EB6" w:rsidRPr="00CE2117" w:rsidRDefault="00396EB6">
      <w:pPr>
        <w:pStyle w:val="TableofFigures"/>
        <w:tabs>
          <w:tab w:val="right" w:leader="dot" w:pos="9350"/>
        </w:tabs>
        <w:rPr>
          <w:rFonts w:asciiTheme="minorHAnsi" w:eastAsiaTheme="minorEastAsia" w:hAnsiTheme="minorHAnsi"/>
        </w:rPr>
      </w:pPr>
      <w:hyperlink w:anchor="_Toc227927271" w:history="1">
        <w:r w:rsidRPr="00CE2117">
          <w:rPr>
            <w:rStyle w:val="Hyperlink"/>
          </w:rPr>
          <w:t>Figure 31: Tips for Managing Working Capital Effectively</w:t>
        </w:r>
        <w:r w:rsidRPr="00CE2117">
          <w:rPr>
            <w:webHidden/>
          </w:rPr>
          <w:tab/>
        </w:r>
        <w:r w:rsidRPr="00CE2117">
          <w:rPr>
            <w:webHidden/>
          </w:rPr>
          <w:fldChar w:fldCharType="begin"/>
        </w:r>
        <w:r w:rsidRPr="00CE2117">
          <w:rPr>
            <w:webHidden/>
          </w:rPr>
          <w:instrText xml:space="preserve"> PAGEREF _Toc227927271 \h </w:instrText>
        </w:r>
        <w:r w:rsidRPr="00CE2117">
          <w:rPr>
            <w:webHidden/>
          </w:rPr>
        </w:r>
        <w:r w:rsidRPr="00CE2117">
          <w:rPr>
            <w:webHidden/>
          </w:rPr>
          <w:fldChar w:fldCharType="separate"/>
        </w:r>
        <w:r w:rsidR="002952B2" w:rsidRPr="00CE2117">
          <w:rPr>
            <w:webHidden/>
          </w:rPr>
          <w:t>26</w:t>
        </w:r>
        <w:r w:rsidRPr="00CE2117">
          <w:rPr>
            <w:webHidden/>
          </w:rPr>
          <w:fldChar w:fldCharType="end"/>
        </w:r>
      </w:hyperlink>
    </w:p>
    <w:p w14:paraId="494F995E" w14:textId="36616FE0" w:rsidR="00396EB6" w:rsidRPr="00CE2117" w:rsidRDefault="00396EB6">
      <w:pPr>
        <w:pStyle w:val="TableofFigures"/>
        <w:tabs>
          <w:tab w:val="right" w:leader="dot" w:pos="9350"/>
        </w:tabs>
        <w:rPr>
          <w:rFonts w:asciiTheme="minorHAnsi" w:eastAsiaTheme="minorEastAsia" w:hAnsiTheme="minorHAnsi"/>
        </w:rPr>
      </w:pPr>
      <w:hyperlink w:anchor="_Toc227927272" w:history="1">
        <w:r w:rsidRPr="00CE2117">
          <w:rPr>
            <w:rStyle w:val="Hyperlink"/>
          </w:rPr>
          <w:t>Figure 32: Divestiture</w:t>
        </w:r>
        <w:r w:rsidRPr="00CE2117">
          <w:rPr>
            <w:webHidden/>
          </w:rPr>
          <w:tab/>
        </w:r>
        <w:r w:rsidRPr="00CE2117">
          <w:rPr>
            <w:webHidden/>
          </w:rPr>
          <w:fldChar w:fldCharType="begin"/>
        </w:r>
        <w:r w:rsidRPr="00CE2117">
          <w:rPr>
            <w:webHidden/>
          </w:rPr>
          <w:instrText xml:space="preserve"> PAGEREF _Toc227927272 \h </w:instrText>
        </w:r>
        <w:r w:rsidRPr="00CE2117">
          <w:rPr>
            <w:webHidden/>
          </w:rPr>
        </w:r>
        <w:r w:rsidRPr="00CE2117">
          <w:rPr>
            <w:webHidden/>
          </w:rPr>
          <w:fldChar w:fldCharType="separate"/>
        </w:r>
        <w:r w:rsidR="002952B2" w:rsidRPr="00CE2117">
          <w:rPr>
            <w:webHidden/>
          </w:rPr>
          <w:t>27</w:t>
        </w:r>
        <w:r w:rsidRPr="00CE2117">
          <w:rPr>
            <w:webHidden/>
          </w:rPr>
          <w:fldChar w:fldCharType="end"/>
        </w:r>
      </w:hyperlink>
    </w:p>
    <w:p w14:paraId="0DBB76AE" w14:textId="4D53432D" w:rsidR="00396EB6" w:rsidRPr="00CE2117" w:rsidRDefault="00396EB6">
      <w:pPr>
        <w:pStyle w:val="TableofFigures"/>
        <w:tabs>
          <w:tab w:val="right" w:leader="dot" w:pos="9350"/>
        </w:tabs>
        <w:rPr>
          <w:rFonts w:asciiTheme="minorHAnsi" w:eastAsiaTheme="minorEastAsia" w:hAnsiTheme="minorHAnsi"/>
        </w:rPr>
      </w:pPr>
      <w:hyperlink w:anchor="_Toc227927273" w:history="1">
        <w:r w:rsidRPr="00CE2117">
          <w:rPr>
            <w:rStyle w:val="Hyperlink"/>
          </w:rPr>
          <w:t>Figure 33: Create Divestiture</w:t>
        </w:r>
        <w:r w:rsidRPr="00CE2117">
          <w:rPr>
            <w:webHidden/>
          </w:rPr>
          <w:tab/>
        </w:r>
        <w:r w:rsidRPr="00CE2117">
          <w:rPr>
            <w:webHidden/>
          </w:rPr>
          <w:fldChar w:fldCharType="begin"/>
        </w:r>
        <w:r w:rsidRPr="00CE2117">
          <w:rPr>
            <w:webHidden/>
          </w:rPr>
          <w:instrText xml:space="preserve"> PAGEREF _Toc227927273 \h </w:instrText>
        </w:r>
        <w:r w:rsidRPr="00CE2117">
          <w:rPr>
            <w:webHidden/>
          </w:rPr>
        </w:r>
        <w:r w:rsidRPr="00CE2117">
          <w:rPr>
            <w:webHidden/>
          </w:rPr>
          <w:fldChar w:fldCharType="separate"/>
        </w:r>
        <w:r w:rsidR="002952B2" w:rsidRPr="00CE2117">
          <w:rPr>
            <w:webHidden/>
          </w:rPr>
          <w:t>27</w:t>
        </w:r>
        <w:r w:rsidRPr="00CE2117">
          <w:rPr>
            <w:webHidden/>
          </w:rPr>
          <w:fldChar w:fldCharType="end"/>
        </w:r>
      </w:hyperlink>
    </w:p>
    <w:p w14:paraId="6BC4A848" w14:textId="0473A34E" w:rsidR="00396EB6" w:rsidRPr="00CE2117" w:rsidRDefault="00396EB6">
      <w:pPr>
        <w:pStyle w:val="TableofFigures"/>
        <w:tabs>
          <w:tab w:val="right" w:leader="dot" w:pos="9350"/>
        </w:tabs>
        <w:rPr>
          <w:rFonts w:asciiTheme="minorHAnsi" w:eastAsiaTheme="minorEastAsia" w:hAnsiTheme="minorHAnsi"/>
        </w:rPr>
      </w:pPr>
      <w:hyperlink w:anchor="_Toc227927274" w:history="1">
        <w:r w:rsidRPr="00CE2117">
          <w:rPr>
            <w:rStyle w:val="Hyperlink"/>
          </w:rPr>
          <w:t>Figure 34: Strategy of M&amp;A</w:t>
        </w:r>
        <w:r w:rsidRPr="00CE2117">
          <w:rPr>
            <w:webHidden/>
          </w:rPr>
          <w:tab/>
        </w:r>
        <w:r w:rsidRPr="00CE2117">
          <w:rPr>
            <w:webHidden/>
          </w:rPr>
          <w:fldChar w:fldCharType="begin"/>
        </w:r>
        <w:r w:rsidRPr="00CE2117">
          <w:rPr>
            <w:webHidden/>
          </w:rPr>
          <w:instrText xml:space="preserve"> PAGEREF _Toc227927274 \h </w:instrText>
        </w:r>
        <w:r w:rsidRPr="00CE2117">
          <w:rPr>
            <w:webHidden/>
          </w:rPr>
        </w:r>
        <w:r w:rsidRPr="00CE2117">
          <w:rPr>
            <w:webHidden/>
          </w:rPr>
          <w:fldChar w:fldCharType="separate"/>
        </w:r>
        <w:r w:rsidR="002952B2" w:rsidRPr="00CE2117">
          <w:rPr>
            <w:webHidden/>
          </w:rPr>
          <w:t>28</w:t>
        </w:r>
        <w:r w:rsidRPr="00CE2117">
          <w:rPr>
            <w:webHidden/>
          </w:rPr>
          <w:fldChar w:fldCharType="end"/>
        </w:r>
      </w:hyperlink>
    </w:p>
    <w:p w14:paraId="7278BF66" w14:textId="0C8B72DC" w:rsidR="00396EB6" w:rsidRPr="00CE2117" w:rsidRDefault="00396EB6">
      <w:pPr>
        <w:pStyle w:val="TableofFigures"/>
        <w:tabs>
          <w:tab w:val="right" w:leader="dot" w:pos="9350"/>
        </w:tabs>
        <w:rPr>
          <w:rFonts w:asciiTheme="minorHAnsi" w:eastAsiaTheme="minorEastAsia" w:hAnsiTheme="minorHAnsi"/>
        </w:rPr>
      </w:pPr>
      <w:hyperlink w:anchor="_Toc227927275" w:history="1">
        <w:r w:rsidRPr="00CE2117">
          <w:rPr>
            <w:rStyle w:val="Hyperlink"/>
          </w:rPr>
          <w:t>Figure 35: Technology in Business</w:t>
        </w:r>
        <w:r w:rsidRPr="00CE2117">
          <w:rPr>
            <w:webHidden/>
          </w:rPr>
          <w:tab/>
        </w:r>
        <w:r w:rsidRPr="00CE2117">
          <w:rPr>
            <w:webHidden/>
          </w:rPr>
          <w:fldChar w:fldCharType="begin"/>
        </w:r>
        <w:r w:rsidRPr="00CE2117">
          <w:rPr>
            <w:webHidden/>
          </w:rPr>
          <w:instrText xml:space="preserve"> PAGEREF _Toc227927275 \h </w:instrText>
        </w:r>
        <w:r w:rsidRPr="00CE2117">
          <w:rPr>
            <w:webHidden/>
          </w:rPr>
        </w:r>
        <w:r w:rsidRPr="00CE2117">
          <w:rPr>
            <w:webHidden/>
          </w:rPr>
          <w:fldChar w:fldCharType="separate"/>
        </w:r>
        <w:r w:rsidR="002952B2" w:rsidRPr="00CE2117">
          <w:rPr>
            <w:webHidden/>
          </w:rPr>
          <w:t>28</w:t>
        </w:r>
        <w:r w:rsidRPr="00CE2117">
          <w:rPr>
            <w:webHidden/>
          </w:rPr>
          <w:fldChar w:fldCharType="end"/>
        </w:r>
      </w:hyperlink>
    </w:p>
    <w:p w14:paraId="1D53A5F7" w14:textId="1CB5FBFD" w:rsidR="00396EB6" w:rsidRPr="00CE2117" w:rsidRDefault="00396EB6">
      <w:pPr>
        <w:pStyle w:val="TableofFigures"/>
        <w:tabs>
          <w:tab w:val="right" w:leader="dot" w:pos="9350"/>
        </w:tabs>
        <w:rPr>
          <w:rFonts w:asciiTheme="minorHAnsi" w:eastAsiaTheme="minorEastAsia" w:hAnsiTheme="minorHAnsi"/>
        </w:rPr>
      </w:pPr>
      <w:hyperlink w:anchor="_Toc227927276" w:history="1">
        <w:r w:rsidRPr="00CE2117">
          <w:rPr>
            <w:rStyle w:val="Hyperlink"/>
          </w:rPr>
          <w:t>Figure 36: Capital Injection</w:t>
        </w:r>
        <w:r w:rsidRPr="00CE2117">
          <w:rPr>
            <w:webHidden/>
          </w:rPr>
          <w:tab/>
        </w:r>
        <w:r w:rsidRPr="00CE2117">
          <w:rPr>
            <w:webHidden/>
          </w:rPr>
          <w:fldChar w:fldCharType="begin"/>
        </w:r>
        <w:r w:rsidRPr="00CE2117">
          <w:rPr>
            <w:webHidden/>
          </w:rPr>
          <w:instrText xml:space="preserve"> PAGEREF _Toc227927276 \h </w:instrText>
        </w:r>
        <w:r w:rsidRPr="00CE2117">
          <w:rPr>
            <w:webHidden/>
          </w:rPr>
        </w:r>
        <w:r w:rsidRPr="00CE2117">
          <w:rPr>
            <w:webHidden/>
          </w:rPr>
          <w:fldChar w:fldCharType="separate"/>
        </w:r>
        <w:r w:rsidR="002952B2" w:rsidRPr="00CE2117">
          <w:rPr>
            <w:webHidden/>
          </w:rPr>
          <w:t>29</w:t>
        </w:r>
        <w:r w:rsidRPr="00CE2117">
          <w:rPr>
            <w:webHidden/>
          </w:rPr>
          <w:fldChar w:fldCharType="end"/>
        </w:r>
      </w:hyperlink>
    </w:p>
    <w:p w14:paraId="2D12BC97" w14:textId="2B28B630" w:rsidR="00396EB6" w:rsidRPr="00CE2117" w:rsidRDefault="00396EB6">
      <w:pPr>
        <w:pStyle w:val="TableofFigures"/>
        <w:tabs>
          <w:tab w:val="right" w:leader="dot" w:pos="9350"/>
        </w:tabs>
        <w:rPr>
          <w:rFonts w:asciiTheme="minorHAnsi" w:eastAsiaTheme="minorEastAsia" w:hAnsiTheme="minorHAnsi"/>
        </w:rPr>
      </w:pPr>
      <w:hyperlink w:anchor="_Toc227927277" w:history="1">
        <w:r w:rsidRPr="00CE2117">
          <w:rPr>
            <w:rStyle w:val="Hyperlink"/>
          </w:rPr>
          <w:t>Figure 37: Shareholder Value</w:t>
        </w:r>
        <w:r w:rsidRPr="00CE2117">
          <w:rPr>
            <w:webHidden/>
          </w:rPr>
          <w:tab/>
        </w:r>
        <w:r w:rsidRPr="00CE2117">
          <w:rPr>
            <w:webHidden/>
          </w:rPr>
          <w:fldChar w:fldCharType="begin"/>
        </w:r>
        <w:r w:rsidRPr="00CE2117">
          <w:rPr>
            <w:webHidden/>
          </w:rPr>
          <w:instrText xml:space="preserve"> PAGEREF _Toc227927277 \h </w:instrText>
        </w:r>
        <w:r w:rsidRPr="00CE2117">
          <w:rPr>
            <w:webHidden/>
          </w:rPr>
        </w:r>
        <w:r w:rsidRPr="00CE2117">
          <w:rPr>
            <w:webHidden/>
          </w:rPr>
          <w:fldChar w:fldCharType="separate"/>
        </w:r>
        <w:r w:rsidR="002952B2" w:rsidRPr="00CE2117">
          <w:rPr>
            <w:webHidden/>
          </w:rPr>
          <w:t>30</w:t>
        </w:r>
        <w:r w:rsidRPr="00CE2117">
          <w:rPr>
            <w:webHidden/>
          </w:rPr>
          <w:fldChar w:fldCharType="end"/>
        </w:r>
      </w:hyperlink>
    </w:p>
    <w:p w14:paraId="42D9A7C0" w14:textId="254826A0" w:rsidR="00396EB6" w:rsidRPr="00CE2117" w:rsidRDefault="00396EB6">
      <w:pPr>
        <w:pStyle w:val="TableofFigures"/>
        <w:tabs>
          <w:tab w:val="right" w:leader="dot" w:pos="9350"/>
        </w:tabs>
        <w:rPr>
          <w:rFonts w:asciiTheme="minorHAnsi" w:eastAsiaTheme="minorEastAsia" w:hAnsiTheme="minorHAnsi"/>
        </w:rPr>
      </w:pPr>
      <w:hyperlink w:anchor="_Toc227927278" w:history="1">
        <w:r w:rsidRPr="00CE2117">
          <w:rPr>
            <w:rStyle w:val="Hyperlink"/>
          </w:rPr>
          <w:t>Figure 38: Debt Structure</w:t>
        </w:r>
        <w:r w:rsidRPr="00CE2117">
          <w:rPr>
            <w:webHidden/>
          </w:rPr>
          <w:tab/>
        </w:r>
        <w:r w:rsidRPr="00CE2117">
          <w:rPr>
            <w:webHidden/>
          </w:rPr>
          <w:fldChar w:fldCharType="begin"/>
        </w:r>
        <w:r w:rsidRPr="00CE2117">
          <w:rPr>
            <w:webHidden/>
          </w:rPr>
          <w:instrText xml:space="preserve"> PAGEREF _Toc227927278 \h </w:instrText>
        </w:r>
        <w:r w:rsidRPr="00CE2117">
          <w:rPr>
            <w:webHidden/>
          </w:rPr>
        </w:r>
        <w:r w:rsidRPr="00CE2117">
          <w:rPr>
            <w:webHidden/>
          </w:rPr>
          <w:fldChar w:fldCharType="separate"/>
        </w:r>
        <w:r w:rsidR="002952B2" w:rsidRPr="00CE2117">
          <w:rPr>
            <w:webHidden/>
          </w:rPr>
          <w:t>31</w:t>
        </w:r>
        <w:r w:rsidRPr="00CE2117">
          <w:rPr>
            <w:webHidden/>
          </w:rPr>
          <w:fldChar w:fldCharType="end"/>
        </w:r>
      </w:hyperlink>
    </w:p>
    <w:p w14:paraId="330541C0" w14:textId="4D570EED" w:rsidR="00396EB6" w:rsidRPr="00CE2117" w:rsidRDefault="00396EB6">
      <w:pPr>
        <w:pStyle w:val="TableofFigures"/>
        <w:tabs>
          <w:tab w:val="right" w:leader="dot" w:pos="9350"/>
        </w:tabs>
        <w:rPr>
          <w:rFonts w:asciiTheme="minorHAnsi" w:eastAsiaTheme="minorEastAsia" w:hAnsiTheme="minorHAnsi"/>
        </w:rPr>
      </w:pPr>
      <w:hyperlink w:anchor="_Toc227927279" w:history="1">
        <w:r w:rsidRPr="00CE2117">
          <w:rPr>
            <w:rStyle w:val="Hyperlink"/>
          </w:rPr>
          <w:t>Figure 39: Electric Vehicles Sector</w:t>
        </w:r>
        <w:r w:rsidRPr="00CE2117">
          <w:rPr>
            <w:webHidden/>
          </w:rPr>
          <w:tab/>
        </w:r>
        <w:r w:rsidRPr="00CE2117">
          <w:rPr>
            <w:webHidden/>
          </w:rPr>
          <w:fldChar w:fldCharType="begin"/>
        </w:r>
        <w:r w:rsidRPr="00CE2117">
          <w:rPr>
            <w:webHidden/>
          </w:rPr>
          <w:instrText xml:space="preserve"> PAGEREF _Toc227927279 \h </w:instrText>
        </w:r>
        <w:r w:rsidRPr="00CE2117">
          <w:rPr>
            <w:webHidden/>
          </w:rPr>
        </w:r>
        <w:r w:rsidRPr="00CE2117">
          <w:rPr>
            <w:webHidden/>
          </w:rPr>
          <w:fldChar w:fldCharType="separate"/>
        </w:r>
        <w:r w:rsidR="002952B2" w:rsidRPr="00CE2117">
          <w:rPr>
            <w:webHidden/>
          </w:rPr>
          <w:t>31</w:t>
        </w:r>
        <w:r w:rsidRPr="00CE2117">
          <w:rPr>
            <w:webHidden/>
          </w:rPr>
          <w:fldChar w:fldCharType="end"/>
        </w:r>
      </w:hyperlink>
    </w:p>
    <w:p w14:paraId="6BB823C9" w14:textId="1BC1BE88" w:rsidR="00396EB6" w:rsidRPr="00CE2117" w:rsidRDefault="00396EB6">
      <w:pPr>
        <w:pStyle w:val="TableofFigures"/>
        <w:tabs>
          <w:tab w:val="right" w:leader="dot" w:pos="9350"/>
        </w:tabs>
        <w:rPr>
          <w:rFonts w:asciiTheme="minorHAnsi" w:eastAsiaTheme="minorEastAsia" w:hAnsiTheme="minorHAnsi"/>
        </w:rPr>
      </w:pPr>
      <w:hyperlink w:anchor="_Toc227927280" w:history="1">
        <w:r w:rsidRPr="00CE2117">
          <w:rPr>
            <w:rStyle w:val="Hyperlink"/>
          </w:rPr>
          <w:t>Figure 40: Effective Tax Planning Strategies</w:t>
        </w:r>
        <w:r w:rsidRPr="00CE2117">
          <w:rPr>
            <w:webHidden/>
          </w:rPr>
          <w:tab/>
        </w:r>
        <w:r w:rsidRPr="00CE2117">
          <w:rPr>
            <w:webHidden/>
          </w:rPr>
          <w:fldChar w:fldCharType="begin"/>
        </w:r>
        <w:r w:rsidRPr="00CE2117">
          <w:rPr>
            <w:webHidden/>
          </w:rPr>
          <w:instrText xml:space="preserve"> PAGEREF _Toc227927280 \h </w:instrText>
        </w:r>
        <w:r w:rsidRPr="00CE2117">
          <w:rPr>
            <w:webHidden/>
          </w:rPr>
        </w:r>
        <w:r w:rsidRPr="00CE2117">
          <w:rPr>
            <w:webHidden/>
          </w:rPr>
          <w:fldChar w:fldCharType="separate"/>
        </w:r>
        <w:r w:rsidR="002952B2" w:rsidRPr="00CE2117">
          <w:rPr>
            <w:webHidden/>
          </w:rPr>
          <w:t>32</w:t>
        </w:r>
        <w:r w:rsidRPr="00CE2117">
          <w:rPr>
            <w:webHidden/>
          </w:rPr>
          <w:fldChar w:fldCharType="end"/>
        </w:r>
      </w:hyperlink>
    </w:p>
    <w:p w14:paraId="1241C956" w14:textId="78F8FA75" w:rsidR="00396EB6" w:rsidRPr="00CE2117" w:rsidRDefault="00396EB6">
      <w:pPr>
        <w:pStyle w:val="TableofFigures"/>
        <w:tabs>
          <w:tab w:val="right" w:leader="dot" w:pos="9350"/>
        </w:tabs>
        <w:rPr>
          <w:rFonts w:asciiTheme="minorHAnsi" w:eastAsiaTheme="minorEastAsia" w:hAnsiTheme="minorHAnsi"/>
        </w:rPr>
      </w:pPr>
      <w:hyperlink w:anchor="_Toc227927281" w:history="1">
        <w:r w:rsidRPr="00CE2117">
          <w:rPr>
            <w:rStyle w:val="Hyperlink"/>
          </w:rPr>
          <w:t>Figure 41: Currency Risk</w:t>
        </w:r>
        <w:r w:rsidRPr="00CE2117">
          <w:rPr>
            <w:webHidden/>
          </w:rPr>
          <w:tab/>
        </w:r>
        <w:r w:rsidRPr="00CE2117">
          <w:rPr>
            <w:webHidden/>
          </w:rPr>
          <w:fldChar w:fldCharType="begin"/>
        </w:r>
        <w:r w:rsidRPr="00CE2117">
          <w:rPr>
            <w:webHidden/>
          </w:rPr>
          <w:instrText xml:space="preserve"> PAGEREF _Toc227927281 \h </w:instrText>
        </w:r>
        <w:r w:rsidRPr="00CE2117">
          <w:rPr>
            <w:webHidden/>
          </w:rPr>
        </w:r>
        <w:r w:rsidRPr="00CE2117">
          <w:rPr>
            <w:webHidden/>
          </w:rPr>
          <w:fldChar w:fldCharType="separate"/>
        </w:r>
        <w:r w:rsidR="002952B2" w:rsidRPr="00CE2117">
          <w:rPr>
            <w:webHidden/>
          </w:rPr>
          <w:t>33</w:t>
        </w:r>
        <w:r w:rsidRPr="00CE2117">
          <w:rPr>
            <w:webHidden/>
          </w:rPr>
          <w:fldChar w:fldCharType="end"/>
        </w:r>
      </w:hyperlink>
    </w:p>
    <w:p w14:paraId="00D5B0B4" w14:textId="4BAC4F79" w:rsidR="00396EB6" w:rsidRPr="00CE2117" w:rsidRDefault="00396EB6">
      <w:pPr>
        <w:pStyle w:val="TableofFigures"/>
        <w:tabs>
          <w:tab w:val="right" w:leader="dot" w:pos="9350"/>
        </w:tabs>
        <w:rPr>
          <w:rFonts w:asciiTheme="minorHAnsi" w:eastAsiaTheme="minorEastAsia" w:hAnsiTheme="minorHAnsi"/>
        </w:rPr>
      </w:pPr>
      <w:hyperlink w:anchor="_Toc227927282" w:history="1">
        <w:r w:rsidRPr="00CE2117">
          <w:rPr>
            <w:rStyle w:val="Hyperlink"/>
          </w:rPr>
          <w:t>Figure 42: Inflation</w:t>
        </w:r>
        <w:r w:rsidRPr="00CE2117">
          <w:rPr>
            <w:webHidden/>
          </w:rPr>
          <w:tab/>
        </w:r>
        <w:r w:rsidRPr="00CE2117">
          <w:rPr>
            <w:webHidden/>
          </w:rPr>
          <w:fldChar w:fldCharType="begin"/>
        </w:r>
        <w:r w:rsidRPr="00CE2117">
          <w:rPr>
            <w:webHidden/>
          </w:rPr>
          <w:instrText xml:space="preserve"> PAGEREF _Toc227927282 \h </w:instrText>
        </w:r>
        <w:r w:rsidRPr="00CE2117">
          <w:rPr>
            <w:webHidden/>
          </w:rPr>
        </w:r>
        <w:r w:rsidRPr="00CE2117">
          <w:rPr>
            <w:webHidden/>
          </w:rPr>
          <w:fldChar w:fldCharType="separate"/>
        </w:r>
        <w:r w:rsidR="002952B2" w:rsidRPr="00CE2117">
          <w:rPr>
            <w:webHidden/>
          </w:rPr>
          <w:t>34</w:t>
        </w:r>
        <w:r w:rsidRPr="00CE2117">
          <w:rPr>
            <w:webHidden/>
          </w:rPr>
          <w:fldChar w:fldCharType="end"/>
        </w:r>
      </w:hyperlink>
    </w:p>
    <w:p w14:paraId="20E88F4E" w14:textId="1E886517" w:rsidR="00396EB6" w:rsidRPr="00CE2117" w:rsidRDefault="00396EB6">
      <w:pPr>
        <w:pStyle w:val="TableofFigures"/>
        <w:tabs>
          <w:tab w:val="right" w:leader="dot" w:pos="9350"/>
        </w:tabs>
        <w:rPr>
          <w:rFonts w:asciiTheme="minorHAnsi" w:eastAsiaTheme="minorEastAsia" w:hAnsiTheme="minorHAnsi"/>
        </w:rPr>
      </w:pPr>
      <w:hyperlink w:anchor="_Toc227927283" w:history="1">
        <w:r w:rsidRPr="00CE2117">
          <w:rPr>
            <w:rStyle w:val="Hyperlink"/>
          </w:rPr>
          <w:t>Figure 43: CSR</w:t>
        </w:r>
        <w:r w:rsidRPr="00CE2117">
          <w:rPr>
            <w:webHidden/>
          </w:rPr>
          <w:tab/>
        </w:r>
        <w:r w:rsidRPr="00CE2117">
          <w:rPr>
            <w:webHidden/>
          </w:rPr>
          <w:fldChar w:fldCharType="begin"/>
        </w:r>
        <w:r w:rsidRPr="00CE2117">
          <w:rPr>
            <w:webHidden/>
          </w:rPr>
          <w:instrText xml:space="preserve"> PAGEREF _Toc227927283 \h </w:instrText>
        </w:r>
        <w:r w:rsidRPr="00CE2117">
          <w:rPr>
            <w:webHidden/>
          </w:rPr>
        </w:r>
        <w:r w:rsidRPr="00CE2117">
          <w:rPr>
            <w:webHidden/>
          </w:rPr>
          <w:fldChar w:fldCharType="separate"/>
        </w:r>
        <w:r w:rsidR="002952B2" w:rsidRPr="00CE2117">
          <w:rPr>
            <w:webHidden/>
          </w:rPr>
          <w:t>34</w:t>
        </w:r>
        <w:r w:rsidRPr="00CE2117">
          <w:rPr>
            <w:webHidden/>
          </w:rPr>
          <w:fldChar w:fldCharType="end"/>
        </w:r>
      </w:hyperlink>
    </w:p>
    <w:p w14:paraId="14CE79BB" w14:textId="5FBCD22F" w:rsidR="00396EB6" w:rsidRPr="00CE2117" w:rsidRDefault="00396EB6">
      <w:pPr>
        <w:pStyle w:val="TableofFigures"/>
        <w:tabs>
          <w:tab w:val="right" w:leader="dot" w:pos="9350"/>
        </w:tabs>
        <w:rPr>
          <w:rFonts w:asciiTheme="minorHAnsi" w:eastAsiaTheme="minorEastAsia" w:hAnsiTheme="minorHAnsi"/>
        </w:rPr>
      </w:pPr>
      <w:hyperlink w:anchor="_Toc227927284" w:history="1">
        <w:r w:rsidRPr="00CE2117">
          <w:rPr>
            <w:rStyle w:val="Hyperlink"/>
          </w:rPr>
          <w:t>Figure 44: ESG</w:t>
        </w:r>
        <w:r w:rsidRPr="00CE2117">
          <w:rPr>
            <w:webHidden/>
          </w:rPr>
          <w:tab/>
        </w:r>
        <w:r w:rsidRPr="00CE2117">
          <w:rPr>
            <w:webHidden/>
          </w:rPr>
          <w:fldChar w:fldCharType="begin"/>
        </w:r>
        <w:r w:rsidRPr="00CE2117">
          <w:rPr>
            <w:webHidden/>
          </w:rPr>
          <w:instrText xml:space="preserve"> PAGEREF _Toc227927284 \h </w:instrText>
        </w:r>
        <w:r w:rsidRPr="00CE2117">
          <w:rPr>
            <w:webHidden/>
          </w:rPr>
        </w:r>
        <w:r w:rsidRPr="00CE2117">
          <w:rPr>
            <w:webHidden/>
          </w:rPr>
          <w:fldChar w:fldCharType="separate"/>
        </w:r>
        <w:r w:rsidR="002952B2" w:rsidRPr="00CE2117">
          <w:rPr>
            <w:webHidden/>
          </w:rPr>
          <w:t>35</w:t>
        </w:r>
        <w:r w:rsidRPr="00CE2117">
          <w:rPr>
            <w:webHidden/>
          </w:rPr>
          <w:fldChar w:fldCharType="end"/>
        </w:r>
      </w:hyperlink>
    </w:p>
    <w:p w14:paraId="5020CA78" w14:textId="25D19594" w:rsidR="00396EB6" w:rsidRPr="00CE2117" w:rsidRDefault="00396EB6">
      <w:pPr>
        <w:pStyle w:val="TableofFigures"/>
        <w:tabs>
          <w:tab w:val="right" w:leader="dot" w:pos="9350"/>
        </w:tabs>
        <w:rPr>
          <w:rFonts w:asciiTheme="minorHAnsi" w:eastAsiaTheme="minorEastAsia" w:hAnsiTheme="minorHAnsi"/>
        </w:rPr>
      </w:pPr>
      <w:hyperlink w:anchor="_Toc227927285" w:history="1">
        <w:r w:rsidRPr="00CE2117">
          <w:rPr>
            <w:rStyle w:val="Hyperlink"/>
          </w:rPr>
          <w:t>Figure 45: Ethical Considerations</w:t>
        </w:r>
        <w:r w:rsidRPr="00CE2117">
          <w:rPr>
            <w:webHidden/>
          </w:rPr>
          <w:tab/>
        </w:r>
        <w:r w:rsidRPr="00CE2117">
          <w:rPr>
            <w:webHidden/>
          </w:rPr>
          <w:fldChar w:fldCharType="begin"/>
        </w:r>
        <w:r w:rsidRPr="00CE2117">
          <w:rPr>
            <w:webHidden/>
          </w:rPr>
          <w:instrText xml:space="preserve"> PAGEREF _Toc227927285 \h </w:instrText>
        </w:r>
        <w:r w:rsidRPr="00CE2117">
          <w:rPr>
            <w:webHidden/>
          </w:rPr>
        </w:r>
        <w:r w:rsidRPr="00CE2117">
          <w:rPr>
            <w:webHidden/>
          </w:rPr>
          <w:fldChar w:fldCharType="separate"/>
        </w:r>
        <w:r w:rsidR="002952B2" w:rsidRPr="00CE2117">
          <w:rPr>
            <w:webHidden/>
          </w:rPr>
          <w:t>35</w:t>
        </w:r>
        <w:r w:rsidRPr="00CE2117">
          <w:rPr>
            <w:webHidden/>
          </w:rPr>
          <w:fldChar w:fldCharType="end"/>
        </w:r>
      </w:hyperlink>
    </w:p>
    <w:p w14:paraId="15044363" w14:textId="3E127B0A" w:rsidR="00396EB6" w:rsidRPr="00CE2117" w:rsidRDefault="00396EB6">
      <w:pPr>
        <w:pStyle w:val="TableofFigures"/>
        <w:tabs>
          <w:tab w:val="right" w:leader="dot" w:pos="9350"/>
        </w:tabs>
        <w:rPr>
          <w:rFonts w:asciiTheme="minorHAnsi" w:eastAsiaTheme="minorEastAsia" w:hAnsiTheme="minorHAnsi"/>
        </w:rPr>
      </w:pPr>
      <w:hyperlink w:anchor="_Toc227927286" w:history="1">
        <w:r w:rsidRPr="00CE2117">
          <w:rPr>
            <w:rStyle w:val="Hyperlink"/>
          </w:rPr>
          <w:t>Figure 46: Regulatory Environment</w:t>
        </w:r>
        <w:r w:rsidRPr="00CE2117">
          <w:rPr>
            <w:webHidden/>
          </w:rPr>
          <w:tab/>
        </w:r>
        <w:r w:rsidRPr="00CE2117">
          <w:rPr>
            <w:webHidden/>
          </w:rPr>
          <w:fldChar w:fldCharType="begin"/>
        </w:r>
        <w:r w:rsidRPr="00CE2117">
          <w:rPr>
            <w:webHidden/>
          </w:rPr>
          <w:instrText xml:space="preserve"> PAGEREF _Toc227927286 \h </w:instrText>
        </w:r>
        <w:r w:rsidRPr="00CE2117">
          <w:rPr>
            <w:webHidden/>
          </w:rPr>
        </w:r>
        <w:r w:rsidRPr="00CE2117">
          <w:rPr>
            <w:webHidden/>
          </w:rPr>
          <w:fldChar w:fldCharType="separate"/>
        </w:r>
        <w:r w:rsidR="002952B2" w:rsidRPr="00CE2117">
          <w:rPr>
            <w:webHidden/>
          </w:rPr>
          <w:t>36</w:t>
        </w:r>
        <w:r w:rsidRPr="00CE2117">
          <w:rPr>
            <w:webHidden/>
          </w:rPr>
          <w:fldChar w:fldCharType="end"/>
        </w:r>
      </w:hyperlink>
    </w:p>
    <w:p w14:paraId="2E6F780D" w14:textId="5F99EA68" w:rsidR="00C23A3D" w:rsidRPr="00CE2117" w:rsidRDefault="00C23A3D">
      <w:pPr>
        <w:rPr>
          <w:b/>
          <w:bCs/>
          <w:sz w:val="28"/>
          <w:szCs w:val="28"/>
        </w:rPr>
      </w:pPr>
      <w:r w:rsidRPr="00CE2117">
        <w:rPr>
          <w:b/>
          <w:bCs/>
          <w:sz w:val="28"/>
          <w:szCs w:val="28"/>
        </w:rPr>
        <w:fldChar w:fldCharType="end"/>
      </w:r>
    </w:p>
    <w:p w14:paraId="42506C8A" w14:textId="77777777" w:rsidR="00416FD6" w:rsidRPr="00CE2117" w:rsidRDefault="00416FD6">
      <w:pPr>
        <w:rPr>
          <w:b/>
          <w:bCs/>
          <w:sz w:val="28"/>
          <w:szCs w:val="28"/>
        </w:rPr>
      </w:pPr>
    </w:p>
    <w:p w14:paraId="38B00C1F" w14:textId="77777777" w:rsidR="00D93F16" w:rsidRPr="00CE2117" w:rsidRDefault="00D93F16">
      <w:pPr>
        <w:rPr>
          <w:b/>
          <w:bCs/>
          <w:sz w:val="28"/>
          <w:szCs w:val="28"/>
        </w:rPr>
      </w:pPr>
    </w:p>
    <w:p w14:paraId="0E54E8D5" w14:textId="77777777" w:rsidR="00D93F16" w:rsidRPr="00CE2117" w:rsidRDefault="00D93F16">
      <w:pPr>
        <w:rPr>
          <w:b/>
          <w:bCs/>
          <w:sz w:val="28"/>
          <w:szCs w:val="28"/>
        </w:rPr>
      </w:pPr>
    </w:p>
    <w:p w14:paraId="2F98A9B3" w14:textId="77777777" w:rsidR="00D93F16" w:rsidRPr="00CE2117" w:rsidRDefault="00D93F16">
      <w:pPr>
        <w:rPr>
          <w:b/>
          <w:bCs/>
          <w:sz w:val="28"/>
          <w:szCs w:val="28"/>
        </w:rPr>
      </w:pPr>
    </w:p>
    <w:p w14:paraId="3786C534" w14:textId="77777777" w:rsidR="00396EB6" w:rsidRPr="00CE2117" w:rsidRDefault="00396EB6">
      <w:pPr>
        <w:rPr>
          <w:b/>
          <w:bCs/>
          <w:sz w:val="28"/>
          <w:szCs w:val="28"/>
        </w:rPr>
      </w:pPr>
    </w:p>
    <w:p w14:paraId="15CC1267" w14:textId="77777777" w:rsidR="00396EB6" w:rsidRPr="00CE2117" w:rsidRDefault="00396EB6">
      <w:pPr>
        <w:rPr>
          <w:b/>
          <w:bCs/>
          <w:sz w:val="28"/>
          <w:szCs w:val="28"/>
        </w:rPr>
      </w:pPr>
    </w:p>
    <w:p w14:paraId="550069FC" w14:textId="77777777" w:rsidR="00396EB6" w:rsidRPr="00CE2117" w:rsidRDefault="00396EB6">
      <w:pPr>
        <w:rPr>
          <w:b/>
          <w:bCs/>
          <w:sz w:val="28"/>
          <w:szCs w:val="28"/>
        </w:rPr>
      </w:pPr>
    </w:p>
    <w:p w14:paraId="34FF0426" w14:textId="77777777" w:rsidR="00D93F16" w:rsidRPr="00CE2117" w:rsidRDefault="00D93F16">
      <w:pPr>
        <w:rPr>
          <w:b/>
          <w:bCs/>
          <w:sz w:val="28"/>
          <w:szCs w:val="28"/>
        </w:rPr>
      </w:pPr>
    </w:p>
    <w:p w14:paraId="44451CF9" w14:textId="2F1B05F9" w:rsidR="00416FD6" w:rsidRPr="00CE2117" w:rsidRDefault="00416FD6" w:rsidP="00416FD6">
      <w:pPr>
        <w:pStyle w:val="Heading1"/>
      </w:pPr>
      <w:bookmarkStart w:id="0" w:name="_Toc227947962"/>
      <w:r w:rsidRPr="00CE2117">
        <w:t>1. Financial Health Check</w:t>
      </w:r>
      <w:bookmarkEnd w:id="0"/>
    </w:p>
    <w:p w14:paraId="4C18BCCB" w14:textId="535115F3" w:rsidR="00937346" w:rsidRPr="00CE2117" w:rsidRDefault="00416FD6" w:rsidP="00F46BDF">
      <w:pPr>
        <w:pStyle w:val="Heading2"/>
      </w:pPr>
      <w:bookmarkStart w:id="1" w:name="_Toc227947963"/>
      <w:r w:rsidRPr="00CE2117">
        <w:t>1.1 Introduction</w:t>
      </w:r>
      <w:bookmarkEnd w:id="1"/>
      <w:r w:rsidRPr="00CE2117">
        <w:t xml:space="preserve"> </w:t>
      </w:r>
    </w:p>
    <w:p w14:paraId="384D5B30" w14:textId="77777777" w:rsidR="003909AA" w:rsidRDefault="003909AA" w:rsidP="003909AA">
      <w:r>
        <w:t xml:space="preserve">This study assesses the financial position and strategy of BYD over a five year period, through ratio analysis, working capital management, financial restructuring and capital budgeting. The evaluation draws on major financial ratios of profitability, liquidity, efficiency, gearing, investment and cash flow to address issues relating to financial performance and sustainability. </w:t>
      </w:r>
    </w:p>
    <w:p w14:paraId="34AA7D11" w14:textId="77777777" w:rsidR="003909AA" w:rsidRDefault="003909AA" w:rsidP="003909AA">
      <w:r>
        <w:t xml:space="preserve"> </w:t>
      </w:r>
      <w:r>
        <w:rPr>
          <w:noProof/>
        </w:rPr>
        <w:drawing>
          <wp:inline distT="0" distB="0" distL="0" distR="0" wp14:anchorId="5C997AC2" wp14:editId="0707497C">
            <wp:extent cx="6019799" cy="1504950"/>
            <wp:effectExtent l="0" t="0" r="0" b="0"/>
            <wp:docPr id="9703682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V="1">
                      <a:off x="0" y="0"/>
                      <a:ext cx="6035172" cy="1508793"/>
                    </a:xfrm>
                    <a:prstGeom prst="rect">
                      <a:avLst/>
                    </a:prstGeom>
                    <a:noFill/>
                  </pic:spPr>
                </pic:pic>
              </a:graphicData>
            </a:graphic>
          </wp:inline>
        </w:drawing>
      </w:r>
    </w:p>
    <w:p w14:paraId="2131E45D" w14:textId="4069F2EC" w:rsidR="003909AA" w:rsidRDefault="003909AA" w:rsidP="003909AA">
      <w:pPr>
        <w:pStyle w:val="Caption"/>
      </w:pPr>
      <w:r>
        <w:t xml:space="preserve">Figure </w:t>
      </w:r>
      <w:r>
        <w:fldChar w:fldCharType="begin"/>
      </w:r>
      <w:r>
        <w:instrText xml:space="preserve"> SEQ Figure \* ARABIC </w:instrText>
      </w:r>
      <w:r>
        <w:fldChar w:fldCharType="separate"/>
      </w:r>
      <w:r>
        <w:rPr>
          <w:noProof/>
        </w:rPr>
        <w:t>1</w:t>
      </w:r>
      <w:r>
        <w:fldChar w:fldCharType="end"/>
      </w:r>
      <w:r>
        <w:t>: BYD</w:t>
      </w:r>
    </w:p>
    <w:p w14:paraId="5C1BE8AB" w14:textId="7EAF3ECB" w:rsidR="00F95970" w:rsidRDefault="003909AA" w:rsidP="003909AA">
      <w:r>
        <w:lastRenderedPageBreak/>
        <w:t>Also, the report assesses the efficiency of the firm's cash operating cycle and recommends ways to improve cash flows. The report also assesses financial restructuring strategies and investment appraisal methods such as Net Present Value (NPV) and Internal Rate of Return (IRR) to guide the choice of investment and capital allocation, considering resource and other constraints.</w:t>
      </w:r>
    </w:p>
    <w:p w14:paraId="68208484" w14:textId="77777777" w:rsidR="003909AA" w:rsidRPr="00CE2117" w:rsidRDefault="003909AA" w:rsidP="003909AA"/>
    <w:p w14:paraId="5CE7C149" w14:textId="2AE2A141" w:rsidR="00C15E81" w:rsidRPr="00CE2117" w:rsidRDefault="00416FD6" w:rsidP="00F46BDF">
      <w:pPr>
        <w:pStyle w:val="Heading2"/>
      </w:pPr>
      <w:bookmarkStart w:id="2" w:name="_Toc227947964"/>
      <w:r w:rsidRPr="00CE2117">
        <w:t>1.2 Financial Statements 5-year period</w:t>
      </w:r>
      <w:bookmarkEnd w:id="2"/>
    </w:p>
    <w:p w14:paraId="6F80CF8A" w14:textId="7F12F6A6" w:rsidR="00F95970" w:rsidRPr="00CE2117" w:rsidRDefault="00CE2117" w:rsidP="00F95970">
      <w:r w:rsidRPr="00CE2117">
        <w:t>According to the financial statements of BYD, the growth rates are very high during the period between 2021 and 2024, then, there are signs of moderation in 2025. The increase in revenues and enhanced operating margins indicate that the growth phase will be successful in terms of scaling EV production and cost-management (Phavithra et al., 2025). The decrease in key performance indicators of 2025, however, indicates possible external forces like the augmented competition and capital intensity within the EV industry (Alinezhadjahromi et al., 2026).</w:t>
      </w:r>
    </w:p>
    <w:p w14:paraId="5245555B" w14:textId="77777777" w:rsidR="00015678" w:rsidRPr="00CE2117" w:rsidRDefault="00015678" w:rsidP="00F95970"/>
    <w:p w14:paraId="4882590A" w14:textId="77777777" w:rsidR="00416FD6" w:rsidRPr="00CE2117" w:rsidRDefault="00416FD6" w:rsidP="00416FD6">
      <w:pPr>
        <w:pStyle w:val="Heading2"/>
      </w:pPr>
      <w:bookmarkStart w:id="3" w:name="_Toc227947965"/>
      <w:r w:rsidRPr="00CE2117">
        <w:t>1.3 Profitability Ratios</w:t>
      </w:r>
      <w:bookmarkEnd w:id="3"/>
    </w:p>
    <w:p w14:paraId="2D125F7B" w14:textId="22346DE4" w:rsidR="00015678" w:rsidRPr="00CE2117" w:rsidRDefault="00CE2117" w:rsidP="00015678">
      <w:r w:rsidRPr="00CE2117">
        <w:t>Profitability ratios show that BYD can make profits out of its business. In 2023, Gross profit margin rose to 20.21% (2023) and then fell to 17.74% (2025) which shows cost efficiency and thereafter compression of the margin respectively (Astuti, 2025).</w:t>
      </w:r>
    </w:p>
    <w:p w14:paraId="1D5946A0" w14:textId="3BAC18E7" w:rsidR="002A2C96" w:rsidRPr="00CE2117" w:rsidRDefault="00FB711E" w:rsidP="002A2C96">
      <w:pPr>
        <w:jc w:val="center"/>
      </w:pPr>
      <w:r w:rsidRPr="00CE2117">
        <w:rPr>
          <w:noProof/>
        </w:rPr>
        <w:lastRenderedPageBreak/>
        <w:drawing>
          <wp:inline distT="0" distB="0" distL="0" distR="0" wp14:anchorId="544438BF" wp14:editId="5841E7A1">
            <wp:extent cx="4572000" cy="2857500"/>
            <wp:effectExtent l="0" t="0" r="0" b="0"/>
            <wp:docPr id="1962260079" name="Chart 1">
              <a:extLst xmlns:a="http://schemas.openxmlformats.org/drawingml/2006/main">
                <a:ext uri="{FF2B5EF4-FFF2-40B4-BE49-F238E27FC236}">
                  <a16:creationId xmlns:a16="http://schemas.microsoft.com/office/drawing/2014/main" id="{B8565FB7-F0A9-EF00-70E8-240888AA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11F23C" w14:textId="6D762892" w:rsidR="00925DCA" w:rsidRPr="00CE2117" w:rsidRDefault="00812C51" w:rsidP="00437FED">
      <w:pPr>
        <w:pStyle w:val="Caption"/>
      </w:pPr>
      <w:bookmarkStart w:id="4" w:name="_Toc227927243"/>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3</w:t>
      </w:r>
      <w:r w:rsidR="002A3D87" w:rsidRPr="00CE2117">
        <w:fldChar w:fldCharType="end"/>
      </w:r>
      <w:r w:rsidRPr="00CE2117">
        <w:t>: Gross Profit Margin</w:t>
      </w:r>
      <w:bookmarkEnd w:id="4"/>
    </w:p>
    <w:p w14:paraId="6F8F5C69" w14:textId="4456EA3A" w:rsidR="00734BE0" w:rsidRPr="00CE2117" w:rsidRDefault="00FB711E" w:rsidP="00734BE0">
      <w:pPr>
        <w:jc w:val="center"/>
      </w:pPr>
      <w:r w:rsidRPr="00CE2117">
        <w:rPr>
          <w:noProof/>
        </w:rPr>
        <w:drawing>
          <wp:inline distT="0" distB="0" distL="0" distR="0" wp14:anchorId="55648D0F" wp14:editId="0D845810">
            <wp:extent cx="4572000" cy="2876550"/>
            <wp:effectExtent l="0" t="0" r="0" b="0"/>
            <wp:docPr id="2037283855"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A375DC" w14:textId="00A981D5" w:rsidR="00237C14" w:rsidRPr="00CE2117" w:rsidRDefault="00237C14" w:rsidP="00237C14">
      <w:pPr>
        <w:pStyle w:val="Caption"/>
      </w:pPr>
      <w:bookmarkStart w:id="5" w:name="_Toc227927244"/>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4</w:t>
      </w:r>
      <w:r w:rsidR="002A3D87" w:rsidRPr="00CE2117">
        <w:fldChar w:fldCharType="end"/>
      </w:r>
      <w:r w:rsidRPr="00CE2117">
        <w:t xml:space="preserve">: </w:t>
      </w:r>
      <w:r w:rsidR="00A94553" w:rsidRPr="00CE2117">
        <w:t>Net Profit Margin</w:t>
      </w:r>
      <w:bookmarkEnd w:id="5"/>
    </w:p>
    <w:p w14:paraId="153E6AEA" w14:textId="77777777" w:rsidR="00015678" w:rsidRPr="00CE2117" w:rsidRDefault="00015678" w:rsidP="00015678">
      <w:r w:rsidRPr="00CE2117">
        <w:t>Net profit margin followed a similar trend, rising from 1.88% to 5.35% in 2024 and declining to 4.20% in 2025, reflecting both operational improvements and subsequent cost pressures (Shang and Baldo, 2025).</w:t>
      </w:r>
    </w:p>
    <w:p w14:paraId="46B200E9" w14:textId="35652441" w:rsidR="00734BE0" w:rsidRPr="00CE2117" w:rsidRDefault="00FB711E" w:rsidP="00734BE0">
      <w:pPr>
        <w:jc w:val="center"/>
      </w:pPr>
      <w:r w:rsidRPr="00CE2117">
        <w:rPr>
          <w:noProof/>
        </w:rPr>
        <w:lastRenderedPageBreak/>
        <w:drawing>
          <wp:inline distT="0" distB="0" distL="0" distR="0" wp14:anchorId="042CA34A" wp14:editId="3F8100E9">
            <wp:extent cx="4572000" cy="2857500"/>
            <wp:effectExtent l="0" t="0" r="0" b="0"/>
            <wp:docPr id="1196475909" name="Chart 1">
              <a:extLst xmlns:a="http://schemas.openxmlformats.org/drawingml/2006/main">
                <a:ext uri="{FF2B5EF4-FFF2-40B4-BE49-F238E27FC236}">
                  <a16:creationId xmlns:a16="http://schemas.microsoft.com/office/drawing/2014/main" id="{46F9A1C2-F715-4D16-D777-F450B0028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85B70A" w14:textId="405A4AF2" w:rsidR="00DE01D0" w:rsidRPr="00CE2117" w:rsidRDefault="008C02A6" w:rsidP="00842DF7">
      <w:pPr>
        <w:pStyle w:val="Caption"/>
      </w:pPr>
      <w:bookmarkStart w:id="6" w:name="_Toc227927245"/>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5</w:t>
      </w:r>
      <w:r w:rsidR="002A3D87" w:rsidRPr="00CE2117">
        <w:fldChar w:fldCharType="end"/>
      </w:r>
      <w:r w:rsidRPr="00CE2117">
        <w:t xml:space="preserve">: </w:t>
      </w:r>
      <w:r w:rsidR="00A94553" w:rsidRPr="00CE2117">
        <w:t>Operating Profit Margin</w:t>
      </w:r>
      <w:bookmarkEnd w:id="6"/>
      <w:r w:rsidR="00A94553" w:rsidRPr="00CE2117">
        <w:t xml:space="preserve">  </w:t>
      </w:r>
    </w:p>
    <w:p w14:paraId="46ED00BC" w14:textId="4119B599" w:rsidR="00015678" w:rsidRPr="00CE2117" w:rsidRDefault="00CE2117" w:rsidP="00015678">
      <w:r w:rsidRPr="00CE2117">
        <w:t>The operating profit margin has grown from 2.14% in 2021 to 6.50% in 2024, reflecting improved operational efficiencies and economies of scale. But the drop to 5.00% in 2025 indicates an increase in costs or a decrease in market power in the competitive electric vehicle industry (Endris and Babu, 2026).</w:t>
      </w:r>
    </w:p>
    <w:p w14:paraId="7D7644AC" w14:textId="3F4F6B2E" w:rsidR="00734BE0" w:rsidRPr="00CE2117" w:rsidRDefault="00FB711E" w:rsidP="00734BE0">
      <w:pPr>
        <w:jc w:val="center"/>
      </w:pPr>
      <w:r w:rsidRPr="00CE2117">
        <w:rPr>
          <w:noProof/>
        </w:rPr>
        <w:drawing>
          <wp:inline distT="0" distB="0" distL="0" distR="0" wp14:anchorId="64CF8964" wp14:editId="08D6BEB0">
            <wp:extent cx="4572000" cy="2876550"/>
            <wp:effectExtent l="0" t="0" r="0" b="0"/>
            <wp:docPr id="1738192282" name="Chart 1">
              <a:extLst xmlns:a="http://schemas.openxmlformats.org/drawingml/2006/main">
                <a:ext uri="{FF2B5EF4-FFF2-40B4-BE49-F238E27FC236}">
                  <a16:creationId xmlns:a16="http://schemas.microsoft.com/office/drawing/2014/main" id="{71AB12A5-D0A1-6DC8-7004-6442655600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1D8A39" w14:textId="4B55A86F" w:rsidR="00713552" w:rsidRPr="00CE2117" w:rsidRDefault="00713552" w:rsidP="00713552">
      <w:pPr>
        <w:pStyle w:val="Caption"/>
      </w:pPr>
      <w:bookmarkStart w:id="7" w:name="_Toc227927246"/>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6</w:t>
      </w:r>
      <w:r w:rsidR="002A3D87" w:rsidRPr="00CE2117">
        <w:fldChar w:fldCharType="end"/>
      </w:r>
      <w:r w:rsidRPr="00CE2117">
        <w:t>: Return on Assets (ROA)</w:t>
      </w:r>
      <w:bookmarkEnd w:id="7"/>
    </w:p>
    <w:p w14:paraId="0F9B5522" w14:textId="287FF867" w:rsidR="00015678" w:rsidRPr="00CE2117" w:rsidRDefault="00CE2117" w:rsidP="00015678">
      <w:r w:rsidRPr="00CE2117">
        <w:lastRenderedPageBreak/>
        <w:t>Return on assets (ROA) rose from 1.34% to 5.31% in 2024, showing they were efficiently using its assets, but it fell back to 3.82% in 2025, suggesting it was less efficiently deploying its assets (Taware et al., 2026).</w:t>
      </w:r>
    </w:p>
    <w:p w14:paraId="4D1728D4" w14:textId="461E5BF4" w:rsidR="00416FD6" w:rsidRPr="00CE2117" w:rsidRDefault="00FB711E" w:rsidP="00AB5AED">
      <w:pPr>
        <w:jc w:val="center"/>
      </w:pPr>
      <w:r w:rsidRPr="00CE2117">
        <w:rPr>
          <w:noProof/>
        </w:rPr>
        <w:drawing>
          <wp:inline distT="0" distB="0" distL="0" distR="0" wp14:anchorId="15BA8AF1" wp14:editId="3070F739">
            <wp:extent cx="4572000" cy="2886075"/>
            <wp:effectExtent l="0" t="0" r="0" b="9525"/>
            <wp:docPr id="627271350" name="Chart 1">
              <a:extLst xmlns:a="http://schemas.openxmlformats.org/drawingml/2006/main">
                <a:ext uri="{FF2B5EF4-FFF2-40B4-BE49-F238E27FC236}">
                  <a16:creationId xmlns:a16="http://schemas.microsoft.com/office/drawing/2014/main" id="{5AE9C86F-D700-8086-08C0-3F2FEE394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2D75C3" w14:textId="09DE9E02" w:rsidR="00734BE0" w:rsidRPr="00CE2117" w:rsidRDefault="006939B5" w:rsidP="006939B5">
      <w:pPr>
        <w:pStyle w:val="Caption"/>
      </w:pPr>
      <w:bookmarkStart w:id="8" w:name="_Toc227927247"/>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7</w:t>
      </w:r>
      <w:r w:rsidR="002A3D87" w:rsidRPr="00CE2117">
        <w:fldChar w:fldCharType="end"/>
      </w:r>
      <w:r w:rsidRPr="00CE2117">
        <w:t>: Return on Equity (ROE)</w:t>
      </w:r>
      <w:bookmarkEnd w:id="8"/>
    </w:p>
    <w:p w14:paraId="6E870C05" w14:textId="67345F53" w:rsidR="00DA554D" w:rsidRPr="00CE2117" w:rsidRDefault="00CE2117" w:rsidP="00A94553">
      <w:r w:rsidRPr="00CE2117">
        <w:t>Return on equity (ROE) leapt from 3.81% in 2021 to more than 20% in 2023 and 2024, indicating robust shareholder returns on the company's profitability. Yet the decline to 13.06% in 2025 suggests profitability is declining and possibly financial risk has increased or there is equity dilution (Mathews et al., 2025).</w:t>
      </w:r>
    </w:p>
    <w:p w14:paraId="4B0934F3" w14:textId="77777777" w:rsidR="00CE2117" w:rsidRPr="00CE2117" w:rsidRDefault="00CE2117" w:rsidP="00A94553"/>
    <w:p w14:paraId="0C8631DF" w14:textId="77777777" w:rsidR="00416FD6" w:rsidRPr="00CE2117" w:rsidRDefault="00416FD6" w:rsidP="00416FD6">
      <w:pPr>
        <w:pStyle w:val="Heading2"/>
      </w:pPr>
      <w:bookmarkStart w:id="9" w:name="_Toc227947966"/>
      <w:r w:rsidRPr="00CE2117">
        <w:lastRenderedPageBreak/>
        <w:t>1.4 Liquidity Ratios</w:t>
      </w:r>
      <w:bookmarkEnd w:id="9"/>
    </w:p>
    <w:p w14:paraId="4089B741" w14:textId="7614818E" w:rsidR="00350067" w:rsidRPr="00CE2117" w:rsidRDefault="00FB711E" w:rsidP="00350067">
      <w:pPr>
        <w:jc w:val="center"/>
      </w:pPr>
      <w:r w:rsidRPr="00CE2117">
        <w:rPr>
          <w:noProof/>
        </w:rPr>
        <w:drawing>
          <wp:inline distT="0" distB="0" distL="0" distR="0" wp14:anchorId="0BBB08C5" wp14:editId="214C1B80">
            <wp:extent cx="5095875" cy="2876550"/>
            <wp:effectExtent l="0" t="0" r="9525" b="0"/>
            <wp:docPr id="731940044" name="Chart 1">
              <a:extLst xmlns:a="http://schemas.openxmlformats.org/drawingml/2006/main">
                <a:ext uri="{FF2B5EF4-FFF2-40B4-BE49-F238E27FC236}">
                  <a16:creationId xmlns:a16="http://schemas.microsoft.com/office/drawing/2014/main" id="{1F08228A-E158-8C30-6F2B-C11C1CD18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F47784" w14:textId="2F653CB3" w:rsidR="00DF07BE" w:rsidRPr="00CE2117" w:rsidRDefault="00DF07BE" w:rsidP="00DF07BE">
      <w:pPr>
        <w:pStyle w:val="Caption"/>
      </w:pPr>
      <w:bookmarkStart w:id="10" w:name="_Toc227927248"/>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8</w:t>
      </w:r>
      <w:r w:rsidR="002A3D87" w:rsidRPr="00CE2117">
        <w:fldChar w:fldCharType="end"/>
      </w:r>
      <w:r w:rsidRPr="00CE2117">
        <w:t>: Current Ratio</w:t>
      </w:r>
      <w:bookmarkEnd w:id="10"/>
    </w:p>
    <w:p w14:paraId="6FF120B7" w14:textId="4970B59C" w:rsidR="00015678" w:rsidRPr="00CE2117" w:rsidRDefault="00CE2117" w:rsidP="00015678">
      <w:r w:rsidRPr="00CE2117">
        <w:t>Liquidity ratios enable the determination of the capability of the firm to address short-term liabilities. The current ratio of BYD has decreased to 0.67 in 2023 (and slightly improved to 0.79 in 2025), which means that the company was facing liquidity limitations (Baafi et al., 2024). A ratio with a value lower than 1 implies that the current assets are less than current liabilities, and solvency in the short term turns out to be at risk (Hemavathy, 2026).</w:t>
      </w:r>
    </w:p>
    <w:p w14:paraId="127A23B0" w14:textId="10F3DAD9" w:rsidR="00416FD6" w:rsidRPr="00CE2117" w:rsidRDefault="00FB711E" w:rsidP="00350067">
      <w:pPr>
        <w:jc w:val="center"/>
      </w:pPr>
      <w:r w:rsidRPr="00CE2117">
        <w:rPr>
          <w:noProof/>
        </w:rPr>
        <w:drawing>
          <wp:inline distT="0" distB="0" distL="0" distR="0" wp14:anchorId="761F6EA7" wp14:editId="2EE4E2DF">
            <wp:extent cx="4714875" cy="2876550"/>
            <wp:effectExtent l="0" t="0" r="9525" b="0"/>
            <wp:docPr id="1349788569" name="Chart 1">
              <a:extLst xmlns:a="http://schemas.openxmlformats.org/drawingml/2006/main">
                <a:ext uri="{FF2B5EF4-FFF2-40B4-BE49-F238E27FC236}">
                  <a16:creationId xmlns:a16="http://schemas.microsoft.com/office/drawing/2014/main" id="{C60619EA-64AA-5B36-5FE5-04E775084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709F02" w14:textId="678273AD" w:rsidR="00350067" w:rsidRPr="00CE2117" w:rsidRDefault="00815BEE" w:rsidP="00815BEE">
      <w:pPr>
        <w:pStyle w:val="Caption"/>
      </w:pPr>
      <w:bookmarkStart w:id="11" w:name="_Toc227927249"/>
      <w:r w:rsidRPr="00CE2117">
        <w:lastRenderedPageBreak/>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9</w:t>
      </w:r>
      <w:r w:rsidR="002A3D87" w:rsidRPr="00CE2117">
        <w:fldChar w:fldCharType="end"/>
      </w:r>
      <w:r w:rsidRPr="00CE2117">
        <w:t>: Quick Ratio</w:t>
      </w:r>
      <w:bookmarkEnd w:id="11"/>
    </w:p>
    <w:p w14:paraId="63F722D3" w14:textId="39134A58" w:rsidR="00E024C0" w:rsidRPr="00CE2117" w:rsidRDefault="00CE2117" w:rsidP="00815BEE">
      <w:r w:rsidRPr="00CE2117">
        <w:t>This was also seen in the quick ratio where it decreased by 0.72 to 0.47 and stabilised to 0.50 in 2025, indicating a lack of liquid funds to meet the immediate liabilities. It means that the firm depends on inventory or external funds to cover the obligations, and it can result in liquidity risk (Valiña-Sotelo et al., 2026).</w:t>
      </w:r>
    </w:p>
    <w:p w14:paraId="16704259" w14:textId="77777777" w:rsidR="00CE2117" w:rsidRPr="00CE2117" w:rsidRDefault="00CE2117" w:rsidP="00815BEE"/>
    <w:p w14:paraId="72B7CFBB" w14:textId="77777777" w:rsidR="00416FD6" w:rsidRPr="00CE2117" w:rsidRDefault="00416FD6" w:rsidP="00416FD6">
      <w:pPr>
        <w:pStyle w:val="Heading2"/>
      </w:pPr>
      <w:bookmarkStart w:id="12" w:name="_Toc227947967"/>
      <w:r w:rsidRPr="00CE2117">
        <w:t>1.5 Efficiency Ratios</w:t>
      </w:r>
      <w:bookmarkEnd w:id="12"/>
    </w:p>
    <w:p w14:paraId="0E268B94" w14:textId="5C329073" w:rsidR="00503700" w:rsidRPr="00CE2117" w:rsidRDefault="00FB711E" w:rsidP="00503700">
      <w:pPr>
        <w:jc w:val="center"/>
      </w:pPr>
      <w:r w:rsidRPr="00CE2117">
        <w:rPr>
          <w:noProof/>
        </w:rPr>
        <w:drawing>
          <wp:inline distT="0" distB="0" distL="0" distR="0" wp14:anchorId="1ADC7FB2" wp14:editId="181B8311">
            <wp:extent cx="4572000" cy="2857500"/>
            <wp:effectExtent l="0" t="0" r="0" b="0"/>
            <wp:docPr id="847436095" name="Chart 1">
              <a:extLst xmlns:a="http://schemas.openxmlformats.org/drawingml/2006/main">
                <a:ext uri="{FF2B5EF4-FFF2-40B4-BE49-F238E27FC236}">
                  <a16:creationId xmlns:a16="http://schemas.microsoft.com/office/drawing/2014/main" id="{EE9A42F6-F9F0-AED5-72AB-90C71D632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7017D" w14:textId="3C8B6A3B" w:rsidR="009335AF" w:rsidRPr="00CE2117" w:rsidRDefault="009335AF" w:rsidP="009335AF">
      <w:pPr>
        <w:pStyle w:val="Caption"/>
      </w:pPr>
      <w:bookmarkStart w:id="13" w:name="_Toc227927250"/>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10</w:t>
      </w:r>
      <w:r w:rsidR="002A3D87" w:rsidRPr="00CE2117">
        <w:fldChar w:fldCharType="end"/>
      </w:r>
      <w:r w:rsidRPr="00CE2117">
        <w:t>: Inventory Turnover</w:t>
      </w:r>
      <w:bookmarkEnd w:id="13"/>
    </w:p>
    <w:p w14:paraId="79FB247C" w14:textId="758627D5" w:rsidR="00CE2117" w:rsidRPr="00CE2117" w:rsidRDefault="00CE2117" w:rsidP="00015678">
      <w:r w:rsidRPr="00CE2117">
        <w:t>Efficiency ratios are measures to determine the efficiency with which BYD leverages its assets and working capital. The inventory turnover increased to 6.15 in 2024 and then dropped to 5.20 in 2025, which can be described as effective inventory management and then to a decline in sales or inventory oversupply (Enyi et al., 2026).</w:t>
      </w:r>
    </w:p>
    <w:p w14:paraId="380FF8EC" w14:textId="01AE88F4" w:rsidR="00503700" w:rsidRPr="00CE2117" w:rsidRDefault="00FB711E" w:rsidP="00503700">
      <w:pPr>
        <w:jc w:val="center"/>
      </w:pPr>
      <w:r w:rsidRPr="00CE2117">
        <w:rPr>
          <w:noProof/>
        </w:rPr>
        <w:lastRenderedPageBreak/>
        <w:drawing>
          <wp:inline distT="0" distB="0" distL="0" distR="0" wp14:anchorId="1FC89F9B" wp14:editId="6E9FC22B">
            <wp:extent cx="4572000" cy="2857500"/>
            <wp:effectExtent l="0" t="0" r="0" b="0"/>
            <wp:docPr id="371047536" name="Chart 1">
              <a:extLst xmlns:a="http://schemas.openxmlformats.org/drawingml/2006/main">
                <a:ext uri="{FF2B5EF4-FFF2-40B4-BE49-F238E27FC236}">
                  <a16:creationId xmlns:a16="http://schemas.microsoft.com/office/drawing/2014/main" id="{8DF3994D-F5F1-2B62-69FD-3047ADF01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A55789" w14:textId="5F13F9C6" w:rsidR="003C359E" w:rsidRPr="00CE2117" w:rsidRDefault="003C359E" w:rsidP="003C359E">
      <w:pPr>
        <w:pStyle w:val="Caption"/>
      </w:pPr>
      <w:bookmarkStart w:id="14" w:name="_Toc227927251"/>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11</w:t>
      </w:r>
      <w:r w:rsidR="002A3D87" w:rsidRPr="00CE2117">
        <w:fldChar w:fldCharType="end"/>
      </w:r>
      <w:r w:rsidRPr="00CE2117">
        <w:t>: Receivables Collection Period</w:t>
      </w:r>
      <w:bookmarkEnd w:id="14"/>
    </w:p>
    <w:p w14:paraId="4312087C" w14:textId="129F77C1" w:rsidR="00015678" w:rsidRPr="00CE2117" w:rsidRDefault="00CE2117" w:rsidP="00015678">
      <w:r w:rsidRPr="00CE2117">
        <w:t xml:space="preserve">The period of collection of receivables was also markedly reduced, which is 61 days in 2021 and 17 days in 2025, which denotes a better control of the credit and the faster cash inflows. Effective receivables optimization leads to better liquidity and less bad debt risk (Stavropoulos </w:t>
      </w:r>
      <w:r>
        <w:t>et al.</w:t>
      </w:r>
      <w:r w:rsidRPr="00CE2117">
        <w:t>, 2025).</w:t>
      </w:r>
    </w:p>
    <w:p w14:paraId="33BAD012" w14:textId="222B301D" w:rsidR="00503700" w:rsidRPr="00CE2117" w:rsidRDefault="00FB711E" w:rsidP="00DD7401">
      <w:pPr>
        <w:jc w:val="center"/>
      </w:pPr>
      <w:r w:rsidRPr="00CE2117">
        <w:rPr>
          <w:noProof/>
        </w:rPr>
        <w:drawing>
          <wp:inline distT="0" distB="0" distL="0" distR="0" wp14:anchorId="6DE19C14" wp14:editId="032D996A">
            <wp:extent cx="4572000" cy="2876550"/>
            <wp:effectExtent l="0" t="0" r="0" b="0"/>
            <wp:docPr id="1847850033" name="Chart 1">
              <a:extLst xmlns:a="http://schemas.openxmlformats.org/drawingml/2006/main">
                <a:ext uri="{FF2B5EF4-FFF2-40B4-BE49-F238E27FC236}">
                  <a16:creationId xmlns:a16="http://schemas.microsoft.com/office/drawing/2014/main" id="{55F6AE90-B68C-6059-C12A-95042D6F5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618795" w14:textId="468A47D8" w:rsidR="00EE0920" w:rsidRDefault="00661B65" w:rsidP="00EE0920">
      <w:pPr>
        <w:pStyle w:val="Caption"/>
      </w:pPr>
      <w:bookmarkStart w:id="15" w:name="_Toc227927252"/>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12</w:t>
      </w:r>
      <w:r w:rsidR="002A3D87" w:rsidRPr="00CE2117">
        <w:fldChar w:fldCharType="end"/>
      </w:r>
      <w:r w:rsidRPr="00CE2117">
        <w:t>: Payables Payment Period</w:t>
      </w:r>
      <w:bookmarkEnd w:id="15"/>
    </w:p>
    <w:p w14:paraId="63F91D55" w14:textId="05B7BF5B" w:rsidR="00CE2117" w:rsidRPr="00CE2117" w:rsidRDefault="00CE2117" w:rsidP="00CE2117">
      <w:r w:rsidRPr="00CE2117">
        <w:lastRenderedPageBreak/>
        <w:t>Accounts payable period decreased 154 days to 103 days, which may mean that BYD is paying suppliers more quickly, improving its relations with suppliers but also decreasing its working capital (Baafi et al, 2024). Total asset turnover increased from 0.71 to 0.99 in 2024, but dropped marginally, suggesting improved efficiency in using assets to generate sales during the growth stage (Endris et al., 2026).</w:t>
      </w:r>
    </w:p>
    <w:p w14:paraId="2AD4109E" w14:textId="175BDD95" w:rsidR="00503700" w:rsidRPr="00CE2117" w:rsidRDefault="00FB711E" w:rsidP="00DD7401">
      <w:pPr>
        <w:jc w:val="center"/>
      </w:pPr>
      <w:r w:rsidRPr="00CE2117">
        <w:rPr>
          <w:noProof/>
        </w:rPr>
        <w:drawing>
          <wp:inline distT="0" distB="0" distL="0" distR="0" wp14:anchorId="3A505ADF" wp14:editId="37BAEA43">
            <wp:extent cx="4572000" cy="2876550"/>
            <wp:effectExtent l="0" t="0" r="0" b="0"/>
            <wp:docPr id="1720691397" name="Chart 1">
              <a:extLst xmlns:a="http://schemas.openxmlformats.org/drawingml/2006/main">
                <a:ext uri="{FF2B5EF4-FFF2-40B4-BE49-F238E27FC236}">
                  <a16:creationId xmlns:a16="http://schemas.microsoft.com/office/drawing/2014/main" id="{DBB50AE5-071D-F285-05D0-956910CA7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FDD0FB3" w14:textId="2E81D04F" w:rsidR="00416FD6" w:rsidRPr="00CE2117" w:rsidRDefault="00DF3EC4" w:rsidP="00DF3EC4">
      <w:pPr>
        <w:pStyle w:val="Caption"/>
      </w:pPr>
      <w:bookmarkStart w:id="16" w:name="_Toc227927253"/>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13</w:t>
      </w:r>
      <w:r w:rsidR="002A3D87" w:rsidRPr="00CE2117">
        <w:fldChar w:fldCharType="end"/>
      </w:r>
      <w:r w:rsidRPr="00CE2117">
        <w:t>: Total Asset Turnover</w:t>
      </w:r>
      <w:bookmarkEnd w:id="16"/>
    </w:p>
    <w:p w14:paraId="4ACD6DF3" w14:textId="77777777" w:rsidR="005244A2" w:rsidRPr="00CE2117" w:rsidRDefault="005244A2" w:rsidP="00DF3EC4"/>
    <w:p w14:paraId="7EB00F14" w14:textId="77777777" w:rsidR="00416FD6" w:rsidRPr="00CE2117" w:rsidRDefault="00416FD6" w:rsidP="00416FD6">
      <w:pPr>
        <w:pStyle w:val="Heading2"/>
      </w:pPr>
      <w:bookmarkStart w:id="17" w:name="_Toc227947968"/>
      <w:r w:rsidRPr="00CE2117">
        <w:lastRenderedPageBreak/>
        <w:t>1.6 Gearing (Leverage) Ratios</w:t>
      </w:r>
      <w:bookmarkEnd w:id="17"/>
    </w:p>
    <w:p w14:paraId="1312B823" w14:textId="767148A6" w:rsidR="00503700" w:rsidRPr="00CE2117" w:rsidRDefault="00FB711E" w:rsidP="00503700">
      <w:pPr>
        <w:jc w:val="center"/>
      </w:pPr>
      <w:r w:rsidRPr="00CE2117">
        <w:rPr>
          <w:noProof/>
        </w:rPr>
        <w:drawing>
          <wp:inline distT="0" distB="0" distL="0" distR="0" wp14:anchorId="72FD01FC" wp14:editId="6F422026">
            <wp:extent cx="4572000" cy="2857500"/>
            <wp:effectExtent l="0" t="0" r="0" b="0"/>
            <wp:docPr id="1880144449" name="Chart 1">
              <a:extLst xmlns:a="http://schemas.openxmlformats.org/drawingml/2006/main">
                <a:ext uri="{FF2B5EF4-FFF2-40B4-BE49-F238E27FC236}">
                  <a16:creationId xmlns:a16="http://schemas.microsoft.com/office/drawing/2014/main" id="{3FFA4D90-DDC4-1A99-4691-DD8DD9EDC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666260" w14:textId="27115B46" w:rsidR="008F7A42" w:rsidRDefault="008F7A42" w:rsidP="008F7A42">
      <w:pPr>
        <w:pStyle w:val="Caption"/>
      </w:pPr>
      <w:bookmarkStart w:id="18" w:name="_Toc227927254"/>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14</w:t>
      </w:r>
      <w:r w:rsidR="002A3D87" w:rsidRPr="00CE2117">
        <w:fldChar w:fldCharType="end"/>
      </w:r>
      <w:r w:rsidRPr="00CE2117">
        <w:t>: Debt to Equity Ratio</w:t>
      </w:r>
      <w:bookmarkEnd w:id="18"/>
    </w:p>
    <w:p w14:paraId="326F0ED3" w14:textId="09EC004A" w:rsidR="00CE2117" w:rsidRPr="00CE2117" w:rsidRDefault="00CE2117" w:rsidP="00CE2117">
      <w:r w:rsidRPr="00CE2117">
        <w:t>The gearing ratios indicate the financial position and risk profile of a firm. The debt-to-equity ratio of BYD rose to 1.84 in 2021 and 3.52 in 2023 and then dropped to 2.42 in 2025, which signifies a time of vigorous debt financing, followed by partial deleveraging (Alinezhadjahromi et al., 2026). High leverage has a potential to boost returns but also heightens financial risk and interest payments (Fasua et al., 2026).</w:t>
      </w:r>
    </w:p>
    <w:p w14:paraId="50BCF62D" w14:textId="5867762C" w:rsidR="00503700" w:rsidRPr="00CE2117" w:rsidRDefault="00FB711E" w:rsidP="00503700">
      <w:pPr>
        <w:jc w:val="center"/>
      </w:pPr>
      <w:r w:rsidRPr="00CE2117">
        <w:rPr>
          <w:noProof/>
        </w:rPr>
        <w:drawing>
          <wp:inline distT="0" distB="0" distL="0" distR="0" wp14:anchorId="142D664E" wp14:editId="2CBA7C87">
            <wp:extent cx="4572000" cy="2857500"/>
            <wp:effectExtent l="0" t="0" r="0" b="0"/>
            <wp:docPr id="1131044861" name="Chart 1">
              <a:extLst xmlns:a="http://schemas.openxmlformats.org/drawingml/2006/main">
                <a:ext uri="{FF2B5EF4-FFF2-40B4-BE49-F238E27FC236}">
                  <a16:creationId xmlns:a16="http://schemas.microsoft.com/office/drawing/2014/main" id="{90508744-6903-09F7-7C6D-1593E9569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81C0027" w14:textId="6B8049CD" w:rsidR="00EA01D5" w:rsidRPr="00CE2117" w:rsidRDefault="00EA01D5" w:rsidP="00EA01D5">
      <w:pPr>
        <w:pStyle w:val="Caption"/>
      </w:pPr>
      <w:bookmarkStart w:id="19" w:name="_Toc227927255"/>
      <w:r w:rsidRPr="00CE2117">
        <w:lastRenderedPageBreak/>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15</w:t>
      </w:r>
      <w:r w:rsidR="002A3D87" w:rsidRPr="00CE2117">
        <w:fldChar w:fldCharType="end"/>
      </w:r>
      <w:r w:rsidRPr="00CE2117">
        <w:t>: Interest Coverage Ratio</w:t>
      </w:r>
      <w:bookmarkEnd w:id="19"/>
    </w:p>
    <w:p w14:paraId="31BCDD42" w14:textId="0A21F717" w:rsidR="00416FD6" w:rsidRDefault="00CE2117" w:rsidP="00416FD6">
      <w:r w:rsidRPr="00CE2117">
        <w:t>The interest coverage ratio improved a great deal compared to 2.37 in 2021, to 24.11 in 2024, showing good earnings against interest expenditure. But the decrease to 15.75 in 2025 shows a lower ability to make profits though there is a comfortable margin to cover the interest (Aldo, 2022).</w:t>
      </w:r>
    </w:p>
    <w:p w14:paraId="2734D58D" w14:textId="77777777" w:rsidR="00CE2117" w:rsidRPr="00CE2117" w:rsidRDefault="00CE2117" w:rsidP="00416FD6"/>
    <w:p w14:paraId="35810638" w14:textId="77777777" w:rsidR="00416FD6" w:rsidRPr="00CE2117" w:rsidRDefault="00416FD6" w:rsidP="00416FD6">
      <w:pPr>
        <w:pStyle w:val="Heading2"/>
      </w:pPr>
      <w:bookmarkStart w:id="20" w:name="_Toc227947969"/>
      <w:r w:rsidRPr="00CE2117">
        <w:t>1.7 Investment Ratios</w:t>
      </w:r>
      <w:bookmarkEnd w:id="20"/>
    </w:p>
    <w:p w14:paraId="07B7753F" w14:textId="29A5713B" w:rsidR="00503700" w:rsidRPr="00CE2117" w:rsidRDefault="00FB711E" w:rsidP="00434A3B">
      <w:pPr>
        <w:jc w:val="center"/>
      </w:pPr>
      <w:r w:rsidRPr="00CE2117">
        <w:rPr>
          <w:noProof/>
        </w:rPr>
        <w:drawing>
          <wp:inline distT="0" distB="0" distL="0" distR="0" wp14:anchorId="4AF5B07C" wp14:editId="4E806CE6">
            <wp:extent cx="4572000" cy="2743200"/>
            <wp:effectExtent l="0" t="0" r="0" b="0"/>
            <wp:docPr id="584491330" name="Chart 1">
              <a:extLst xmlns:a="http://schemas.openxmlformats.org/drawingml/2006/main">
                <a:ext uri="{FF2B5EF4-FFF2-40B4-BE49-F238E27FC236}">
                  <a16:creationId xmlns:a16="http://schemas.microsoft.com/office/drawing/2014/main" id="{D61B4BCB-2394-F613-E358-6B3055926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40FBA6" w14:textId="62A9837D" w:rsidR="007F7C16" w:rsidRDefault="007F7C16" w:rsidP="007F7C16">
      <w:pPr>
        <w:pStyle w:val="Caption"/>
      </w:pPr>
      <w:bookmarkStart w:id="21" w:name="_Toc227927256"/>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16</w:t>
      </w:r>
      <w:r w:rsidR="002A3D87" w:rsidRPr="00CE2117">
        <w:fldChar w:fldCharType="end"/>
      </w:r>
      <w:r w:rsidRPr="00CE2117">
        <w:t>: Earnings per Share (EPS)</w:t>
      </w:r>
      <w:bookmarkEnd w:id="21"/>
    </w:p>
    <w:p w14:paraId="7B7E795D" w14:textId="11D4FBAF" w:rsidR="00CE2117" w:rsidRPr="00CE2117" w:rsidRDefault="00CE2117" w:rsidP="00CE2117">
      <w:r w:rsidRPr="00CE2117">
        <w:t>Market and investor value are reflected in investment ratios. Earnings per share (EPS) significantly increased from 1.06 in 2021 to 13.84 in 2024, and then plummeted to 3.58 in 2025, with fluctuations in profitability and shareholder returns (Rosario et al., 2026).</w:t>
      </w:r>
    </w:p>
    <w:p w14:paraId="7EE6240E" w14:textId="208FA670" w:rsidR="00416FD6" w:rsidRPr="00CE2117" w:rsidRDefault="00FB711E" w:rsidP="007705C2">
      <w:pPr>
        <w:jc w:val="center"/>
      </w:pPr>
      <w:r w:rsidRPr="00CE2117">
        <w:rPr>
          <w:noProof/>
        </w:rPr>
        <w:lastRenderedPageBreak/>
        <w:drawing>
          <wp:inline distT="0" distB="0" distL="0" distR="0" wp14:anchorId="41F0D51A" wp14:editId="4F2C2C0C">
            <wp:extent cx="5057775" cy="2667000"/>
            <wp:effectExtent l="0" t="0" r="9525" b="0"/>
            <wp:docPr id="1396420932" name="Chart 1">
              <a:extLst xmlns:a="http://schemas.openxmlformats.org/drawingml/2006/main">
                <a:ext uri="{FF2B5EF4-FFF2-40B4-BE49-F238E27FC236}">
                  <a16:creationId xmlns:a16="http://schemas.microsoft.com/office/drawing/2014/main" id="{CA611992-85AC-5233-8CF5-E70CB0D186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0605FE6" w14:textId="2BDBC723" w:rsidR="007705C2" w:rsidRPr="00CE2117" w:rsidRDefault="0002768F" w:rsidP="0002768F">
      <w:pPr>
        <w:pStyle w:val="Caption"/>
      </w:pPr>
      <w:bookmarkStart w:id="22" w:name="_Toc227927257"/>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17</w:t>
      </w:r>
      <w:r w:rsidR="002A3D87" w:rsidRPr="00CE2117">
        <w:fldChar w:fldCharType="end"/>
      </w:r>
      <w:r w:rsidRPr="00CE2117">
        <w:t>: Price/Earnings Ratio (P/E)</w:t>
      </w:r>
      <w:bookmarkEnd w:id="22"/>
    </w:p>
    <w:p w14:paraId="30FDC010" w14:textId="333DC678" w:rsidR="00F1066D" w:rsidRDefault="00CE2117" w:rsidP="0002768F">
      <w:r w:rsidRPr="00CE2117">
        <w:t>The price-to-earnings (P/E) ratio decreased from 31.98 in 2021 to 7-8 in 2022-2024, reflecting higher earnings per share relative to share price or a decline in investors' expectations. But the ratio grew again to 29.33 in 2025, reflecting renewed market optimism or lower earnings, which leads to a higher ratio (Aldo, 2022).</w:t>
      </w:r>
    </w:p>
    <w:p w14:paraId="191910F3" w14:textId="77777777" w:rsidR="00CE2117" w:rsidRPr="00CE2117" w:rsidRDefault="00CE2117" w:rsidP="0002768F"/>
    <w:p w14:paraId="5E023B60" w14:textId="77777777" w:rsidR="00416FD6" w:rsidRPr="00CE2117" w:rsidRDefault="00416FD6" w:rsidP="00416FD6">
      <w:pPr>
        <w:pStyle w:val="Heading2"/>
      </w:pPr>
      <w:bookmarkStart w:id="23" w:name="_Toc227947970"/>
      <w:r w:rsidRPr="00CE2117">
        <w:t>1.8 Cash Flow Analysis</w:t>
      </w:r>
      <w:bookmarkEnd w:id="23"/>
    </w:p>
    <w:p w14:paraId="466E200C" w14:textId="3DCE182C" w:rsidR="00EE73C5" w:rsidRPr="00CE2117" w:rsidRDefault="00FB711E" w:rsidP="00EE73C5">
      <w:pPr>
        <w:jc w:val="center"/>
      </w:pPr>
      <w:r w:rsidRPr="00CE2117">
        <w:rPr>
          <w:noProof/>
        </w:rPr>
        <w:drawing>
          <wp:inline distT="0" distB="0" distL="0" distR="0" wp14:anchorId="268220C2" wp14:editId="692F84F8">
            <wp:extent cx="4572000" cy="2857500"/>
            <wp:effectExtent l="0" t="0" r="0" b="0"/>
            <wp:docPr id="829443546" name="Chart 1">
              <a:extLst xmlns:a="http://schemas.openxmlformats.org/drawingml/2006/main">
                <a:ext uri="{FF2B5EF4-FFF2-40B4-BE49-F238E27FC236}">
                  <a16:creationId xmlns:a16="http://schemas.microsoft.com/office/drawing/2014/main" id="{5947B4DB-2FC1-2F50-324A-FC476A62F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19D611F" w14:textId="2832A7E7" w:rsidR="00E86853" w:rsidRPr="00CE2117" w:rsidRDefault="00E86853" w:rsidP="00E86853">
      <w:pPr>
        <w:pStyle w:val="Caption"/>
      </w:pPr>
      <w:bookmarkStart w:id="24" w:name="_Toc227927258"/>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18</w:t>
      </w:r>
      <w:r w:rsidR="002A3D87" w:rsidRPr="00CE2117">
        <w:fldChar w:fldCharType="end"/>
      </w:r>
      <w:r w:rsidRPr="00CE2117">
        <w:t>: Operating Cash Flow</w:t>
      </w:r>
      <w:bookmarkEnd w:id="24"/>
    </w:p>
    <w:p w14:paraId="1C390155" w14:textId="6A38E017" w:rsidR="00015678" w:rsidRDefault="00CE2117" w:rsidP="00015678">
      <w:r w:rsidRPr="00CE2117">
        <w:lastRenderedPageBreak/>
        <w:t>The cash flow analysis will give information on liquidity and financial sustainability. The operating cash flow rose to a high of RMB 169 million in 2023 and then fell sharply to RMB 39 million in 2025, up than its previous level of about RMB 65 million in 2021. It shows that there is good operational cash generation and then subsequent deterioration that can affect liquidity (Abdi et al., 2026).</w:t>
      </w:r>
    </w:p>
    <w:p w14:paraId="5FE824FB" w14:textId="77777777" w:rsidR="00CE2117" w:rsidRPr="00CE2117" w:rsidRDefault="00CE2117" w:rsidP="00015678"/>
    <w:p w14:paraId="563BB3E3" w14:textId="6620FA74" w:rsidR="00EE73C5" w:rsidRPr="00CE2117" w:rsidRDefault="00FB711E" w:rsidP="00EE73C5">
      <w:pPr>
        <w:jc w:val="center"/>
      </w:pPr>
      <w:r w:rsidRPr="00CE2117">
        <w:rPr>
          <w:noProof/>
        </w:rPr>
        <w:drawing>
          <wp:inline distT="0" distB="0" distL="0" distR="0" wp14:anchorId="1A352E34" wp14:editId="053A3040">
            <wp:extent cx="4838700" cy="2857500"/>
            <wp:effectExtent l="0" t="0" r="0" b="0"/>
            <wp:docPr id="1902440374" name="Chart 1">
              <a:extLst xmlns:a="http://schemas.openxmlformats.org/drawingml/2006/main">
                <a:ext uri="{FF2B5EF4-FFF2-40B4-BE49-F238E27FC236}">
                  <a16:creationId xmlns:a16="http://schemas.microsoft.com/office/drawing/2014/main" id="{22CF2E93-84E9-D625-A7EE-7C7FCFDF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C31A429" w14:textId="79C53D54" w:rsidR="002F58B7" w:rsidRDefault="002F58B7" w:rsidP="002F58B7">
      <w:pPr>
        <w:pStyle w:val="Caption"/>
      </w:pPr>
      <w:bookmarkStart w:id="25" w:name="_Toc227927259"/>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19</w:t>
      </w:r>
      <w:r w:rsidR="002A3D87" w:rsidRPr="00CE2117">
        <w:fldChar w:fldCharType="end"/>
      </w:r>
      <w:r w:rsidRPr="00CE2117">
        <w:t>: Free Cash Flow</w:t>
      </w:r>
      <w:bookmarkEnd w:id="25"/>
    </w:p>
    <w:p w14:paraId="5C2C728E" w14:textId="2AB51FD5" w:rsidR="00CE2117" w:rsidRPr="00CE2117" w:rsidRDefault="00CE2117" w:rsidP="00CE2117">
      <w:r w:rsidRPr="00CE2117">
        <w:t>Firm's free cash flow was positive from 2021 to 2024, but then became deeply negative in 2025, likely due to the massive capital expenditures or decline in the operating cash flows. A negative free cash flow situation may limit the ability to invest and force a company to seek external funding (Bajpai et al., 2026).</w:t>
      </w:r>
    </w:p>
    <w:p w14:paraId="5FFE87C2" w14:textId="329AE56A" w:rsidR="00416FD6" w:rsidRPr="00CE2117" w:rsidRDefault="00FB711E" w:rsidP="002846AE">
      <w:pPr>
        <w:jc w:val="center"/>
      </w:pPr>
      <w:r w:rsidRPr="00CE2117">
        <w:rPr>
          <w:noProof/>
        </w:rPr>
        <w:lastRenderedPageBreak/>
        <w:drawing>
          <wp:inline distT="0" distB="0" distL="0" distR="0" wp14:anchorId="7B5FF13D" wp14:editId="2AB6BA48">
            <wp:extent cx="4838700" cy="2809875"/>
            <wp:effectExtent l="0" t="0" r="0" b="9525"/>
            <wp:docPr id="486483368" name="Chart 1">
              <a:extLst xmlns:a="http://schemas.openxmlformats.org/drawingml/2006/main">
                <a:ext uri="{FF2B5EF4-FFF2-40B4-BE49-F238E27FC236}">
                  <a16:creationId xmlns:a16="http://schemas.microsoft.com/office/drawing/2014/main" id="{180DE5DF-5F44-A37E-9F81-75E5A544C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6D179DA" w14:textId="4231E385" w:rsidR="00B56E65" w:rsidRPr="00CE2117" w:rsidRDefault="008356C9" w:rsidP="00F77DBB">
      <w:pPr>
        <w:pStyle w:val="Caption"/>
      </w:pPr>
      <w:bookmarkStart w:id="26" w:name="_Toc227927260"/>
      <w:r w:rsidRPr="00CE2117">
        <w:t xml:space="preserve">Figure </w:t>
      </w:r>
      <w:r w:rsidR="002A3D87" w:rsidRPr="00CE2117">
        <w:fldChar w:fldCharType="begin"/>
      </w:r>
      <w:r w:rsidR="002A3D87" w:rsidRPr="00CE2117">
        <w:instrText xml:space="preserve"> SEQ Figure \* ARABIC </w:instrText>
      </w:r>
      <w:r w:rsidR="002A3D87" w:rsidRPr="00CE2117">
        <w:fldChar w:fldCharType="separate"/>
      </w:r>
      <w:r w:rsidR="00494365" w:rsidRPr="00CE2117">
        <w:t>20</w:t>
      </w:r>
      <w:r w:rsidR="002A3D87" w:rsidRPr="00CE2117">
        <w:fldChar w:fldCharType="end"/>
      </w:r>
      <w:r w:rsidRPr="00CE2117">
        <w:t>: Cash Flow Adequacy</w:t>
      </w:r>
      <w:bookmarkEnd w:id="26"/>
    </w:p>
    <w:p w14:paraId="77FE28E4" w14:textId="552AD07E" w:rsidR="00BC767A" w:rsidRDefault="00332AA6" w:rsidP="00BC767A">
      <w:r w:rsidRPr="00332AA6">
        <w:t>The cash flow adequacy ratio decreased by the year ending 2021 and 2025 to 1.44 and 0.20 accordingly, which shows a lower capacity to meet the capital expenditure and obligation of the operating cash flows. Such a tendency outlines the possible financial strains and decreased operational viability (Bajpai and Sharma, 2026).</w:t>
      </w:r>
    </w:p>
    <w:p w14:paraId="5943AD8C" w14:textId="77777777" w:rsidR="00332AA6" w:rsidRPr="00CE2117" w:rsidRDefault="00332AA6" w:rsidP="00BC767A"/>
    <w:p w14:paraId="75757BA4" w14:textId="5F5ED41A" w:rsidR="009E5B93" w:rsidRPr="00CE2117" w:rsidRDefault="00416FD6" w:rsidP="00B56E65">
      <w:pPr>
        <w:pStyle w:val="Heading2"/>
      </w:pPr>
      <w:bookmarkStart w:id="27" w:name="_Toc227947971"/>
      <w:r w:rsidRPr="00CE2117">
        <w:t>1.9 Trend</w:t>
      </w:r>
      <w:r w:rsidR="00B56E65" w:rsidRPr="00CE2117">
        <w:t xml:space="preserve">s, </w:t>
      </w:r>
      <w:r w:rsidR="009F4F6E" w:rsidRPr="00CE2117">
        <w:t>S</w:t>
      </w:r>
      <w:r w:rsidR="00B56E65" w:rsidRPr="00CE2117">
        <w:t xml:space="preserve">trengths and </w:t>
      </w:r>
      <w:r w:rsidR="009F4F6E" w:rsidRPr="00CE2117">
        <w:t>T</w:t>
      </w:r>
      <w:r w:rsidR="00B56E65" w:rsidRPr="00CE2117">
        <w:t>hreats</w:t>
      </w:r>
      <w:bookmarkEnd w:id="27"/>
    </w:p>
    <w:p w14:paraId="2867352E" w14:textId="77777777" w:rsidR="00332AA6" w:rsidRPr="00332AA6" w:rsidRDefault="00332AA6" w:rsidP="00332AA6">
      <w:pPr>
        <w:rPr>
          <w:b/>
          <w:bCs/>
        </w:rPr>
      </w:pPr>
      <w:r w:rsidRPr="00332AA6">
        <w:rPr>
          <w:b/>
          <w:bCs/>
        </w:rPr>
        <w:t>Trends</w:t>
      </w:r>
    </w:p>
    <w:p w14:paraId="1A6FECBF" w14:textId="77777777" w:rsidR="00332AA6" w:rsidRDefault="00332AA6" w:rsidP="00332AA6">
      <w:r>
        <w:t>BYD grew rapidly between 2021 and 2024, with profit growth, increased efficiency and strong market share. But in 2015 profitability, cash flow and liquidity measures are all decreasing, implying a transition from growth to maturity (Laitinen, 2018).</w:t>
      </w:r>
    </w:p>
    <w:p w14:paraId="334E263F" w14:textId="77777777" w:rsidR="00332AA6" w:rsidRDefault="00332AA6" w:rsidP="00332AA6"/>
    <w:p w14:paraId="52DA165B" w14:textId="77777777" w:rsidR="00332AA6" w:rsidRPr="00332AA6" w:rsidRDefault="00332AA6" w:rsidP="00332AA6">
      <w:pPr>
        <w:rPr>
          <w:b/>
          <w:bCs/>
        </w:rPr>
      </w:pPr>
      <w:r w:rsidRPr="00332AA6">
        <w:rPr>
          <w:b/>
          <w:bCs/>
        </w:rPr>
        <w:t>Strengths</w:t>
      </w:r>
    </w:p>
    <w:p w14:paraId="67530937" w14:textId="1FC61FB5" w:rsidR="00332AA6" w:rsidRDefault="00332AA6" w:rsidP="00332AA6">
      <w:r>
        <w:t>The company has solid profitability development during the growth period, with increasing margins and high ROE. Effective working capital management (especially receivables) and interest coverage ratios suggest efficiency and stability (Endris et al., 2026).</w:t>
      </w:r>
    </w:p>
    <w:p w14:paraId="36028232" w14:textId="77777777" w:rsidR="00332AA6" w:rsidRDefault="00332AA6" w:rsidP="00332AA6"/>
    <w:p w14:paraId="7EE49C9B" w14:textId="1E0CACEF" w:rsidR="00015678" w:rsidRPr="00CE2117" w:rsidRDefault="00015678" w:rsidP="00015678">
      <w:pPr>
        <w:rPr>
          <w:b/>
          <w:bCs/>
        </w:rPr>
      </w:pPr>
      <w:r w:rsidRPr="00CE2117">
        <w:rPr>
          <w:b/>
          <w:bCs/>
        </w:rPr>
        <w:lastRenderedPageBreak/>
        <w:t>Threats</w:t>
      </w:r>
    </w:p>
    <w:p w14:paraId="6A500E1B" w14:textId="77777777" w:rsidR="004526C4" w:rsidRDefault="004526C4" w:rsidP="004526C4">
      <w:r>
        <w:t>The major threats are the deteriorating liquidity ratios, negative free cash flow and low profitability in 2025. The adequacy of cash flow is declining, and the high levels of leverage indicate a greater level of financial risk, especially in a capital-intensive industry like EV (Alinezhadjahromi et al., 2026).</w:t>
      </w:r>
    </w:p>
    <w:p w14:paraId="1C3A108E" w14:textId="40F17DA9" w:rsidR="004526C4" w:rsidRDefault="004526C4" w:rsidP="004526C4">
      <w:r>
        <w:t>Moreover, the uncertainty in the market expectations and investor confidence is indicated by volatility in EPS and P/E ratios. All this, coupled with the deteriorating efficiency indicators, demonstrates that there could be some operational and financial difficulties in the future (Rosario et al., 2026).</w:t>
      </w:r>
    </w:p>
    <w:p w14:paraId="6F6A8BBF" w14:textId="7A99DCE4" w:rsidR="00DB7114" w:rsidRPr="00CE2117" w:rsidRDefault="004526C4" w:rsidP="004526C4">
      <w:r>
        <w:t>In general, despite the successful growth and efficient operation, the recent drop of some major financial performance indicators shows that strategic financial management, cost-saving, and long-term investment planning are needed to sustain the competitiveness in the long run.</w:t>
      </w:r>
    </w:p>
    <w:p w14:paraId="26B1F456" w14:textId="50D12981" w:rsidR="003A3C02" w:rsidRDefault="003A3C02" w:rsidP="003A3C02">
      <w:pPr>
        <w:pStyle w:val="Caption"/>
      </w:pPr>
      <w:bookmarkStart w:id="28" w:name="_Toc227927261"/>
      <w:r w:rsidRPr="00CE2117">
        <w:t xml:space="preserve">Figure </w:t>
      </w:r>
      <w:r w:rsidRPr="00CE2117">
        <w:fldChar w:fldCharType="begin"/>
      </w:r>
      <w:r w:rsidRPr="00CE2117">
        <w:instrText xml:space="preserve"> SEQ Figure \* ARABIC </w:instrText>
      </w:r>
      <w:r w:rsidRPr="00CE2117">
        <w:fldChar w:fldCharType="separate"/>
      </w:r>
      <w:r w:rsidR="00494365" w:rsidRPr="00CE2117">
        <w:t>21</w:t>
      </w:r>
      <w:r w:rsidRPr="00CE2117">
        <w:fldChar w:fldCharType="end"/>
      </w:r>
      <w:r w:rsidRPr="00CE2117">
        <w:t>: Trends, Strengths and Threats</w:t>
      </w:r>
      <w:bookmarkEnd w:id="28"/>
    </w:p>
    <w:p w14:paraId="57BBAE81" w14:textId="77777777" w:rsidR="00650A83" w:rsidRDefault="00650A83" w:rsidP="00650A83"/>
    <w:p w14:paraId="66003D8F" w14:textId="77777777" w:rsidR="00650A83" w:rsidRPr="00280D11" w:rsidRDefault="00650A83" w:rsidP="00650A83"/>
    <w:p w14:paraId="3246792E" w14:textId="77777777" w:rsidR="00650A83" w:rsidRDefault="00650A83" w:rsidP="00650A83">
      <w:pPr>
        <w:pStyle w:val="Heading1"/>
      </w:pPr>
      <w:bookmarkStart w:id="29" w:name="_Toc227947972"/>
      <w:r>
        <w:lastRenderedPageBreak/>
        <w:t>2. Working Capital Management Analysis</w:t>
      </w:r>
      <w:bookmarkEnd w:id="29"/>
      <w:r>
        <w:t xml:space="preserve"> </w:t>
      </w:r>
    </w:p>
    <w:p w14:paraId="54A3B892" w14:textId="77777777" w:rsidR="00650A83" w:rsidRPr="00C03F50" w:rsidRDefault="00650A83" w:rsidP="00650A83">
      <w:pPr>
        <w:pStyle w:val="Heading2"/>
      </w:pPr>
      <w:bookmarkStart w:id="30" w:name="_Toc227947973"/>
      <w:r w:rsidRPr="00C03F50">
        <w:t>2.1 Assessment of Cash Operating Cycle (CCC)</w:t>
      </w:r>
      <w:bookmarkEnd w:id="30"/>
    </w:p>
    <w:p w14:paraId="398C5642" w14:textId="77777777" w:rsidR="00650A83" w:rsidRDefault="00650A83" w:rsidP="00650A83">
      <w:r>
        <w:rPr>
          <w:noProof/>
        </w:rPr>
        <w:drawing>
          <wp:inline distT="0" distB="0" distL="0" distR="0" wp14:anchorId="1A6CE301" wp14:editId="5E4D57F5">
            <wp:extent cx="5791200" cy="3795713"/>
            <wp:effectExtent l="0" t="0" r="0" b="14605"/>
            <wp:docPr id="1001184325" name="Chart 1">
              <a:extLst xmlns:a="http://schemas.openxmlformats.org/drawingml/2006/main">
                <a:ext uri="{FF2B5EF4-FFF2-40B4-BE49-F238E27FC236}">
                  <a16:creationId xmlns:a16="http://schemas.microsoft.com/office/drawing/2014/main" id="{BCC0B05E-D904-C399-CF21-314FAAE0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7D5E2F0" w14:textId="77777777" w:rsidR="00650A83" w:rsidRPr="00C03F50" w:rsidRDefault="00650A83" w:rsidP="00650A83">
      <w:pPr>
        <w:pStyle w:val="Caption"/>
      </w:pPr>
      <w:r>
        <w:t xml:space="preserve">Figure </w:t>
      </w:r>
      <w:r>
        <w:fldChar w:fldCharType="begin"/>
      </w:r>
      <w:r>
        <w:instrText xml:space="preserve"> SEQ Figure \* ARABIC </w:instrText>
      </w:r>
      <w:r>
        <w:fldChar w:fldCharType="separate"/>
      </w:r>
      <w:r>
        <w:rPr>
          <w:noProof/>
        </w:rPr>
        <w:t>21</w:t>
      </w:r>
      <w:r>
        <w:fldChar w:fldCharType="end"/>
      </w:r>
      <w:r>
        <w:t xml:space="preserve">: </w:t>
      </w:r>
      <w:r w:rsidRPr="004745DA">
        <w:t>Cash Conversion Cycle (CCC)</w:t>
      </w:r>
    </w:p>
    <w:p w14:paraId="23762C48" w14:textId="77777777" w:rsidR="0068685B" w:rsidRDefault="0068685B" w:rsidP="0068685B">
      <w:r>
        <w:t>The cash conversion cycle (CCC) is the key indicator of the ability to turn investments in inventory and receivables to cash flows and is the key measure of working capital efficiency. The CCC of BYD is negative over the five-year period, with the maximum value being -19.56 days in 2021, and the minimum value being -52.24 days in 2024, and then increasing to -16.05 days in 2025. The negative CCC represents the position where the firm gathers cash flow in its hands before settling its creditors and is typically taken as a good liquidity stand (Enyi et al., 2026).</w:t>
      </w:r>
    </w:p>
    <w:p w14:paraId="59634ED1" w14:textId="55D20785" w:rsidR="0068685B" w:rsidRDefault="0068685B" w:rsidP="0068685B">
      <w:r>
        <w:t xml:space="preserve"> </w:t>
      </w:r>
    </w:p>
    <w:p w14:paraId="51D38429" w14:textId="77777777" w:rsidR="0068685B" w:rsidRDefault="0068685B" w:rsidP="0068685B">
      <w:r>
        <w:t xml:space="preserve">The steep drop in CCC between 2021 and 2024 indicates the major enhancement of the receivables collection and supplier financing approaches. This is in line with the determined decrease in the number of days to collect receivables and comparatively </w:t>
      </w:r>
      <w:r>
        <w:lastRenderedPageBreak/>
        <w:t>extended payables terms, which allow BYD to finance operations by using trade credit (Stavropoulos and Zounta, 2025). Nevertheless, the increase in CCC in 2025 suggests that there will be decreased working capital efficiency, which may be caused by the slower collections, shorter supplier credit conditions, or longer holding periods (Baafi et al., 2024).</w:t>
      </w:r>
    </w:p>
    <w:p w14:paraId="4C616B5D" w14:textId="3A8209BD" w:rsidR="00650A83" w:rsidRDefault="0068685B" w:rsidP="0068685B">
      <w:r>
        <w:t>Strategically, the negative CCC indicates the high bargaining power of BYD suppliers, and effective operations. Nonetheless, overdependence on supplier financing can result in risks in case of the deterioration of supplier relations in the future or the tightening of credit conditions (Levický et al., 2026).</w:t>
      </w:r>
    </w:p>
    <w:p w14:paraId="3AC5EAEB" w14:textId="77777777" w:rsidR="0068685B" w:rsidRPr="00C03F50" w:rsidRDefault="0068685B" w:rsidP="0068685B"/>
    <w:p w14:paraId="5060ACD2" w14:textId="77777777" w:rsidR="00650A83" w:rsidRPr="00C03F50" w:rsidRDefault="00650A83" w:rsidP="00650A83">
      <w:pPr>
        <w:pStyle w:val="Heading2"/>
      </w:pPr>
      <w:bookmarkStart w:id="31" w:name="_Toc227947974"/>
      <w:r w:rsidRPr="00C03F50">
        <w:t>2.2 Liquidity Improvement Strategies through Working Capital Reforms</w:t>
      </w:r>
      <w:bookmarkEnd w:id="31"/>
    </w:p>
    <w:p w14:paraId="27D2CC8E" w14:textId="77777777" w:rsidR="00650A83" w:rsidRDefault="00650A83" w:rsidP="00650A83">
      <w:pPr>
        <w:pStyle w:val="Heading3"/>
      </w:pPr>
      <w:bookmarkStart w:id="32" w:name="_Toc227947975"/>
      <w:r w:rsidRPr="00C03F50">
        <w:t>2.2.1 Receivables Management</w:t>
      </w:r>
      <w:bookmarkEnd w:id="32"/>
    </w:p>
    <w:p w14:paraId="47218C6D" w14:textId="77777777" w:rsidR="0068685B" w:rsidRDefault="0068685B" w:rsidP="0068685B">
      <w:r>
        <w:t>It is necessary to improve the receivables management to be liquid and decrease the CCC. BYD has already shown excellent performance by cutting the number of collection days considerably, but optimizations could be improved with tight credit policies, improved credit risk testing, and electronic invoicing (Hemavathy, 2026).</w:t>
      </w:r>
    </w:p>
    <w:p w14:paraId="3E505A18" w14:textId="6D150C09" w:rsidR="0068685B" w:rsidRPr="0068685B" w:rsidRDefault="0068685B" w:rsidP="0068685B">
      <w:r>
        <w:t>Dynamic discounting or early payment is one of the ways to accelerate cash flows and increase liquidity. Moreover, it is possible to reduce the risks of default and maximise receivables turnover by means of implementing modern analytics to assess customer credit (Baafi et al., 2024).</w:t>
      </w:r>
    </w:p>
    <w:p w14:paraId="7A4575FC" w14:textId="77777777" w:rsidR="00650A83" w:rsidRDefault="00650A83" w:rsidP="00650A83">
      <w:r>
        <w:rPr>
          <w:noProof/>
        </w:rPr>
        <w:lastRenderedPageBreak/>
        <w:drawing>
          <wp:inline distT="0" distB="0" distL="0" distR="0" wp14:anchorId="58342D7D" wp14:editId="64C20C4B">
            <wp:extent cx="5943600" cy="4953000"/>
            <wp:effectExtent l="0" t="0" r="0" b="0"/>
            <wp:docPr id="202892368" name="Picture 1" descr="Mitigating risk with accounts receivable automation | Bill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igating risk with accounts receivable automation | Billtrus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11010"/>
                    <a:stretch>
                      <a:fillRect/>
                    </a:stretch>
                  </pic:blipFill>
                  <pic:spPr bwMode="auto">
                    <a:xfrm>
                      <a:off x="0" y="0"/>
                      <a:ext cx="5943600" cy="4953000"/>
                    </a:xfrm>
                    <a:prstGeom prst="rect">
                      <a:avLst/>
                    </a:prstGeom>
                    <a:noFill/>
                    <a:ln>
                      <a:noFill/>
                    </a:ln>
                    <a:extLst>
                      <a:ext uri="{53640926-AAD7-44D8-BBD7-CCE9431645EC}">
                        <a14:shadowObscured xmlns:a14="http://schemas.microsoft.com/office/drawing/2010/main"/>
                      </a:ext>
                    </a:extLst>
                  </pic:spPr>
                </pic:pic>
              </a:graphicData>
            </a:graphic>
          </wp:inline>
        </w:drawing>
      </w:r>
    </w:p>
    <w:p w14:paraId="55CC33E4" w14:textId="77777777" w:rsidR="00650A83" w:rsidRDefault="00650A83" w:rsidP="00650A83">
      <w:pPr>
        <w:pStyle w:val="Caption"/>
      </w:pPr>
      <w:r>
        <w:t xml:space="preserve">Figure </w:t>
      </w:r>
      <w:r>
        <w:fldChar w:fldCharType="begin"/>
      </w:r>
      <w:r>
        <w:instrText xml:space="preserve"> SEQ Figure \* ARABIC </w:instrText>
      </w:r>
      <w:r>
        <w:fldChar w:fldCharType="separate"/>
      </w:r>
      <w:r>
        <w:rPr>
          <w:noProof/>
        </w:rPr>
        <w:t>22</w:t>
      </w:r>
      <w:r>
        <w:fldChar w:fldCharType="end"/>
      </w:r>
      <w:r>
        <w:t xml:space="preserve">: </w:t>
      </w:r>
      <w:r w:rsidRPr="00AB4B7F">
        <w:t>Receivables Management</w:t>
      </w:r>
    </w:p>
    <w:p w14:paraId="15EF88AC" w14:textId="77777777" w:rsidR="00650A83" w:rsidRPr="009134AF" w:rsidRDefault="00650A83" w:rsidP="00650A83"/>
    <w:p w14:paraId="215AF5F8" w14:textId="77777777" w:rsidR="00650A83" w:rsidRDefault="00650A83" w:rsidP="00650A83">
      <w:pPr>
        <w:pStyle w:val="Heading3"/>
      </w:pPr>
      <w:bookmarkStart w:id="33" w:name="_Toc227947976"/>
      <w:r w:rsidRPr="00C03F50">
        <w:t>2.2.2 Inventory Management</w:t>
      </w:r>
      <w:bookmarkEnd w:id="33"/>
    </w:p>
    <w:p w14:paraId="5704F638" w14:textId="77777777" w:rsidR="0068685B" w:rsidRDefault="0068685B" w:rsidP="0068685B">
      <w:r>
        <w:t>Inventory management in the EV industry is very important since the capital invested in the raw material and components is very high. Just-in-time (JIT) inventory and demand forecasting technologies should also be embraced by BYD to ensure minimum holding costs and prevent overstocking (Enyi et al., 2026).</w:t>
      </w:r>
    </w:p>
    <w:p w14:paraId="5DB043DE" w14:textId="74669AE8" w:rsidR="0068685B" w:rsidRPr="0068685B" w:rsidRDefault="0068685B" w:rsidP="0068685B">
      <w:r>
        <w:t>Inventory visibility and shorter lead times can be achieved by improving the coordination in the supply chain and using digital platforms. This will assist in maintaining the best inventory levels and enhance the total cash conversion cycle (Valiña-Sotelo et al., 2026).</w:t>
      </w:r>
    </w:p>
    <w:p w14:paraId="33D57B8B" w14:textId="77777777" w:rsidR="00650A83" w:rsidRDefault="00650A83" w:rsidP="00650A83">
      <w:r>
        <w:rPr>
          <w:noProof/>
        </w:rPr>
        <w:lastRenderedPageBreak/>
        <w:drawing>
          <wp:inline distT="0" distB="0" distL="0" distR="0" wp14:anchorId="035E8B11" wp14:editId="5D09BB47">
            <wp:extent cx="5943600" cy="5943600"/>
            <wp:effectExtent l="0" t="0" r="0" b="0"/>
            <wp:docPr id="639029342" name="Picture 2" descr="Optimizing Manufacturing: Just-in-Time Inven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timizing Manufacturing: Just-in-Time Inventor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1FF1620F" w14:textId="77777777" w:rsidR="00650A83" w:rsidRDefault="00650A83" w:rsidP="00650A83">
      <w:pPr>
        <w:pStyle w:val="Caption"/>
      </w:pPr>
      <w:r>
        <w:t xml:space="preserve">Figure </w:t>
      </w:r>
      <w:r>
        <w:fldChar w:fldCharType="begin"/>
      </w:r>
      <w:r>
        <w:instrText xml:space="preserve"> SEQ Figure \* ARABIC </w:instrText>
      </w:r>
      <w:r>
        <w:fldChar w:fldCharType="separate"/>
      </w:r>
      <w:r>
        <w:rPr>
          <w:noProof/>
        </w:rPr>
        <w:t>23</w:t>
      </w:r>
      <w:r>
        <w:fldChar w:fldCharType="end"/>
      </w:r>
      <w:r>
        <w:t xml:space="preserve">: </w:t>
      </w:r>
      <w:r w:rsidRPr="008E1539">
        <w:t>Just-in-Time Inventory</w:t>
      </w:r>
    </w:p>
    <w:p w14:paraId="0A4B95C5" w14:textId="77777777" w:rsidR="00650A83" w:rsidRPr="00977209" w:rsidRDefault="00650A83" w:rsidP="00650A83"/>
    <w:p w14:paraId="10BD6283" w14:textId="77777777" w:rsidR="00650A83" w:rsidRPr="00C03F50" w:rsidRDefault="00650A83" w:rsidP="00650A83">
      <w:pPr>
        <w:pStyle w:val="Heading3"/>
      </w:pPr>
      <w:bookmarkStart w:id="34" w:name="_Toc227947977"/>
      <w:r w:rsidRPr="00C03F50">
        <w:t>2.2.3 Payables Management</w:t>
      </w:r>
      <w:bookmarkEnd w:id="34"/>
    </w:p>
    <w:p w14:paraId="50380C73" w14:textId="77777777" w:rsidR="0068685B" w:rsidRDefault="0068685B" w:rsidP="0068685B">
      <w:r>
        <w:t>Managing payables while preserving supplier relationships is an effective way to enhance cash flow. BYD can seek to improve payment terms with its suppliers, or consider supply chain financing arrangements that allow for longer payment periods while keeping suppliers afloat (Gandhi, 2025).</w:t>
      </w:r>
    </w:p>
    <w:p w14:paraId="58441C28" w14:textId="11427764" w:rsidR="00650A83" w:rsidRDefault="0068685B" w:rsidP="0068685B">
      <w:r>
        <w:lastRenderedPageBreak/>
        <w:t>But longer payment periods could erode supplier relationships and supply chain stability. So, a compromise between optimising payment cycles and safeguarding vital relationships is required (Levický et al., 2026).</w:t>
      </w:r>
    </w:p>
    <w:p w14:paraId="47F8FCBA" w14:textId="77777777" w:rsidR="00650A83" w:rsidRDefault="00650A83" w:rsidP="00650A83">
      <w:r>
        <w:rPr>
          <w:noProof/>
        </w:rPr>
        <w:drawing>
          <wp:inline distT="0" distB="0" distL="0" distR="0" wp14:anchorId="59628429" wp14:editId="3374EBEB">
            <wp:extent cx="5943600" cy="2360930"/>
            <wp:effectExtent l="0" t="0" r="0" b="1270"/>
            <wp:docPr id="5789273" name="Picture 3" descr="AP Management: How to Manage Accounts Payable Effec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 Management: How to Manage Accounts Payable Effectivel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360930"/>
                    </a:xfrm>
                    <a:prstGeom prst="rect">
                      <a:avLst/>
                    </a:prstGeom>
                    <a:noFill/>
                    <a:ln>
                      <a:noFill/>
                    </a:ln>
                  </pic:spPr>
                </pic:pic>
              </a:graphicData>
            </a:graphic>
          </wp:inline>
        </w:drawing>
      </w:r>
    </w:p>
    <w:p w14:paraId="36044F60" w14:textId="77777777" w:rsidR="00650A83" w:rsidRDefault="00650A83" w:rsidP="00650A83">
      <w:pPr>
        <w:pStyle w:val="Caption"/>
      </w:pPr>
      <w:r>
        <w:t xml:space="preserve">Figure </w:t>
      </w:r>
      <w:r>
        <w:fldChar w:fldCharType="begin"/>
      </w:r>
      <w:r>
        <w:instrText xml:space="preserve"> SEQ Figure \* ARABIC </w:instrText>
      </w:r>
      <w:r>
        <w:fldChar w:fldCharType="separate"/>
      </w:r>
      <w:r>
        <w:rPr>
          <w:noProof/>
        </w:rPr>
        <w:t>24</w:t>
      </w:r>
      <w:r>
        <w:fldChar w:fldCharType="end"/>
      </w:r>
      <w:r>
        <w:t xml:space="preserve">: </w:t>
      </w:r>
      <w:r w:rsidRPr="00856F14">
        <w:t>Payables Management</w:t>
      </w:r>
    </w:p>
    <w:p w14:paraId="5E65ED9D" w14:textId="77777777" w:rsidR="00650A83" w:rsidRPr="00977209" w:rsidRDefault="00650A83" w:rsidP="00650A83"/>
    <w:p w14:paraId="075994C7" w14:textId="77777777" w:rsidR="00650A83" w:rsidRPr="00C03F50" w:rsidRDefault="00650A83" w:rsidP="00650A83">
      <w:pPr>
        <w:pStyle w:val="Heading3"/>
      </w:pPr>
      <w:bookmarkStart w:id="35" w:name="_Toc227947978"/>
      <w:r w:rsidRPr="00C03F50">
        <w:t>2.2.4 Cash Flow Optimisation</w:t>
      </w:r>
      <w:bookmarkEnd w:id="35"/>
    </w:p>
    <w:p w14:paraId="74FAA23C" w14:textId="77777777" w:rsidR="0068685B" w:rsidRDefault="0068685B" w:rsidP="0068685B">
      <w:r>
        <w:t>Proper management of cash flow is essential in its operations and in financing expansion. BYD is recommended to implement integrated cash management to track the real-time cash flows and predict the liquidity requirements (Bajpai et al., 2026).</w:t>
      </w:r>
    </w:p>
    <w:p w14:paraId="1CEE1C80" w14:textId="4E2ED3A7" w:rsidR="00650A83" w:rsidRDefault="0068685B" w:rsidP="0068685B">
      <w:r>
        <w:t>Financial resilience can be enhanced by optimising operating cash flows by controlling costs, enhancing efficiency and diversifying revenues. This is supported by the fact that robust operating cash flows have a great impact on improving firm performance and liquidity (Abdi et al., 2026).</w:t>
      </w:r>
    </w:p>
    <w:p w14:paraId="75C815C4" w14:textId="77777777" w:rsidR="00650A83" w:rsidRDefault="00650A83" w:rsidP="00650A83">
      <w:r>
        <w:rPr>
          <w:noProof/>
        </w:rPr>
        <w:lastRenderedPageBreak/>
        <w:drawing>
          <wp:inline distT="0" distB="0" distL="0" distR="0" wp14:anchorId="278B53BD" wp14:editId="27184A6F">
            <wp:extent cx="5943600" cy="3517265"/>
            <wp:effectExtent l="0" t="0" r="0" b="6985"/>
            <wp:docPr id="1387280553" name="Picture 4" descr="12 Effective Strategies to Improve Your Cash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2 Effective Strategies to Improve Your Cash Flow"/>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517265"/>
                    </a:xfrm>
                    <a:prstGeom prst="rect">
                      <a:avLst/>
                    </a:prstGeom>
                    <a:noFill/>
                    <a:ln>
                      <a:noFill/>
                    </a:ln>
                  </pic:spPr>
                </pic:pic>
              </a:graphicData>
            </a:graphic>
          </wp:inline>
        </w:drawing>
      </w:r>
    </w:p>
    <w:p w14:paraId="17F7F40C" w14:textId="77777777" w:rsidR="00650A83" w:rsidRDefault="00650A83" w:rsidP="00650A83">
      <w:pPr>
        <w:pStyle w:val="Caption"/>
      </w:pPr>
      <w:r>
        <w:t xml:space="preserve">Figure </w:t>
      </w:r>
      <w:r>
        <w:fldChar w:fldCharType="begin"/>
      </w:r>
      <w:r>
        <w:instrText xml:space="preserve"> SEQ Figure \* ARABIC </w:instrText>
      </w:r>
      <w:r>
        <w:fldChar w:fldCharType="separate"/>
      </w:r>
      <w:r>
        <w:rPr>
          <w:noProof/>
        </w:rPr>
        <w:t>25</w:t>
      </w:r>
      <w:r>
        <w:fldChar w:fldCharType="end"/>
      </w:r>
      <w:r>
        <w:t xml:space="preserve">: </w:t>
      </w:r>
      <w:r w:rsidRPr="005D2A2F">
        <w:t>Cash Flow Optimisation</w:t>
      </w:r>
    </w:p>
    <w:p w14:paraId="1E5A1CF2" w14:textId="77777777" w:rsidR="00650A83" w:rsidRDefault="00650A83" w:rsidP="0068685B"/>
    <w:p w14:paraId="3B481930" w14:textId="77777777" w:rsidR="0068685B" w:rsidRDefault="0068685B" w:rsidP="0068685B">
      <w:pPr>
        <w:pStyle w:val="Heading2"/>
      </w:pPr>
      <w:bookmarkStart w:id="36" w:name="_Toc227947979"/>
      <w:r>
        <w:t>2.3 Short-Term vs Long-Term Financing.</w:t>
      </w:r>
      <w:bookmarkEnd w:id="36"/>
    </w:p>
    <w:p w14:paraId="57FB0FF1" w14:textId="77777777" w:rsidR="0068685B" w:rsidRDefault="0068685B" w:rsidP="0068685B">
      <w:pPr>
        <w:pStyle w:val="Heading3"/>
      </w:pPr>
      <w:bookmarkStart w:id="37" w:name="_Toc227947980"/>
      <w:r>
        <w:t>2.3.1 Short-Term Financing</w:t>
      </w:r>
      <w:bookmarkEnd w:id="37"/>
    </w:p>
    <w:p w14:paraId="559F71A8" w14:textId="77777777" w:rsidR="0068685B" w:rsidRDefault="0068685B" w:rsidP="0068685B">
      <w:r>
        <w:t>Bank overdraft, trade credit, factoring and short term loans are all forms of short term funding. These tools are flexible in nature and can offer quick liquidity hence, can be used to address working capital needs (Gandhi, 2025).</w:t>
      </w:r>
    </w:p>
    <w:p w14:paraId="60D82374" w14:textId="77777777" w:rsidR="0068685B" w:rsidRDefault="0068685B" w:rsidP="0068685B">
      <w:r>
        <w:t>The conversion of receivables to cash and especially by factoring enables companies to accelerate cash flow and enhance liquidity and mitigate credit risks. Nonetheless, short-term funding is usually accompanied by a high interest rate and the risks of refinancing, which can lead to the exerted financial strain unless it is handled successfully (Gandhi, 2025).</w:t>
      </w:r>
    </w:p>
    <w:p w14:paraId="5ED508C8" w14:textId="77777777" w:rsidR="0068685B" w:rsidRDefault="0068685B" w:rsidP="0068685B"/>
    <w:p w14:paraId="2DBED339" w14:textId="77777777" w:rsidR="0068685B" w:rsidRDefault="0068685B" w:rsidP="0068685B">
      <w:pPr>
        <w:pStyle w:val="Heading3"/>
      </w:pPr>
      <w:bookmarkStart w:id="38" w:name="_Toc227947981"/>
      <w:r>
        <w:lastRenderedPageBreak/>
        <w:t>2.3.2 Long-Term Financing</w:t>
      </w:r>
      <w:bookmarkEnd w:id="38"/>
    </w:p>
    <w:p w14:paraId="0CBA0122" w14:textId="77777777" w:rsidR="0068685B" w:rsidRDefault="0068685B" w:rsidP="0068685B">
      <w:r>
        <w:t>Equity, long term financing such as loans and issuing bonds are considered as long term financing which offer a steady source of funding to capital intensive investments. The long-term financing is needed in the EV industry to finance research and development, infrastructure growth, and technology (Alinezhadjahromi et al., 2026).</w:t>
      </w:r>
    </w:p>
    <w:p w14:paraId="56CA3D82" w14:textId="77777777" w:rsidR="0068685B" w:rsidRDefault="0068685B" w:rsidP="0068685B">
      <w:r>
        <w:t>Despite the advantage of long-term financing in relieving liquidity pressure and refinancing risk, it can raise financial leverage and interest payments. Elevated levels on gearing can subject firms to financial meltdowns, especially in times of economic recessions (Fasua et al., 2026).</w:t>
      </w:r>
    </w:p>
    <w:p w14:paraId="27A67AFF" w14:textId="77777777" w:rsidR="0068685B" w:rsidRDefault="0068685B" w:rsidP="0068685B"/>
    <w:p w14:paraId="38C94927" w14:textId="77777777" w:rsidR="0068685B" w:rsidRDefault="0068685B" w:rsidP="0068685B">
      <w:pPr>
        <w:pStyle w:val="Heading3"/>
      </w:pPr>
      <w:bookmarkStart w:id="39" w:name="_Toc227947982"/>
      <w:r>
        <w:t>2.3.3 Strategic Trade-Off</w:t>
      </w:r>
      <w:bookmarkEnd w:id="39"/>
    </w:p>
    <w:p w14:paraId="1D081FB5" w14:textId="77777777" w:rsidR="0068685B" w:rsidRDefault="0068685B" w:rsidP="0068685B">
      <w:r>
        <w:t>The trade-off between flexibility and stability with regards to short-term and long-term financing is between the option of flexibility and the option of stability. Short-term financing is more applicable to deal with the day-to-day operations and working capital changes, whereas long-term financing is used in strategic expansion and capital investments (Siziba et al., 2021).</w:t>
      </w:r>
    </w:p>
    <w:p w14:paraId="7A230715" w14:textId="5BB5219E" w:rsidR="0068685B" w:rsidRPr="00977209" w:rsidRDefault="0068685B" w:rsidP="0068685B">
      <w:r>
        <w:t>In the case of BYD, a mixed financing approach will be advisable, one that combines both short-term solutions to operational liquidity and long-term solutions to strategic growth. This is a way of reducing financial risk and sufficient capabilities to grow (Peng et al., 2025).</w:t>
      </w:r>
    </w:p>
    <w:p w14:paraId="14FAFC09" w14:textId="77777777" w:rsidR="00650A83" w:rsidRDefault="00650A83" w:rsidP="0068685B">
      <w:pPr>
        <w:jc w:val="center"/>
      </w:pPr>
      <w:r>
        <w:rPr>
          <w:noProof/>
        </w:rPr>
        <w:lastRenderedPageBreak/>
        <w:drawing>
          <wp:inline distT="0" distB="0" distL="0" distR="0" wp14:anchorId="69EC56D1" wp14:editId="2C33AF12">
            <wp:extent cx="3819525" cy="2552471"/>
            <wp:effectExtent l="0" t="0" r="0" b="635"/>
            <wp:docPr id="884830063" name="Picture 5" descr="25 Trade-Off Example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5 Trade-Off Examples (2026)"/>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5485"/>
                    <a:stretch>
                      <a:fillRect/>
                    </a:stretch>
                  </pic:blipFill>
                  <pic:spPr bwMode="auto">
                    <a:xfrm>
                      <a:off x="0" y="0"/>
                      <a:ext cx="3827040" cy="2557493"/>
                    </a:xfrm>
                    <a:prstGeom prst="rect">
                      <a:avLst/>
                    </a:prstGeom>
                    <a:noFill/>
                    <a:ln>
                      <a:noFill/>
                    </a:ln>
                    <a:extLst>
                      <a:ext uri="{53640926-AAD7-44D8-BBD7-CCE9431645EC}">
                        <a14:shadowObscured xmlns:a14="http://schemas.microsoft.com/office/drawing/2010/main"/>
                      </a:ext>
                    </a:extLst>
                  </pic:spPr>
                </pic:pic>
              </a:graphicData>
            </a:graphic>
          </wp:inline>
        </w:drawing>
      </w:r>
    </w:p>
    <w:p w14:paraId="7BA38F27" w14:textId="77777777" w:rsidR="00650A83" w:rsidRPr="00C03F50" w:rsidRDefault="00650A83" w:rsidP="00650A83">
      <w:pPr>
        <w:pStyle w:val="Caption"/>
      </w:pPr>
      <w:r>
        <w:t xml:space="preserve">Figure </w:t>
      </w:r>
      <w:r>
        <w:fldChar w:fldCharType="begin"/>
      </w:r>
      <w:r>
        <w:instrText xml:space="preserve"> SEQ Figure \* ARABIC </w:instrText>
      </w:r>
      <w:r>
        <w:fldChar w:fldCharType="separate"/>
      </w:r>
      <w:r>
        <w:rPr>
          <w:noProof/>
        </w:rPr>
        <w:t>26</w:t>
      </w:r>
      <w:r>
        <w:fldChar w:fldCharType="end"/>
      </w:r>
      <w:r>
        <w:t xml:space="preserve">: </w:t>
      </w:r>
      <w:r w:rsidRPr="00E705AA">
        <w:t>Strategic Trade-Off</w:t>
      </w:r>
    </w:p>
    <w:p w14:paraId="4CB7B99D" w14:textId="77777777" w:rsidR="00650A83" w:rsidRPr="00937346" w:rsidRDefault="00650A83" w:rsidP="00650A83"/>
    <w:p w14:paraId="3F588BFC" w14:textId="77777777" w:rsidR="00650A83" w:rsidRDefault="00650A83" w:rsidP="00650A83">
      <w:pPr>
        <w:pStyle w:val="Heading1"/>
      </w:pPr>
      <w:bookmarkStart w:id="40" w:name="_Toc227947983"/>
      <w:r w:rsidRPr="00865EB9">
        <w:t>3. Strategic Financial Restructuring Plan</w:t>
      </w:r>
      <w:bookmarkEnd w:id="40"/>
    </w:p>
    <w:p w14:paraId="42FF151E" w14:textId="77777777" w:rsidR="00650A83" w:rsidRPr="00DD2C75" w:rsidRDefault="00650A83" w:rsidP="00650A83">
      <w:pPr>
        <w:pStyle w:val="Heading2"/>
      </w:pPr>
      <w:bookmarkStart w:id="41" w:name="_Toc227947984"/>
      <w:r>
        <w:t>3.1 F</w:t>
      </w:r>
      <w:r w:rsidRPr="00DD2C75">
        <w:t xml:space="preserve">inancial </w:t>
      </w:r>
      <w:r>
        <w:t>R</w:t>
      </w:r>
      <w:r w:rsidRPr="00DD2C75">
        <w:t xml:space="preserve">estructuring </w:t>
      </w:r>
      <w:r>
        <w:t>O</w:t>
      </w:r>
      <w:r w:rsidRPr="00DD2C75">
        <w:t>ptions</w:t>
      </w:r>
      <w:bookmarkEnd w:id="41"/>
    </w:p>
    <w:p w14:paraId="4EDA002E" w14:textId="77777777" w:rsidR="00650A83" w:rsidRPr="00DD2C75" w:rsidRDefault="00650A83" w:rsidP="00650A83">
      <w:pPr>
        <w:pStyle w:val="Heading3"/>
      </w:pPr>
      <w:bookmarkStart w:id="42" w:name="_Toc227947985"/>
      <w:r w:rsidRPr="00DD2C75">
        <w:t>3.1</w:t>
      </w:r>
      <w:r>
        <w:t>.1</w:t>
      </w:r>
      <w:r w:rsidRPr="00DD2C75">
        <w:t xml:space="preserve"> Divestiture of Non-Core or Low-Return Assets</w:t>
      </w:r>
      <w:bookmarkEnd w:id="42"/>
    </w:p>
    <w:p w14:paraId="690A7C6C" w14:textId="77777777" w:rsidR="00136EF0" w:rsidRDefault="00136EF0" w:rsidP="00136EF0">
      <w:r>
        <w:t>BYD may consider targeted divestment of non-strategic assets, loss-making subsidiaries or divisions that are not integral to its electric vehicle (EV), battery, and renewable energy initiatives. Divestment may free-up capital, enhance asset efficiency, and enable the allocation of resources to higher-growth, strategically-aligned assets (Feldman and McGrath, 2016). This is a real option for BYD because its free cash flow became negative in 2015, indicating that growth and investment are straining its cash holdings. Targeted divestitures can therefore improve cash management and minimize external financing needs (Bajpai and Sharma, 2026).</w:t>
      </w:r>
    </w:p>
    <w:p w14:paraId="37DFE8BB" w14:textId="525420FC" w:rsidR="00136EF0" w:rsidRDefault="00136EF0" w:rsidP="00136EF0">
      <w:r>
        <w:t xml:space="preserve">The future impact on shareholder value would depend on the sale price of divested assets and how the sale proceeds are used. Reduced debt and investment in battery manufacture could increase shareholder trust due to higher profits and lower financial risk (Chandak, 2017). But divestitures also pose risks if assets divested today produce synergies or help secure supply chains in the future. Hence, BYD must undertake a </w:t>
      </w:r>
      <w:r>
        <w:lastRenderedPageBreak/>
        <w:t>portfolio review to categorise assets as core, strategic or potential divestitures (McGrath and O’Neill, 2026).</w:t>
      </w:r>
    </w:p>
    <w:p w14:paraId="5501A2ED" w14:textId="77777777" w:rsidR="00136EF0" w:rsidRPr="00DD2C75" w:rsidRDefault="00136EF0" w:rsidP="00650A83"/>
    <w:p w14:paraId="79F4B5BA" w14:textId="77777777" w:rsidR="00650A83" w:rsidRPr="00DD2C75" w:rsidRDefault="00650A83" w:rsidP="00650A83">
      <w:pPr>
        <w:pStyle w:val="Heading3"/>
      </w:pPr>
      <w:bookmarkStart w:id="43" w:name="_Toc227947986"/>
      <w:r w:rsidRPr="00DD2C75">
        <w:t>3.</w:t>
      </w:r>
      <w:r>
        <w:t>1.</w:t>
      </w:r>
      <w:r w:rsidRPr="00DD2C75">
        <w:t>2 Merger or Strategic Acquisition</w:t>
      </w:r>
      <w:bookmarkEnd w:id="43"/>
    </w:p>
    <w:p w14:paraId="0F8B6D5B" w14:textId="77777777" w:rsidR="00136EF0" w:rsidRDefault="00136EF0" w:rsidP="00136EF0">
      <w:r>
        <w:t>To enhance its access to global markets, battery technology, charging infrastructure, or access to raw materials, a targeted merger or acquisition might assist BYD. When the target company has complementary capabilities, M&amp;A can generate operational synergies, enhance cost-efficiency, and fasten internationalisation (Wangdi, Paul and Roy, 2024). As an example, the purchase of a regional EV distributor or charging network in Europe or Southeast Asia would help eliminate entry barriers and facilitate expansion of exports. Nevertheless, disciplined decision-making on the valuation of acquisition should be made as excessively paying can obliterate shareholder value (Chen et al., 2020).</w:t>
      </w:r>
    </w:p>
    <w:p w14:paraId="2350E469" w14:textId="72EF0735" w:rsidR="00136EF0" w:rsidRDefault="00136EF0" w:rsidP="00136EF0">
      <w:r>
        <w:t>The effect would be on debt structure based on how it is financed. The debt funded acquisition can elevate the gearing and deteriorate credit quality whereas equity-funded acquisition can dilute the current shareholders (Adhikari, Sharma and Panta, 2026). Since BYD already has high leverage positions and the strain on the sufficiency of its cash, a big debt-funded acquisition would be risky. This may be more appropriate with minority strategic investment or joint venture since it does not commit a lot of capital and it maintains flexibility (Atik, 2012).</w:t>
      </w:r>
    </w:p>
    <w:p w14:paraId="2F24CDD0" w14:textId="77777777" w:rsidR="00136EF0" w:rsidRPr="00DD2C75" w:rsidRDefault="00136EF0" w:rsidP="00650A83"/>
    <w:p w14:paraId="2E3268DC" w14:textId="77777777" w:rsidR="00650A83" w:rsidRPr="00DD2C75" w:rsidRDefault="00650A83" w:rsidP="00650A83">
      <w:pPr>
        <w:pStyle w:val="Heading3"/>
      </w:pPr>
      <w:bookmarkStart w:id="44" w:name="_Toc227947987"/>
      <w:r w:rsidRPr="00DD2C75">
        <w:t>3.</w:t>
      </w:r>
      <w:r>
        <w:t>1.</w:t>
      </w:r>
      <w:r w:rsidRPr="00DD2C75">
        <w:t>3 Equity Injection and Capital Raising</w:t>
      </w:r>
      <w:bookmarkEnd w:id="44"/>
    </w:p>
    <w:p w14:paraId="7AEB5079" w14:textId="77777777" w:rsidR="00136EF0" w:rsidRDefault="00136EF0" w:rsidP="00136EF0">
      <w:r>
        <w:t>An equity injection is advised as a restructuring measure to bolster BYD’s equity position and alleviate debt financing. Equity funds can be used to finance long-term investments in EV platforms, battery manufacturing, R&amp;D and global expansion, without raising fixed interest costs (Feng and Xu, 2026). This is necessary as electric vehicle manufacturing is capital intensive and high leverage can lead to reduced flexibility during periods of low margins or unstable demand (Alinezhadjahromi et al., 2026).</w:t>
      </w:r>
    </w:p>
    <w:p w14:paraId="580ECF1A" w14:textId="307B25DF" w:rsidR="00650A83" w:rsidRDefault="00136EF0" w:rsidP="00136EF0">
      <w:r>
        <w:lastRenderedPageBreak/>
        <w:t>In terms of measure of shareholder value, equity capital could potentially dilute earnings per share if the company issues new shares to raise funds. But this is acceptable if the capital is used to fund projects that deliver a return higher than the cost of equity, and enhance future competitiveness (Muslim, 2025). A rights issue could be a better option than a public issue to preserve the ownership structure. BYD can also seek strategic equity from institutional investors or sovereign wealth funds that have an interest in clean technology and ESG investment (Alharbi, 2024).</w:t>
      </w:r>
    </w:p>
    <w:p w14:paraId="24191279" w14:textId="77777777" w:rsidR="00136EF0" w:rsidRDefault="00136EF0" w:rsidP="00650A83"/>
    <w:p w14:paraId="4B2C0637" w14:textId="77777777" w:rsidR="00650A83" w:rsidRPr="00DD2C75" w:rsidRDefault="00650A83" w:rsidP="00650A83">
      <w:pPr>
        <w:pStyle w:val="Heading2"/>
      </w:pPr>
      <w:bookmarkStart w:id="45" w:name="_Toc227947988"/>
      <w:r>
        <w:t>3.2 I</w:t>
      </w:r>
      <w:r w:rsidRPr="00DD2C75">
        <w:t>mpact on shareholder value, debt structure, and operational flexibility.</w:t>
      </w:r>
      <w:bookmarkEnd w:id="45"/>
    </w:p>
    <w:p w14:paraId="72F749CA" w14:textId="77777777" w:rsidR="00650A83" w:rsidRPr="00DD2C75" w:rsidRDefault="00650A83" w:rsidP="00650A83">
      <w:pPr>
        <w:pStyle w:val="Heading3"/>
      </w:pPr>
      <w:bookmarkStart w:id="46" w:name="_Toc227947989"/>
      <w:r w:rsidRPr="00DD2C75">
        <w:t>3.</w:t>
      </w:r>
      <w:r>
        <w:t>2.1</w:t>
      </w:r>
      <w:r w:rsidRPr="00DD2C75">
        <w:t xml:space="preserve"> Debt Restructuring and Refinancing</w:t>
      </w:r>
      <w:bookmarkEnd w:id="46"/>
    </w:p>
    <w:p w14:paraId="3E3AABDA" w14:textId="77777777" w:rsidR="00136EF0" w:rsidRDefault="00136EF0" w:rsidP="00136EF0">
      <w:r>
        <w:t>BYD needs to reorganize some of its debt, by lengthening maturity, refinancing short-term borrowings, and aligning debt maturity and asset life. This would eliminate the refinancing risk and safeguard the liquidity in times of cash flow unpredictability (Fasua and Sinebe, 2026). The long term bonds or green bonds might be appropriate since it matches funding with the sustainability profile and long term capital expenditure requirements of BYD. Green financing can also lower the procurement of a loan and gain more reputation in the market in case associated with quantifiable performance regarding the environment (Alharbi, 2024).</w:t>
      </w:r>
    </w:p>
    <w:p w14:paraId="0C12BB79" w14:textId="6BDF8EE7" w:rsidR="00136EF0" w:rsidRDefault="00136EF0" w:rsidP="00136EF0">
      <w:r>
        <w:t>Restructuring of debts would also enhance flexibility in operations by eliminating the pressure to repay the debt on the spot and also enable the cash to be directed towards innovation and efficiency in production. Nonetheless, overrestructuring can also be an indication of financial weaknesses when not effectively communicated to investors and lenders (Nguyen Thi, Khuc and Tran, 2025). Consequently, BYD ought to introduce debt restructuring as proactive balance sheet optimisation as opposed to distress response. The open disclosure of debt maturity and exposure to interest as well as intended use of proceeds would be beneficial to safeguard investor confidence (Vladyka, 2026).</w:t>
      </w:r>
    </w:p>
    <w:p w14:paraId="3AAD57C6" w14:textId="77777777" w:rsidR="00136EF0" w:rsidRPr="00DD2C75" w:rsidRDefault="00136EF0" w:rsidP="00136EF0"/>
    <w:p w14:paraId="56732351" w14:textId="77777777" w:rsidR="00650A83" w:rsidRPr="00DD2C75" w:rsidRDefault="00650A83" w:rsidP="00650A83">
      <w:pPr>
        <w:pStyle w:val="Heading3"/>
      </w:pPr>
      <w:bookmarkStart w:id="47" w:name="_Toc227947990"/>
      <w:r w:rsidRPr="00DD2C75">
        <w:lastRenderedPageBreak/>
        <w:t>3.</w:t>
      </w:r>
      <w:r>
        <w:t>2.2</w:t>
      </w:r>
      <w:r w:rsidRPr="00DD2C75">
        <w:t xml:space="preserve"> Impact on Shareholder Value</w:t>
      </w:r>
      <w:bookmarkEnd w:id="47"/>
    </w:p>
    <w:p w14:paraId="519E25FF" w14:textId="77777777" w:rsidR="00136EF0" w:rsidRDefault="00136EF0" w:rsidP="00136EF0">
      <w:r>
        <w:t>Instead of using a single approach, the recommended package of restructuring ought to be a combination of selective divestiture, moderate equity injection and debt refinancing. This moderate solution has the potential to enhance shareholder value by unlocking capital, reducing financial risk, and maintaining investment capacity (Chandak, 2017). Shareholders will be happy to learn that restructuring will enhance the shareholder returns, cash flow, and enable the company to grow its earnings on a sustainable basis. Ratio analysis is significant in this regard since it evaluates profitability, gearing, and valuation measures that will determine whether restructuring generates value or not (Patel and Kumar, 2026).</w:t>
      </w:r>
    </w:p>
    <w:p w14:paraId="3D5E7ADC" w14:textId="3B24848C" w:rsidR="00136EF0" w:rsidRDefault="00136EF0" w:rsidP="00136EF0">
      <w:r>
        <w:t>Nonetheless, shareholder value ought not to be gauged solely in terms of brief-term share price response. The sustainable value in a capital-intensive EV industry is conditional upon long-term innovation, cost leadership in battery, international access to markets, and responsible financing (Muslim, 2025). As such, restructuring must be geared towards long-term competitiveness as opposed to the manipulation of short-term earnings. To ensure that market confidence is not hit, there must be a balance between growth investment and financial discipline (Rosario and Mavuri, 2026).</w:t>
      </w:r>
    </w:p>
    <w:p w14:paraId="5E623D2E" w14:textId="77777777" w:rsidR="00136EF0" w:rsidRPr="00DD2C75" w:rsidRDefault="00136EF0" w:rsidP="00136EF0"/>
    <w:p w14:paraId="6EBA194E" w14:textId="77777777" w:rsidR="00650A83" w:rsidRPr="00DD2C75" w:rsidRDefault="00650A83" w:rsidP="00650A83">
      <w:pPr>
        <w:pStyle w:val="Heading3"/>
      </w:pPr>
      <w:bookmarkStart w:id="48" w:name="_Toc227947991"/>
      <w:r w:rsidRPr="00DD2C75">
        <w:t>3.</w:t>
      </w:r>
      <w:r>
        <w:t>2.3</w:t>
      </w:r>
      <w:r w:rsidRPr="00DD2C75">
        <w:t xml:space="preserve"> Operational Flexibility</w:t>
      </w:r>
      <w:bookmarkEnd w:id="48"/>
    </w:p>
    <w:p w14:paraId="2A82E6BF" w14:textId="77777777" w:rsidR="00136EF0" w:rsidRDefault="00136EF0" w:rsidP="00136EF0">
      <w:r>
        <w:t>If BYD can decrease non-essential capital expenditures and increase cash reserves, they can increase flexibility. Asset sales can eliminate complexity, share issuances can raise funds for expansion without a hard debt repayment deadline, and debt restructurings can alleviate short-term liquidity pressures (Bajpai and Sharma, 2026). This is necessary as the EV market, battery costs, and tariffs can be highly volatile across global markets. By retaining flexibility, BYD can quickly adapt to rapidly changing markets and supply chains (Peng et al., 2025).</w:t>
      </w:r>
    </w:p>
    <w:p w14:paraId="053CAE6F" w14:textId="7ADAFD8F" w:rsidR="00136EF0" w:rsidRDefault="00136EF0" w:rsidP="00136EF0">
      <w:r>
        <w:t xml:space="preserve">However, it's crucial to maintain BYD's vertical integration advantage. Divestment of strategically critical battery, semiconductor or supply chain assets would hurt cost efficiency and reliability (Alinezhadjahromi et al., 2026). So, flexibility should be driven by </w:t>
      </w:r>
      <w:r>
        <w:lastRenderedPageBreak/>
        <w:t>eliminating wasted complexity, not essential capabilities. Each restructuring move should enable cost leadership, innovation and global competitiveness (Endris and Babu, 2026).</w:t>
      </w:r>
    </w:p>
    <w:p w14:paraId="74EDAF97" w14:textId="77777777" w:rsidR="00136EF0" w:rsidRPr="00DD2C75" w:rsidRDefault="00136EF0" w:rsidP="00136EF0"/>
    <w:p w14:paraId="796CDE26" w14:textId="77777777" w:rsidR="00650A83" w:rsidRPr="00DD2C75" w:rsidRDefault="00650A83" w:rsidP="00650A83">
      <w:pPr>
        <w:pStyle w:val="Heading2"/>
      </w:pPr>
      <w:bookmarkStart w:id="49" w:name="_Toc227947992"/>
      <w:r w:rsidRPr="00DD2C75">
        <w:t>3.</w:t>
      </w:r>
      <w:r>
        <w:t>3</w:t>
      </w:r>
      <w:r w:rsidRPr="00DD2C75">
        <w:t xml:space="preserve"> International and Ethical Considerations</w:t>
      </w:r>
      <w:bookmarkEnd w:id="49"/>
    </w:p>
    <w:p w14:paraId="7ADE4176" w14:textId="77777777" w:rsidR="00136EF0" w:rsidRDefault="00136EF0" w:rsidP="00136EF0">
      <w:r>
        <w:t>International expansion will expose BYD to taxation, the currency, inflation, and a difference in regulations. The tax planning ought to be lawful, transparent, and in line with the corporate social responsibility since aggressive tax planning could lead to adverse reputation and stakeholder confidence (Ayodele and Timothy, 2026). BYD ought to take advantage of justifiable tax breaks to green manufacturing and research investment but not schemes that seem exploitive. Ethical tax governance aids in the long-term shareholder value reduction, as it diminishes regulatory and reputational risk (Huynh Thith Hien et al., 2025).</w:t>
      </w:r>
    </w:p>
    <w:p w14:paraId="3B8236B7" w14:textId="77777777" w:rsidR="00136EF0" w:rsidRDefault="00136EF0" w:rsidP="00136EF0">
      <w:r>
        <w:t>Another significant problem is currency risk since BYD receives income and spends money in various markets. Export margins, debt servicing, and earnings translated could be impacted by exchange rate volatility, particularly between borrowing and revenue currencies (Kang, 2026). The firm ought to employ natural hedging, borrowing in the currency, and forward contracts to minimize exposure. Inflation is also a factor to observe due to an increase in the cost of inputs, labour and logistics which may serve as a weak margin and a rising working capital requirement (Rochmayasari, 2022).</w:t>
      </w:r>
    </w:p>
    <w:p w14:paraId="0C3EE389" w14:textId="0D79E539" w:rsidR="00650A83" w:rsidRDefault="00136EF0" w:rsidP="00136EF0">
      <w:r>
        <w:t>Restructuring must ethically take into account employees, suppliers, communities and the environmental commitments. Reducing costs should not sacrifice labour standards, fairness to suppliers, or product safety, as CSR performance is becoming a significant factor in investor confidence and retaining customers (Alharbi, 2024). BYD must be open in communicating restructuring decisions and tie them to sustainable growth, responsible financing, and clean transport development. This would make sure that financial restructuring enhances corporate resilience and also the legitimacy of the stakeholders (Muslim, 2025).</w:t>
      </w:r>
    </w:p>
    <w:p w14:paraId="069451F3" w14:textId="77777777" w:rsidR="00136EF0" w:rsidRPr="001B16E4" w:rsidRDefault="00136EF0" w:rsidP="00136EF0"/>
    <w:p w14:paraId="6E91198F" w14:textId="57397FD1" w:rsidR="001E6EA3" w:rsidRDefault="001E6EA3" w:rsidP="001E6EA3">
      <w:pPr>
        <w:pStyle w:val="Heading1"/>
      </w:pPr>
      <w:bookmarkStart w:id="50" w:name="_Toc227947993"/>
      <w:r>
        <w:lastRenderedPageBreak/>
        <w:t>4. Investment Appraisal and Capital Budgeting</w:t>
      </w:r>
      <w:bookmarkEnd w:id="50"/>
      <w:r>
        <w:t xml:space="preserve"> </w:t>
      </w:r>
    </w:p>
    <w:p w14:paraId="4F8E7EBB" w14:textId="77777777" w:rsidR="001E6EA3" w:rsidRPr="001A55D8" w:rsidRDefault="001E6EA3" w:rsidP="001E6EA3">
      <w:pPr>
        <w:pStyle w:val="Heading2"/>
      </w:pPr>
      <w:bookmarkStart w:id="51" w:name="_Toc227947994"/>
      <w:r w:rsidRPr="001A55D8">
        <w:t>4.1 Payback Period Analysis</w:t>
      </w:r>
      <w:bookmarkEnd w:id="51"/>
    </w:p>
    <w:p w14:paraId="28A0A879" w14:textId="77777777" w:rsidR="001E6EA3" w:rsidRPr="00A266E6" w:rsidRDefault="001E6EA3" w:rsidP="001E6EA3">
      <w:r w:rsidRPr="00345849">
        <w:t>The Payback Period (PBP) enables one to know how fast a project can break even with its initial capital investment and this is so critical to companies with a liquidity problem or those whose market is prone to unpredictability.</w:t>
      </w:r>
      <w:r>
        <w:t xml:space="preserve"> </w:t>
      </w:r>
      <w:r w:rsidRPr="005D2DC9">
        <w:t xml:space="preserve">According to the results, Project C has the shortest payback period of 3.60 years, according to Project A (4.50 years) and B (4.55 years), meaning that the break-even point of investment in Project C is shorter than in the other projects (Siziba </w:t>
      </w:r>
      <w:r>
        <w:t>et al.</w:t>
      </w:r>
      <w:r w:rsidRPr="005D2DC9">
        <w:t>, 2021). The reason why this is a smaller payback is that Project C has many more cash inflows in years 3 and 4 with higher cash inflows that recover cumulative cash faster.</w:t>
      </w:r>
    </w:p>
    <w:tbl>
      <w:tblPr>
        <w:tblStyle w:val="TableGrid"/>
        <w:tblW w:w="5000" w:type="pct"/>
        <w:tblLook w:val="04A0" w:firstRow="1" w:lastRow="0" w:firstColumn="1" w:lastColumn="0" w:noHBand="0" w:noVBand="1"/>
      </w:tblPr>
      <w:tblGrid>
        <w:gridCol w:w="1796"/>
        <w:gridCol w:w="2038"/>
        <w:gridCol w:w="1690"/>
        <w:gridCol w:w="1163"/>
        <w:gridCol w:w="2663"/>
      </w:tblGrid>
      <w:tr w:rsidR="001E6EA3" w:rsidRPr="00BC767A" w14:paraId="60FD1E24" w14:textId="77777777" w:rsidTr="00494876">
        <w:tc>
          <w:tcPr>
            <w:tcW w:w="960" w:type="pct"/>
            <w:hideMark/>
          </w:tcPr>
          <w:p w14:paraId="366BE9F2" w14:textId="77777777" w:rsidR="001E6EA3" w:rsidRPr="00BC767A" w:rsidRDefault="001E6EA3" w:rsidP="00494876">
            <w:pPr>
              <w:spacing w:after="160"/>
              <w:rPr>
                <w:b/>
                <w:bCs/>
              </w:rPr>
            </w:pPr>
            <w:r w:rsidRPr="00BC767A">
              <w:rPr>
                <w:b/>
                <w:bCs/>
              </w:rPr>
              <w:t>Project</w:t>
            </w:r>
          </w:p>
        </w:tc>
        <w:tc>
          <w:tcPr>
            <w:tcW w:w="1090" w:type="pct"/>
            <w:hideMark/>
          </w:tcPr>
          <w:p w14:paraId="64FAC766" w14:textId="77777777" w:rsidR="001E6EA3" w:rsidRPr="00BC767A" w:rsidRDefault="001E6EA3" w:rsidP="00494876">
            <w:pPr>
              <w:spacing w:after="160"/>
              <w:rPr>
                <w:b/>
                <w:bCs/>
              </w:rPr>
            </w:pPr>
            <w:r w:rsidRPr="00BC767A">
              <w:rPr>
                <w:b/>
                <w:bCs/>
              </w:rPr>
              <w:t>Initial Investment (£m)</w:t>
            </w:r>
          </w:p>
        </w:tc>
        <w:tc>
          <w:tcPr>
            <w:tcW w:w="904" w:type="pct"/>
            <w:hideMark/>
          </w:tcPr>
          <w:p w14:paraId="03C06FC5" w14:textId="77777777" w:rsidR="001E6EA3" w:rsidRPr="00BC767A" w:rsidRDefault="001E6EA3" w:rsidP="00494876">
            <w:pPr>
              <w:spacing w:after="160"/>
              <w:rPr>
                <w:b/>
                <w:bCs/>
              </w:rPr>
            </w:pPr>
            <w:r w:rsidRPr="00BC767A">
              <w:rPr>
                <w:b/>
                <w:bCs/>
              </w:rPr>
              <w:t>Payback Year</w:t>
            </w:r>
          </w:p>
        </w:tc>
        <w:tc>
          <w:tcPr>
            <w:tcW w:w="622" w:type="pct"/>
            <w:hideMark/>
          </w:tcPr>
          <w:p w14:paraId="088C98A2" w14:textId="77777777" w:rsidR="001E6EA3" w:rsidRPr="00BC767A" w:rsidRDefault="001E6EA3" w:rsidP="00494876">
            <w:pPr>
              <w:spacing w:after="160"/>
              <w:rPr>
                <w:b/>
                <w:bCs/>
              </w:rPr>
            </w:pPr>
            <w:r w:rsidRPr="00BC767A">
              <w:rPr>
                <w:b/>
                <w:bCs/>
              </w:rPr>
              <w:t>Fraction</w:t>
            </w:r>
          </w:p>
        </w:tc>
        <w:tc>
          <w:tcPr>
            <w:tcW w:w="1424" w:type="pct"/>
            <w:hideMark/>
          </w:tcPr>
          <w:p w14:paraId="14C83DF2" w14:textId="77777777" w:rsidR="001E6EA3" w:rsidRPr="00BC767A" w:rsidRDefault="001E6EA3" w:rsidP="00494876">
            <w:pPr>
              <w:spacing w:after="160"/>
              <w:rPr>
                <w:b/>
                <w:bCs/>
              </w:rPr>
            </w:pPr>
            <w:r w:rsidRPr="00BC767A">
              <w:rPr>
                <w:b/>
                <w:bCs/>
              </w:rPr>
              <w:t>Payback Period (Years)</w:t>
            </w:r>
          </w:p>
        </w:tc>
      </w:tr>
      <w:tr w:rsidR="001E6EA3" w:rsidRPr="00BC767A" w14:paraId="6664CD52" w14:textId="77777777" w:rsidTr="00494876">
        <w:tc>
          <w:tcPr>
            <w:tcW w:w="960" w:type="pct"/>
            <w:hideMark/>
          </w:tcPr>
          <w:p w14:paraId="697A31E1" w14:textId="77777777" w:rsidR="001E6EA3" w:rsidRPr="00BC767A" w:rsidRDefault="001E6EA3" w:rsidP="00494876">
            <w:pPr>
              <w:spacing w:after="160"/>
            </w:pPr>
            <w:r w:rsidRPr="00BC767A">
              <w:rPr>
                <w:b/>
                <w:bCs/>
              </w:rPr>
              <w:t>Project A</w:t>
            </w:r>
          </w:p>
        </w:tc>
        <w:tc>
          <w:tcPr>
            <w:tcW w:w="1090" w:type="pct"/>
            <w:hideMark/>
          </w:tcPr>
          <w:p w14:paraId="0FD866AC" w14:textId="77777777" w:rsidR="001E6EA3" w:rsidRPr="00BC767A" w:rsidRDefault="001E6EA3" w:rsidP="00494876">
            <w:pPr>
              <w:spacing w:after="160"/>
            </w:pPr>
            <w:r w:rsidRPr="00BC767A">
              <w:t>-50</w:t>
            </w:r>
          </w:p>
        </w:tc>
        <w:tc>
          <w:tcPr>
            <w:tcW w:w="904" w:type="pct"/>
            <w:hideMark/>
          </w:tcPr>
          <w:p w14:paraId="7BE79778" w14:textId="77777777" w:rsidR="001E6EA3" w:rsidRPr="00BC767A" w:rsidRDefault="001E6EA3" w:rsidP="00494876">
            <w:pPr>
              <w:spacing w:after="160"/>
            </w:pPr>
            <w:r w:rsidRPr="00BC767A">
              <w:t>4</w:t>
            </w:r>
          </w:p>
        </w:tc>
        <w:tc>
          <w:tcPr>
            <w:tcW w:w="622" w:type="pct"/>
            <w:hideMark/>
          </w:tcPr>
          <w:p w14:paraId="7EAABF44" w14:textId="77777777" w:rsidR="001E6EA3" w:rsidRPr="00BC767A" w:rsidRDefault="001E6EA3" w:rsidP="00494876">
            <w:pPr>
              <w:spacing w:after="160"/>
            </w:pPr>
            <w:r w:rsidRPr="00BC767A">
              <w:t>4/8</w:t>
            </w:r>
          </w:p>
        </w:tc>
        <w:tc>
          <w:tcPr>
            <w:tcW w:w="1424" w:type="pct"/>
            <w:hideMark/>
          </w:tcPr>
          <w:p w14:paraId="77788A76" w14:textId="77777777" w:rsidR="001E6EA3" w:rsidRPr="00BC767A" w:rsidRDefault="001E6EA3" w:rsidP="00494876">
            <w:pPr>
              <w:spacing w:after="160"/>
            </w:pPr>
            <w:r w:rsidRPr="00BC767A">
              <w:rPr>
                <w:b/>
                <w:bCs/>
              </w:rPr>
              <w:t>4.50</w:t>
            </w:r>
          </w:p>
        </w:tc>
      </w:tr>
      <w:tr w:rsidR="001E6EA3" w:rsidRPr="00BC767A" w14:paraId="38833814" w14:textId="77777777" w:rsidTr="00494876">
        <w:tc>
          <w:tcPr>
            <w:tcW w:w="960" w:type="pct"/>
            <w:hideMark/>
          </w:tcPr>
          <w:p w14:paraId="4425B7C1" w14:textId="77777777" w:rsidR="001E6EA3" w:rsidRPr="00BC767A" w:rsidRDefault="001E6EA3" w:rsidP="00494876">
            <w:pPr>
              <w:spacing w:after="160"/>
            </w:pPr>
            <w:r w:rsidRPr="00BC767A">
              <w:rPr>
                <w:b/>
                <w:bCs/>
              </w:rPr>
              <w:t>Project B</w:t>
            </w:r>
          </w:p>
        </w:tc>
        <w:tc>
          <w:tcPr>
            <w:tcW w:w="1090" w:type="pct"/>
            <w:hideMark/>
          </w:tcPr>
          <w:p w14:paraId="76072F57" w14:textId="77777777" w:rsidR="001E6EA3" w:rsidRPr="00BC767A" w:rsidRDefault="001E6EA3" w:rsidP="00494876">
            <w:pPr>
              <w:spacing w:after="160"/>
            </w:pPr>
            <w:r w:rsidRPr="00BC767A">
              <w:t>-50</w:t>
            </w:r>
          </w:p>
        </w:tc>
        <w:tc>
          <w:tcPr>
            <w:tcW w:w="904" w:type="pct"/>
            <w:hideMark/>
          </w:tcPr>
          <w:p w14:paraId="0CB020B5" w14:textId="77777777" w:rsidR="001E6EA3" w:rsidRPr="00BC767A" w:rsidRDefault="001E6EA3" w:rsidP="00494876">
            <w:pPr>
              <w:spacing w:after="160"/>
            </w:pPr>
            <w:r w:rsidRPr="00BC767A">
              <w:t>4</w:t>
            </w:r>
          </w:p>
        </w:tc>
        <w:tc>
          <w:tcPr>
            <w:tcW w:w="622" w:type="pct"/>
            <w:hideMark/>
          </w:tcPr>
          <w:p w14:paraId="5BE37C38" w14:textId="77777777" w:rsidR="001E6EA3" w:rsidRPr="00BC767A" w:rsidRDefault="001E6EA3" w:rsidP="00494876">
            <w:pPr>
              <w:spacing w:after="160"/>
            </w:pPr>
            <w:r w:rsidRPr="00BC767A">
              <w:t>6/11</w:t>
            </w:r>
          </w:p>
        </w:tc>
        <w:tc>
          <w:tcPr>
            <w:tcW w:w="1424" w:type="pct"/>
            <w:hideMark/>
          </w:tcPr>
          <w:p w14:paraId="41216096" w14:textId="77777777" w:rsidR="001E6EA3" w:rsidRPr="00BC767A" w:rsidRDefault="001E6EA3" w:rsidP="00494876">
            <w:pPr>
              <w:spacing w:after="160"/>
            </w:pPr>
            <w:r w:rsidRPr="00BC767A">
              <w:rPr>
                <w:b/>
                <w:bCs/>
              </w:rPr>
              <w:t>4.55</w:t>
            </w:r>
          </w:p>
        </w:tc>
      </w:tr>
      <w:tr w:rsidR="001E6EA3" w:rsidRPr="00BC767A" w14:paraId="415EBC45" w14:textId="77777777" w:rsidTr="00494876">
        <w:tc>
          <w:tcPr>
            <w:tcW w:w="960" w:type="pct"/>
            <w:hideMark/>
          </w:tcPr>
          <w:p w14:paraId="1D0B2C16" w14:textId="77777777" w:rsidR="001E6EA3" w:rsidRPr="00BC767A" w:rsidRDefault="001E6EA3" w:rsidP="00494876">
            <w:pPr>
              <w:spacing w:after="160"/>
            </w:pPr>
            <w:r w:rsidRPr="00BC767A">
              <w:rPr>
                <w:b/>
                <w:bCs/>
              </w:rPr>
              <w:t>Project C</w:t>
            </w:r>
          </w:p>
        </w:tc>
        <w:tc>
          <w:tcPr>
            <w:tcW w:w="1090" w:type="pct"/>
            <w:hideMark/>
          </w:tcPr>
          <w:p w14:paraId="50A71325" w14:textId="77777777" w:rsidR="001E6EA3" w:rsidRPr="00BC767A" w:rsidRDefault="001E6EA3" w:rsidP="00494876">
            <w:pPr>
              <w:spacing w:after="160"/>
            </w:pPr>
            <w:r w:rsidRPr="00BC767A">
              <w:t>-50</w:t>
            </w:r>
          </w:p>
        </w:tc>
        <w:tc>
          <w:tcPr>
            <w:tcW w:w="904" w:type="pct"/>
            <w:hideMark/>
          </w:tcPr>
          <w:p w14:paraId="34965366" w14:textId="77777777" w:rsidR="001E6EA3" w:rsidRPr="00BC767A" w:rsidRDefault="001E6EA3" w:rsidP="00494876">
            <w:pPr>
              <w:spacing w:after="160"/>
            </w:pPr>
            <w:r w:rsidRPr="00BC767A">
              <w:t>3</w:t>
            </w:r>
          </w:p>
        </w:tc>
        <w:tc>
          <w:tcPr>
            <w:tcW w:w="622" w:type="pct"/>
            <w:hideMark/>
          </w:tcPr>
          <w:p w14:paraId="060A4B8C" w14:textId="77777777" w:rsidR="001E6EA3" w:rsidRPr="00BC767A" w:rsidRDefault="001E6EA3" w:rsidP="00494876">
            <w:pPr>
              <w:spacing w:after="160"/>
            </w:pPr>
            <w:r w:rsidRPr="00BC767A">
              <w:t>15/25</w:t>
            </w:r>
          </w:p>
        </w:tc>
        <w:tc>
          <w:tcPr>
            <w:tcW w:w="1424" w:type="pct"/>
            <w:hideMark/>
          </w:tcPr>
          <w:p w14:paraId="5400E504" w14:textId="77777777" w:rsidR="001E6EA3" w:rsidRPr="00BC767A" w:rsidRDefault="001E6EA3" w:rsidP="00494876">
            <w:pPr>
              <w:spacing w:after="160"/>
            </w:pPr>
            <w:r w:rsidRPr="00BC767A">
              <w:rPr>
                <w:b/>
                <w:bCs/>
              </w:rPr>
              <w:t>3.60</w:t>
            </w:r>
          </w:p>
        </w:tc>
      </w:tr>
    </w:tbl>
    <w:p w14:paraId="6A697988" w14:textId="77777777" w:rsidR="001E6EA3" w:rsidRDefault="001E6EA3" w:rsidP="001E6EA3">
      <w:pPr>
        <w:pStyle w:val="Caption"/>
      </w:pPr>
      <w:bookmarkStart w:id="52" w:name="_Toc227927287"/>
      <w:r>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310CD5">
        <w:t>Payback Period (PBP)</w:t>
      </w:r>
      <w:bookmarkEnd w:id="52"/>
    </w:p>
    <w:p w14:paraId="6B6847C5" w14:textId="77777777" w:rsidR="001E6EA3" w:rsidRDefault="001E6EA3" w:rsidP="001E6EA3">
      <w:r w:rsidRPr="00795D7A">
        <w:t>Financial management can be considered to create less exposure to risk and uncertainty through shorter payback periods, particularly in manufacturing electric vehicles which is capital intensive; especially, the volatility of the market and changes in technology can be quite high.</w:t>
      </w:r>
      <w:r>
        <w:t xml:space="preserve"> </w:t>
      </w:r>
      <w:r w:rsidRPr="00154310">
        <w:t>Project A and B are relatively similar in terms of being slow-recovering because of their evenly distributed cash inflows or lower cash inflows at certain times and thus less appealing when liquidity is a priority (Karnavas, 2024). PBP however does not take into account time value of money, post payback cash flows and this is a limitation of this tool as a decision making tool because it lacks centrality to use independently.</w:t>
      </w:r>
    </w:p>
    <w:p w14:paraId="1A9649F4" w14:textId="77777777" w:rsidR="001E6EA3" w:rsidRDefault="001E6EA3" w:rsidP="001E6EA3"/>
    <w:p w14:paraId="129FD303" w14:textId="77777777" w:rsidR="001E6EA3" w:rsidRPr="001A55D8" w:rsidRDefault="001E6EA3" w:rsidP="001E6EA3">
      <w:pPr>
        <w:pStyle w:val="Heading2"/>
      </w:pPr>
      <w:bookmarkStart w:id="53" w:name="_Toc227947995"/>
      <w:r w:rsidRPr="001A55D8">
        <w:lastRenderedPageBreak/>
        <w:t>4.2 Accounting Rate of Return (ARR)</w:t>
      </w:r>
      <w:bookmarkEnd w:id="53"/>
    </w:p>
    <w:p w14:paraId="186EC481" w14:textId="77777777" w:rsidR="001E6EA3" w:rsidRPr="00BC767A" w:rsidRDefault="001E6EA3" w:rsidP="001E6EA3">
      <w:r w:rsidRPr="009E7B14">
        <w:t>Accounting rate of return (ARR) is used to measure profitability based on accounting profits as opposed to cash flow and as such gives a picture that is consistent with financial reporting performance. Project C ranks the highest, 6.00% lower than the one of Project B, 2.00% and A, 1.60% respectively, showing better average annual profitability (Astuti, 2025). This is an indicator that Project C is the more profitable producer of earnings as during the middle years the profits grow significantly, because of the intense cash flows.</w:t>
      </w:r>
    </w:p>
    <w:tbl>
      <w:tblPr>
        <w:tblStyle w:val="TableGrid"/>
        <w:tblW w:w="5000" w:type="pct"/>
        <w:tblLook w:val="04A0" w:firstRow="1" w:lastRow="0" w:firstColumn="1" w:lastColumn="0" w:noHBand="0" w:noVBand="1"/>
      </w:tblPr>
      <w:tblGrid>
        <w:gridCol w:w="5539"/>
        <w:gridCol w:w="3811"/>
      </w:tblGrid>
      <w:tr w:rsidR="001E6EA3" w:rsidRPr="00BC767A" w14:paraId="0C619EE7" w14:textId="77777777" w:rsidTr="00494876">
        <w:tc>
          <w:tcPr>
            <w:tcW w:w="2962" w:type="pct"/>
            <w:hideMark/>
          </w:tcPr>
          <w:p w14:paraId="6C7534FE" w14:textId="77777777" w:rsidR="001E6EA3" w:rsidRPr="00BC767A" w:rsidRDefault="001E6EA3" w:rsidP="00494876">
            <w:pPr>
              <w:spacing w:after="160"/>
              <w:rPr>
                <w:b/>
                <w:bCs/>
              </w:rPr>
            </w:pPr>
            <w:r w:rsidRPr="00BC767A">
              <w:rPr>
                <w:b/>
                <w:bCs/>
              </w:rPr>
              <w:t>Project</w:t>
            </w:r>
          </w:p>
        </w:tc>
        <w:tc>
          <w:tcPr>
            <w:tcW w:w="2038" w:type="pct"/>
            <w:hideMark/>
          </w:tcPr>
          <w:p w14:paraId="677EF3F3" w14:textId="77777777" w:rsidR="001E6EA3" w:rsidRPr="00BC767A" w:rsidRDefault="001E6EA3" w:rsidP="00494876">
            <w:pPr>
              <w:spacing w:after="160"/>
              <w:rPr>
                <w:b/>
                <w:bCs/>
              </w:rPr>
            </w:pPr>
            <w:r w:rsidRPr="00BC767A">
              <w:rPr>
                <w:b/>
                <w:bCs/>
              </w:rPr>
              <w:t>ARR (%)</w:t>
            </w:r>
          </w:p>
        </w:tc>
      </w:tr>
      <w:tr w:rsidR="001E6EA3" w:rsidRPr="00BC767A" w14:paraId="413118B7" w14:textId="77777777" w:rsidTr="00494876">
        <w:tc>
          <w:tcPr>
            <w:tcW w:w="2962" w:type="pct"/>
            <w:hideMark/>
          </w:tcPr>
          <w:p w14:paraId="1819AD6E" w14:textId="77777777" w:rsidR="001E6EA3" w:rsidRPr="00BC767A" w:rsidRDefault="001E6EA3" w:rsidP="00494876">
            <w:pPr>
              <w:spacing w:after="160"/>
            </w:pPr>
            <w:r w:rsidRPr="00BC767A">
              <w:rPr>
                <w:b/>
                <w:bCs/>
              </w:rPr>
              <w:t>Project A</w:t>
            </w:r>
          </w:p>
        </w:tc>
        <w:tc>
          <w:tcPr>
            <w:tcW w:w="2038" w:type="pct"/>
            <w:hideMark/>
          </w:tcPr>
          <w:p w14:paraId="2C1F2091" w14:textId="77777777" w:rsidR="001E6EA3" w:rsidRPr="00BC767A" w:rsidRDefault="001E6EA3" w:rsidP="00494876">
            <w:pPr>
              <w:spacing w:after="160"/>
            </w:pPr>
            <w:r w:rsidRPr="00BC767A">
              <w:rPr>
                <w:b/>
                <w:bCs/>
              </w:rPr>
              <w:t>1.60%</w:t>
            </w:r>
          </w:p>
        </w:tc>
      </w:tr>
      <w:tr w:rsidR="001E6EA3" w:rsidRPr="00BC767A" w14:paraId="3E5E26F4" w14:textId="77777777" w:rsidTr="00494876">
        <w:tc>
          <w:tcPr>
            <w:tcW w:w="2962" w:type="pct"/>
            <w:hideMark/>
          </w:tcPr>
          <w:p w14:paraId="138E0D9C" w14:textId="77777777" w:rsidR="001E6EA3" w:rsidRPr="00BC767A" w:rsidRDefault="001E6EA3" w:rsidP="00494876">
            <w:pPr>
              <w:spacing w:after="160"/>
            </w:pPr>
            <w:r w:rsidRPr="00BC767A">
              <w:rPr>
                <w:b/>
                <w:bCs/>
              </w:rPr>
              <w:t>Project B</w:t>
            </w:r>
          </w:p>
        </w:tc>
        <w:tc>
          <w:tcPr>
            <w:tcW w:w="2038" w:type="pct"/>
            <w:hideMark/>
          </w:tcPr>
          <w:p w14:paraId="4BACC714" w14:textId="77777777" w:rsidR="001E6EA3" w:rsidRPr="00BC767A" w:rsidRDefault="001E6EA3" w:rsidP="00494876">
            <w:pPr>
              <w:spacing w:after="160"/>
            </w:pPr>
            <w:r w:rsidRPr="00BC767A">
              <w:rPr>
                <w:b/>
                <w:bCs/>
              </w:rPr>
              <w:t>2.00%</w:t>
            </w:r>
          </w:p>
        </w:tc>
      </w:tr>
      <w:tr w:rsidR="001E6EA3" w:rsidRPr="00BC767A" w14:paraId="1DCDEFD6" w14:textId="77777777" w:rsidTr="00494876">
        <w:tc>
          <w:tcPr>
            <w:tcW w:w="2962" w:type="pct"/>
            <w:hideMark/>
          </w:tcPr>
          <w:p w14:paraId="3D092C91" w14:textId="77777777" w:rsidR="001E6EA3" w:rsidRPr="00BC767A" w:rsidRDefault="001E6EA3" w:rsidP="00494876">
            <w:pPr>
              <w:spacing w:after="160"/>
            </w:pPr>
            <w:r w:rsidRPr="00BC767A">
              <w:rPr>
                <w:b/>
                <w:bCs/>
              </w:rPr>
              <w:t>Project C</w:t>
            </w:r>
          </w:p>
        </w:tc>
        <w:tc>
          <w:tcPr>
            <w:tcW w:w="2038" w:type="pct"/>
            <w:hideMark/>
          </w:tcPr>
          <w:p w14:paraId="23FF8CEC" w14:textId="77777777" w:rsidR="001E6EA3" w:rsidRPr="00BC767A" w:rsidRDefault="001E6EA3" w:rsidP="00494876">
            <w:pPr>
              <w:spacing w:after="160"/>
            </w:pPr>
            <w:r w:rsidRPr="00BC767A">
              <w:rPr>
                <w:b/>
                <w:bCs/>
              </w:rPr>
              <w:t>6.00%</w:t>
            </w:r>
          </w:p>
        </w:tc>
      </w:tr>
    </w:tbl>
    <w:p w14:paraId="00769DC4" w14:textId="77777777" w:rsidR="001E6EA3" w:rsidRDefault="001E6EA3" w:rsidP="001E6EA3">
      <w:pPr>
        <w:pStyle w:val="Caption"/>
      </w:pPr>
      <w:bookmarkStart w:id="54" w:name="_Toc227927288"/>
      <w:r>
        <w:t xml:space="preserve">Table </w:t>
      </w:r>
      <w:r>
        <w:fldChar w:fldCharType="begin"/>
      </w:r>
      <w:r>
        <w:instrText xml:space="preserve"> SEQ Table \* ARABIC </w:instrText>
      </w:r>
      <w:r>
        <w:fldChar w:fldCharType="separate"/>
      </w:r>
      <w:r>
        <w:rPr>
          <w:noProof/>
        </w:rPr>
        <w:t>4</w:t>
      </w:r>
      <w:r>
        <w:rPr>
          <w:noProof/>
        </w:rPr>
        <w:fldChar w:fldCharType="end"/>
      </w:r>
      <w:r>
        <w:t xml:space="preserve">: </w:t>
      </w:r>
      <w:r w:rsidRPr="008D0CF7">
        <w:t>Accounting Rate of Return (ARR)</w:t>
      </w:r>
      <w:bookmarkEnd w:id="54"/>
    </w:p>
    <w:p w14:paraId="618F2472" w14:textId="77777777" w:rsidR="001E6EA3" w:rsidRDefault="001E6EA3" w:rsidP="001E6EA3">
      <w:r w:rsidRPr="00EA5A0B">
        <w:t xml:space="preserve">In comparison, Project A is characterized by oscillating profitability with negative returns during the last year making it less appealing. Project B shows a low but stable returns indicating that there is a steady but low level of profitability (Adesoye </w:t>
      </w:r>
      <w:r>
        <w:t>et al.</w:t>
      </w:r>
      <w:r w:rsidRPr="00EA5A0B">
        <w:t>, 2021). Even though ARR is a good tool in evaluating the performance of accounting, it fails to take into account the timing of the profits or pattern of cash flow which is important in making capital budgeting choices. Thus, although ARR proves the efficiency of picking the Project C, it should be considered in combination with discounted cash flow techniques.</w:t>
      </w:r>
    </w:p>
    <w:p w14:paraId="4B7604C1" w14:textId="77777777" w:rsidR="001E6EA3" w:rsidRDefault="001E6EA3" w:rsidP="001E6EA3"/>
    <w:p w14:paraId="09A12F2B" w14:textId="77777777" w:rsidR="001E6EA3" w:rsidRPr="001A55D8" w:rsidRDefault="001E6EA3" w:rsidP="001E6EA3">
      <w:pPr>
        <w:pStyle w:val="Heading2"/>
      </w:pPr>
      <w:bookmarkStart w:id="55" w:name="_Toc227947996"/>
      <w:r w:rsidRPr="001A55D8">
        <w:t>4.3 Net Present Value (NPV)</w:t>
      </w:r>
      <w:bookmarkEnd w:id="55"/>
    </w:p>
    <w:p w14:paraId="079B29F0" w14:textId="77777777" w:rsidR="001E6EA3" w:rsidRPr="00200B43" w:rsidRDefault="001E6EA3" w:rsidP="001E6EA3">
      <w:r w:rsidRPr="00EA5A0B">
        <w:t xml:space="preserve">Net Present Value (NPV) is regarded as the most credible method of capital budgeting used, since it uses the time value of money and it quantifies the value creation directly to shareholders. When comparing the three projects at 10-percent discount rate, all of them will have a negative NPV and Project C will have the least negative value of -1.98 million pounds compared to -8.30 million pounds and -8.68 million pounds (Shou, 2022). This </w:t>
      </w:r>
      <w:r w:rsidRPr="00EA5A0B">
        <w:lastRenderedPageBreak/>
        <w:t>implies that all the projects do not yield the required rate of return with Project C nearest to breakeven.</w:t>
      </w:r>
    </w:p>
    <w:tbl>
      <w:tblPr>
        <w:tblStyle w:val="TableGrid"/>
        <w:tblW w:w="5000" w:type="pct"/>
        <w:tblLook w:val="04A0" w:firstRow="1" w:lastRow="0" w:firstColumn="1" w:lastColumn="0" w:noHBand="0" w:noVBand="1"/>
      </w:tblPr>
      <w:tblGrid>
        <w:gridCol w:w="4653"/>
        <w:gridCol w:w="4697"/>
      </w:tblGrid>
      <w:tr w:rsidR="001E6EA3" w:rsidRPr="00BC767A" w14:paraId="394CA5C4" w14:textId="77777777" w:rsidTr="00494876">
        <w:tc>
          <w:tcPr>
            <w:tcW w:w="2488" w:type="pct"/>
            <w:hideMark/>
          </w:tcPr>
          <w:p w14:paraId="66A4A132" w14:textId="77777777" w:rsidR="001E6EA3" w:rsidRPr="00BC767A" w:rsidRDefault="001E6EA3" w:rsidP="00494876">
            <w:pPr>
              <w:spacing w:after="160"/>
              <w:rPr>
                <w:b/>
                <w:bCs/>
              </w:rPr>
            </w:pPr>
            <w:r w:rsidRPr="00BC767A">
              <w:rPr>
                <w:b/>
                <w:bCs/>
              </w:rPr>
              <w:t>Project</w:t>
            </w:r>
          </w:p>
        </w:tc>
        <w:tc>
          <w:tcPr>
            <w:tcW w:w="2512" w:type="pct"/>
            <w:hideMark/>
          </w:tcPr>
          <w:p w14:paraId="54C8E02B" w14:textId="77777777" w:rsidR="001E6EA3" w:rsidRPr="00BC767A" w:rsidRDefault="001E6EA3" w:rsidP="00494876">
            <w:pPr>
              <w:spacing w:after="160"/>
              <w:rPr>
                <w:b/>
                <w:bCs/>
              </w:rPr>
            </w:pPr>
            <w:r w:rsidRPr="00BC767A">
              <w:rPr>
                <w:b/>
                <w:bCs/>
              </w:rPr>
              <w:t>NPV (£m)</w:t>
            </w:r>
          </w:p>
        </w:tc>
      </w:tr>
      <w:tr w:rsidR="001E6EA3" w:rsidRPr="00BC767A" w14:paraId="3A3AF57F" w14:textId="77777777" w:rsidTr="00494876">
        <w:tc>
          <w:tcPr>
            <w:tcW w:w="2488" w:type="pct"/>
            <w:hideMark/>
          </w:tcPr>
          <w:p w14:paraId="4C80295E" w14:textId="77777777" w:rsidR="001E6EA3" w:rsidRPr="00BC767A" w:rsidRDefault="001E6EA3" w:rsidP="00494876">
            <w:pPr>
              <w:spacing w:after="160"/>
            </w:pPr>
            <w:r w:rsidRPr="00BC767A">
              <w:rPr>
                <w:b/>
                <w:bCs/>
              </w:rPr>
              <w:t>Project A</w:t>
            </w:r>
          </w:p>
        </w:tc>
        <w:tc>
          <w:tcPr>
            <w:tcW w:w="2512" w:type="pct"/>
            <w:hideMark/>
          </w:tcPr>
          <w:p w14:paraId="6BBFDAD4" w14:textId="77777777" w:rsidR="001E6EA3" w:rsidRPr="00BC767A" w:rsidRDefault="001E6EA3" w:rsidP="00494876">
            <w:pPr>
              <w:spacing w:after="160"/>
            </w:pPr>
            <w:r w:rsidRPr="00BC767A">
              <w:rPr>
                <w:b/>
                <w:bCs/>
              </w:rPr>
              <w:t>-8.68</w:t>
            </w:r>
          </w:p>
        </w:tc>
      </w:tr>
      <w:tr w:rsidR="001E6EA3" w:rsidRPr="00BC767A" w14:paraId="21C49B09" w14:textId="77777777" w:rsidTr="00494876">
        <w:tc>
          <w:tcPr>
            <w:tcW w:w="2488" w:type="pct"/>
            <w:hideMark/>
          </w:tcPr>
          <w:p w14:paraId="02E8D3FE" w14:textId="77777777" w:rsidR="001E6EA3" w:rsidRPr="00BC767A" w:rsidRDefault="001E6EA3" w:rsidP="00494876">
            <w:pPr>
              <w:spacing w:after="160"/>
            </w:pPr>
            <w:r w:rsidRPr="00BC767A">
              <w:rPr>
                <w:b/>
                <w:bCs/>
              </w:rPr>
              <w:t>Project B</w:t>
            </w:r>
          </w:p>
        </w:tc>
        <w:tc>
          <w:tcPr>
            <w:tcW w:w="2512" w:type="pct"/>
            <w:hideMark/>
          </w:tcPr>
          <w:p w14:paraId="39197C5C" w14:textId="77777777" w:rsidR="001E6EA3" w:rsidRPr="00BC767A" w:rsidRDefault="001E6EA3" w:rsidP="00494876">
            <w:pPr>
              <w:spacing w:after="160"/>
            </w:pPr>
            <w:r w:rsidRPr="00BC767A">
              <w:rPr>
                <w:b/>
                <w:bCs/>
              </w:rPr>
              <w:t>-8.30</w:t>
            </w:r>
          </w:p>
        </w:tc>
      </w:tr>
      <w:tr w:rsidR="001E6EA3" w:rsidRPr="00BC767A" w14:paraId="041E6599" w14:textId="77777777" w:rsidTr="00494876">
        <w:tc>
          <w:tcPr>
            <w:tcW w:w="2488" w:type="pct"/>
            <w:hideMark/>
          </w:tcPr>
          <w:p w14:paraId="0E7C68F0" w14:textId="77777777" w:rsidR="001E6EA3" w:rsidRPr="00BC767A" w:rsidRDefault="001E6EA3" w:rsidP="00494876">
            <w:pPr>
              <w:spacing w:after="160"/>
            </w:pPr>
            <w:r w:rsidRPr="00BC767A">
              <w:rPr>
                <w:b/>
                <w:bCs/>
              </w:rPr>
              <w:t>Project C</w:t>
            </w:r>
          </w:p>
        </w:tc>
        <w:tc>
          <w:tcPr>
            <w:tcW w:w="2512" w:type="pct"/>
            <w:hideMark/>
          </w:tcPr>
          <w:p w14:paraId="55D2694C" w14:textId="77777777" w:rsidR="001E6EA3" w:rsidRPr="00BC767A" w:rsidRDefault="001E6EA3" w:rsidP="00494876">
            <w:pPr>
              <w:spacing w:after="160"/>
            </w:pPr>
            <w:r w:rsidRPr="00BC767A">
              <w:rPr>
                <w:b/>
                <w:bCs/>
              </w:rPr>
              <w:t>-1.98</w:t>
            </w:r>
          </w:p>
        </w:tc>
      </w:tr>
    </w:tbl>
    <w:p w14:paraId="1D2C6205" w14:textId="77777777" w:rsidR="001E6EA3" w:rsidRDefault="001E6EA3" w:rsidP="001E6EA3">
      <w:pPr>
        <w:pStyle w:val="Caption"/>
      </w:pPr>
      <w:bookmarkStart w:id="56" w:name="_Toc227927289"/>
      <w:r>
        <w:t xml:space="preserve">Table </w:t>
      </w:r>
      <w:r>
        <w:fldChar w:fldCharType="begin"/>
      </w:r>
      <w:r>
        <w:instrText xml:space="preserve"> SEQ Table \* ARABIC </w:instrText>
      </w:r>
      <w:r>
        <w:fldChar w:fldCharType="separate"/>
      </w:r>
      <w:r>
        <w:rPr>
          <w:noProof/>
        </w:rPr>
        <w:t>5</w:t>
      </w:r>
      <w:r>
        <w:rPr>
          <w:noProof/>
        </w:rPr>
        <w:fldChar w:fldCharType="end"/>
      </w:r>
      <w:r>
        <w:t xml:space="preserve">: </w:t>
      </w:r>
      <w:r w:rsidRPr="00265C22">
        <w:t>Net Present Value (NPV)</w:t>
      </w:r>
      <w:bookmarkEnd w:id="56"/>
    </w:p>
    <w:p w14:paraId="4AB91F93" w14:textId="77777777" w:rsidR="001E6EA3" w:rsidRDefault="001E6EA3" w:rsidP="001E6EA3">
      <w:r w:rsidRPr="000E4694">
        <w:t>The negative NPVs mean that in the current conditions, the projects could lower the shareholder value in case they are implemented alone. Nonetheless, the NPV of Project C is relatively higher, which implies that it has a superior cash flow and less risk as compared to the other alternatives. This is in line with the financial theory, which points out that the rationale investment decision should focus on projects that have the greatest NPV since they add the most values to firms (Enyi et al., 2026). Hence, in spite of all the NPVs being negative, Project C is the only viable proposal between the three.</w:t>
      </w:r>
    </w:p>
    <w:p w14:paraId="3AFD285D" w14:textId="77777777" w:rsidR="001E6EA3" w:rsidRDefault="001E6EA3" w:rsidP="001E6EA3"/>
    <w:p w14:paraId="1D024916" w14:textId="77777777" w:rsidR="001E6EA3" w:rsidRPr="001A55D8" w:rsidRDefault="001E6EA3" w:rsidP="001E6EA3">
      <w:pPr>
        <w:pStyle w:val="Heading2"/>
      </w:pPr>
      <w:bookmarkStart w:id="57" w:name="_Toc227947997"/>
      <w:r w:rsidRPr="001A55D8">
        <w:t>4.4 Profitability Index (PI)</w:t>
      </w:r>
      <w:bookmarkEnd w:id="57"/>
    </w:p>
    <w:p w14:paraId="7BBA8789" w14:textId="77777777" w:rsidR="001E6EA3" w:rsidRPr="00BC767A" w:rsidRDefault="001E6EA3" w:rsidP="001E6EA3">
      <w:r w:rsidRPr="000F56DA">
        <w:t>The Profitability Index (PI) is a tool that serves to evaluate value added per unit of investment and it is often used with restricted capital (Atik, 2012). Project c's PI of 0.96 is higher than that of Project A and Project B (0.83 each), further confirming the relative efficiency of Project C (Atik, 2012). While all results are less than 1.0, implying the present value of inflows is less than the initial cost, Project C still outperforms the others.</w:t>
      </w:r>
    </w:p>
    <w:tbl>
      <w:tblPr>
        <w:tblStyle w:val="TableGrid"/>
        <w:tblW w:w="5000" w:type="pct"/>
        <w:tblLook w:val="04A0" w:firstRow="1" w:lastRow="0" w:firstColumn="1" w:lastColumn="0" w:noHBand="0" w:noVBand="1"/>
      </w:tblPr>
      <w:tblGrid>
        <w:gridCol w:w="6384"/>
        <w:gridCol w:w="2966"/>
      </w:tblGrid>
      <w:tr w:rsidR="001E6EA3" w:rsidRPr="00BC767A" w14:paraId="4E734A21" w14:textId="77777777" w:rsidTr="00494876">
        <w:tc>
          <w:tcPr>
            <w:tcW w:w="3414" w:type="pct"/>
            <w:hideMark/>
          </w:tcPr>
          <w:p w14:paraId="3DEE9BF7" w14:textId="77777777" w:rsidR="001E6EA3" w:rsidRPr="00BC767A" w:rsidRDefault="001E6EA3" w:rsidP="00494876">
            <w:pPr>
              <w:spacing w:after="160"/>
              <w:rPr>
                <w:b/>
                <w:bCs/>
              </w:rPr>
            </w:pPr>
            <w:r w:rsidRPr="00BC767A">
              <w:rPr>
                <w:b/>
                <w:bCs/>
              </w:rPr>
              <w:t>Project</w:t>
            </w:r>
          </w:p>
        </w:tc>
        <w:tc>
          <w:tcPr>
            <w:tcW w:w="1586" w:type="pct"/>
            <w:hideMark/>
          </w:tcPr>
          <w:p w14:paraId="05E21CB0" w14:textId="77777777" w:rsidR="001E6EA3" w:rsidRPr="00BC767A" w:rsidRDefault="001E6EA3" w:rsidP="00494876">
            <w:pPr>
              <w:spacing w:after="160"/>
              <w:rPr>
                <w:b/>
                <w:bCs/>
              </w:rPr>
            </w:pPr>
            <w:r w:rsidRPr="00BC767A">
              <w:rPr>
                <w:b/>
                <w:bCs/>
              </w:rPr>
              <w:t>PI</w:t>
            </w:r>
          </w:p>
        </w:tc>
      </w:tr>
      <w:tr w:rsidR="001E6EA3" w:rsidRPr="00BC767A" w14:paraId="7BF715AA" w14:textId="77777777" w:rsidTr="00494876">
        <w:tc>
          <w:tcPr>
            <w:tcW w:w="3414" w:type="pct"/>
            <w:hideMark/>
          </w:tcPr>
          <w:p w14:paraId="37EFA4B0" w14:textId="77777777" w:rsidR="001E6EA3" w:rsidRPr="00BC767A" w:rsidRDefault="001E6EA3" w:rsidP="00494876">
            <w:pPr>
              <w:spacing w:after="160"/>
            </w:pPr>
            <w:r w:rsidRPr="00BC767A">
              <w:rPr>
                <w:b/>
                <w:bCs/>
              </w:rPr>
              <w:t>Project A</w:t>
            </w:r>
          </w:p>
        </w:tc>
        <w:tc>
          <w:tcPr>
            <w:tcW w:w="1586" w:type="pct"/>
            <w:hideMark/>
          </w:tcPr>
          <w:p w14:paraId="7F8DBF76" w14:textId="77777777" w:rsidR="001E6EA3" w:rsidRPr="00BC767A" w:rsidRDefault="001E6EA3" w:rsidP="00494876">
            <w:pPr>
              <w:spacing w:after="160"/>
            </w:pPr>
            <w:r w:rsidRPr="00BC767A">
              <w:rPr>
                <w:b/>
                <w:bCs/>
              </w:rPr>
              <w:t>0.83</w:t>
            </w:r>
          </w:p>
        </w:tc>
      </w:tr>
      <w:tr w:rsidR="001E6EA3" w:rsidRPr="00BC767A" w14:paraId="118CF973" w14:textId="77777777" w:rsidTr="00494876">
        <w:tc>
          <w:tcPr>
            <w:tcW w:w="3414" w:type="pct"/>
            <w:hideMark/>
          </w:tcPr>
          <w:p w14:paraId="51070814" w14:textId="77777777" w:rsidR="001E6EA3" w:rsidRPr="00BC767A" w:rsidRDefault="001E6EA3" w:rsidP="00494876">
            <w:pPr>
              <w:spacing w:after="160"/>
            </w:pPr>
            <w:r w:rsidRPr="00BC767A">
              <w:rPr>
                <w:b/>
                <w:bCs/>
              </w:rPr>
              <w:t>Project B</w:t>
            </w:r>
          </w:p>
        </w:tc>
        <w:tc>
          <w:tcPr>
            <w:tcW w:w="1586" w:type="pct"/>
            <w:hideMark/>
          </w:tcPr>
          <w:p w14:paraId="15CDC1B5" w14:textId="77777777" w:rsidR="001E6EA3" w:rsidRPr="00BC767A" w:rsidRDefault="001E6EA3" w:rsidP="00494876">
            <w:pPr>
              <w:spacing w:after="160"/>
            </w:pPr>
            <w:r w:rsidRPr="00BC767A">
              <w:rPr>
                <w:b/>
                <w:bCs/>
              </w:rPr>
              <w:t>0.83</w:t>
            </w:r>
          </w:p>
        </w:tc>
      </w:tr>
      <w:tr w:rsidR="001E6EA3" w:rsidRPr="00BC767A" w14:paraId="23E78DB2" w14:textId="77777777" w:rsidTr="00494876">
        <w:tc>
          <w:tcPr>
            <w:tcW w:w="3414" w:type="pct"/>
            <w:hideMark/>
          </w:tcPr>
          <w:p w14:paraId="684A6932" w14:textId="77777777" w:rsidR="001E6EA3" w:rsidRPr="00BC767A" w:rsidRDefault="001E6EA3" w:rsidP="00494876">
            <w:pPr>
              <w:spacing w:after="160"/>
            </w:pPr>
            <w:r w:rsidRPr="00BC767A">
              <w:rPr>
                <w:b/>
                <w:bCs/>
              </w:rPr>
              <w:t>Project C</w:t>
            </w:r>
          </w:p>
        </w:tc>
        <w:tc>
          <w:tcPr>
            <w:tcW w:w="1586" w:type="pct"/>
            <w:hideMark/>
          </w:tcPr>
          <w:p w14:paraId="09B29AC1" w14:textId="77777777" w:rsidR="001E6EA3" w:rsidRPr="00BC767A" w:rsidRDefault="001E6EA3" w:rsidP="00494876">
            <w:pPr>
              <w:spacing w:after="160"/>
            </w:pPr>
            <w:r w:rsidRPr="00BC767A">
              <w:rPr>
                <w:b/>
                <w:bCs/>
              </w:rPr>
              <w:t>0.96</w:t>
            </w:r>
          </w:p>
        </w:tc>
      </w:tr>
    </w:tbl>
    <w:p w14:paraId="0533A642" w14:textId="77777777" w:rsidR="001E6EA3" w:rsidRDefault="001E6EA3" w:rsidP="001E6EA3">
      <w:pPr>
        <w:pStyle w:val="Caption"/>
      </w:pPr>
      <w:bookmarkStart w:id="58" w:name="_Toc227927290"/>
      <w:r>
        <w:t xml:space="preserve">Table </w:t>
      </w:r>
      <w:r>
        <w:fldChar w:fldCharType="begin"/>
      </w:r>
      <w:r>
        <w:instrText xml:space="preserve"> SEQ Table \* ARABIC </w:instrText>
      </w:r>
      <w:r>
        <w:fldChar w:fldCharType="separate"/>
      </w:r>
      <w:r>
        <w:rPr>
          <w:noProof/>
        </w:rPr>
        <w:t>6</w:t>
      </w:r>
      <w:r>
        <w:rPr>
          <w:noProof/>
        </w:rPr>
        <w:fldChar w:fldCharType="end"/>
      </w:r>
      <w:r>
        <w:t xml:space="preserve">: </w:t>
      </w:r>
      <w:r w:rsidRPr="0060169D">
        <w:t>Profitability Index (PI)</w:t>
      </w:r>
      <w:bookmarkEnd w:id="58"/>
    </w:p>
    <w:p w14:paraId="297DD51F" w14:textId="77777777" w:rsidR="001E6EA3" w:rsidRDefault="001E6EA3" w:rsidP="001E6EA3">
      <w:r w:rsidRPr="00687EE7">
        <w:lastRenderedPageBreak/>
        <w:t xml:space="preserve">Strategically, PI is useful in ranking projects where there is capital rationing, since it quantifies the highly returning projects in relation to their investment cost. Project C would be prioritised in this case after Project B, and Project A. This supports the regular ranking pattern of various evaluation approaches and allows concluding that Project C is the most financially appealing one in a limited situation (Siziba </w:t>
      </w:r>
      <w:r>
        <w:t>et al.</w:t>
      </w:r>
      <w:r w:rsidRPr="00687EE7">
        <w:t>, 2021).</w:t>
      </w:r>
    </w:p>
    <w:p w14:paraId="5B65C101" w14:textId="77777777" w:rsidR="001E6EA3" w:rsidRDefault="001E6EA3" w:rsidP="001E6EA3"/>
    <w:p w14:paraId="69AA2CC9" w14:textId="77777777" w:rsidR="001E6EA3" w:rsidRPr="001A55D8" w:rsidRDefault="001E6EA3" w:rsidP="001E6EA3">
      <w:pPr>
        <w:pStyle w:val="Heading2"/>
      </w:pPr>
      <w:bookmarkStart w:id="59" w:name="_Toc227947998"/>
      <w:r w:rsidRPr="001A55D8">
        <w:t>4.5 Internal Rate of Return (IRR)</w:t>
      </w:r>
      <w:bookmarkEnd w:id="59"/>
    </w:p>
    <w:p w14:paraId="40850AAA" w14:textId="77777777" w:rsidR="001E6EA3" w:rsidRDefault="001E6EA3" w:rsidP="001E6EA3">
      <w:r w:rsidRPr="008C1592">
        <w:t>The Internal Rate of Return (IRR) is the discount rate that sets the NPV to zero, and offers a percentage return as a measure of investment value. Once again, Project C performs better with an IRR of 8.59%, versus 3.26% for Project B and 2.72% for Project A (Shou, 2022). While none of the projects generate a return more than the required return of 10%, Project C has the highest return closest to this minimum threshold and should be considered to be relatively attractive.</w:t>
      </w:r>
    </w:p>
    <w:tbl>
      <w:tblPr>
        <w:tblStyle w:val="TableGrid"/>
        <w:tblW w:w="5000" w:type="pct"/>
        <w:tblLook w:val="04A0" w:firstRow="1" w:lastRow="0" w:firstColumn="1" w:lastColumn="0" w:noHBand="0" w:noVBand="1"/>
      </w:tblPr>
      <w:tblGrid>
        <w:gridCol w:w="5075"/>
        <w:gridCol w:w="4275"/>
      </w:tblGrid>
      <w:tr w:rsidR="001E6EA3" w:rsidRPr="00BC767A" w14:paraId="59250EE7" w14:textId="77777777" w:rsidTr="00494876">
        <w:tc>
          <w:tcPr>
            <w:tcW w:w="2714" w:type="pct"/>
            <w:hideMark/>
          </w:tcPr>
          <w:p w14:paraId="4AF6E7F6" w14:textId="77777777" w:rsidR="001E6EA3" w:rsidRPr="00BC767A" w:rsidRDefault="001E6EA3" w:rsidP="00494876">
            <w:pPr>
              <w:spacing w:after="160"/>
              <w:rPr>
                <w:b/>
                <w:bCs/>
              </w:rPr>
            </w:pPr>
            <w:r w:rsidRPr="00BC767A">
              <w:rPr>
                <w:b/>
                <w:bCs/>
              </w:rPr>
              <w:t>Project</w:t>
            </w:r>
          </w:p>
        </w:tc>
        <w:tc>
          <w:tcPr>
            <w:tcW w:w="2286" w:type="pct"/>
            <w:hideMark/>
          </w:tcPr>
          <w:p w14:paraId="7D2D97CA" w14:textId="77777777" w:rsidR="001E6EA3" w:rsidRPr="00BC767A" w:rsidRDefault="001E6EA3" w:rsidP="00494876">
            <w:pPr>
              <w:spacing w:after="160"/>
              <w:rPr>
                <w:b/>
                <w:bCs/>
              </w:rPr>
            </w:pPr>
            <w:r w:rsidRPr="00BC767A">
              <w:rPr>
                <w:b/>
                <w:bCs/>
              </w:rPr>
              <w:t>IRR (%)</w:t>
            </w:r>
          </w:p>
        </w:tc>
      </w:tr>
      <w:tr w:rsidR="001E6EA3" w:rsidRPr="00BC767A" w14:paraId="5CEA88B7" w14:textId="77777777" w:rsidTr="00494876">
        <w:tc>
          <w:tcPr>
            <w:tcW w:w="2714" w:type="pct"/>
            <w:hideMark/>
          </w:tcPr>
          <w:p w14:paraId="7DB98AC2" w14:textId="77777777" w:rsidR="001E6EA3" w:rsidRPr="00BC767A" w:rsidRDefault="001E6EA3" w:rsidP="00494876">
            <w:pPr>
              <w:spacing w:after="160"/>
            </w:pPr>
            <w:r w:rsidRPr="00BC767A">
              <w:rPr>
                <w:b/>
                <w:bCs/>
              </w:rPr>
              <w:t>Project A</w:t>
            </w:r>
          </w:p>
        </w:tc>
        <w:tc>
          <w:tcPr>
            <w:tcW w:w="2286" w:type="pct"/>
            <w:hideMark/>
          </w:tcPr>
          <w:p w14:paraId="520D2252" w14:textId="77777777" w:rsidR="001E6EA3" w:rsidRPr="00BC767A" w:rsidRDefault="001E6EA3" w:rsidP="00494876">
            <w:pPr>
              <w:spacing w:after="160"/>
            </w:pPr>
            <w:r w:rsidRPr="00BC767A">
              <w:rPr>
                <w:b/>
                <w:bCs/>
              </w:rPr>
              <w:t>2.72%</w:t>
            </w:r>
          </w:p>
        </w:tc>
      </w:tr>
      <w:tr w:rsidR="001E6EA3" w:rsidRPr="00BC767A" w14:paraId="58B8D5C1" w14:textId="77777777" w:rsidTr="00494876">
        <w:tc>
          <w:tcPr>
            <w:tcW w:w="2714" w:type="pct"/>
            <w:hideMark/>
          </w:tcPr>
          <w:p w14:paraId="2C8BC805" w14:textId="77777777" w:rsidR="001E6EA3" w:rsidRPr="00BC767A" w:rsidRDefault="001E6EA3" w:rsidP="00494876">
            <w:pPr>
              <w:spacing w:after="160"/>
            </w:pPr>
            <w:r w:rsidRPr="00BC767A">
              <w:rPr>
                <w:b/>
                <w:bCs/>
              </w:rPr>
              <w:t>Project B</w:t>
            </w:r>
          </w:p>
        </w:tc>
        <w:tc>
          <w:tcPr>
            <w:tcW w:w="2286" w:type="pct"/>
            <w:hideMark/>
          </w:tcPr>
          <w:p w14:paraId="0985451B" w14:textId="77777777" w:rsidR="001E6EA3" w:rsidRPr="00BC767A" w:rsidRDefault="001E6EA3" w:rsidP="00494876">
            <w:pPr>
              <w:spacing w:after="160"/>
            </w:pPr>
            <w:r w:rsidRPr="00BC767A">
              <w:rPr>
                <w:b/>
                <w:bCs/>
              </w:rPr>
              <w:t>3.26%</w:t>
            </w:r>
          </w:p>
        </w:tc>
      </w:tr>
      <w:tr w:rsidR="001E6EA3" w:rsidRPr="00BC767A" w14:paraId="7D7033D3" w14:textId="77777777" w:rsidTr="00494876">
        <w:tc>
          <w:tcPr>
            <w:tcW w:w="2714" w:type="pct"/>
            <w:hideMark/>
          </w:tcPr>
          <w:p w14:paraId="45ED28C0" w14:textId="77777777" w:rsidR="001E6EA3" w:rsidRPr="00BC767A" w:rsidRDefault="001E6EA3" w:rsidP="00494876">
            <w:pPr>
              <w:spacing w:after="160"/>
            </w:pPr>
            <w:r w:rsidRPr="00BC767A">
              <w:rPr>
                <w:b/>
                <w:bCs/>
              </w:rPr>
              <w:t>Project C</w:t>
            </w:r>
          </w:p>
        </w:tc>
        <w:tc>
          <w:tcPr>
            <w:tcW w:w="2286" w:type="pct"/>
            <w:hideMark/>
          </w:tcPr>
          <w:p w14:paraId="36412D36" w14:textId="77777777" w:rsidR="001E6EA3" w:rsidRPr="00BC767A" w:rsidRDefault="001E6EA3" w:rsidP="00494876">
            <w:pPr>
              <w:spacing w:after="160"/>
            </w:pPr>
            <w:r w:rsidRPr="00BC767A">
              <w:rPr>
                <w:b/>
                <w:bCs/>
              </w:rPr>
              <w:t>8.59%</w:t>
            </w:r>
          </w:p>
        </w:tc>
      </w:tr>
    </w:tbl>
    <w:p w14:paraId="5481233B" w14:textId="77777777" w:rsidR="001E6EA3" w:rsidRDefault="001E6EA3" w:rsidP="001E6EA3">
      <w:pPr>
        <w:pStyle w:val="Caption"/>
      </w:pPr>
      <w:bookmarkStart w:id="60" w:name="_Toc227927291"/>
      <w:r>
        <w:t xml:space="preserve">Table </w:t>
      </w:r>
      <w:r>
        <w:fldChar w:fldCharType="begin"/>
      </w:r>
      <w:r>
        <w:instrText xml:space="preserve"> SEQ Table \* ARABIC </w:instrText>
      </w:r>
      <w:r>
        <w:fldChar w:fldCharType="separate"/>
      </w:r>
      <w:r>
        <w:rPr>
          <w:noProof/>
        </w:rPr>
        <w:t>7</w:t>
      </w:r>
      <w:r>
        <w:rPr>
          <w:noProof/>
        </w:rPr>
        <w:fldChar w:fldCharType="end"/>
      </w:r>
      <w:r>
        <w:t xml:space="preserve">: </w:t>
      </w:r>
      <w:r w:rsidRPr="00275D1F">
        <w:t>Internal Rate of Return (IRR)</w:t>
      </w:r>
      <w:bookmarkEnd w:id="60"/>
    </w:p>
    <w:p w14:paraId="793178C1" w14:textId="77777777" w:rsidR="001E6EA3" w:rsidRDefault="001E6EA3" w:rsidP="001E6EA3">
      <w:r w:rsidRPr="00694D9A">
        <w:t>IRR is popular because of its intuitive interpretation, and comparability between projects. But can give false outcomes when the projects are of different magnitude or cash flow patterns and more so when there are non-conventional cash flows (Enyi et al., 2026). In spite of this shortcomings, IRR concurs with other evaluation tools that Project C is the best option which gives more credence to the consistency of the analysis.</w:t>
      </w:r>
    </w:p>
    <w:p w14:paraId="79F27AA6" w14:textId="77777777" w:rsidR="001E6EA3" w:rsidRPr="001A55D8" w:rsidRDefault="001E6EA3" w:rsidP="001E6EA3">
      <w:pPr>
        <w:pStyle w:val="Heading2"/>
      </w:pPr>
      <w:bookmarkStart w:id="61" w:name="_Toc227947999"/>
      <w:r w:rsidRPr="001A55D8">
        <w:t>4.6 Comparative Evaluation of Projects</w:t>
      </w:r>
      <w:bookmarkEnd w:id="61"/>
    </w:p>
    <w:p w14:paraId="665819EE" w14:textId="77777777" w:rsidR="001E6EA3" w:rsidRPr="001A55D8" w:rsidRDefault="001E6EA3" w:rsidP="001E6EA3">
      <w:r w:rsidRPr="002A3756">
        <w:t xml:space="preserve">In the overall assessment of all appraisal methods, the best ranking is that Project C is always the best investment as it has faster payback, greater profitability, better returns in ARR, PI and IRR when compared to Project B and Project A, though the NPV of Project </w:t>
      </w:r>
      <w:r w:rsidRPr="002A3756">
        <w:lastRenderedPageBreak/>
        <w:t xml:space="preserve">C is still slightly negative. Such uniformity in various measures increases the accuracy of the assessment and minimizes the uncertainty in decision-making (Patel </w:t>
      </w:r>
      <w:r>
        <w:t>et al.</w:t>
      </w:r>
      <w:r w:rsidRPr="002A3756">
        <w:t>, 2026).</w:t>
      </w:r>
    </w:p>
    <w:tbl>
      <w:tblPr>
        <w:tblStyle w:val="TableGrid"/>
        <w:tblW w:w="5000" w:type="pct"/>
        <w:tblLook w:val="04A0" w:firstRow="1" w:lastRow="0" w:firstColumn="1" w:lastColumn="0" w:noHBand="0" w:noVBand="1"/>
      </w:tblPr>
      <w:tblGrid>
        <w:gridCol w:w="1231"/>
        <w:gridCol w:w="1879"/>
        <w:gridCol w:w="1404"/>
        <w:gridCol w:w="1532"/>
        <w:gridCol w:w="817"/>
        <w:gridCol w:w="1277"/>
        <w:gridCol w:w="1210"/>
      </w:tblGrid>
      <w:tr w:rsidR="001E6EA3" w:rsidRPr="00BC767A" w14:paraId="05A4C12F" w14:textId="77777777" w:rsidTr="00494876">
        <w:tc>
          <w:tcPr>
            <w:tcW w:w="658" w:type="pct"/>
            <w:hideMark/>
          </w:tcPr>
          <w:p w14:paraId="5CE7A164" w14:textId="77777777" w:rsidR="001E6EA3" w:rsidRPr="00BC767A" w:rsidRDefault="001E6EA3" w:rsidP="00494876">
            <w:pPr>
              <w:spacing w:after="160"/>
              <w:rPr>
                <w:b/>
                <w:bCs/>
              </w:rPr>
            </w:pPr>
            <w:r w:rsidRPr="00BC767A">
              <w:rPr>
                <w:b/>
                <w:bCs/>
              </w:rPr>
              <w:t>Project</w:t>
            </w:r>
          </w:p>
        </w:tc>
        <w:tc>
          <w:tcPr>
            <w:tcW w:w="1005" w:type="pct"/>
            <w:hideMark/>
          </w:tcPr>
          <w:p w14:paraId="3D2762AE" w14:textId="77777777" w:rsidR="001E6EA3" w:rsidRPr="00BC767A" w:rsidRDefault="001E6EA3" w:rsidP="00494876">
            <w:pPr>
              <w:spacing w:after="160"/>
              <w:rPr>
                <w:b/>
                <w:bCs/>
              </w:rPr>
            </w:pPr>
            <w:r w:rsidRPr="00BC767A">
              <w:rPr>
                <w:b/>
                <w:bCs/>
              </w:rPr>
              <w:t>PBP (Years)</w:t>
            </w:r>
          </w:p>
        </w:tc>
        <w:tc>
          <w:tcPr>
            <w:tcW w:w="751" w:type="pct"/>
            <w:hideMark/>
          </w:tcPr>
          <w:p w14:paraId="2B016F86" w14:textId="77777777" w:rsidR="001E6EA3" w:rsidRPr="00BC767A" w:rsidRDefault="001E6EA3" w:rsidP="00494876">
            <w:pPr>
              <w:spacing w:after="160"/>
              <w:rPr>
                <w:b/>
                <w:bCs/>
              </w:rPr>
            </w:pPr>
            <w:r w:rsidRPr="00BC767A">
              <w:rPr>
                <w:b/>
                <w:bCs/>
              </w:rPr>
              <w:t>ARR (%)</w:t>
            </w:r>
          </w:p>
        </w:tc>
        <w:tc>
          <w:tcPr>
            <w:tcW w:w="819" w:type="pct"/>
            <w:hideMark/>
          </w:tcPr>
          <w:p w14:paraId="71203800" w14:textId="77777777" w:rsidR="001E6EA3" w:rsidRPr="00BC767A" w:rsidRDefault="001E6EA3" w:rsidP="00494876">
            <w:pPr>
              <w:spacing w:after="160"/>
              <w:rPr>
                <w:b/>
                <w:bCs/>
              </w:rPr>
            </w:pPr>
            <w:r w:rsidRPr="00BC767A">
              <w:rPr>
                <w:b/>
                <w:bCs/>
              </w:rPr>
              <w:t>NPV (£m)</w:t>
            </w:r>
          </w:p>
        </w:tc>
        <w:tc>
          <w:tcPr>
            <w:tcW w:w="437" w:type="pct"/>
            <w:hideMark/>
          </w:tcPr>
          <w:p w14:paraId="7C114D69" w14:textId="77777777" w:rsidR="001E6EA3" w:rsidRPr="00BC767A" w:rsidRDefault="001E6EA3" w:rsidP="00494876">
            <w:pPr>
              <w:spacing w:after="160"/>
              <w:rPr>
                <w:b/>
                <w:bCs/>
              </w:rPr>
            </w:pPr>
            <w:r w:rsidRPr="00BC767A">
              <w:rPr>
                <w:b/>
                <w:bCs/>
              </w:rPr>
              <w:t>PI</w:t>
            </w:r>
          </w:p>
        </w:tc>
        <w:tc>
          <w:tcPr>
            <w:tcW w:w="683" w:type="pct"/>
            <w:hideMark/>
          </w:tcPr>
          <w:p w14:paraId="3ED3A743" w14:textId="77777777" w:rsidR="001E6EA3" w:rsidRPr="00BC767A" w:rsidRDefault="001E6EA3" w:rsidP="00494876">
            <w:pPr>
              <w:spacing w:after="160"/>
              <w:rPr>
                <w:b/>
                <w:bCs/>
              </w:rPr>
            </w:pPr>
            <w:r w:rsidRPr="00BC767A">
              <w:rPr>
                <w:b/>
                <w:bCs/>
              </w:rPr>
              <w:t>IRR (%)</w:t>
            </w:r>
          </w:p>
        </w:tc>
        <w:tc>
          <w:tcPr>
            <w:tcW w:w="647" w:type="pct"/>
            <w:hideMark/>
          </w:tcPr>
          <w:p w14:paraId="58C48164" w14:textId="77777777" w:rsidR="001E6EA3" w:rsidRPr="00BC767A" w:rsidRDefault="001E6EA3" w:rsidP="00494876">
            <w:pPr>
              <w:spacing w:after="160"/>
              <w:rPr>
                <w:b/>
                <w:bCs/>
              </w:rPr>
            </w:pPr>
            <w:r w:rsidRPr="00BC767A">
              <w:rPr>
                <w:b/>
                <w:bCs/>
              </w:rPr>
              <w:t>Rank</w:t>
            </w:r>
          </w:p>
        </w:tc>
      </w:tr>
      <w:tr w:rsidR="001E6EA3" w:rsidRPr="00BC767A" w14:paraId="433B6E08" w14:textId="77777777" w:rsidTr="00494876">
        <w:tc>
          <w:tcPr>
            <w:tcW w:w="658" w:type="pct"/>
            <w:hideMark/>
          </w:tcPr>
          <w:p w14:paraId="1C93D21D" w14:textId="77777777" w:rsidR="001E6EA3" w:rsidRPr="00BC767A" w:rsidRDefault="001E6EA3" w:rsidP="00494876">
            <w:pPr>
              <w:spacing w:after="160"/>
            </w:pPr>
            <w:r w:rsidRPr="00BC767A">
              <w:rPr>
                <w:b/>
                <w:bCs/>
              </w:rPr>
              <w:t>A</w:t>
            </w:r>
          </w:p>
        </w:tc>
        <w:tc>
          <w:tcPr>
            <w:tcW w:w="1005" w:type="pct"/>
            <w:hideMark/>
          </w:tcPr>
          <w:p w14:paraId="6DF05230" w14:textId="77777777" w:rsidR="001E6EA3" w:rsidRPr="00BC767A" w:rsidRDefault="001E6EA3" w:rsidP="00494876">
            <w:pPr>
              <w:spacing w:after="160"/>
            </w:pPr>
            <w:r w:rsidRPr="00BC767A">
              <w:t>4.50</w:t>
            </w:r>
          </w:p>
        </w:tc>
        <w:tc>
          <w:tcPr>
            <w:tcW w:w="751" w:type="pct"/>
            <w:hideMark/>
          </w:tcPr>
          <w:p w14:paraId="378DE95C" w14:textId="77777777" w:rsidR="001E6EA3" w:rsidRPr="00BC767A" w:rsidRDefault="001E6EA3" w:rsidP="00494876">
            <w:pPr>
              <w:spacing w:after="160"/>
            </w:pPr>
            <w:r w:rsidRPr="00BC767A">
              <w:t>1.60%</w:t>
            </w:r>
          </w:p>
        </w:tc>
        <w:tc>
          <w:tcPr>
            <w:tcW w:w="819" w:type="pct"/>
            <w:hideMark/>
          </w:tcPr>
          <w:p w14:paraId="5A3E33E1" w14:textId="77777777" w:rsidR="001E6EA3" w:rsidRPr="00BC767A" w:rsidRDefault="001E6EA3" w:rsidP="00494876">
            <w:pPr>
              <w:spacing w:after="160"/>
            </w:pPr>
            <w:r w:rsidRPr="00BC767A">
              <w:t>-8.68</w:t>
            </w:r>
          </w:p>
        </w:tc>
        <w:tc>
          <w:tcPr>
            <w:tcW w:w="437" w:type="pct"/>
            <w:hideMark/>
          </w:tcPr>
          <w:p w14:paraId="1F592731" w14:textId="77777777" w:rsidR="001E6EA3" w:rsidRPr="00BC767A" w:rsidRDefault="001E6EA3" w:rsidP="00494876">
            <w:pPr>
              <w:spacing w:after="160"/>
            </w:pPr>
            <w:r w:rsidRPr="00BC767A">
              <w:t>0.83</w:t>
            </w:r>
          </w:p>
        </w:tc>
        <w:tc>
          <w:tcPr>
            <w:tcW w:w="683" w:type="pct"/>
            <w:hideMark/>
          </w:tcPr>
          <w:p w14:paraId="3A413E38" w14:textId="77777777" w:rsidR="001E6EA3" w:rsidRPr="00BC767A" w:rsidRDefault="001E6EA3" w:rsidP="00494876">
            <w:pPr>
              <w:spacing w:after="160"/>
            </w:pPr>
            <w:r w:rsidRPr="00BC767A">
              <w:t>2.72%</w:t>
            </w:r>
          </w:p>
        </w:tc>
        <w:tc>
          <w:tcPr>
            <w:tcW w:w="647" w:type="pct"/>
            <w:hideMark/>
          </w:tcPr>
          <w:p w14:paraId="73FCC5C1" w14:textId="77777777" w:rsidR="001E6EA3" w:rsidRPr="00BC767A" w:rsidRDefault="001E6EA3" w:rsidP="00494876">
            <w:pPr>
              <w:spacing w:after="160"/>
            </w:pPr>
            <w:r w:rsidRPr="00BC767A">
              <w:t>3rd</w:t>
            </w:r>
          </w:p>
        </w:tc>
      </w:tr>
      <w:tr w:rsidR="001E6EA3" w:rsidRPr="00BC767A" w14:paraId="29627A9C" w14:textId="77777777" w:rsidTr="00494876">
        <w:tc>
          <w:tcPr>
            <w:tcW w:w="658" w:type="pct"/>
            <w:hideMark/>
          </w:tcPr>
          <w:p w14:paraId="59F8F88E" w14:textId="77777777" w:rsidR="001E6EA3" w:rsidRPr="00BC767A" w:rsidRDefault="001E6EA3" w:rsidP="00494876">
            <w:pPr>
              <w:spacing w:after="160"/>
            </w:pPr>
            <w:r w:rsidRPr="00BC767A">
              <w:rPr>
                <w:b/>
                <w:bCs/>
              </w:rPr>
              <w:t>B</w:t>
            </w:r>
          </w:p>
        </w:tc>
        <w:tc>
          <w:tcPr>
            <w:tcW w:w="1005" w:type="pct"/>
            <w:hideMark/>
          </w:tcPr>
          <w:p w14:paraId="3F643CA6" w14:textId="77777777" w:rsidR="001E6EA3" w:rsidRPr="00BC767A" w:rsidRDefault="001E6EA3" w:rsidP="00494876">
            <w:pPr>
              <w:spacing w:after="160"/>
            </w:pPr>
            <w:r w:rsidRPr="00BC767A">
              <w:t>4.55</w:t>
            </w:r>
          </w:p>
        </w:tc>
        <w:tc>
          <w:tcPr>
            <w:tcW w:w="751" w:type="pct"/>
            <w:hideMark/>
          </w:tcPr>
          <w:p w14:paraId="037776B6" w14:textId="77777777" w:rsidR="001E6EA3" w:rsidRPr="00BC767A" w:rsidRDefault="001E6EA3" w:rsidP="00494876">
            <w:pPr>
              <w:spacing w:after="160"/>
            </w:pPr>
            <w:r w:rsidRPr="00BC767A">
              <w:t>2.00%</w:t>
            </w:r>
          </w:p>
        </w:tc>
        <w:tc>
          <w:tcPr>
            <w:tcW w:w="819" w:type="pct"/>
            <w:hideMark/>
          </w:tcPr>
          <w:p w14:paraId="1911E5C2" w14:textId="77777777" w:rsidR="001E6EA3" w:rsidRPr="00BC767A" w:rsidRDefault="001E6EA3" w:rsidP="00494876">
            <w:pPr>
              <w:spacing w:after="160"/>
            </w:pPr>
            <w:r w:rsidRPr="00BC767A">
              <w:t>-8.30</w:t>
            </w:r>
          </w:p>
        </w:tc>
        <w:tc>
          <w:tcPr>
            <w:tcW w:w="437" w:type="pct"/>
            <w:hideMark/>
          </w:tcPr>
          <w:p w14:paraId="5EA7FB72" w14:textId="77777777" w:rsidR="001E6EA3" w:rsidRPr="00BC767A" w:rsidRDefault="001E6EA3" w:rsidP="00494876">
            <w:pPr>
              <w:spacing w:after="160"/>
            </w:pPr>
            <w:r w:rsidRPr="00BC767A">
              <w:t>0.83</w:t>
            </w:r>
          </w:p>
        </w:tc>
        <w:tc>
          <w:tcPr>
            <w:tcW w:w="683" w:type="pct"/>
            <w:hideMark/>
          </w:tcPr>
          <w:p w14:paraId="6D66388D" w14:textId="77777777" w:rsidR="001E6EA3" w:rsidRPr="00BC767A" w:rsidRDefault="001E6EA3" w:rsidP="00494876">
            <w:pPr>
              <w:spacing w:after="160"/>
            </w:pPr>
            <w:r w:rsidRPr="00BC767A">
              <w:t>3.26%</w:t>
            </w:r>
          </w:p>
        </w:tc>
        <w:tc>
          <w:tcPr>
            <w:tcW w:w="647" w:type="pct"/>
            <w:hideMark/>
          </w:tcPr>
          <w:p w14:paraId="059467E5" w14:textId="77777777" w:rsidR="001E6EA3" w:rsidRPr="00BC767A" w:rsidRDefault="001E6EA3" w:rsidP="00494876">
            <w:pPr>
              <w:spacing w:after="160"/>
            </w:pPr>
            <w:r w:rsidRPr="00BC767A">
              <w:t>2nd</w:t>
            </w:r>
          </w:p>
        </w:tc>
      </w:tr>
      <w:tr w:rsidR="001E6EA3" w:rsidRPr="00BC767A" w14:paraId="72E5A5A6" w14:textId="77777777" w:rsidTr="00494876">
        <w:tc>
          <w:tcPr>
            <w:tcW w:w="658" w:type="pct"/>
            <w:hideMark/>
          </w:tcPr>
          <w:p w14:paraId="420671E9" w14:textId="77777777" w:rsidR="001E6EA3" w:rsidRPr="00BC767A" w:rsidRDefault="001E6EA3" w:rsidP="00494876">
            <w:pPr>
              <w:spacing w:after="160"/>
            </w:pPr>
            <w:r w:rsidRPr="00BC767A">
              <w:rPr>
                <w:b/>
                <w:bCs/>
              </w:rPr>
              <w:t>C</w:t>
            </w:r>
          </w:p>
        </w:tc>
        <w:tc>
          <w:tcPr>
            <w:tcW w:w="1005" w:type="pct"/>
            <w:hideMark/>
          </w:tcPr>
          <w:p w14:paraId="0C4CDD2D" w14:textId="77777777" w:rsidR="001E6EA3" w:rsidRPr="00BC767A" w:rsidRDefault="001E6EA3" w:rsidP="00494876">
            <w:pPr>
              <w:spacing w:after="160"/>
            </w:pPr>
            <w:r w:rsidRPr="00BC767A">
              <w:t>3.60</w:t>
            </w:r>
          </w:p>
        </w:tc>
        <w:tc>
          <w:tcPr>
            <w:tcW w:w="751" w:type="pct"/>
            <w:hideMark/>
          </w:tcPr>
          <w:p w14:paraId="7BCDBF8A" w14:textId="77777777" w:rsidR="001E6EA3" w:rsidRPr="00BC767A" w:rsidRDefault="001E6EA3" w:rsidP="00494876">
            <w:pPr>
              <w:spacing w:after="160"/>
            </w:pPr>
            <w:r w:rsidRPr="00BC767A">
              <w:t>6.00%</w:t>
            </w:r>
          </w:p>
        </w:tc>
        <w:tc>
          <w:tcPr>
            <w:tcW w:w="819" w:type="pct"/>
            <w:hideMark/>
          </w:tcPr>
          <w:p w14:paraId="1F3A1A2E" w14:textId="77777777" w:rsidR="001E6EA3" w:rsidRPr="00BC767A" w:rsidRDefault="001E6EA3" w:rsidP="00494876">
            <w:pPr>
              <w:spacing w:after="160"/>
            </w:pPr>
            <w:r w:rsidRPr="00BC767A">
              <w:t>-1.98</w:t>
            </w:r>
          </w:p>
        </w:tc>
        <w:tc>
          <w:tcPr>
            <w:tcW w:w="437" w:type="pct"/>
            <w:hideMark/>
          </w:tcPr>
          <w:p w14:paraId="130B12BB" w14:textId="77777777" w:rsidR="001E6EA3" w:rsidRPr="00BC767A" w:rsidRDefault="001E6EA3" w:rsidP="00494876">
            <w:pPr>
              <w:spacing w:after="160"/>
            </w:pPr>
            <w:r w:rsidRPr="00BC767A">
              <w:t>0.96</w:t>
            </w:r>
          </w:p>
        </w:tc>
        <w:tc>
          <w:tcPr>
            <w:tcW w:w="683" w:type="pct"/>
            <w:hideMark/>
          </w:tcPr>
          <w:p w14:paraId="2ADA565E" w14:textId="77777777" w:rsidR="001E6EA3" w:rsidRPr="00BC767A" w:rsidRDefault="001E6EA3" w:rsidP="00494876">
            <w:pPr>
              <w:spacing w:after="160"/>
            </w:pPr>
            <w:r w:rsidRPr="00BC767A">
              <w:t>8.59%</w:t>
            </w:r>
          </w:p>
        </w:tc>
        <w:tc>
          <w:tcPr>
            <w:tcW w:w="647" w:type="pct"/>
            <w:hideMark/>
          </w:tcPr>
          <w:p w14:paraId="1530241A" w14:textId="77777777" w:rsidR="001E6EA3" w:rsidRPr="00BC767A" w:rsidRDefault="001E6EA3" w:rsidP="00494876">
            <w:pPr>
              <w:spacing w:after="160"/>
            </w:pPr>
            <w:r w:rsidRPr="00BC767A">
              <w:t>1st</w:t>
            </w:r>
          </w:p>
        </w:tc>
      </w:tr>
    </w:tbl>
    <w:p w14:paraId="6F10D7F3" w14:textId="77777777" w:rsidR="001E6EA3" w:rsidRPr="00742DAF" w:rsidRDefault="001E6EA3" w:rsidP="001E6EA3">
      <w:pPr>
        <w:pStyle w:val="Caption"/>
      </w:pPr>
      <w:bookmarkStart w:id="62" w:name="_Toc227927292"/>
      <w:r>
        <w:t xml:space="preserve">Table </w:t>
      </w:r>
      <w:r>
        <w:fldChar w:fldCharType="begin"/>
      </w:r>
      <w:r>
        <w:instrText xml:space="preserve"> SEQ Table \* ARABIC </w:instrText>
      </w:r>
      <w:r>
        <w:fldChar w:fldCharType="separate"/>
      </w:r>
      <w:r>
        <w:rPr>
          <w:noProof/>
        </w:rPr>
        <w:t>8</w:t>
      </w:r>
      <w:r>
        <w:rPr>
          <w:noProof/>
        </w:rPr>
        <w:fldChar w:fldCharType="end"/>
      </w:r>
      <w:r>
        <w:t xml:space="preserve">: </w:t>
      </w:r>
      <w:r w:rsidRPr="00CB3484">
        <w:t>Evaluation of Projects</w:t>
      </w:r>
      <w:bookmarkEnd w:id="62"/>
    </w:p>
    <w:p w14:paraId="74396ED9" w14:textId="77777777" w:rsidR="001E6EA3" w:rsidRDefault="001E6EA3" w:rsidP="001E6EA3">
      <w:r w:rsidRPr="00154343">
        <w:t>Project B ranks in the middle on average return but lacks the growth and profitability of Project C; Project A ranks lowest due to lower returns and greater variability in cash flows. Such comparisons underline the value of employing multiple methods of capital budgeting to get a full picture of financial aspects. This integrated approach helps prevent decision making being skewed by the weaknesses of individual techniques (Karnavas, 2024).</w:t>
      </w:r>
    </w:p>
    <w:p w14:paraId="5A5E787C" w14:textId="77777777" w:rsidR="001E6EA3" w:rsidRDefault="001E6EA3" w:rsidP="001E6EA3"/>
    <w:p w14:paraId="75411E69" w14:textId="77777777" w:rsidR="001E6EA3" w:rsidRPr="001A55D8" w:rsidRDefault="001E6EA3" w:rsidP="001E6EA3">
      <w:pPr>
        <w:pStyle w:val="Heading2"/>
      </w:pPr>
      <w:bookmarkStart w:id="63" w:name="_Toc227948000"/>
      <w:r w:rsidRPr="001A55D8">
        <w:t>4.7 Capital Rationing Decision</w:t>
      </w:r>
      <w:bookmarkEnd w:id="63"/>
    </w:p>
    <w:p w14:paraId="5E389B87" w14:textId="77777777" w:rsidR="001E6EA3" w:rsidRPr="00742DAF" w:rsidRDefault="001E6EA3" w:rsidP="001E6EA3">
      <w:r w:rsidRPr="00A532EC">
        <w:t>Considering the limitation of the total investment budget which is 100 million pounds, the company needs to choose a mix of projects to help it maximise the total NPV. The combination of Projects B and C has the largest total NPV of -10.28 million, as opposed to -10.66 million of A + C and -16.98 million of A + B. B + Cs though negative minimises the loss of value and is the best allocation of scarce capital (Siziba et al., 2021).</w:t>
      </w:r>
    </w:p>
    <w:tbl>
      <w:tblPr>
        <w:tblStyle w:val="TableGrid"/>
        <w:tblW w:w="5000" w:type="pct"/>
        <w:tblLook w:val="04A0" w:firstRow="1" w:lastRow="0" w:firstColumn="1" w:lastColumn="0" w:noHBand="0" w:noVBand="1"/>
      </w:tblPr>
      <w:tblGrid>
        <w:gridCol w:w="2117"/>
        <w:gridCol w:w="3372"/>
        <w:gridCol w:w="2397"/>
        <w:gridCol w:w="1464"/>
      </w:tblGrid>
      <w:tr w:rsidR="001E6EA3" w:rsidRPr="00DD41C0" w14:paraId="6427D4E9" w14:textId="77777777" w:rsidTr="00494876">
        <w:tc>
          <w:tcPr>
            <w:tcW w:w="1132" w:type="pct"/>
            <w:hideMark/>
          </w:tcPr>
          <w:p w14:paraId="3CB36DC6" w14:textId="77777777" w:rsidR="001E6EA3" w:rsidRPr="00DD41C0" w:rsidRDefault="001E6EA3" w:rsidP="00494876">
            <w:pPr>
              <w:spacing w:after="160"/>
              <w:rPr>
                <w:b/>
                <w:bCs/>
              </w:rPr>
            </w:pPr>
            <w:r w:rsidRPr="00DD41C0">
              <w:rPr>
                <w:b/>
                <w:bCs/>
              </w:rPr>
              <w:t>Combination</w:t>
            </w:r>
          </w:p>
        </w:tc>
        <w:tc>
          <w:tcPr>
            <w:tcW w:w="1803" w:type="pct"/>
            <w:hideMark/>
          </w:tcPr>
          <w:p w14:paraId="4A8715B4" w14:textId="77777777" w:rsidR="001E6EA3" w:rsidRPr="00DD41C0" w:rsidRDefault="001E6EA3" w:rsidP="00494876">
            <w:pPr>
              <w:spacing w:after="160"/>
              <w:rPr>
                <w:b/>
                <w:bCs/>
              </w:rPr>
            </w:pPr>
            <w:r w:rsidRPr="00DD41C0">
              <w:rPr>
                <w:b/>
                <w:bCs/>
              </w:rPr>
              <w:t>Total Investment (£m)</w:t>
            </w:r>
          </w:p>
        </w:tc>
        <w:tc>
          <w:tcPr>
            <w:tcW w:w="1282" w:type="pct"/>
            <w:hideMark/>
          </w:tcPr>
          <w:p w14:paraId="3B586CE3" w14:textId="77777777" w:rsidR="001E6EA3" w:rsidRPr="00DD41C0" w:rsidRDefault="001E6EA3" w:rsidP="00494876">
            <w:pPr>
              <w:spacing w:after="160"/>
              <w:rPr>
                <w:b/>
                <w:bCs/>
              </w:rPr>
            </w:pPr>
            <w:r w:rsidRPr="00DD41C0">
              <w:rPr>
                <w:b/>
                <w:bCs/>
              </w:rPr>
              <w:t>Total NPV (£m)</w:t>
            </w:r>
          </w:p>
        </w:tc>
        <w:tc>
          <w:tcPr>
            <w:tcW w:w="783" w:type="pct"/>
            <w:hideMark/>
          </w:tcPr>
          <w:p w14:paraId="4A5619C7" w14:textId="77777777" w:rsidR="001E6EA3" w:rsidRPr="00DD41C0" w:rsidRDefault="001E6EA3" w:rsidP="00494876">
            <w:pPr>
              <w:spacing w:after="160"/>
              <w:rPr>
                <w:b/>
                <w:bCs/>
              </w:rPr>
            </w:pPr>
            <w:r w:rsidRPr="00DD41C0">
              <w:rPr>
                <w:b/>
                <w:bCs/>
              </w:rPr>
              <w:t>Ranking</w:t>
            </w:r>
          </w:p>
        </w:tc>
      </w:tr>
      <w:tr w:rsidR="001E6EA3" w:rsidRPr="00DD41C0" w14:paraId="588FB8C8" w14:textId="77777777" w:rsidTr="00494876">
        <w:tc>
          <w:tcPr>
            <w:tcW w:w="1132" w:type="pct"/>
            <w:hideMark/>
          </w:tcPr>
          <w:p w14:paraId="671FE4E1" w14:textId="77777777" w:rsidR="001E6EA3" w:rsidRPr="00DD41C0" w:rsidRDefault="001E6EA3" w:rsidP="00494876">
            <w:pPr>
              <w:spacing w:after="160"/>
            </w:pPr>
            <w:r w:rsidRPr="00DD41C0">
              <w:rPr>
                <w:b/>
                <w:bCs/>
              </w:rPr>
              <w:t>A + B</w:t>
            </w:r>
          </w:p>
        </w:tc>
        <w:tc>
          <w:tcPr>
            <w:tcW w:w="1803" w:type="pct"/>
            <w:hideMark/>
          </w:tcPr>
          <w:p w14:paraId="4D9C7DB4" w14:textId="77777777" w:rsidR="001E6EA3" w:rsidRPr="00DD41C0" w:rsidRDefault="001E6EA3" w:rsidP="00494876">
            <w:pPr>
              <w:spacing w:after="160"/>
            </w:pPr>
            <w:r w:rsidRPr="00DD41C0">
              <w:t>100</w:t>
            </w:r>
          </w:p>
        </w:tc>
        <w:tc>
          <w:tcPr>
            <w:tcW w:w="1282" w:type="pct"/>
            <w:hideMark/>
          </w:tcPr>
          <w:p w14:paraId="078F46CC" w14:textId="77777777" w:rsidR="001E6EA3" w:rsidRPr="00DD41C0" w:rsidRDefault="001E6EA3" w:rsidP="00494876">
            <w:pPr>
              <w:spacing w:after="160"/>
            </w:pPr>
            <w:r w:rsidRPr="00DD41C0">
              <w:t>-16.98</w:t>
            </w:r>
          </w:p>
        </w:tc>
        <w:tc>
          <w:tcPr>
            <w:tcW w:w="783" w:type="pct"/>
            <w:hideMark/>
          </w:tcPr>
          <w:p w14:paraId="1E9BC2DF" w14:textId="77777777" w:rsidR="001E6EA3" w:rsidRPr="00DD41C0" w:rsidRDefault="001E6EA3" w:rsidP="00494876">
            <w:pPr>
              <w:spacing w:after="160"/>
            </w:pPr>
            <w:r w:rsidRPr="00DD41C0">
              <w:t>3rd</w:t>
            </w:r>
          </w:p>
        </w:tc>
      </w:tr>
      <w:tr w:rsidR="001E6EA3" w:rsidRPr="00DD41C0" w14:paraId="14689168" w14:textId="77777777" w:rsidTr="00494876">
        <w:tc>
          <w:tcPr>
            <w:tcW w:w="1132" w:type="pct"/>
            <w:hideMark/>
          </w:tcPr>
          <w:p w14:paraId="1CB0AD58" w14:textId="77777777" w:rsidR="001E6EA3" w:rsidRPr="00DD41C0" w:rsidRDefault="001E6EA3" w:rsidP="00494876">
            <w:pPr>
              <w:spacing w:after="160"/>
            </w:pPr>
            <w:r w:rsidRPr="00DD41C0">
              <w:rPr>
                <w:b/>
                <w:bCs/>
              </w:rPr>
              <w:t>A + C</w:t>
            </w:r>
          </w:p>
        </w:tc>
        <w:tc>
          <w:tcPr>
            <w:tcW w:w="1803" w:type="pct"/>
            <w:hideMark/>
          </w:tcPr>
          <w:p w14:paraId="40F6D6E5" w14:textId="77777777" w:rsidR="001E6EA3" w:rsidRPr="00DD41C0" w:rsidRDefault="001E6EA3" w:rsidP="00494876">
            <w:pPr>
              <w:spacing w:after="160"/>
            </w:pPr>
            <w:r w:rsidRPr="00DD41C0">
              <w:t>100</w:t>
            </w:r>
          </w:p>
        </w:tc>
        <w:tc>
          <w:tcPr>
            <w:tcW w:w="1282" w:type="pct"/>
            <w:hideMark/>
          </w:tcPr>
          <w:p w14:paraId="589EE56F" w14:textId="77777777" w:rsidR="001E6EA3" w:rsidRPr="00DD41C0" w:rsidRDefault="001E6EA3" w:rsidP="00494876">
            <w:pPr>
              <w:spacing w:after="160"/>
            </w:pPr>
            <w:r w:rsidRPr="00DD41C0">
              <w:t>-10.66</w:t>
            </w:r>
          </w:p>
        </w:tc>
        <w:tc>
          <w:tcPr>
            <w:tcW w:w="783" w:type="pct"/>
            <w:hideMark/>
          </w:tcPr>
          <w:p w14:paraId="62D4AFC9" w14:textId="77777777" w:rsidR="001E6EA3" w:rsidRPr="00DD41C0" w:rsidRDefault="001E6EA3" w:rsidP="00494876">
            <w:pPr>
              <w:spacing w:after="160"/>
            </w:pPr>
            <w:r w:rsidRPr="00DD41C0">
              <w:t>2nd</w:t>
            </w:r>
          </w:p>
        </w:tc>
      </w:tr>
      <w:tr w:rsidR="001E6EA3" w:rsidRPr="00DD41C0" w14:paraId="61F256D4" w14:textId="77777777" w:rsidTr="00494876">
        <w:tc>
          <w:tcPr>
            <w:tcW w:w="1132" w:type="pct"/>
            <w:hideMark/>
          </w:tcPr>
          <w:p w14:paraId="0A9EFF07" w14:textId="77777777" w:rsidR="001E6EA3" w:rsidRPr="00DD41C0" w:rsidRDefault="001E6EA3" w:rsidP="00494876">
            <w:pPr>
              <w:spacing w:after="160"/>
            </w:pPr>
            <w:r w:rsidRPr="00DD41C0">
              <w:rPr>
                <w:b/>
                <w:bCs/>
              </w:rPr>
              <w:t>B + C</w:t>
            </w:r>
          </w:p>
        </w:tc>
        <w:tc>
          <w:tcPr>
            <w:tcW w:w="1803" w:type="pct"/>
            <w:hideMark/>
          </w:tcPr>
          <w:p w14:paraId="10AA6485" w14:textId="77777777" w:rsidR="001E6EA3" w:rsidRPr="00DD41C0" w:rsidRDefault="001E6EA3" w:rsidP="00494876">
            <w:pPr>
              <w:spacing w:after="160"/>
            </w:pPr>
            <w:r w:rsidRPr="00DD41C0">
              <w:t>100</w:t>
            </w:r>
          </w:p>
        </w:tc>
        <w:tc>
          <w:tcPr>
            <w:tcW w:w="1282" w:type="pct"/>
            <w:hideMark/>
          </w:tcPr>
          <w:p w14:paraId="73DF05E6" w14:textId="77777777" w:rsidR="001E6EA3" w:rsidRPr="00DD41C0" w:rsidRDefault="001E6EA3" w:rsidP="00494876">
            <w:pPr>
              <w:spacing w:after="160"/>
            </w:pPr>
            <w:r w:rsidRPr="00DD41C0">
              <w:rPr>
                <w:b/>
                <w:bCs/>
              </w:rPr>
              <w:t>-10.28</w:t>
            </w:r>
          </w:p>
        </w:tc>
        <w:tc>
          <w:tcPr>
            <w:tcW w:w="783" w:type="pct"/>
            <w:hideMark/>
          </w:tcPr>
          <w:p w14:paraId="4DF2429D" w14:textId="77777777" w:rsidR="001E6EA3" w:rsidRPr="00DD41C0" w:rsidRDefault="001E6EA3" w:rsidP="00494876">
            <w:pPr>
              <w:spacing w:after="160"/>
            </w:pPr>
            <w:r w:rsidRPr="00DD41C0">
              <w:t>1st</w:t>
            </w:r>
          </w:p>
        </w:tc>
      </w:tr>
    </w:tbl>
    <w:p w14:paraId="28F9DC08" w14:textId="77777777" w:rsidR="001E6EA3" w:rsidRDefault="001E6EA3" w:rsidP="001E6EA3">
      <w:pPr>
        <w:pStyle w:val="Caption"/>
      </w:pPr>
      <w:bookmarkStart w:id="64" w:name="_Toc227927293"/>
      <w:r>
        <w:t xml:space="preserve">Table </w:t>
      </w:r>
      <w:r>
        <w:fldChar w:fldCharType="begin"/>
      </w:r>
      <w:r>
        <w:instrText xml:space="preserve"> SEQ Table \* ARABIC </w:instrText>
      </w:r>
      <w:r>
        <w:fldChar w:fldCharType="separate"/>
      </w:r>
      <w:r>
        <w:rPr>
          <w:noProof/>
        </w:rPr>
        <w:t>9</w:t>
      </w:r>
      <w:r>
        <w:rPr>
          <w:noProof/>
        </w:rPr>
        <w:fldChar w:fldCharType="end"/>
      </w:r>
      <w:r>
        <w:t xml:space="preserve">: </w:t>
      </w:r>
      <w:r w:rsidRPr="00405EA7">
        <w:t>Possible Project Combinations</w:t>
      </w:r>
      <w:bookmarkEnd w:id="64"/>
    </w:p>
    <w:p w14:paraId="147AF0A8" w14:textId="77777777" w:rsidR="001E6EA3" w:rsidRDefault="001E6EA3" w:rsidP="001E6EA3">
      <w:r w:rsidRPr="00D205C7">
        <w:t xml:space="preserve">Capital rationing involves choosing projects with the highest return on investment given capital constraints instead of a single project. Projects B and C complement each other </w:t>
      </w:r>
      <w:r w:rsidRPr="00D205C7">
        <w:lastRenderedPageBreak/>
        <w:t>by offering the opportunity for growth offered by Project C, with the steady returns of Project B. This can potentially mitigate project risk and enhance financial stability in a volatile market environment (Enyi et al., 2026).</w:t>
      </w:r>
    </w:p>
    <w:p w14:paraId="4B6F1706" w14:textId="77777777" w:rsidR="001E6EA3" w:rsidRDefault="001E6EA3" w:rsidP="001E6EA3">
      <w:r w:rsidRPr="001D607E">
        <w:t>The choice of Projects B and C under capital rationing offers a balanced solution to the strategy that allows stabilizing the situation in the short term and growing in the long term. The fact that the inflows of Project B are constant and confirmable by higher but more unpredictable returns of Project C provide a more stable overall pattern of cash flow. The result of this combination is also less dependence on external financing, which is essential since the firm is experiencing a growing leverage level (Alinezhadjahromi et al., 2026).</w:t>
      </w:r>
    </w:p>
    <w:p w14:paraId="7FD331A5" w14:textId="77777777" w:rsidR="001E6EA3" w:rsidRDefault="001E6EA3" w:rsidP="001E6EA3"/>
    <w:p w14:paraId="6424796E" w14:textId="77777777" w:rsidR="001E6EA3" w:rsidRPr="00E86FBB" w:rsidRDefault="001E6EA3" w:rsidP="001E6EA3">
      <w:pPr>
        <w:pStyle w:val="Heading2"/>
      </w:pPr>
      <w:bookmarkStart w:id="65" w:name="_Toc227948001"/>
      <w:r w:rsidRPr="00E86FBB">
        <w:t>4.9 Consideration of Non-Financial Risks</w:t>
      </w:r>
      <w:bookmarkEnd w:id="65"/>
    </w:p>
    <w:p w14:paraId="66535FC7" w14:textId="77777777" w:rsidR="001E6EA3" w:rsidRDefault="001E6EA3" w:rsidP="001E6EA3">
      <w:r>
        <w:t>Besides financial indicators, non-financial risks like political ambiguity, regulatory alterations and customer preferences should also be taken into account. Government policies, subsidies and environmental regulations are very influential in the EV industry which may influence the viability of the project to a great extent. The greater the exposure of the project to the global markets, the greater other risks associated with tariffs, exchange rates, and geopolitical tensions might affect the project (Kang, 2026).</w:t>
      </w:r>
    </w:p>
    <w:p w14:paraId="0B2C3CD5" w14:textId="45B3ED48" w:rsidR="00650A83" w:rsidRDefault="001E6EA3" w:rsidP="003909AA">
      <w:r>
        <w:t>Loyalty of customers and technology are also an important ingredient in the long term success. Projects, which facilitate product differentiation, battery efficiency and sustainability programs, are more apt to create competitive advantage and sustainability in the market. As such, the current increased investment in growth cash flows as demonstrated in Project C can be strategic even over the short-term taxis and non-financial returns (Shang and Baldo, 2025).</w:t>
      </w:r>
    </w:p>
    <w:p w14:paraId="42B4567E" w14:textId="77777777" w:rsidR="003909AA" w:rsidRPr="00E86FBB" w:rsidRDefault="003909AA" w:rsidP="003909AA"/>
    <w:p w14:paraId="3B267126" w14:textId="77777777" w:rsidR="00650A83" w:rsidRPr="00E86FBB" w:rsidRDefault="00650A83" w:rsidP="00650A83">
      <w:pPr>
        <w:pStyle w:val="Heading2"/>
      </w:pPr>
      <w:bookmarkStart w:id="66" w:name="_Toc227948002"/>
      <w:r w:rsidRPr="00E86FBB">
        <w:t>4.10 Strategic Implications for Decision-Making</w:t>
      </w:r>
      <w:bookmarkEnd w:id="66"/>
    </w:p>
    <w:p w14:paraId="21EB1E87" w14:textId="77777777" w:rsidR="00136EF0" w:rsidRDefault="00136EF0" w:rsidP="00136EF0">
      <w:r>
        <w:t xml:space="preserve">The investment appraisal demonstrates the need to ensure that financial decisions are made in concert with the wider strategic goals. Although Project C is the best in terms of financial analysis, effective operational planning and risk management ought to be </w:t>
      </w:r>
      <w:r>
        <w:lastRenderedPageBreak/>
        <w:t>applied to implement it. The company should also keep track of the performance of the project and alter the investment policy based on the market situation (Endris and Babu, 2026).</w:t>
      </w:r>
    </w:p>
    <w:p w14:paraId="6CF3BAE8" w14:textId="53FEEC0C" w:rsidR="00650A83" w:rsidRPr="00E8189F" w:rsidRDefault="00136EF0" w:rsidP="00136EF0">
      <w:r>
        <w:t>Moreover, the negative NPVs indicate that the company should reevaluate its cost of capital, cash flow, or project design to make it more viable. This can be through cost cut, revenue maximization, or strategic alliances to enhance results of projects. Combining financial analysis and strategic planning, the firm will be able to make sure that investment decisions will promote long-term value creation and long-term growth (Muslim, 2025).</w:t>
      </w:r>
    </w:p>
    <w:p w14:paraId="5D56537C" w14:textId="77777777" w:rsidR="00650A83" w:rsidRDefault="00650A83" w:rsidP="00650A83">
      <w:pPr>
        <w:pStyle w:val="Heading1"/>
      </w:pPr>
      <w:bookmarkStart w:id="67" w:name="_Toc227948003"/>
      <w:r>
        <w:t>5. Conclusion</w:t>
      </w:r>
      <w:bookmarkEnd w:id="67"/>
    </w:p>
    <w:p w14:paraId="13FE547B" w14:textId="752027C6" w:rsidR="00650A83" w:rsidRDefault="00136EF0" w:rsidP="00650A83">
      <w:r w:rsidRPr="00136EF0">
        <w:t>The case study shows that BYD has achieved significant profitability and efficiency gains but also faces risks due to liquidity issues and increasing leverage. Working capital management and restructuring methods, which include equity offering and targeted divestment, must be improved to boost financial strength. Among the investment opportunities, Project C is the best as it offers higher returns and quicker payback, whereas the best combination under capital rationing is Projects B and C. In summary, BYD has significant potential for future growth, but should maintain a balance between growth and prudent financial management, while addressing risks stemming from global presence, market uncertainty and sustainability pressures.</w:t>
      </w:r>
    </w:p>
    <w:p w14:paraId="1EFBADCE" w14:textId="77777777" w:rsidR="00650A83" w:rsidRDefault="00650A83" w:rsidP="00650A83">
      <w:pPr>
        <w:pStyle w:val="Heading1"/>
      </w:pPr>
      <w:bookmarkStart w:id="68" w:name="_Toc227948004"/>
      <w:r>
        <w:t>References</w:t>
      </w:r>
      <w:bookmarkEnd w:id="68"/>
    </w:p>
    <w:p w14:paraId="38477760" w14:textId="77777777" w:rsidR="00650A83" w:rsidRDefault="00650A83" w:rsidP="00650A83">
      <w:r w:rsidRPr="00D74DD1">
        <w:t xml:space="preserve">Abdi, A.O., Kimani, E.M. and Matanda, J.W. (2026) ‘Cash flow from operating activities and financial performance of investment firms listed at Nairobi Securities Exchange in Kenya’, </w:t>
      </w:r>
      <w:r w:rsidRPr="00D74DD1">
        <w:rPr>
          <w:i/>
          <w:iCs/>
        </w:rPr>
        <w:t>International Journal of Research and Innovation in Social Science (IJRISS)</w:t>
      </w:r>
      <w:r w:rsidRPr="00D74DD1">
        <w:t xml:space="preserve">, 10(2), pp. 4140–4153. Available at: </w:t>
      </w:r>
      <w:hyperlink r:id="rId33" w:history="1">
        <w:r w:rsidRPr="00D73453">
          <w:rPr>
            <w:rStyle w:val="Hyperlink"/>
          </w:rPr>
          <w:t>https://doi.org/10.47772/IJRISS.2026.10200301</w:t>
        </w:r>
      </w:hyperlink>
    </w:p>
    <w:p w14:paraId="28BB78EA" w14:textId="77777777" w:rsidR="00650A83" w:rsidRPr="00D74DD1" w:rsidRDefault="00650A83" w:rsidP="00650A83">
      <w:r w:rsidRPr="00D74DD1">
        <w:t>Adesoye, I. and Sanusi, E. (2021) ‘The impact of ratio analysis on investment decision (2016–2020)’.</w:t>
      </w:r>
    </w:p>
    <w:p w14:paraId="3B1A7715" w14:textId="77777777" w:rsidR="00650A83" w:rsidRPr="00D74DD1" w:rsidRDefault="00650A83" w:rsidP="00650A83">
      <w:r w:rsidRPr="00D74DD1">
        <w:lastRenderedPageBreak/>
        <w:t xml:space="preserve">Adhikari, N., Sharma, R. and Panta, S.B. (2026) ‘Capital regulation-induced mergers and acquisitions: Do they improve or impede cost efficiency?’, </w:t>
      </w:r>
      <w:r w:rsidRPr="00D74DD1">
        <w:rPr>
          <w:i/>
          <w:iCs/>
        </w:rPr>
        <w:t>Cogent Business &amp; Management</w:t>
      </w:r>
      <w:r w:rsidRPr="00D74DD1">
        <w:t xml:space="preserve">, 13(1). Available at: </w:t>
      </w:r>
      <w:hyperlink r:id="rId34" w:tgtFrame="_new" w:history="1">
        <w:r w:rsidRPr="00D74DD1">
          <w:rPr>
            <w:rStyle w:val="Hyperlink"/>
          </w:rPr>
          <w:t>https://doi.org/10.1080/23311975.2026.2632804</w:t>
        </w:r>
      </w:hyperlink>
    </w:p>
    <w:p w14:paraId="015744D0" w14:textId="77777777" w:rsidR="00650A83" w:rsidRDefault="00650A83" w:rsidP="00650A83">
      <w:r w:rsidRPr="00D74DD1">
        <w:t xml:space="preserve">Aldo, M. (2022) ‘The effect of gearing, price earning ratio, interest rate, risk on abnormal return’, </w:t>
      </w:r>
      <w:r w:rsidRPr="00D74DD1">
        <w:rPr>
          <w:i/>
          <w:iCs/>
        </w:rPr>
        <w:t>Indonesian Interdisciplinary Journal of Sharia Economics (IIJSE)</w:t>
      </w:r>
      <w:r w:rsidRPr="00D74DD1">
        <w:t xml:space="preserve">, 5(2), pp. 752–768. Available at: </w:t>
      </w:r>
      <w:hyperlink r:id="rId35" w:history="1">
        <w:r w:rsidRPr="00D73453">
          <w:rPr>
            <w:rStyle w:val="Hyperlink"/>
          </w:rPr>
          <w:t>https://doi.org/10.31538/iijse.v5i2.2195</w:t>
        </w:r>
      </w:hyperlink>
    </w:p>
    <w:p w14:paraId="0BF78D6C" w14:textId="77777777" w:rsidR="00650A83" w:rsidRPr="00D74DD1" w:rsidRDefault="00650A83" w:rsidP="00650A83">
      <w:r w:rsidRPr="00D74DD1">
        <w:t>Alharbi, A.A. (</w:t>
      </w:r>
      <w:r>
        <w:t>2024</w:t>
      </w:r>
      <w:r w:rsidRPr="00D74DD1">
        <w:t xml:space="preserve">) ‘Impact of ESG on shareholders’ value creation’, </w:t>
      </w:r>
      <w:r w:rsidRPr="00D74DD1">
        <w:rPr>
          <w:i/>
          <w:iCs/>
        </w:rPr>
        <w:t>Frontiers in Sustainability</w:t>
      </w:r>
      <w:r w:rsidRPr="00D74DD1">
        <w:t>.</w:t>
      </w:r>
    </w:p>
    <w:p w14:paraId="32F92202" w14:textId="77777777" w:rsidR="00650A83" w:rsidRPr="00D74DD1" w:rsidRDefault="00650A83" w:rsidP="00650A83">
      <w:r w:rsidRPr="00D74DD1">
        <w:t xml:space="preserve">Alinezhadjahromi, M., Ajibade, T., Capraro, F. and Abiodun, O. (2026) ‘Financial ratio analysis and capital structure dynamics in a capital-intensive electric vehicle firm: Evidence from Tesla’, </w:t>
      </w:r>
      <w:r w:rsidRPr="00D74DD1">
        <w:rPr>
          <w:i/>
          <w:iCs/>
        </w:rPr>
        <w:t>International Journal of Economics Finance &amp; Management Science</w:t>
      </w:r>
      <w:r w:rsidRPr="00D74DD1">
        <w:t xml:space="preserve">, 11(3), pp. 13–30. Available at: </w:t>
      </w:r>
      <w:hyperlink r:id="rId36" w:tgtFrame="_new" w:history="1">
        <w:r w:rsidRPr="00D74DD1">
          <w:rPr>
            <w:rStyle w:val="Hyperlink"/>
          </w:rPr>
          <w:t>https://doi.org/10.55640/ijefms/Volume11Issue03-02</w:t>
        </w:r>
      </w:hyperlink>
    </w:p>
    <w:p w14:paraId="1A9A676E" w14:textId="77777777" w:rsidR="00650A83" w:rsidRDefault="00650A83" w:rsidP="00650A83">
      <w:r w:rsidRPr="00D74DD1">
        <w:t xml:space="preserve">Astuti, A.W. (2025) ‘Evaluating corporate financial performance: A profitability ratio approach’, </w:t>
      </w:r>
      <w:r w:rsidRPr="00D74DD1">
        <w:rPr>
          <w:i/>
          <w:iCs/>
        </w:rPr>
        <w:t>Jurnal Ekonomi Teknologi dan Bisnis (JETBIS)</w:t>
      </w:r>
      <w:r w:rsidRPr="00D74DD1">
        <w:t xml:space="preserve">, 4(11). Available at: </w:t>
      </w:r>
      <w:hyperlink r:id="rId37" w:history="1">
        <w:r w:rsidRPr="00D73453">
          <w:rPr>
            <w:rStyle w:val="Hyperlink"/>
          </w:rPr>
          <w:t>https://doi.org/10.57185/qs4g0w42</w:t>
        </w:r>
      </w:hyperlink>
    </w:p>
    <w:p w14:paraId="307EA7BD" w14:textId="77777777" w:rsidR="00650A83" w:rsidRDefault="00650A83" w:rsidP="00650A83">
      <w:r w:rsidRPr="00D74DD1">
        <w:t xml:space="preserve">Atik, A. (2012) ‘A strategic investment decision: “Internationalization of SMEs”: A multiple appraisal approach and illustration with a case study’, </w:t>
      </w:r>
      <w:r w:rsidRPr="00D74DD1">
        <w:rPr>
          <w:i/>
          <w:iCs/>
        </w:rPr>
        <w:t>iBusiness</w:t>
      </w:r>
      <w:r w:rsidRPr="00D74DD1">
        <w:t xml:space="preserve">, 4, pp. 146–156. Available at: </w:t>
      </w:r>
      <w:hyperlink r:id="rId38" w:history="1">
        <w:r w:rsidRPr="00D73453">
          <w:rPr>
            <w:rStyle w:val="Hyperlink"/>
          </w:rPr>
          <w:t>https://doi.org/10.4236/ib.2012.42017</w:t>
        </w:r>
      </w:hyperlink>
    </w:p>
    <w:p w14:paraId="05F5C568" w14:textId="77777777" w:rsidR="00650A83" w:rsidRDefault="00650A83" w:rsidP="00650A83">
      <w:r w:rsidRPr="00D74DD1">
        <w:t xml:space="preserve">Ayodele, A.O. and Timothy, A.S. (2026) ‘Corporate social responsibility and tax strategies: An analysis of Nigerian public companies’, </w:t>
      </w:r>
      <w:r w:rsidRPr="00D74DD1">
        <w:rPr>
          <w:i/>
          <w:iCs/>
        </w:rPr>
        <w:t>International Journal of Research and Innovation in Social Science (IJRISS)</w:t>
      </w:r>
      <w:r w:rsidRPr="00D74DD1">
        <w:t xml:space="preserve">, 10(2). Available at: </w:t>
      </w:r>
      <w:hyperlink r:id="rId39" w:history="1">
        <w:r w:rsidRPr="00D73453">
          <w:rPr>
            <w:rStyle w:val="Hyperlink"/>
          </w:rPr>
          <w:t>https://doi.org/10.47772/IJRISS.2026.10200555</w:t>
        </w:r>
      </w:hyperlink>
    </w:p>
    <w:p w14:paraId="40A2EA68" w14:textId="77777777" w:rsidR="00650A83" w:rsidRPr="00D74DD1" w:rsidRDefault="00650A83" w:rsidP="00650A83">
      <w:r w:rsidRPr="00D74DD1">
        <w:t xml:space="preserve">Baafi, J.A., Sarkodie, E.E., Duodu, J.K. and Kumah, S.P. (2024) ‘Why should we pay attention to working capital management? A case of Ghana’, </w:t>
      </w:r>
      <w:r w:rsidRPr="00D74DD1">
        <w:rPr>
          <w:i/>
          <w:iCs/>
        </w:rPr>
        <w:t>Businesses</w:t>
      </w:r>
      <w:r w:rsidRPr="00D74DD1">
        <w:t xml:space="preserve">, 4(1), pp. 78–95. Available at: </w:t>
      </w:r>
      <w:hyperlink r:id="rId40" w:tgtFrame="_new" w:history="1">
        <w:r w:rsidRPr="00D74DD1">
          <w:rPr>
            <w:rStyle w:val="Hyperlink"/>
          </w:rPr>
          <w:t>https://doi.org/10.3390/businesses4010006</w:t>
        </w:r>
      </w:hyperlink>
    </w:p>
    <w:p w14:paraId="45075BC7" w14:textId="77777777" w:rsidR="00650A83" w:rsidRDefault="00650A83" w:rsidP="00650A83">
      <w:r w:rsidRPr="00D74DD1">
        <w:lastRenderedPageBreak/>
        <w:t xml:space="preserve">Bajpai, U. and Sharma, S. (2026) ‘Strategic cash flow management: A comprehensive analysis of operational liquidity, solvency, and financial resilience in modern global enterprises’. Available at: </w:t>
      </w:r>
      <w:hyperlink r:id="rId41" w:history="1">
        <w:r w:rsidRPr="00D73453">
          <w:rPr>
            <w:rStyle w:val="Hyperlink"/>
          </w:rPr>
          <w:t>https://doi.org/10.13140/RG.2.2.18179.57125</w:t>
        </w:r>
      </w:hyperlink>
    </w:p>
    <w:p w14:paraId="4658C818" w14:textId="77777777" w:rsidR="00650A83" w:rsidRPr="00D74DD1" w:rsidRDefault="00650A83" w:rsidP="00650A83">
      <w:r w:rsidRPr="00D74DD1">
        <w:t xml:space="preserve">Chandak, S. (2017) ‘An analytical study of corporate financial restructuring of selected companies and its impact on the wealth of shareholders’, </w:t>
      </w:r>
      <w:r w:rsidRPr="00D74DD1">
        <w:rPr>
          <w:i/>
          <w:iCs/>
        </w:rPr>
        <w:t>International Research Journal of Management Science and Technology</w:t>
      </w:r>
      <w:r w:rsidRPr="00D74DD1">
        <w:t>, 8(11), pp. 187–195</w:t>
      </w:r>
    </w:p>
    <w:p w14:paraId="570122A6" w14:textId="77777777" w:rsidR="00650A83" w:rsidRPr="00D74DD1" w:rsidRDefault="00650A83" w:rsidP="00650A83">
      <w:r w:rsidRPr="00D74DD1">
        <w:t xml:space="preserve">Chen, J., Zhao, X., Niu, X., Fan, Y.H. and Taylor, G. (2020) ‘Does M&amp;A financing affect firm performance under different ownership types?’, </w:t>
      </w:r>
      <w:r w:rsidRPr="00D74DD1">
        <w:rPr>
          <w:i/>
          <w:iCs/>
        </w:rPr>
        <w:t>Sustainability</w:t>
      </w:r>
      <w:r w:rsidRPr="00D74DD1">
        <w:t xml:space="preserve">, 12(8), p. 3078. Available at: </w:t>
      </w:r>
      <w:hyperlink r:id="rId42" w:tgtFrame="_new" w:history="1">
        <w:r w:rsidRPr="00D74DD1">
          <w:rPr>
            <w:rStyle w:val="Hyperlink"/>
          </w:rPr>
          <w:t>https://doi.org/10.3390/su12083078</w:t>
        </w:r>
      </w:hyperlink>
    </w:p>
    <w:p w14:paraId="619B23A7" w14:textId="77777777" w:rsidR="00650A83" w:rsidRPr="00D74DD1" w:rsidRDefault="00650A83" w:rsidP="00650A83">
      <w:r w:rsidRPr="00D74DD1">
        <w:t xml:space="preserve">Endris, H. and Babu, B. (2026) ‘Examining financial performance of manufacturing companies: An extended DuPont analysis’, </w:t>
      </w:r>
      <w:r w:rsidRPr="00D74DD1">
        <w:rPr>
          <w:i/>
          <w:iCs/>
        </w:rPr>
        <w:t>Future Business Journal</w:t>
      </w:r>
      <w:r w:rsidRPr="00D74DD1">
        <w:t xml:space="preserve">, 12, p. 82. Available at: </w:t>
      </w:r>
      <w:hyperlink r:id="rId43" w:tgtFrame="_new" w:history="1">
        <w:r w:rsidRPr="00D74DD1">
          <w:rPr>
            <w:rStyle w:val="Hyperlink"/>
          </w:rPr>
          <w:t>https://doi.org/10.1186/s43093-026-00792-y</w:t>
        </w:r>
      </w:hyperlink>
    </w:p>
    <w:p w14:paraId="17B3A658" w14:textId="77777777" w:rsidR="00650A83" w:rsidRDefault="00650A83" w:rsidP="00650A83">
      <w:r w:rsidRPr="00D74DD1">
        <w:t xml:space="preserve">Enyi, P.E., Enyi, P.E., Nweze, O. and Oladipupo, A. (2026) ‘Working capital management and cash conversion cycle – Thinking outside the box with new insights’. Available at: </w:t>
      </w:r>
      <w:hyperlink r:id="rId44" w:history="1">
        <w:r w:rsidRPr="00D73453">
          <w:rPr>
            <w:rStyle w:val="Hyperlink"/>
          </w:rPr>
          <w:t>https://doi.org/10.31014/aior.1992.09.01.707</w:t>
        </w:r>
      </w:hyperlink>
    </w:p>
    <w:p w14:paraId="62014E4A" w14:textId="77777777" w:rsidR="00650A83" w:rsidRDefault="00650A83" w:rsidP="00650A83">
      <w:r w:rsidRPr="00D74DD1">
        <w:t xml:space="preserve">Enyi, P.E., Enyi, P.E., Oladipupo, A. and Akindehinde, A. (2026) ‘Reassessing risk integration in investment appraisal: A comparative evaluation of traditional and simplified analytical models’. Available at: </w:t>
      </w:r>
      <w:hyperlink r:id="rId45" w:history="1">
        <w:r w:rsidRPr="00D73453">
          <w:rPr>
            <w:rStyle w:val="Hyperlink"/>
          </w:rPr>
          <w:t>https://doi.org/10.13140/RG.2.2.16689.44648</w:t>
        </w:r>
      </w:hyperlink>
    </w:p>
    <w:p w14:paraId="6725624B" w14:textId="77777777" w:rsidR="00650A83" w:rsidRPr="00D74DD1" w:rsidRDefault="00650A83" w:rsidP="00650A83">
      <w:r w:rsidRPr="00D74DD1">
        <w:t>Fasua, K.O. and Sinebe, M.T. (2026) ‘Debt maturity structure and profitability transmission: Evidence from short- and long-term leverage in listed non-financial firms in Nigeria’</w:t>
      </w:r>
    </w:p>
    <w:p w14:paraId="2038C94A" w14:textId="77777777" w:rsidR="00650A83" w:rsidRPr="00D74DD1" w:rsidRDefault="00650A83" w:rsidP="00650A83">
      <w:r w:rsidRPr="00D74DD1">
        <w:t xml:space="preserve">Feldman, E.R. and McGrath, P.J. (2016) ‘Divestitures’, </w:t>
      </w:r>
      <w:r w:rsidRPr="00D74DD1">
        <w:rPr>
          <w:i/>
          <w:iCs/>
        </w:rPr>
        <w:t>Journal of Organization Design</w:t>
      </w:r>
      <w:r w:rsidRPr="00D74DD1">
        <w:t xml:space="preserve">, 5, p. 2. Available at: </w:t>
      </w:r>
      <w:hyperlink r:id="rId46" w:tgtFrame="_new" w:history="1">
        <w:r w:rsidRPr="00D74DD1">
          <w:rPr>
            <w:rStyle w:val="Hyperlink"/>
          </w:rPr>
          <w:t>https://doi.org/10.1186/s41469-016-0002-x</w:t>
        </w:r>
      </w:hyperlink>
    </w:p>
    <w:p w14:paraId="3D8EE0E4" w14:textId="77777777" w:rsidR="00650A83" w:rsidRPr="00D74DD1" w:rsidRDefault="00650A83" w:rsidP="00650A83">
      <w:r w:rsidRPr="00D74DD1">
        <w:t xml:space="preserve">Feng, N. and Xu, R. (2026) ‘Optimal dividend and capital injection strategies with exit options in jump-diffusion models’, </w:t>
      </w:r>
      <w:r w:rsidRPr="00D74DD1">
        <w:rPr>
          <w:i/>
          <w:iCs/>
        </w:rPr>
        <w:t>Mathematics</w:t>
      </w:r>
      <w:r w:rsidRPr="00D74DD1">
        <w:t xml:space="preserve">, 14(3), p. 447. Available at: </w:t>
      </w:r>
      <w:hyperlink r:id="rId47" w:tgtFrame="_new" w:history="1">
        <w:r w:rsidRPr="00D74DD1">
          <w:rPr>
            <w:rStyle w:val="Hyperlink"/>
          </w:rPr>
          <w:t>https://doi.org/10.3390/math14030447</w:t>
        </w:r>
      </w:hyperlink>
    </w:p>
    <w:p w14:paraId="2D566FD5" w14:textId="77777777" w:rsidR="00650A83" w:rsidRDefault="00650A83" w:rsidP="00650A83">
      <w:r w:rsidRPr="00D74DD1">
        <w:lastRenderedPageBreak/>
        <w:t xml:space="preserve">Gandhi, J. (2025) ‘Comparison of short-term financing options: Factoring as the best alternative’, </w:t>
      </w:r>
      <w:r w:rsidRPr="00D74DD1">
        <w:rPr>
          <w:i/>
          <w:iCs/>
        </w:rPr>
        <w:t>Journal of Information Systems Engineering &amp; Management</w:t>
      </w:r>
      <w:r w:rsidRPr="00D74DD1">
        <w:t xml:space="preserve">, 10(40s), pp. 166–175. Available at: </w:t>
      </w:r>
      <w:hyperlink r:id="rId48" w:history="1">
        <w:r w:rsidRPr="00D73453">
          <w:rPr>
            <w:rStyle w:val="Hyperlink"/>
          </w:rPr>
          <w:t>https://doi.org/10.52783/jisem.v10i40s.7261</w:t>
        </w:r>
      </w:hyperlink>
    </w:p>
    <w:p w14:paraId="680D1285" w14:textId="77777777" w:rsidR="00650A83" w:rsidRDefault="00650A83" w:rsidP="00650A83">
      <w:r w:rsidRPr="00D74DD1">
        <w:t xml:space="preserve">Gibbs, A., Byun, H. and Lim, K. (2026) ‘Build, borrow, buy … or bail: Divestiture following merger and acquisition deal termination’, </w:t>
      </w:r>
      <w:r w:rsidRPr="00D74DD1">
        <w:rPr>
          <w:i/>
          <w:iCs/>
        </w:rPr>
        <w:t>Strategy Science</w:t>
      </w:r>
      <w:r w:rsidRPr="00D74DD1">
        <w:t xml:space="preserve">. Available at: </w:t>
      </w:r>
      <w:hyperlink r:id="rId49" w:history="1">
        <w:r w:rsidRPr="00D73453">
          <w:rPr>
            <w:rStyle w:val="Hyperlink"/>
          </w:rPr>
          <w:t>https://doi.org/10.1287/stsc.2024.0320</w:t>
        </w:r>
      </w:hyperlink>
    </w:p>
    <w:p w14:paraId="588C77D8" w14:textId="77777777" w:rsidR="00650A83" w:rsidRDefault="00650A83" w:rsidP="00650A83">
      <w:r w:rsidRPr="00D74DD1">
        <w:t xml:space="preserve">Hemavathy, V. (2026) ‘An analytical study of working capital management and its effect on liquidity and profitability with special reference to LNV Technology Pvt. Ltd., Chennai’, </w:t>
      </w:r>
      <w:r w:rsidRPr="00D74DD1">
        <w:rPr>
          <w:i/>
          <w:iCs/>
        </w:rPr>
        <w:t>International Journal of Creative and Open Research in Engineering and Management</w:t>
      </w:r>
      <w:r w:rsidRPr="00D74DD1">
        <w:t xml:space="preserve">, 2(3), pp. 1–8. Available at: </w:t>
      </w:r>
      <w:hyperlink r:id="rId50" w:history="1">
        <w:r w:rsidRPr="00D73453">
          <w:rPr>
            <w:rStyle w:val="Hyperlink"/>
          </w:rPr>
          <w:t>https://doi.org/10.55041/ijcope.v2i3.160</w:t>
        </w:r>
      </w:hyperlink>
    </w:p>
    <w:p w14:paraId="1FDE7928" w14:textId="77777777" w:rsidR="00650A83" w:rsidRDefault="00650A83" w:rsidP="00650A83">
      <w:r w:rsidRPr="00D74DD1">
        <w:t xml:space="preserve">Huynh Thị Hien, Thanh, L.-V., Phi, S.-N. and Le, T.A. (2025) ‘Bibliometric analysis of corporate social responsibility and tax avoidance’, </w:t>
      </w:r>
      <w:r w:rsidRPr="00D74DD1">
        <w:rPr>
          <w:i/>
          <w:iCs/>
        </w:rPr>
        <w:t>Discover Sustainability</w:t>
      </w:r>
      <w:r w:rsidRPr="00D74DD1">
        <w:t xml:space="preserve">, 7(1). Available at: </w:t>
      </w:r>
      <w:hyperlink r:id="rId51" w:history="1">
        <w:r w:rsidRPr="00D73453">
          <w:rPr>
            <w:rStyle w:val="Hyperlink"/>
          </w:rPr>
          <w:t>https://doi.org/10.1007/s43621-025-02420-1</w:t>
        </w:r>
      </w:hyperlink>
    </w:p>
    <w:p w14:paraId="34DAA549" w14:textId="77777777" w:rsidR="00650A83" w:rsidRDefault="00650A83" w:rsidP="00650A83">
      <w:r w:rsidRPr="00D74DD1">
        <w:t xml:space="preserve">Kang, J. (2026) ‘Currency-risk management of multinational enterprises in hyperinflationary economies and the institutional-substitute potential of device-bound tokens’, </w:t>
      </w:r>
      <w:r w:rsidRPr="00D74DD1">
        <w:rPr>
          <w:i/>
          <w:iCs/>
        </w:rPr>
        <w:t>Advances in Economics Management and Political Sciences</w:t>
      </w:r>
      <w:r w:rsidRPr="00D74DD1">
        <w:t xml:space="preserve">, 264(1), pp. 36–41. Available at: </w:t>
      </w:r>
      <w:hyperlink r:id="rId52" w:history="1">
        <w:r w:rsidRPr="00D73453">
          <w:rPr>
            <w:rStyle w:val="Hyperlink"/>
          </w:rPr>
          <w:t>https://doi.org/10.54254/2754-1169/2026.BJ32296</w:t>
        </w:r>
      </w:hyperlink>
    </w:p>
    <w:p w14:paraId="4303AC5F" w14:textId="77777777" w:rsidR="00650A83" w:rsidRDefault="00650A83" w:rsidP="00650A83">
      <w:r w:rsidRPr="00D74DD1">
        <w:t xml:space="preserve">Karnavas, C. (2024) ‘A new approach of investment project appraisal under risk and uncertainty’, </w:t>
      </w:r>
      <w:r w:rsidRPr="00D74DD1">
        <w:rPr>
          <w:i/>
          <w:iCs/>
        </w:rPr>
        <w:t>Economics and Business Journal (ECBIS)</w:t>
      </w:r>
      <w:r w:rsidRPr="00D74DD1">
        <w:t xml:space="preserve">, 2(3), pp. 217–240. Available at: </w:t>
      </w:r>
      <w:hyperlink r:id="rId53" w:history="1">
        <w:r w:rsidRPr="00D73453">
          <w:rPr>
            <w:rStyle w:val="Hyperlink"/>
          </w:rPr>
          <w:t>https://doi.org/10.47353/ecbis.v2i3.121</w:t>
        </w:r>
      </w:hyperlink>
    </w:p>
    <w:p w14:paraId="7EF8A3F5" w14:textId="77777777" w:rsidR="00650A83" w:rsidRPr="00D74DD1" w:rsidRDefault="00650A83" w:rsidP="00650A83">
      <w:r w:rsidRPr="00D74DD1">
        <w:t xml:space="preserve">Kyalo, R.M., Otieno, B. and Monari, D. (2025) ‘Strategic restructuring and performance of state corporations in energy sector in Kenya’, </w:t>
      </w:r>
      <w:r w:rsidRPr="00D74DD1">
        <w:rPr>
          <w:i/>
          <w:iCs/>
        </w:rPr>
        <w:t>The Strategic Journal of Business &amp; Change Management</w:t>
      </w:r>
      <w:r w:rsidRPr="00D74DD1">
        <w:t>, 12(4), pp. 352–369</w:t>
      </w:r>
    </w:p>
    <w:p w14:paraId="23B6D9FA" w14:textId="77777777" w:rsidR="00650A83" w:rsidRPr="00D74DD1" w:rsidRDefault="00650A83" w:rsidP="00650A83">
      <w:r w:rsidRPr="00D74DD1">
        <w:t xml:space="preserve">Laitinen, E. (2018) ‘Financial reporting: Long-term change of financial ratios’, </w:t>
      </w:r>
      <w:r w:rsidRPr="00D74DD1">
        <w:rPr>
          <w:i/>
          <w:iCs/>
        </w:rPr>
        <w:t>American Journal of Industrial and Business Management</w:t>
      </w:r>
      <w:r w:rsidRPr="00D74DD1">
        <w:t xml:space="preserve">, 8, pp. 1893–1927. Available at: </w:t>
      </w:r>
      <w:hyperlink r:id="rId54" w:tgtFrame="_new" w:history="1">
        <w:r w:rsidRPr="00D74DD1">
          <w:rPr>
            <w:rStyle w:val="Hyperlink"/>
          </w:rPr>
          <w:t>https://doi.org/10.4236/ajibm.2018.89128</w:t>
        </w:r>
      </w:hyperlink>
    </w:p>
    <w:p w14:paraId="38D51BEB" w14:textId="77777777" w:rsidR="00650A83" w:rsidRPr="00D74DD1" w:rsidRDefault="00650A83" w:rsidP="00650A83">
      <w:r w:rsidRPr="00D74DD1">
        <w:lastRenderedPageBreak/>
        <w:t xml:space="preserve">Levický, M., Košařová, J., Papcunová, V. and Kiselicová, R. (2026) ‘The effect of working capital management on firm financial performance’, </w:t>
      </w:r>
      <w:r w:rsidRPr="00D74DD1">
        <w:rPr>
          <w:i/>
          <w:iCs/>
        </w:rPr>
        <w:t>Cogent Economics &amp; Finance</w:t>
      </w:r>
      <w:r w:rsidRPr="00D74DD1">
        <w:t xml:space="preserve">, 14(1). Available at: </w:t>
      </w:r>
      <w:hyperlink r:id="rId55" w:tgtFrame="_new" w:history="1">
        <w:r w:rsidRPr="00D74DD1">
          <w:rPr>
            <w:rStyle w:val="Hyperlink"/>
          </w:rPr>
          <w:t>https://doi.org/10.1080/23322039.2026.2626087</w:t>
        </w:r>
      </w:hyperlink>
    </w:p>
    <w:p w14:paraId="629CE6E0" w14:textId="77777777" w:rsidR="00650A83" w:rsidRDefault="00650A83" w:rsidP="00650A83">
      <w:r w:rsidRPr="00D74DD1">
        <w:t xml:space="preserve">Mathews, M., Krishnan, V. and Malek, B.A. (2025) ‘The relationship between gearing ratio and return on equity (ROE) ratio to earnings per share (EPS)’, </w:t>
      </w:r>
      <w:r w:rsidRPr="00D74DD1">
        <w:rPr>
          <w:i/>
          <w:iCs/>
        </w:rPr>
        <w:t>Journal of Infrastructure Policy and Development</w:t>
      </w:r>
      <w:r w:rsidRPr="00D74DD1">
        <w:t xml:space="preserve">, 9(2), p. 10071. Available at: </w:t>
      </w:r>
      <w:hyperlink r:id="rId56" w:history="1">
        <w:r w:rsidRPr="00D73453">
          <w:rPr>
            <w:rStyle w:val="Hyperlink"/>
          </w:rPr>
          <w:t>https://doi.org/10.24294/jipd10071</w:t>
        </w:r>
      </w:hyperlink>
    </w:p>
    <w:p w14:paraId="38521DC8" w14:textId="77777777" w:rsidR="00650A83" w:rsidRPr="00D74DD1" w:rsidRDefault="00650A83" w:rsidP="00650A83">
      <w:r w:rsidRPr="00D74DD1">
        <w:t xml:space="preserve">McGrath, P.J. and O’Neill, H.M. (2026) ‘Release, retain, and reimagine: Lessons in corporate restructuring from spin-off firms’, </w:t>
      </w:r>
      <w:r w:rsidRPr="00D74DD1">
        <w:rPr>
          <w:i/>
          <w:iCs/>
        </w:rPr>
        <w:t>Business Horizons</w:t>
      </w:r>
      <w:r w:rsidRPr="00D74DD1">
        <w:t xml:space="preserve">, 69(2), pp. 161–177. Available at: </w:t>
      </w:r>
      <w:hyperlink r:id="rId57" w:tgtFrame="_new" w:history="1">
        <w:r w:rsidRPr="00D74DD1">
          <w:rPr>
            <w:rStyle w:val="Hyperlink"/>
          </w:rPr>
          <w:t>https://doi.org/10.1016/j.bushor.2025.10.005</w:t>
        </w:r>
      </w:hyperlink>
    </w:p>
    <w:p w14:paraId="414D458B" w14:textId="77777777" w:rsidR="00650A83" w:rsidRDefault="00650A83" w:rsidP="00650A83">
      <w:r w:rsidRPr="00D74DD1">
        <w:t xml:space="preserve">Muslim, M. (2025) ‘The dilemma between shareholder value and long-term business sustainability’, </w:t>
      </w:r>
      <w:r w:rsidRPr="00D74DD1">
        <w:rPr>
          <w:i/>
          <w:iCs/>
        </w:rPr>
        <w:t>Advances in Management &amp; Financial Reporting</w:t>
      </w:r>
      <w:r w:rsidRPr="00D74DD1">
        <w:t xml:space="preserve">, 3(1), pp. 15–29. Available at: </w:t>
      </w:r>
      <w:hyperlink r:id="rId58" w:history="1">
        <w:r w:rsidRPr="00D73453">
          <w:rPr>
            <w:rStyle w:val="Hyperlink"/>
          </w:rPr>
          <w:t>https://doi.org/10.60079/amfr.v3i1.427</w:t>
        </w:r>
      </w:hyperlink>
    </w:p>
    <w:p w14:paraId="4C71AEB3" w14:textId="77777777" w:rsidR="00650A83" w:rsidRDefault="00650A83" w:rsidP="00650A83">
      <w:r w:rsidRPr="00D74DD1">
        <w:t xml:space="preserve">Nguyen Thi, C., Khuc, A. and Tran, K.B.N. (2025) ‘Corporate distress and financial restructuring decisions in different stages of life cycle’, </w:t>
      </w:r>
      <w:r w:rsidRPr="00D74DD1">
        <w:rPr>
          <w:i/>
          <w:iCs/>
        </w:rPr>
        <w:t>Journal of Economics and Development</w:t>
      </w:r>
      <w:r w:rsidRPr="00D74DD1">
        <w:t xml:space="preserve">, 27(3), pp. 264–276. Available at: </w:t>
      </w:r>
      <w:hyperlink r:id="rId59" w:history="1">
        <w:r w:rsidRPr="00D73453">
          <w:rPr>
            <w:rStyle w:val="Hyperlink"/>
          </w:rPr>
          <w:t>https://doi.org/10.1108/JED-08-2024-0281</w:t>
        </w:r>
      </w:hyperlink>
    </w:p>
    <w:p w14:paraId="4047F4A0" w14:textId="77777777" w:rsidR="00650A83" w:rsidRDefault="00650A83" w:rsidP="00650A83">
      <w:r w:rsidRPr="00D74DD1">
        <w:t xml:space="preserve">Patel, R. and Kumar, S. (2026) ‘A study on using ratio analysis to evaluate a company’s performance’, </w:t>
      </w:r>
      <w:r w:rsidRPr="00D74DD1">
        <w:rPr>
          <w:i/>
          <w:iCs/>
        </w:rPr>
        <w:t>International Journal of Research &amp; Technology</w:t>
      </w:r>
      <w:r w:rsidRPr="00D74DD1">
        <w:t xml:space="preserve">, 14(S1), pp. 562–568. Available at: </w:t>
      </w:r>
      <w:hyperlink r:id="rId60" w:history="1">
        <w:r w:rsidRPr="00D73453">
          <w:rPr>
            <w:rStyle w:val="Hyperlink"/>
          </w:rPr>
          <w:t>https://doi.org/10.64882/ijrt.v14.iS1.1061</w:t>
        </w:r>
      </w:hyperlink>
    </w:p>
    <w:p w14:paraId="238071AC" w14:textId="77777777" w:rsidR="00650A83" w:rsidRPr="00D74DD1" w:rsidRDefault="00650A83" w:rsidP="00650A83">
      <w:r w:rsidRPr="00D74DD1">
        <w:t xml:space="preserve">Peng, Y., Zhang, Q., Yan, H., Lei, X. and Ma, S. (2025) ‘Short-term relief or long-term risk? The impact of financial asset allocation on corporate risk in China’s construction and manufacturing firms’, </w:t>
      </w:r>
      <w:r w:rsidRPr="00D74DD1">
        <w:rPr>
          <w:i/>
          <w:iCs/>
        </w:rPr>
        <w:t>Journal of Asian Architecture and Building Engineering</w:t>
      </w:r>
      <w:r w:rsidRPr="00D74DD1">
        <w:t xml:space="preserve">. Available at: </w:t>
      </w:r>
      <w:hyperlink r:id="rId61" w:tgtFrame="_new" w:history="1">
        <w:r w:rsidRPr="00D74DD1">
          <w:rPr>
            <w:rStyle w:val="Hyperlink"/>
          </w:rPr>
          <w:t>https://doi.org/10.1080/13467581.2025.2527978</w:t>
        </w:r>
      </w:hyperlink>
    </w:p>
    <w:p w14:paraId="11959B45" w14:textId="77777777" w:rsidR="00650A83" w:rsidRPr="00D74DD1" w:rsidRDefault="00650A83" w:rsidP="00650A83">
      <w:r w:rsidRPr="00D74DD1">
        <w:t xml:space="preserve">Phavithra, S. and Kamalasaravanan, S. (2025) ‘Study on financial performance analysis of select EV manufacturing companies in India’, </w:t>
      </w:r>
      <w:r w:rsidRPr="00D74DD1">
        <w:rPr>
          <w:i/>
          <w:iCs/>
        </w:rPr>
        <w:t>International Journal for Multidisciplinary Research</w:t>
      </w:r>
      <w:r w:rsidRPr="00D74DD1">
        <w:t xml:space="preserve">, 7(3). Available at: </w:t>
      </w:r>
      <w:hyperlink r:id="rId62" w:tgtFrame="_new" w:history="1">
        <w:r w:rsidRPr="00D74DD1">
          <w:rPr>
            <w:rStyle w:val="Hyperlink"/>
          </w:rPr>
          <w:t>https://doi.org/10.36948/ijfmr.2025.v07i03.45596</w:t>
        </w:r>
      </w:hyperlink>
    </w:p>
    <w:p w14:paraId="337259FE" w14:textId="77777777" w:rsidR="00650A83" w:rsidRDefault="00650A83" w:rsidP="00650A83">
      <w:r w:rsidRPr="00D74DD1">
        <w:lastRenderedPageBreak/>
        <w:t xml:space="preserve">Rochmayasari, Y. (2022) ‘Corporate social responsibility, firm size, inflation, interest rate, and exchange rate on stock returns’, </w:t>
      </w:r>
      <w:r w:rsidRPr="00D74DD1">
        <w:rPr>
          <w:i/>
          <w:iCs/>
        </w:rPr>
        <w:t>Research Horizon</w:t>
      </w:r>
      <w:r w:rsidRPr="00D74DD1">
        <w:t xml:space="preserve">, 2(2), pp. 345–362. Available at: </w:t>
      </w:r>
      <w:hyperlink r:id="rId63" w:history="1">
        <w:r w:rsidRPr="00D73453">
          <w:rPr>
            <w:rStyle w:val="Hyperlink"/>
          </w:rPr>
          <w:t>https://doi.org/10.54518/rh.2.2.2022.345-362</w:t>
        </w:r>
      </w:hyperlink>
    </w:p>
    <w:p w14:paraId="44F33A64" w14:textId="77777777" w:rsidR="00650A83" w:rsidRPr="00D74DD1" w:rsidRDefault="00650A83" w:rsidP="00650A83">
      <w:r w:rsidRPr="00D74DD1">
        <w:t xml:space="preserve">Rosario, S. and Mavuri, S. (2026) ‘From risk to returns: An analysis of asset quality, financial ratios, and market valuation in Indian banks’, </w:t>
      </w:r>
      <w:r w:rsidRPr="00D74DD1">
        <w:rPr>
          <w:i/>
          <w:iCs/>
        </w:rPr>
        <w:t>Risks</w:t>
      </w:r>
      <w:r w:rsidRPr="00D74DD1">
        <w:t xml:space="preserve">, 14(1), p. 16. Available at: </w:t>
      </w:r>
      <w:hyperlink r:id="rId64" w:tgtFrame="_new" w:history="1">
        <w:r w:rsidRPr="00D74DD1">
          <w:rPr>
            <w:rStyle w:val="Hyperlink"/>
          </w:rPr>
          <w:t>https://doi.org/10.3390/risks14010016</w:t>
        </w:r>
      </w:hyperlink>
    </w:p>
    <w:p w14:paraId="4213F55B" w14:textId="77777777" w:rsidR="00650A83" w:rsidRDefault="00650A83" w:rsidP="00650A83">
      <w:r w:rsidRPr="00D74DD1">
        <w:t xml:space="preserve">Shang, M. and Baldo, N.C. (2025) ‘Profitability and market competitiveness of the electric vehicles Geely Auto’, </w:t>
      </w:r>
      <w:r w:rsidRPr="00D74DD1">
        <w:rPr>
          <w:i/>
          <w:iCs/>
        </w:rPr>
        <w:t>International Journal of Global Economics and Management</w:t>
      </w:r>
      <w:r w:rsidRPr="00D74DD1">
        <w:t xml:space="preserve">, 7(3), pp. 204–207. Available at: </w:t>
      </w:r>
      <w:hyperlink r:id="rId65" w:history="1">
        <w:r w:rsidRPr="00D73453">
          <w:rPr>
            <w:rStyle w:val="Hyperlink"/>
          </w:rPr>
          <w:t>https://doi.org/10.62051/ijgem.v7n3.22</w:t>
        </w:r>
      </w:hyperlink>
    </w:p>
    <w:p w14:paraId="12B87489" w14:textId="77777777" w:rsidR="00650A83" w:rsidRPr="00D74DD1" w:rsidRDefault="00650A83" w:rsidP="00650A83">
      <w:r w:rsidRPr="00D74DD1">
        <w:t xml:space="preserve">Shou, T. (2022) ‘A literature review on the net present value (NPV) valuation method’, in </w:t>
      </w:r>
      <w:r w:rsidRPr="00D74DD1">
        <w:rPr>
          <w:i/>
          <w:iCs/>
        </w:rPr>
        <w:t>Proceedings of the 2nd International Conference on Enterprise Management and Economic Development (ICEMED 2022)</w:t>
      </w:r>
      <w:r w:rsidRPr="00D74DD1">
        <w:t xml:space="preserve">. Available at: </w:t>
      </w:r>
      <w:hyperlink r:id="rId66" w:tgtFrame="_new" w:history="1">
        <w:r w:rsidRPr="00D74DD1">
          <w:rPr>
            <w:rStyle w:val="Hyperlink"/>
          </w:rPr>
          <w:t>https://doi.org/10.2991/aebmr.k.220603.135</w:t>
        </w:r>
      </w:hyperlink>
    </w:p>
    <w:p w14:paraId="495B6264" w14:textId="77777777" w:rsidR="00650A83" w:rsidRPr="00D74DD1" w:rsidRDefault="00650A83" w:rsidP="00650A83">
      <w:r w:rsidRPr="00D74DD1">
        <w:t xml:space="preserve">Siziba, S. and Hall, J.H. (2021) ‘The evolution of the application of capital budgeting techniques in enterprises’, </w:t>
      </w:r>
      <w:r w:rsidRPr="00D74DD1">
        <w:rPr>
          <w:i/>
          <w:iCs/>
        </w:rPr>
        <w:t>Global Finance Journal</w:t>
      </w:r>
      <w:r w:rsidRPr="00D74DD1">
        <w:t>, 47</w:t>
      </w:r>
    </w:p>
    <w:p w14:paraId="51DA8020" w14:textId="77777777" w:rsidR="00650A83" w:rsidRPr="00D74DD1" w:rsidRDefault="00650A83" w:rsidP="00650A83">
      <w:r w:rsidRPr="00D74DD1">
        <w:t xml:space="preserve">Stavropoulos, A.-S. and Zounta, S. (2025) ‘Cash conversion cycle and profitability: Evidence from Greek service firms’, </w:t>
      </w:r>
      <w:r w:rsidRPr="00D74DD1">
        <w:rPr>
          <w:i/>
          <w:iCs/>
        </w:rPr>
        <w:t>Journal of Risk and Financial Management</w:t>
      </w:r>
      <w:r w:rsidRPr="00D74DD1">
        <w:t xml:space="preserve">, 18(4), p. 208. Available at: </w:t>
      </w:r>
      <w:hyperlink r:id="rId67" w:tgtFrame="_new" w:history="1">
        <w:r w:rsidRPr="00D74DD1">
          <w:rPr>
            <w:rStyle w:val="Hyperlink"/>
          </w:rPr>
          <w:t>https://doi.org/10.3390/jrfm18040208</w:t>
        </w:r>
      </w:hyperlink>
    </w:p>
    <w:p w14:paraId="467237BF" w14:textId="77777777" w:rsidR="00650A83" w:rsidRPr="00D74DD1" w:rsidRDefault="00650A83" w:rsidP="00650A83">
      <w:r w:rsidRPr="00D74DD1">
        <w:t xml:space="preserve">Taware, E.R. and Temgire, V.D. (2026) ‘An analytical study of financial performance of Bajaj Finserv Limited using key financial ratios’, </w:t>
      </w:r>
      <w:r w:rsidRPr="00D74DD1">
        <w:rPr>
          <w:i/>
          <w:iCs/>
        </w:rPr>
        <w:t>International Journal for Multidisciplinary Research</w:t>
      </w:r>
      <w:r w:rsidRPr="00D74DD1">
        <w:t>, 8(2)</w:t>
      </w:r>
    </w:p>
    <w:p w14:paraId="26D17859" w14:textId="77777777" w:rsidR="00650A83" w:rsidRPr="00D74DD1" w:rsidRDefault="00650A83" w:rsidP="00650A83">
      <w:r w:rsidRPr="00D74DD1">
        <w:t xml:space="preserve">Tulung, J.E., Sondakh, J.J., Wangke, S.J.C. and Posumah, R.F.K. (2024) ‘Effects of capital ratio, quality of receivables, liquidity, and gearing ratio on profitability’, </w:t>
      </w:r>
      <w:r w:rsidRPr="00D74DD1">
        <w:rPr>
          <w:i/>
          <w:iCs/>
        </w:rPr>
        <w:t>Journal of Governance &amp; Regulation</w:t>
      </w:r>
      <w:r w:rsidRPr="00D74DD1">
        <w:t xml:space="preserve">, 13(3), pp. 46–56. Available at: </w:t>
      </w:r>
      <w:hyperlink r:id="rId68" w:tgtFrame="_new" w:history="1">
        <w:r w:rsidRPr="00D74DD1">
          <w:rPr>
            <w:rStyle w:val="Hyperlink"/>
          </w:rPr>
          <w:t>https://doi.org/10.22495/jgrv13i3art4</w:t>
        </w:r>
      </w:hyperlink>
    </w:p>
    <w:p w14:paraId="4D02BFA1" w14:textId="77777777" w:rsidR="00650A83" w:rsidRPr="00D74DD1" w:rsidRDefault="00650A83" w:rsidP="00650A83">
      <w:r w:rsidRPr="00D74DD1">
        <w:t xml:space="preserve">Valiña-Sotelo, J.L. and Iglesias, E.M. (2026) ‘Working capital management and firm performance in the G-7 and E-7 countries during extreme events such as COVID-19’, </w:t>
      </w:r>
      <w:r w:rsidRPr="00D74DD1">
        <w:rPr>
          <w:i/>
          <w:iCs/>
        </w:rPr>
        <w:t>Asia-Pacific Financial Markets</w:t>
      </w:r>
      <w:r w:rsidRPr="00D74DD1">
        <w:t xml:space="preserve">. Available at: </w:t>
      </w:r>
      <w:hyperlink r:id="rId69" w:tgtFrame="_new" w:history="1">
        <w:r w:rsidRPr="00D74DD1">
          <w:rPr>
            <w:rStyle w:val="Hyperlink"/>
          </w:rPr>
          <w:t>https://doi.org/10.1007/s10690-026-09597-z</w:t>
        </w:r>
      </w:hyperlink>
    </w:p>
    <w:p w14:paraId="7D7E6065" w14:textId="77777777" w:rsidR="00650A83" w:rsidRDefault="00650A83" w:rsidP="00650A83">
      <w:r w:rsidRPr="00D74DD1">
        <w:lastRenderedPageBreak/>
        <w:t xml:space="preserve">Vladyka, Y. (2026) ‘Risk-oriented mechanisms for financial restructuring of credit debt of enterprises-clients of banking institutions’, </w:t>
      </w:r>
      <w:r w:rsidRPr="00D74DD1">
        <w:rPr>
          <w:i/>
          <w:iCs/>
        </w:rPr>
        <w:t>Economics Finances Law</w:t>
      </w:r>
      <w:r w:rsidRPr="00D74DD1">
        <w:t xml:space="preserve">. Available at: </w:t>
      </w:r>
      <w:hyperlink r:id="rId70" w:history="1">
        <w:r w:rsidRPr="00D73453">
          <w:rPr>
            <w:rStyle w:val="Hyperlink"/>
          </w:rPr>
          <w:t>https://doi.org/10.37634/efp.2026.1.5</w:t>
        </w:r>
      </w:hyperlink>
    </w:p>
    <w:p w14:paraId="74450BE2" w14:textId="77777777" w:rsidR="00650A83" w:rsidRDefault="00650A83" w:rsidP="00650A83">
      <w:r w:rsidRPr="00D74DD1">
        <w:t xml:space="preserve">Wangdi, S., Paul, R. and Roy, D. (2024) ‘Strategic growth via mergers &amp; acquisitions: An empirical study of post-acquisition performance’, </w:t>
      </w:r>
      <w:r w:rsidRPr="00D74DD1">
        <w:rPr>
          <w:i/>
          <w:iCs/>
        </w:rPr>
        <w:t>Indian Journal of Finance</w:t>
      </w:r>
      <w:r w:rsidRPr="00D74DD1">
        <w:t xml:space="preserve">, 18(11), pp. 56–70. Available at: </w:t>
      </w:r>
      <w:hyperlink r:id="rId71" w:history="1">
        <w:r w:rsidRPr="00D73453">
          <w:rPr>
            <w:rStyle w:val="Hyperlink"/>
          </w:rPr>
          <w:t>https://doi.org/10.17010/ijf/2024/v18i11/174642</w:t>
        </w:r>
      </w:hyperlink>
    </w:p>
    <w:p w14:paraId="17E5CD6C" w14:textId="77777777" w:rsidR="00650A83" w:rsidRPr="00D74DD1" w:rsidRDefault="00650A83" w:rsidP="00650A83"/>
    <w:p w14:paraId="6606667F" w14:textId="77777777" w:rsidR="00650A83" w:rsidRDefault="00650A83" w:rsidP="00650A83"/>
    <w:p w14:paraId="1E97142B" w14:textId="77777777" w:rsidR="00650A83" w:rsidRDefault="00650A83" w:rsidP="00650A83"/>
    <w:p w14:paraId="24ED7D08" w14:textId="77777777" w:rsidR="00650A83" w:rsidRDefault="00650A83" w:rsidP="00650A83"/>
    <w:p w14:paraId="45E2535A" w14:textId="77777777" w:rsidR="00650A83" w:rsidRDefault="00650A83" w:rsidP="00650A83"/>
    <w:p w14:paraId="16A48D6C" w14:textId="77777777" w:rsidR="00650A83" w:rsidRDefault="00650A83" w:rsidP="00650A83"/>
    <w:p w14:paraId="41D22706" w14:textId="77777777" w:rsidR="00650A83" w:rsidRDefault="00650A83" w:rsidP="00650A83"/>
    <w:p w14:paraId="362FF343" w14:textId="77777777" w:rsidR="00650A83" w:rsidRDefault="00650A83" w:rsidP="00650A83"/>
    <w:p w14:paraId="68942243" w14:textId="77777777" w:rsidR="00650A83" w:rsidRDefault="00650A83" w:rsidP="00650A83"/>
    <w:p w14:paraId="15F344C7" w14:textId="77777777" w:rsidR="00650A83" w:rsidRDefault="00650A83" w:rsidP="00650A83"/>
    <w:p w14:paraId="30A23101" w14:textId="77777777" w:rsidR="00650A83" w:rsidRDefault="00650A83" w:rsidP="00650A83"/>
    <w:p w14:paraId="593EBB5E" w14:textId="77777777" w:rsidR="00650A83" w:rsidRDefault="00650A83" w:rsidP="00650A83"/>
    <w:p w14:paraId="56A6F457" w14:textId="77777777" w:rsidR="00650A83" w:rsidRDefault="00650A83" w:rsidP="00650A83"/>
    <w:p w14:paraId="6560AA3C" w14:textId="77777777" w:rsidR="00A217A1" w:rsidRDefault="00A217A1" w:rsidP="00650A83"/>
    <w:p w14:paraId="5DF89CB9" w14:textId="77777777" w:rsidR="00650A83" w:rsidRDefault="00650A83" w:rsidP="00650A83"/>
    <w:p w14:paraId="38218855" w14:textId="77777777" w:rsidR="00650A83" w:rsidRDefault="00650A83" w:rsidP="00650A83">
      <w:pPr>
        <w:pStyle w:val="Heading1"/>
      </w:pPr>
      <w:bookmarkStart w:id="69" w:name="_Toc227948005"/>
      <w:r w:rsidRPr="008E7995">
        <w:lastRenderedPageBreak/>
        <w:t>Appendices</w:t>
      </w:r>
      <w:bookmarkEnd w:id="69"/>
    </w:p>
    <w:p w14:paraId="7977EA69" w14:textId="77777777" w:rsidR="00650A83" w:rsidRDefault="00650A83" w:rsidP="00650A83">
      <w:pPr>
        <w:pStyle w:val="Heading2"/>
      </w:pPr>
      <w:bookmarkStart w:id="70" w:name="_Toc227948006"/>
      <w:r>
        <w:t>Excel sheet</w:t>
      </w:r>
      <w:bookmarkEnd w:id="70"/>
    </w:p>
    <w:p w14:paraId="0868AD91" w14:textId="64AA62F4" w:rsidR="00650A83" w:rsidRDefault="0025780D" w:rsidP="00650A83">
      <w:r>
        <w:object w:dxaOrig="1532" w:dyaOrig="991" w14:anchorId="4E6DC8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8pt" o:ole="">
            <v:imagedata r:id="rId72" o:title=""/>
          </v:shape>
          <o:OLEObject Type="Embed" ProgID="Excel.Sheet.12" ShapeID="_x0000_i1025" DrawAspect="Icon" ObjectID="_1838560702" r:id="rId73"/>
        </w:object>
      </w:r>
    </w:p>
    <w:p w14:paraId="32D74B0D" w14:textId="77777777" w:rsidR="00650A83" w:rsidRPr="00F524FB" w:rsidRDefault="00650A83" w:rsidP="00650A83"/>
    <w:p w14:paraId="0866EE1E" w14:textId="77777777" w:rsidR="00650A83" w:rsidRDefault="00650A83" w:rsidP="00650A83">
      <w:pPr>
        <w:pStyle w:val="Heading2"/>
      </w:pPr>
      <w:bookmarkStart w:id="71" w:name="_Toc227948007"/>
      <w:r w:rsidRPr="008E7995">
        <w:t>Ratio Analysis</w:t>
      </w:r>
      <w:bookmarkEnd w:id="71"/>
      <w:r w:rsidRPr="008E7995">
        <w:t xml:space="preserve"> </w:t>
      </w:r>
    </w:p>
    <w:p w14:paraId="6FC9B7CF" w14:textId="77777777" w:rsidR="00650A83" w:rsidRDefault="00650A83" w:rsidP="00650A83">
      <w:r w:rsidRPr="00FF05EF">
        <w:t>Profitability</w:t>
      </w:r>
    </w:p>
    <w:tbl>
      <w:tblPr>
        <w:tblW w:w="5000" w:type="pct"/>
        <w:tblLook w:val="04A0" w:firstRow="1" w:lastRow="0" w:firstColumn="1" w:lastColumn="0" w:noHBand="0" w:noVBand="1"/>
      </w:tblPr>
      <w:tblGrid>
        <w:gridCol w:w="4334"/>
        <w:gridCol w:w="962"/>
        <w:gridCol w:w="962"/>
        <w:gridCol w:w="961"/>
        <w:gridCol w:w="961"/>
        <w:gridCol w:w="961"/>
        <w:gridCol w:w="219"/>
      </w:tblGrid>
      <w:tr w:rsidR="00650A83" w:rsidRPr="00E9094B" w14:paraId="38C1D5BA" w14:textId="77777777" w:rsidTr="00494876">
        <w:trPr>
          <w:gridAfter w:val="1"/>
          <w:wAfter w:w="70" w:type="pct"/>
          <w:trHeight w:val="480"/>
        </w:trPr>
        <w:tc>
          <w:tcPr>
            <w:tcW w:w="4930" w:type="pct"/>
            <w:gridSpan w:val="6"/>
            <w:vMerge w:val="restart"/>
            <w:tcBorders>
              <w:top w:val="nil"/>
              <w:left w:val="nil"/>
              <w:bottom w:val="nil"/>
              <w:right w:val="nil"/>
            </w:tcBorders>
            <w:shd w:val="clear" w:color="000000" w:fill="275317"/>
            <w:noWrap/>
            <w:vAlign w:val="center"/>
            <w:hideMark/>
          </w:tcPr>
          <w:p w14:paraId="289D61E8" w14:textId="77777777" w:rsidR="00650A83" w:rsidRPr="00E9094B" w:rsidRDefault="00650A83" w:rsidP="00494876">
            <w:pPr>
              <w:spacing w:after="0" w:line="240" w:lineRule="auto"/>
              <w:jc w:val="center"/>
              <w:rPr>
                <w:rFonts w:eastAsia="Times New Roman" w:cs="Arial"/>
                <w:b/>
                <w:bCs/>
                <w:color w:val="FFFFFF"/>
                <w:kern w:val="0"/>
                <w:sz w:val="36"/>
                <w:szCs w:val="36"/>
                <w14:ligatures w14:val="none"/>
              </w:rPr>
            </w:pPr>
            <w:r w:rsidRPr="00E9094B">
              <w:rPr>
                <w:rFonts w:eastAsia="Times New Roman" w:cs="Arial"/>
                <w:b/>
                <w:bCs/>
                <w:color w:val="FFFFFF"/>
                <w:kern w:val="0"/>
                <w:sz w:val="36"/>
                <w:szCs w:val="36"/>
                <w14:ligatures w14:val="none"/>
              </w:rPr>
              <w:t>BYD Profitability</w:t>
            </w:r>
          </w:p>
        </w:tc>
      </w:tr>
      <w:tr w:rsidR="00650A83" w:rsidRPr="00E9094B" w14:paraId="063D2CAF" w14:textId="77777777" w:rsidTr="00494876">
        <w:trPr>
          <w:trHeight w:val="300"/>
        </w:trPr>
        <w:tc>
          <w:tcPr>
            <w:tcW w:w="4930" w:type="pct"/>
            <w:gridSpan w:val="6"/>
            <w:vMerge/>
            <w:tcBorders>
              <w:top w:val="nil"/>
              <w:left w:val="nil"/>
              <w:bottom w:val="nil"/>
              <w:right w:val="nil"/>
            </w:tcBorders>
            <w:vAlign w:val="center"/>
            <w:hideMark/>
          </w:tcPr>
          <w:p w14:paraId="7F310F3E" w14:textId="77777777" w:rsidR="00650A83" w:rsidRPr="00E9094B" w:rsidRDefault="00650A83" w:rsidP="00494876">
            <w:pPr>
              <w:spacing w:after="0" w:line="240" w:lineRule="auto"/>
              <w:jc w:val="left"/>
              <w:rPr>
                <w:rFonts w:eastAsia="Times New Roman" w:cs="Arial"/>
                <w:b/>
                <w:bCs/>
                <w:color w:val="FFFFFF"/>
                <w:kern w:val="0"/>
                <w:sz w:val="36"/>
                <w:szCs w:val="36"/>
                <w14:ligatures w14:val="none"/>
              </w:rPr>
            </w:pPr>
          </w:p>
        </w:tc>
        <w:tc>
          <w:tcPr>
            <w:tcW w:w="70" w:type="pct"/>
            <w:tcBorders>
              <w:top w:val="nil"/>
              <w:left w:val="nil"/>
              <w:bottom w:val="nil"/>
              <w:right w:val="nil"/>
            </w:tcBorders>
            <w:noWrap/>
            <w:vAlign w:val="bottom"/>
            <w:hideMark/>
          </w:tcPr>
          <w:p w14:paraId="1822B317" w14:textId="77777777" w:rsidR="00650A83" w:rsidRPr="00E9094B" w:rsidRDefault="00650A83" w:rsidP="00494876">
            <w:pPr>
              <w:spacing w:after="0" w:line="240" w:lineRule="auto"/>
              <w:jc w:val="center"/>
              <w:rPr>
                <w:rFonts w:eastAsia="Times New Roman" w:cs="Arial"/>
                <w:b/>
                <w:bCs/>
                <w:color w:val="FFFFFF"/>
                <w:kern w:val="0"/>
                <w:sz w:val="36"/>
                <w:szCs w:val="36"/>
                <w14:ligatures w14:val="none"/>
              </w:rPr>
            </w:pPr>
          </w:p>
        </w:tc>
      </w:tr>
      <w:tr w:rsidR="00650A83" w:rsidRPr="00E9094B" w14:paraId="295BE36E" w14:textId="77777777" w:rsidTr="00494876">
        <w:trPr>
          <w:trHeight w:val="315"/>
        </w:trPr>
        <w:tc>
          <w:tcPr>
            <w:tcW w:w="493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73E7F94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Gross Profit Margin</w:t>
            </w:r>
          </w:p>
        </w:tc>
        <w:tc>
          <w:tcPr>
            <w:tcW w:w="70" w:type="pct"/>
            <w:vAlign w:val="center"/>
            <w:hideMark/>
          </w:tcPr>
          <w:p w14:paraId="25542D55"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697702C"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4530CCB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7C2AC64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100548F2"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35CC136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711125B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90" w:type="pct"/>
            <w:tcBorders>
              <w:top w:val="nil"/>
              <w:left w:val="nil"/>
              <w:bottom w:val="single" w:sz="4" w:space="0" w:color="auto"/>
              <w:right w:val="single" w:sz="4" w:space="0" w:color="auto"/>
            </w:tcBorders>
            <w:noWrap/>
            <w:vAlign w:val="bottom"/>
            <w:hideMark/>
          </w:tcPr>
          <w:p w14:paraId="39DFD7E2"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0" w:type="pct"/>
            <w:vAlign w:val="center"/>
            <w:hideMark/>
          </w:tcPr>
          <w:p w14:paraId="5B69D82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30ADB71"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AB70D71"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90" w:type="pct"/>
            <w:tcBorders>
              <w:top w:val="nil"/>
              <w:left w:val="nil"/>
              <w:bottom w:val="single" w:sz="4" w:space="0" w:color="auto"/>
              <w:right w:val="single" w:sz="4" w:space="0" w:color="auto"/>
            </w:tcBorders>
            <w:noWrap/>
            <w:vAlign w:val="bottom"/>
            <w:hideMark/>
          </w:tcPr>
          <w:p w14:paraId="5B8B9080"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90" w:type="pct"/>
            <w:tcBorders>
              <w:top w:val="nil"/>
              <w:left w:val="nil"/>
              <w:bottom w:val="single" w:sz="4" w:space="0" w:color="auto"/>
              <w:right w:val="single" w:sz="4" w:space="0" w:color="auto"/>
            </w:tcBorders>
            <w:noWrap/>
            <w:vAlign w:val="bottom"/>
            <w:hideMark/>
          </w:tcPr>
          <w:p w14:paraId="1433606F"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90" w:type="pct"/>
            <w:tcBorders>
              <w:top w:val="nil"/>
              <w:left w:val="nil"/>
              <w:bottom w:val="single" w:sz="4" w:space="0" w:color="auto"/>
              <w:right w:val="single" w:sz="4" w:space="0" w:color="auto"/>
            </w:tcBorders>
            <w:noWrap/>
            <w:vAlign w:val="bottom"/>
            <w:hideMark/>
          </w:tcPr>
          <w:p w14:paraId="12074550"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602,315,354</w:t>
            </w:r>
          </w:p>
        </w:tc>
        <w:tc>
          <w:tcPr>
            <w:tcW w:w="490" w:type="pct"/>
            <w:tcBorders>
              <w:top w:val="nil"/>
              <w:left w:val="nil"/>
              <w:bottom w:val="single" w:sz="4" w:space="0" w:color="auto"/>
              <w:right w:val="single" w:sz="4" w:space="0" w:color="auto"/>
            </w:tcBorders>
            <w:noWrap/>
            <w:vAlign w:val="bottom"/>
            <w:hideMark/>
          </w:tcPr>
          <w:p w14:paraId="3BFAD060"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777,102,455</w:t>
            </w:r>
          </w:p>
        </w:tc>
        <w:tc>
          <w:tcPr>
            <w:tcW w:w="490" w:type="pct"/>
            <w:tcBorders>
              <w:top w:val="nil"/>
              <w:left w:val="nil"/>
              <w:bottom w:val="single" w:sz="4" w:space="0" w:color="auto"/>
              <w:right w:val="single" w:sz="4" w:space="0" w:color="auto"/>
            </w:tcBorders>
            <w:noWrap/>
            <w:vAlign w:val="bottom"/>
            <w:hideMark/>
          </w:tcPr>
          <w:p w14:paraId="2018C333"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803,964,958</w:t>
            </w:r>
          </w:p>
        </w:tc>
        <w:tc>
          <w:tcPr>
            <w:tcW w:w="70" w:type="pct"/>
            <w:vAlign w:val="center"/>
            <w:hideMark/>
          </w:tcPr>
          <w:p w14:paraId="71054A93"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0662F67"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02916994"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Operating Costs (RMB’000)</w:t>
            </w:r>
          </w:p>
        </w:tc>
        <w:tc>
          <w:tcPr>
            <w:tcW w:w="490" w:type="pct"/>
            <w:tcBorders>
              <w:top w:val="nil"/>
              <w:left w:val="nil"/>
              <w:bottom w:val="single" w:sz="4" w:space="0" w:color="auto"/>
              <w:right w:val="single" w:sz="4" w:space="0" w:color="auto"/>
            </w:tcBorders>
            <w:noWrap/>
            <w:vAlign w:val="bottom"/>
            <w:hideMark/>
          </w:tcPr>
          <w:p w14:paraId="1F8BF90E"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187,667,357</w:t>
            </w:r>
          </w:p>
        </w:tc>
        <w:tc>
          <w:tcPr>
            <w:tcW w:w="490" w:type="pct"/>
            <w:tcBorders>
              <w:top w:val="nil"/>
              <w:left w:val="nil"/>
              <w:bottom w:val="single" w:sz="4" w:space="0" w:color="auto"/>
              <w:right w:val="single" w:sz="4" w:space="0" w:color="auto"/>
            </w:tcBorders>
            <w:noWrap/>
            <w:vAlign w:val="bottom"/>
            <w:hideMark/>
          </w:tcPr>
          <w:p w14:paraId="57DE60F5"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351,815,680</w:t>
            </w:r>
          </w:p>
        </w:tc>
        <w:tc>
          <w:tcPr>
            <w:tcW w:w="490" w:type="pct"/>
            <w:tcBorders>
              <w:top w:val="nil"/>
              <w:left w:val="nil"/>
              <w:bottom w:val="single" w:sz="4" w:space="0" w:color="auto"/>
              <w:right w:val="single" w:sz="4" w:space="0" w:color="auto"/>
            </w:tcBorders>
            <w:noWrap/>
            <w:vAlign w:val="bottom"/>
            <w:hideMark/>
          </w:tcPr>
          <w:p w14:paraId="093A83CE"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480,558,350</w:t>
            </w:r>
          </w:p>
        </w:tc>
        <w:tc>
          <w:tcPr>
            <w:tcW w:w="490" w:type="pct"/>
            <w:tcBorders>
              <w:top w:val="nil"/>
              <w:left w:val="nil"/>
              <w:bottom w:val="single" w:sz="4" w:space="0" w:color="auto"/>
              <w:right w:val="single" w:sz="4" w:space="0" w:color="auto"/>
            </w:tcBorders>
            <w:noWrap/>
            <w:vAlign w:val="bottom"/>
            <w:hideMark/>
          </w:tcPr>
          <w:p w14:paraId="24DF1F6C"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626,046,616</w:t>
            </w:r>
          </w:p>
        </w:tc>
        <w:tc>
          <w:tcPr>
            <w:tcW w:w="490" w:type="pct"/>
            <w:tcBorders>
              <w:top w:val="nil"/>
              <w:left w:val="nil"/>
              <w:bottom w:val="single" w:sz="4" w:space="0" w:color="auto"/>
              <w:right w:val="single" w:sz="4" w:space="0" w:color="auto"/>
            </w:tcBorders>
            <w:noWrap/>
            <w:vAlign w:val="bottom"/>
            <w:hideMark/>
          </w:tcPr>
          <w:p w14:paraId="1EC544CF" w14:textId="77777777" w:rsidR="00650A83" w:rsidRPr="00E9094B" w:rsidRDefault="00650A83" w:rsidP="00494876">
            <w:pPr>
              <w:spacing w:after="0" w:line="240" w:lineRule="auto"/>
              <w:jc w:val="center"/>
              <w:rPr>
                <w:rFonts w:eastAsia="Times New Roman" w:cs="Arial"/>
                <w:color w:val="000000"/>
                <w:kern w:val="0"/>
                <w14:ligatures w14:val="none"/>
              </w:rPr>
            </w:pPr>
            <w:r w:rsidRPr="00E9094B">
              <w:rPr>
                <w:rFonts w:eastAsia="Times New Roman" w:cs="Arial"/>
                <w:color w:val="000000"/>
                <w:kern w:val="0"/>
                <w14:ligatures w14:val="none"/>
              </w:rPr>
              <w:t>661,305,161</w:t>
            </w:r>
          </w:p>
        </w:tc>
        <w:tc>
          <w:tcPr>
            <w:tcW w:w="70" w:type="pct"/>
            <w:vAlign w:val="center"/>
            <w:hideMark/>
          </w:tcPr>
          <w:p w14:paraId="10ED731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BEBD370"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6B352C4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Gross Profit = Revenue – Operating Costs</w:t>
            </w:r>
          </w:p>
        </w:tc>
        <w:tc>
          <w:tcPr>
            <w:tcW w:w="490" w:type="pct"/>
            <w:tcBorders>
              <w:top w:val="nil"/>
              <w:left w:val="nil"/>
              <w:bottom w:val="single" w:sz="4" w:space="0" w:color="auto"/>
              <w:right w:val="single" w:sz="4" w:space="0" w:color="auto"/>
            </w:tcBorders>
            <w:noWrap/>
            <w:vAlign w:val="bottom"/>
            <w:hideMark/>
          </w:tcPr>
          <w:p w14:paraId="71F1746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23,632,561</w:t>
            </w:r>
          </w:p>
        </w:tc>
        <w:tc>
          <w:tcPr>
            <w:tcW w:w="490" w:type="pct"/>
            <w:tcBorders>
              <w:top w:val="nil"/>
              <w:left w:val="nil"/>
              <w:bottom w:val="single" w:sz="4" w:space="0" w:color="auto"/>
              <w:right w:val="single" w:sz="4" w:space="0" w:color="auto"/>
            </w:tcBorders>
            <w:noWrap/>
            <w:vAlign w:val="bottom"/>
            <w:hideMark/>
          </w:tcPr>
          <w:p w14:paraId="570C0B0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72,244,955</w:t>
            </w:r>
          </w:p>
        </w:tc>
        <w:tc>
          <w:tcPr>
            <w:tcW w:w="490" w:type="pct"/>
            <w:tcBorders>
              <w:top w:val="nil"/>
              <w:left w:val="nil"/>
              <w:bottom w:val="single" w:sz="4" w:space="0" w:color="auto"/>
              <w:right w:val="single" w:sz="4" w:space="0" w:color="auto"/>
            </w:tcBorders>
            <w:noWrap/>
            <w:vAlign w:val="bottom"/>
            <w:hideMark/>
          </w:tcPr>
          <w:p w14:paraId="0410FE5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121,757,004</w:t>
            </w:r>
          </w:p>
        </w:tc>
        <w:tc>
          <w:tcPr>
            <w:tcW w:w="490" w:type="pct"/>
            <w:tcBorders>
              <w:top w:val="nil"/>
              <w:left w:val="nil"/>
              <w:bottom w:val="single" w:sz="4" w:space="0" w:color="auto"/>
              <w:right w:val="single" w:sz="4" w:space="0" w:color="auto"/>
            </w:tcBorders>
            <w:noWrap/>
            <w:vAlign w:val="bottom"/>
            <w:hideMark/>
          </w:tcPr>
          <w:p w14:paraId="1AFB0D4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151,055,839</w:t>
            </w:r>
          </w:p>
        </w:tc>
        <w:tc>
          <w:tcPr>
            <w:tcW w:w="490" w:type="pct"/>
            <w:tcBorders>
              <w:top w:val="nil"/>
              <w:left w:val="nil"/>
              <w:bottom w:val="single" w:sz="4" w:space="0" w:color="auto"/>
              <w:right w:val="single" w:sz="4" w:space="0" w:color="auto"/>
            </w:tcBorders>
            <w:noWrap/>
            <w:vAlign w:val="bottom"/>
            <w:hideMark/>
          </w:tcPr>
          <w:p w14:paraId="2C3A22C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142,659,797</w:t>
            </w:r>
          </w:p>
        </w:tc>
        <w:tc>
          <w:tcPr>
            <w:tcW w:w="70" w:type="pct"/>
            <w:vAlign w:val="center"/>
            <w:hideMark/>
          </w:tcPr>
          <w:p w14:paraId="4D561EE3"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D73A5EA"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211B5BE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90" w:type="pct"/>
            <w:tcBorders>
              <w:top w:val="nil"/>
              <w:left w:val="nil"/>
              <w:bottom w:val="single" w:sz="4" w:space="0" w:color="auto"/>
              <w:right w:val="single" w:sz="4" w:space="0" w:color="auto"/>
            </w:tcBorders>
            <w:noWrap/>
            <w:vAlign w:val="bottom"/>
            <w:hideMark/>
          </w:tcPr>
          <w:p w14:paraId="31A0D20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90" w:type="pct"/>
            <w:tcBorders>
              <w:top w:val="nil"/>
              <w:left w:val="nil"/>
              <w:bottom w:val="single" w:sz="4" w:space="0" w:color="auto"/>
              <w:right w:val="single" w:sz="4" w:space="0" w:color="auto"/>
            </w:tcBorders>
            <w:noWrap/>
            <w:vAlign w:val="bottom"/>
            <w:hideMark/>
          </w:tcPr>
          <w:p w14:paraId="01A64A1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90" w:type="pct"/>
            <w:tcBorders>
              <w:top w:val="nil"/>
              <w:left w:val="nil"/>
              <w:bottom w:val="single" w:sz="4" w:space="0" w:color="auto"/>
              <w:right w:val="single" w:sz="4" w:space="0" w:color="auto"/>
            </w:tcBorders>
            <w:noWrap/>
            <w:vAlign w:val="bottom"/>
            <w:hideMark/>
          </w:tcPr>
          <w:p w14:paraId="6374E4E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602,315,354</w:t>
            </w:r>
          </w:p>
        </w:tc>
        <w:tc>
          <w:tcPr>
            <w:tcW w:w="490" w:type="pct"/>
            <w:tcBorders>
              <w:top w:val="nil"/>
              <w:left w:val="nil"/>
              <w:bottom w:val="single" w:sz="4" w:space="0" w:color="auto"/>
              <w:right w:val="single" w:sz="4" w:space="0" w:color="auto"/>
            </w:tcBorders>
            <w:noWrap/>
            <w:vAlign w:val="bottom"/>
            <w:hideMark/>
          </w:tcPr>
          <w:p w14:paraId="167EC45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777,102,455</w:t>
            </w:r>
          </w:p>
        </w:tc>
        <w:tc>
          <w:tcPr>
            <w:tcW w:w="490" w:type="pct"/>
            <w:tcBorders>
              <w:top w:val="nil"/>
              <w:left w:val="nil"/>
              <w:bottom w:val="single" w:sz="4" w:space="0" w:color="auto"/>
              <w:right w:val="single" w:sz="4" w:space="0" w:color="auto"/>
            </w:tcBorders>
            <w:noWrap/>
            <w:vAlign w:val="bottom"/>
            <w:hideMark/>
          </w:tcPr>
          <w:p w14:paraId="183E3E8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803,964,958</w:t>
            </w:r>
          </w:p>
        </w:tc>
        <w:tc>
          <w:tcPr>
            <w:tcW w:w="70" w:type="pct"/>
            <w:vAlign w:val="center"/>
            <w:hideMark/>
          </w:tcPr>
          <w:p w14:paraId="26F1987C"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C12DF93"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8B0C5D1"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Gross Profit Margin = Gross Profit ÷ Revenue × 100</w:t>
            </w:r>
          </w:p>
        </w:tc>
        <w:tc>
          <w:tcPr>
            <w:tcW w:w="490" w:type="pct"/>
            <w:tcBorders>
              <w:top w:val="nil"/>
              <w:left w:val="nil"/>
              <w:bottom w:val="single" w:sz="4" w:space="0" w:color="auto"/>
              <w:right w:val="single" w:sz="4" w:space="0" w:color="auto"/>
            </w:tcBorders>
            <w:noWrap/>
            <w:vAlign w:val="bottom"/>
            <w:hideMark/>
          </w:tcPr>
          <w:p w14:paraId="30A1CB8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11.18%</w:t>
            </w:r>
          </w:p>
        </w:tc>
        <w:tc>
          <w:tcPr>
            <w:tcW w:w="490" w:type="pct"/>
            <w:tcBorders>
              <w:top w:val="nil"/>
              <w:left w:val="nil"/>
              <w:bottom w:val="single" w:sz="4" w:space="0" w:color="auto"/>
              <w:right w:val="single" w:sz="4" w:space="0" w:color="auto"/>
            </w:tcBorders>
            <w:noWrap/>
            <w:vAlign w:val="bottom"/>
            <w:hideMark/>
          </w:tcPr>
          <w:p w14:paraId="4A09C36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17.04%</w:t>
            </w:r>
          </w:p>
        </w:tc>
        <w:tc>
          <w:tcPr>
            <w:tcW w:w="490" w:type="pct"/>
            <w:tcBorders>
              <w:top w:val="nil"/>
              <w:left w:val="nil"/>
              <w:bottom w:val="single" w:sz="4" w:space="0" w:color="auto"/>
              <w:right w:val="single" w:sz="4" w:space="0" w:color="auto"/>
            </w:tcBorders>
            <w:noWrap/>
            <w:vAlign w:val="bottom"/>
            <w:hideMark/>
          </w:tcPr>
          <w:p w14:paraId="7399F33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7414C35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19.44%</w:t>
            </w:r>
          </w:p>
        </w:tc>
        <w:tc>
          <w:tcPr>
            <w:tcW w:w="490" w:type="pct"/>
            <w:tcBorders>
              <w:top w:val="nil"/>
              <w:left w:val="nil"/>
              <w:bottom w:val="single" w:sz="4" w:space="0" w:color="auto"/>
              <w:right w:val="single" w:sz="4" w:space="0" w:color="auto"/>
            </w:tcBorders>
            <w:noWrap/>
            <w:vAlign w:val="bottom"/>
            <w:hideMark/>
          </w:tcPr>
          <w:p w14:paraId="5B98027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17.74%</w:t>
            </w:r>
          </w:p>
        </w:tc>
        <w:tc>
          <w:tcPr>
            <w:tcW w:w="70" w:type="pct"/>
            <w:vAlign w:val="center"/>
            <w:hideMark/>
          </w:tcPr>
          <w:p w14:paraId="71A402F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FC35450" w14:textId="77777777" w:rsidTr="00494876">
        <w:trPr>
          <w:trHeight w:val="315"/>
        </w:trPr>
        <w:tc>
          <w:tcPr>
            <w:tcW w:w="493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3B17F16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Net Profit Margin</w:t>
            </w:r>
          </w:p>
        </w:tc>
        <w:tc>
          <w:tcPr>
            <w:tcW w:w="70" w:type="pct"/>
            <w:vAlign w:val="center"/>
            <w:hideMark/>
          </w:tcPr>
          <w:p w14:paraId="2095D97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EC2F90F"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386447F"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00FEA84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489CA0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7517AD5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2862605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90" w:type="pct"/>
            <w:tcBorders>
              <w:top w:val="nil"/>
              <w:left w:val="nil"/>
              <w:bottom w:val="single" w:sz="4" w:space="0" w:color="auto"/>
              <w:right w:val="single" w:sz="4" w:space="0" w:color="auto"/>
            </w:tcBorders>
            <w:noWrap/>
            <w:vAlign w:val="bottom"/>
            <w:hideMark/>
          </w:tcPr>
          <w:p w14:paraId="6115B866"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0" w:type="pct"/>
            <w:vAlign w:val="center"/>
            <w:hideMark/>
          </w:tcPr>
          <w:p w14:paraId="19500B0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8C60101"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08D98A2C"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Net Income (RMB’000)</w:t>
            </w:r>
          </w:p>
        </w:tc>
        <w:tc>
          <w:tcPr>
            <w:tcW w:w="490" w:type="pct"/>
            <w:tcBorders>
              <w:top w:val="nil"/>
              <w:left w:val="nil"/>
              <w:bottom w:val="single" w:sz="4" w:space="0" w:color="auto"/>
              <w:right w:val="single" w:sz="4" w:space="0" w:color="auto"/>
            </w:tcBorders>
            <w:noWrap/>
            <w:vAlign w:val="bottom"/>
            <w:hideMark/>
          </w:tcPr>
          <w:p w14:paraId="1C9665A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3,967,266</w:t>
            </w:r>
          </w:p>
        </w:tc>
        <w:tc>
          <w:tcPr>
            <w:tcW w:w="490" w:type="pct"/>
            <w:tcBorders>
              <w:top w:val="nil"/>
              <w:left w:val="nil"/>
              <w:bottom w:val="single" w:sz="4" w:space="0" w:color="auto"/>
              <w:right w:val="single" w:sz="4" w:space="0" w:color="auto"/>
            </w:tcBorders>
            <w:noWrap/>
            <w:vAlign w:val="bottom"/>
            <w:hideMark/>
          </w:tcPr>
          <w:p w14:paraId="50C726F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17,713,104</w:t>
            </w:r>
          </w:p>
        </w:tc>
        <w:tc>
          <w:tcPr>
            <w:tcW w:w="490" w:type="pct"/>
            <w:tcBorders>
              <w:top w:val="nil"/>
              <w:left w:val="nil"/>
              <w:bottom w:val="single" w:sz="4" w:space="0" w:color="auto"/>
              <w:right w:val="single" w:sz="4" w:space="0" w:color="auto"/>
            </w:tcBorders>
            <w:noWrap/>
            <w:vAlign w:val="bottom"/>
            <w:hideMark/>
          </w:tcPr>
          <w:p w14:paraId="032F97E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31,344,070</w:t>
            </w:r>
          </w:p>
        </w:tc>
        <w:tc>
          <w:tcPr>
            <w:tcW w:w="490" w:type="pct"/>
            <w:tcBorders>
              <w:top w:val="nil"/>
              <w:left w:val="nil"/>
              <w:bottom w:val="single" w:sz="4" w:space="0" w:color="auto"/>
              <w:right w:val="single" w:sz="4" w:space="0" w:color="auto"/>
            </w:tcBorders>
            <w:noWrap/>
            <w:vAlign w:val="bottom"/>
            <w:hideMark/>
          </w:tcPr>
          <w:p w14:paraId="53E2F9D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41,587,940</w:t>
            </w:r>
          </w:p>
        </w:tc>
        <w:tc>
          <w:tcPr>
            <w:tcW w:w="490" w:type="pct"/>
            <w:tcBorders>
              <w:top w:val="nil"/>
              <w:left w:val="nil"/>
              <w:bottom w:val="single" w:sz="4" w:space="0" w:color="auto"/>
              <w:right w:val="single" w:sz="4" w:space="0" w:color="auto"/>
            </w:tcBorders>
            <w:noWrap/>
            <w:vAlign w:val="bottom"/>
            <w:hideMark/>
          </w:tcPr>
          <w:p w14:paraId="4596A7A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33,760,758</w:t>
            </w:r>
          </w:p>
        </w:tc>
        <w:tc>
          <w:tcPr>
            <w:tcW w:w="70" w:type="pct"/>
            <w:vAlign w:val="center"/>
            <w:hideMark/>
          </w:tcPr>
          <w:p w14:paraId="3FAADBFB"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A3BFF8F"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F214E8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90" w:type="pct"/>
            <w:tcBorders>
              <w:top w:val="nil"/>
              <w:left w:val="nil"/>
              <w:bottom w:val="single" w:sz="4" w:space="0" w:color="auto"/>
              <w:right w:val="single" w:sz="4" w:space="0" w:color="auto"/>
            </w:tcBorders>
            <w:noWrap/>
            <w:vAlign w:val="bottom"/>
            <w:hideMark/>
          </w:tcPr>
          <w:p w14:paraId="3BCDFEE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90" w:type="pct"/>
            <w:tcBorders>
              <w:top w:val="nil"/>
              <w:left w:val="nil"/>
              <w:bottom w:val="single" w:sz="4" w:space="0" w:color="auto"/>
              <w:right w:val="single" w:sz="4" w:space="0" w:color="auto"/>
            </w:tcBorders>
            <w:noWrap/>
            <w:vAlign w:val="bottom"/>
            <w:hideMark/>
          </w:tcPr>
          <w:p w14:paraId="68B90C4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90" w:type="pct"/>
            <w:tcBorders>
              <w:top w:val="nil"/>
              <w:left w:val="nil"/>
              <w:bottom w:val="single" w:sz="4" w:space="0" w:color="auto"/>
              <w:right w:val="single" w:sz="4" w:space="0" w:color="auto"/>
            </w:tcBorders>
            <w:noWrap/>
            <w:vAlign w:val="bottom"/>
            <w:hideMark/>
          </w:tcPr>
          <w:p w14:paraId="1E19059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602,315,354</w:t>
            </w:r>
          </w:p>
        </w:tc>
        <w:tc>
          <w:tcPr>
            <w:tcW w:w="490" w:type="pct"/>
            <w:tcBorders>
              <w:top w:val="nil"/>
              <w:left w:val="nil"/>
              <w:bottom w:val="single" w:sz="4" w:space="0" w:color="auto"/>
              <w:right w:val="single" w:sz="4" w:space="0" w:color="auto"/>
            </w:tcBorders>
            <w:noWrap/>
            <w:vAlign w:val="bottom"/>
            <w:hideMark/>
          </w:tcPr>
          <w:p w14:paraId="40F9419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777,102,455</w:t>
            </w:r>
          </w:p>
        </w:tc>
        <w:tc>
          <w:tcPr>
            <w:tcW w:w="490" w:type="pct"/>
            <w:tcBorders>
              <w:top w:val="nil"/>
              <w:left w:val="nil"/>
              <w:bottom w:val="single" w:sz="4" w:space="0" w:color="auto"/>
              <w:right w:val="single" w:sz="4" w:space="0" w:color="auto"/>
            </w:tcBorders>
            <w:noWrap/>
            <w:vAlign w:val="bottom"/>
            <w:hideMark/>
          </w:tcPr>
          <w:p w14:paraId="3556D4E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803,964,958</w:t>
            </w:r>
          </w:p>
        </w:tc>
        <w:tc>
          <w:tcPr>
            <w:tcW w:w="70" w:type="pct"/>
            <w:vAlign w:val="center"/>
            <w:hideMark/>
          </w:tcPr>
          <w:p w14:paraId="5F31F2C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8DF271D"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0AC7D211"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Net Profit Margin = Net Profit ÷ Revenue × 100</w:t>
            </w:r>
          </w:p>
        </w:tc>
        <w:tc>
          <w:tcPr>
            <w:tcW w:w="490" w:type="pct"/>
            <w:tcBorders>
              <w:top w:val="nil"/>
              <w:left w:val="nil"/>
              <w:bottom w:val="single" w:sz="4" w:space="0" w:color="auto"/>
              <w:right w:val="single" w:sz="4" w:space="0" w:color="auto"/>
            </w:tcBorders>
            <w:noWrap/>
            <w:vAlign w:val="bottom"/>
            <w:hideMark/>
          </w:tcPr>
          <w:p w14:paraId="2ED283B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1.88%</w:t>
            </w:r>
          </w:p>
        </w:tc>
        <w:tc>
          <w:tcPr>
            <w:tcW w:w="490" w:type="pct"/>
            <w:tcBorders>
              <w:top w:val="nil"/>
              <w:left w:val="nil"/>
              <w:bottom w:val="single" w:sz="4" w:space="0" w:color="auto"/>
              <w:right w:val="single" w:sz="4" w:space="0" w:color="auto"/>
            </w:tcBorders>
            <w:noWrap/>
            <w:vAlign w:val="bottom"/>
            <w:hideMark/>
          </w:tcPr>
          <w:p w14:paraId="5D14878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4.18%</w:t>
            </w:r>
          </w:p>
        </w:tc>
        <w:tc>
          <w:tcPr>
            <w:tcW w:w="490" w:type="pct"/>
            <w:tcBorders>
              <w:top w:val="nil"/>
              <w:left w:val="nil"/>
              <w:bottom w:val="single" w:sz="4" w:space="0" w:color="auto"/>
              <w:right w:val="single" w:sz="4" w:space="0" w:color="auto"/>
            </w:tcBorders>
            <w:noWrap/>
            <w:vAlign w:val="bottom"/>
            <w:hideMark/>
          </w:tcPr>
          <w:p w14:paraId="77A13EA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5.20%</w:t>
            </w:r>
          </w:p>
        </w:tc>
        <w:tc>
          <w:tcPr>
            <w:tcW w:w="490" w:type="pct"/>
            <w:tcBorders>
              <w:top w:val="nil"/>
              <w:left w:val="nil"/>
              <w:bottom w:val="single" w:sz="4" w:space="0" w:color="auto"/>
              <w:right w:val="single" w:sz="4" w:space="0" w:color="auto"/>
            </w:tcBorders>
            <w:noWrap/>
            <w:vAlign w:val="bottom"/>
            <w:hideMark/>
          </w:tcPr>
          <w:p w14:paraId="7FECA3D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5.35%</w:t>
            </w:r>
          </w:p>
        </w:tc>
        <w:tc>
          <w:tcPr>
            <w:tcW w:w="490" w:type="pct"/>
            <w:tcBorders>
              <w:top w:val="nil"/>
              <w:left w:val="nil"/>
              <w:bottom w:val="single" w:sz="4" w:space="0" w:color="auto"/>
              <w:right w:val="single" w:sz="4" w:space="0" w:color="auto"/>
            </w:tcBorders>
            <w:noWrap/>
            <w:vAlign w:val="bottom"/>
            <w:hideMark/>
          </w:tcPr>
          <w:p w14:paraId="34566AF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4.20%</w:t>
            </w:r>
          </w:p>
        </w:tc>
        <w:tc>
          <w:tcPr>
            <w:tcW w:w="70" w:type="pct"/>
            <w:vAlign w:val="center"/>
            <w:hideMark/>
          </w:tcPr>
          <w:p w14:paraId="725242F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146B3F0" w14:textId="77777777" w:rsidTr="00494876">
        <w:trPr>
          <w:trHeight w:val="315"/>
        </w:trPr>
        <w:tc>
          <w:tcPr>
            <w:tcW w:w="493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3EC5E4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Operating Profit Margin</w:t>
            </w:r>
          </w:p>
        </w:tc>
        <w:tc>
          <w:tcPr>
            <w:tcW w:w="70" w:type="pct"/>
            <w:vAlign w:val="center"/>
            <w:hideMark/>
          </w:tcPr>
          <w:p w14:paraId="1DE97BF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C9FE349"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3071D0E9"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19684281"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FCC09C2"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619F287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31E0915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90" w:type="pct"/>
            <w:tcBorders>
              <w:top w:val="nil"/>
              <w:left w:val="nil"/>
              <w:bottom w:val="single" w:sz="4" w:space="0" w:color="auto"/>
              <w:right w:val="single" w:sz="4" w:space="0" w:color="auto"/>
            </w:tcBorders>
            <w:noWrap/>
            <w:vAlign w:val="bottom"/>
            <w:hideMark/>
          </w:tcPr>
          <w:p w14:paraId="0F35436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0" w:type="pct"/>
            <w:vAlign w:val="center"/>
            <w:hideMark/>
          </w:tcPr>
          <w:p w14:paraId="0966824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83D90F1"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5CDF4208"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Operating Income (RMB’000)</w:t>
            </w:r>
          </w:p>
        </w:tc>
        <w:tc>
          <w:tcPr>
            <w:tcW w:w="490" w:type="pct"/>
            <w:tcBorders>
              <w:top w:val="nil"/>
              <w:left w:val="nil"/>
              <w:bottom w:val="single" w:sz="4" w:space="0" w:color="auto"/>
              <w:right w:val="single" w:sz="4" w:space="0" w:color="auto"/>
            </w:tcBorders>
            <w:noWrap/>
            <w:vAlign w:val="bottom"/>
            <w:hideMark/>
          </w:tcPr>
          <w:p w14:paraId="7BF516E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4,518,003</w:t>
            </w:r>
          </w:p>
        </w:tc>
        <w:tc>
          <w:tcPr>
            <w:tcW w:w="490" w:type="pct"/>
            <w:tcBorders>
              <w:top w:val="nil"/>
              <w:left w:val="nil"/>
              <w:bottom w:val="single" w:sz="4" w:space="0" w:color="auto"/>
              <w:right w:val="single" w:sz="4" w:space="0" w:color="auto"/>
            </w:tcBorders>
            <w:noWrap/>
            <w:vAlign w:val="bottom"/>
            <w:hideMark/>
          </w:tcPr>
          <w:p w14:paraId="047D832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21,541,819</w:t>
            </w:r>
          </w:p>
        </w:tc>
        <w:tc>
          <w:tcPr>
            <w:tcW w:w="490" w:type="pct"/>
            <w:tcBorders>
              <w:top w:val="nil"/>
              <w:left w:val="nil"/>
              <w:bottom w:val="single" w:sz="4" w:space="0" w:color="auto"/>
              <w:right w:val="single" w:sz="4" w:space="0" w:color="auto"/>
            </w:tcBorders>
            <w:noWrap/>
            <w:vAlign w:val="bottom"/>
            <w:hideMark/>
          </w:tcPr>
          <w:p w14:paraId="5E1C345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38,103,095</w:t>
            </w:r>
          </w:p>
        </w:tc>
        <w:tc>
          <w:tcPr>
            <w:tcW w:w="490" w:type="pct"/>
            <w:tcBorders>
              <w:top w:val="nil"/>
              <w:left w:val="nil"/>
              <w:bottom w:val="single" w:sz="4" w:space="0" w:color="auto"/>
              <w:right w:val="single" w:sz="4" w:space="0" w:color="auto"/>
            </w:tcBorders>
            <w:noWrap/>
            <w:vAlign w:val="bottom"/>
            <w:hideMark/>
          </w:tcPr>
          <w:p w14:paraId="7B1200D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50,486,047</w:t>
            </w:r>
          </w:p>
        </w:tc>
        <w:tc>
          <w:tcPr>
            <w:tcW w:w="490" w:type="pct"/>
            <w:tcBorders>
              <w:top w:val="nil"/>
              <w:left w:val="nil"/>
              <w:bottom w:val="single" w:sz="4" w:space="0" w:color="auto"/>
              <w:right w:val="single" w:sz="4" w:space="0" w:color="auto"/>
            </w:tcBorders>
            <w:noWrap/>
            <w:vAlign w:val="bottom"/>
            <w:hideMark/>
          </w:tcPr>
          <w:p w14:paraId="7CB8351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40,184,709</w:t>
            </w:r>
          </w:p>
        </w:tc>
        <w:tc>
          <w:tcPr>
            <w:tcW w:w="70" w:type="pct"/>
            <w:vAlign w:val="center"/>
            <w:hideMark/>
          </w:tcPr>
          <w:p w14:paraId="41DA8C1A"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81B08A0"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6CEE6309"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90" w:type="pct"/>
            <w:tcBorders>
              <w:top w:val="nil"/>
              <w:left w:val="nil"/>
              <w:bottom w:val="single" w:sz="4" w:space="0" w:color="auto"/>
              <w:right w:val="single" w:sz="4" w:space="0" w:color="auto"/>
            </w:tcBorders>
            <w:noWrap/>
            <w:vAlign w:val="bottom"/>
            <w:hideMark/>
          </w:tcPr>
          <w:p w14:paraId="105A494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90" w:type="pct"/>
            <w:tcBorders>
              <w:top w:val="nil"/>
              <w:left w:val="nil"/>
              <w:bottom w:val="single" w:sz="4" w:space="0" w:color="auto"/>
              <w:right w:val="single" w:sz="4" w:space="0" w:color="auto"/>
            </w:tcBorders>
            <w:noWrap/>
            <w:vAlign w:val="bottom"/>
            <w:hideMark/>
          </w:tcPr>
          <w:p w14:paraId="72BA101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90" w:type="pct"/>
            <w:tcBorders>
              <w:top w:val="nil"/>
              <w:left w:val="nil"/>
              <w:bottom w:val="single" w:sz="4" w:space="0" w:color="auto"/>
              <w:right w:val="single" w:sz="4" w:space="0" w:color="auto"/>
            </w:tcBorders>
            <w:noWrap/>
            <w:vAlign w:val="bottom"/>
            <w:hideMark/>
          </w:tcPr>
          <w:p w14:paraId="67093B3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602,315,354</w:t>
            </w:r>
          </w:p>
        </w:tc>
        <w:tc>
          <w:tcPr>
            <w:tcW w:w="490" w:type="pct"/>
            <w:tcBorders>
              <w:top w:val="nil"/>
              <w:left w:val="nil"/>
              <w:bottom w:val="single" w:sz="4" w:space="0" w:color="auto"/>
              <w:right w:val="single" w:sz="4" w:space="0" w:color="auto"/>
            </w:tcBorders>
            <w:noWrap/>
            <w:vAlign w:val="bottom"/>
            <w:hideMark/>
          </w:tcPr>
          <w:p w14:paraId="6832AC8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777,102,455</w:t>
            </w:r>
          </w:p>
        </w:tc>
        <w:tc>
          <w:tcPr>
            <w:tcW w:w="490" w:type="pct"/>
            <w:tcBorders>
              <w:top w:val="nil"/>
              <w:left w:val="nil"/>
              <w:bottom w:val="single" w:sz="4" w:space="0" w:color="auto"/>
              <w:right w:val="single" w:sz="4" w:space="0" w:color="auto"/>
            </w:tcBorders>
            <w:noWrap/>
            <w:vAlign w:val="bottom"/>
            <w:hideMark/>
          </w:tcPr>
          <w:p w14:paraId="7B11FD0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803,964,958</w:t>
            </w:r>
          </w:p>
        </w:tc>
        <w:tc>
          <w:tcPr>
            <w:tcW w:w="70" w:type="pct"/>
            <w:vAlign w:val="center"/>
            <w:hideMark/>
          </w:tcPr>
          <w:p w14:paraId="7C23E52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1698430"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1026948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lastRenderedPageBreak/>
              <w:t>Operating Profit Margin = Operating Profit ÷ Revenue × 100</w:t>
            </w:r>
          </w:p>
        </w:tc>
        <w:tc>
          <w:tcPr>
            <w:tcW w:w="490" w:type="pct"/>
            <w:tcBorders>
              <w:top w:val="nil"/>
              <w:left w:val="nil"/>
              <w:bottom w:val="single" w:sz="4" w:space="0" w:color="auto"/>
              <w:right w:val="single" w:sz="4" w:space="0" w:color="auto"/>
            </w:tcBorders>
            <w:noWrap/>
            <w:vAlign w:val="bottom"/>
            <w:hideMark/>
          </w:tcPr>
          <w:p w14:paraId="331DC86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2.14%</w:t>
            </w:r>
          </w:p>
        </w:tc>
        <w:tc>
          <w:tcPr>
            <w:tcW w:w="490" w:type="pct"/>
            <w:tcBorders>
              <w:top w:val="nil"/>
              <w:left w:val="nil"/>
              <w:bottom w:val="single" w:sz="4" w:space="0" w:color="auto"/>
              <w:right w:val="single" w:sz="4" w:space="0" w:color="auto"/>
            </w:tcBorders>
            <w:noWrap/>
            <w:vAlign w:val="bottom"/>
            <w:hideMark/>
          </w:tcPr>
          <w:p w14:paraId="189EEA5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5.08%</w:t>
            </w:r>
          </w:p>
        </w:tc>
        <w:tc>
          <w:tcPr>
            <w:tcW w:w="490" w:type="pct"/>
            <w:tcBorders>
              <w:top w:val="nil"/>
              <w:left w:val="nil"/>
              <w:bottom w:val="single" w:sz="4" w:space="0" w:color="auto"/>
              <w:right w:val="single" w:sz="4" w:space="0" w:color="auto"/>
            </w:tcBorders>
            <w:noWrap/>
            <w:vAlign w:val="bottom"/>
            <w:hideMark/>
          </w:tcPr>
          <w:p w14:paraId="239014C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6.33%</w:t>
            </w:r>
          </w:p>
        </w:tc>
        <w:tc>
          <w:tcPr>
            <w:tcW w:w="490" w:type="pct"/>
            <w:tcBorders>
              <w:top w:val="nil"/>
              <w:left w:val="nil"/>
              <w:bottom w:val="single" w:sz="4" w:space="0" w:color="auto"/>
              <w:right w:val="single" w:sz="4" w:space="0" w:color="auto"/>
            </w:tcBorders>
            <w:noWrap/>
            <w:vAlign w:val="bottom"/>
            <w:hideMark/>
          </w:tcPr>
          <w:p w14:paraId="6979A04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6.50%</w:t>
            </w:r>
          </w:p>
        </w:tc>
        <w:tc>
          <w:tcPr>
            <w:tcW w:w="490" w:type="pct"/>
            <w:tcBorders>
              <w:top w:val="nil"/>
              <w:left w:val="nil"/>
              <w:bottom w:val="single" w:sz="4" w:space="0" w:color="auto"/>
              <w:right w:val="single" w:sz="4" w:space="0" w:color="auto"/>
            </w:tcBorders>
            <w:noWrap/>
            <w:vAlign w:val="bottom"/>
            <w:hideMark/>
          </w:tcPr>
          <w:p w14:paraId="7A05E3E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5.00%</w:t>
            </w:r>
          </w:p>
        </w:tc>
        <w:tc>
          <w:tcPr>
            <w:tcW w:w="70" w:type="pct"/>
            <w:vAlign w:val="center"/>
            <w:hideMark/>
          </w:tcPr>
          <w:p w14:paraId="4F04421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46B06EF" w14:textId="77777777" w:rsidTr="00494876">
        <w:trPr>
          <w:trHeight w:val="315"/>
        </w:trPr>
        <w:tc>
          <w:tcPr>
            <w:tcW w:w="493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780118F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Return on Assets (ROA)</w:t>
            </w:r>
          </w:p>
        </w:tc>
        <w:tc>
          <w:tcPr>
            <w:tcW w:w="70" w:type="pct"/>
            <w:vAlign w:val="center"/>
            <w:hideMark/>
          </w:tcPr>
          <w:p w14:paraId="5D280C41"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8CB66B9"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8F5D92F"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0A99E28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C9411A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6776583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4222E4F6"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90" w:type="pct"/>
            <w:tcBorders>
              <w:top w:val="nil"/>
              <w:left w:val="nil"/>
              <w:bottom w:val="single" w:sz="4" w:space="0" w:color="auto"/>
              <w:right w:val="single" w:sz="4" w:space="0" w:color="auto"/>
            </w:tcBorders>
            <w:noWrap/>
            <w:vAlign w:val="bottom"/>
            <w:hideMark/>
          </w:tcPr>
          <w:p w14:paraId="4FB686EF"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0" w:type="pct"/>
            <w:vAlign w:val="center"/>
            <w:hideMark/>
          </w:tcPr>
          <w:p w14:paraId="2863694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3C4B0E0"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E30801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Net Income (RMB’000)</w:t>
            </w:r>
          </w:p>
        </w:tc>
        <w:tc>
          <w:tcPr>
            <w:tcW w:w="490" w:type="pct"/>
            <w:tcBorders>
              <w:top w:val="nil"/>
              <w:left w:val="nil"/>
              <w:bottom w:val="single" w:sz="4" w:space="0" w:color="auto"/>
              <w:right w:val="single" w:sz="4" w:space="0" w:color="auto"/>
            </w:tcBorders>
            <w:noWrap/>
            <w:vAlign w:val="bottom"/>
            <w:hideMark/>
          </w:tcPr>
          <w:p w14:paraId="25AE53F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3,967,266</w:t>
            </w:r>
          </w:p>
        </w:tc>
        <w:tc>
          <w:tcPr>
            <w:tcW w:w="490" w:type="pct"/>
            <w:tcBorders>
              <w:top w:val="nil"/>
              <w:left w:val="nil"/>
              <w:bottom w:val="single" w:sz="4" w:space="0" w:color="auto"/>
              <w:right w:val="single" w:sz="4" w:space="0" w:color="auto"/>
            </w:tcBorders>
            <w:noWrap/>
            <w:vAlign w:val="bottom"/>
            <w:hideMark/>
          </w:tcPr>
          <w:p w14:paraId="2BD6DB8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17,713,104</w:t>
            </w:r>
          </w:p>
        </w:tc>
        <w:tc>
          <w:tcPr>
            <w:tcW w:w="490" w:type="pct"/>
            <w:tcBorders>
              <w:top w:val="nil"/>
              <w:left w:val="nil"/>
              <w:bottom w:val="single" w:sz="4" w:space="0" w:color="auto"/>
              <w:right w:val="single" w:sz="4" w:space="0" w:color="auto"/>
            </w:tcBorders>
            <w:noWrap/>
            <w:vAlign w:val="bottom"/>
            <w:hideMark/>
          </w:tcPr>
          <w:p w14:paraId="6CB1A75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31,344,070</w:t>
            </w:r>
          </w:p>
        </w:tc>
        <w:tc>
          <w:tcPr>
            <w:tcW w:w="490" w:type="pct"/>
            <w:tcBorders>
              <w:top w:val="nil"/>
              <w:left w:val="nil"/>
              <w:bottom w:val="single" w:sz="4" w:space="0" w:color="auto"/>
              <w:right w:val="single" w:sz="4" w:space="0" w:color="auto"/>
            </w:tcBorders>
            <w:noWrap/>
            <w:vAlign w:val="bottom"/>
            <w:hideMark/>
          </w:tcPr>
          <w:p w14:paraId="766E46E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41,587,940</w:t>
            </w:r>
          </w:p>
        </w:tc>
        <w:tc>
          <w:tcPr>
            <w:tcW w:w="490" w:type="pct"/>
            <w:tcBorders>
              <w:top w:val="nil"/>
              <w:left w:val="nil"/>
              <w:bottom w:val="single" w:sz="4" w:space="0" w:color="auto"/>
              <w:right w:val="single" w:sz="4" w:space="0" w:color="auto"/>
            </w:tcBorders>
            <w:noWrap/>
            <w:vAlign w:val="bottom"/>
            <w:hideMark/>
          </w:tcPr>
          <w:p w14:paraId="7FA37EC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33,760,758</w:t>
            </w:r>
          </w:p>
        </w:tc>
        <w:tc>
          <w:tcPr>
            <w:tcW w:w="70" w:type="pct"/>
            <w:vAlign w:val="center"/>
            <w:hideMark/>
          </w:tcPr>
          <w:p w14:paraId="3E42CD2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8C904F5"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4BC2503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Total Assets (RMB’000)</w:t>
            </w:r>
          </w:p>
        </w:tc>
        <w:tc>
          <w:tcPr>
            <w:tcW w:w="490" w:type="pct"/>
            <w:tcBorders>
              <w:top w:val="nil"/>
              <w:left w:val="nil"/>
              <w:bottom w:val="single" w:sz="4" w:space="0" w:color="auto"/>
              <w:right w:val="single" w:sz="4" w:space="0" w:color="auto"/>
            </w:tcBorders>
            <w:noWrap/>
            <w:vAlign w:val="bottom"/>
            <w:hideMark/>
          </w:tcPr>
          <w:p w14:paraId="788B91A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295,780,147</w:t>
            </w:r>
          </w:p>
        </w:tc>
        <w:tc>
          <w:tcPr>
            <w:tcW w:w="490" w:type="pct"/>
            <w:tcBorders>
              <w:top w:val="nil"/>
              <w:left w:val="nil"/>
              <w:bottom w:val="single" w:sz="4" w:space="0" w:color="auto"/>
              <w:right w:val="single" w:sz="4" w:space="0" w:color="auto"/>
            </w:tcBorders>
            <w:noWrap/>
            <w:vAlign w:val="bottom"/>
            <w:hideMark/>
          </w:tcPr>
          <w:p w14:paraId="1D5FF82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493,860,646</w:t>
            </w:r>
          </w:p>
        </w:tc>
        <w:tc>
          <w:tcPr>
            <w:tcW w:w="490" w:type="pct"/>
            <w:tcBorders>
              <w:top w:val="nil"/>
              <w:left w:val="nil"/>
              <w:bottom w:val="single" w:sz="4" w:space="0" w:color="auto"/>
              <w:right w:val="single" w:sz="4" w:space="0" w:color="auto"/>
            </w:tcBorders>
            <w:noWrap/>
            <w:vAlign w:val="bottom"/>
            <w:hideMark/>
          </w:tcPr>
          <w:p w14:paraId="05BEEE0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679,547,670</w:t>
            </w:r>
          </w:p>
        </w:tc>
        <w:tc>
          <w:tcPr>
            <w:tcW w:w="490" w:type="pct"/>
            <w:tcBorders>
              <w:top w:val="nil"/>
              <w:left w:val="nil"/>
              <w:bottom w:val="single" w:sz="4" w:space="0" w:color="auto"/>
              <w:right w:val="single" w:sz="4" w:space="0" w:color="auto"/>
            </w:tcBorders>
            <w:noWrap/>
            <w:vAlign w:val="bottom"/>
            <w:hideMark/>
          </w:tcPr>
          <w:p w14:paraId="08BDFC1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783,355,855</w:t>
            </w:r>
          </w:p>
        </w:tc>
        <w:tc>
          <w:tcPr>
            <w:tcW w:w="490" w:type="pct"/>
            <w:tcBorders>
              <w:top w:val="nil"/>
              <w:left w:val="nil"/>
              <w:bottom w:val="single" w:sz="4" w:space="0" w:color="auto"/>
              <w:right w:val="single" w:sz="4" w:space="0" w:color="auto"/>
            </w:tcBorders>
            <w:noWrap/>
            <w:vAlign w:val="bottom"/>
            <w:hideMark/>
          </w:tcPr>
          <w:p w14:paraId="7B7D337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883,729,883</w:t>
            </w:r>
          </w:p>
        </w:tc>
        <w:tc>
          <w:tcPr>
            <w:tcW w:w="70" w:type="pct"/>
            <w:vAlign w:val="center"/>
            <w:hideMark/>
          </w:tcPr>
          <w:p w14:paraId="0D2BEA5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7BD7E68"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02D01B8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Return on Assets (ROA) = Net Profit ÷ Total Assets × 100</w:t>
            </w:r>
          </w:p>
        </w:tc>
        <w:tc>
          <w:tcPr>
            <w:tcW w:w="490" w:type="pct"/>
            <w:tcBorders>
              <w:top w:val="nil"/>
              <w:left w:val="nil"/>
              <w:bottom w:val="single" w:sz="4" w:space="0" w:color="auto"/>
              <w:right w:val="single" w:sz="4" w:space="0" w:color="auto"/>
            </w:tcBorders>
            <w:noWrap/>
            <w:vAlign w:val="bottom"/>
            <w:hideMark/>
          </w:tcPr>
          <w:p w14:paraId="04BD9CF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1.34%</w:t>
            </w:r>
          </w:p>
        </w:tc>
        <w:tc>
          <w:tcPr>
            <w:tcW w:w="490" w:type="pct"/>
            <w:tcBorders>
              <w:top w:val="nil"/>
              <w:left w:val="nil"/>
              <w:bottom w:val="single" w:sz="4" w:space="0" w:color="auto"/>
              <w:right w:val="single" w:sz="4" w:space="0" w:color="auto"/>
            </w:tcBorders>
            <w:noWrap/>
            <w:vAlign w:val="bottom"/>
            <w:hideMark/>
          </w:tcPr>
          <w:p w14:paraId="793B275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3.59%</w:t>
            </w:r>
          </w:p>
        </w:tc>
        <w:tc>
          <w:tcPr>
            <w:tcW w:w="490" w:type="pct"/>
            <w:tcBorders>
              <w:top w:val="nil"/>
              <w:left w:val="nil"/>
              <w:bottom w:val="single" w:sz="4" w:space="0" w:color="auto"/>
              <w:right w:val="single" w:sz="4" w:space="0" w:color="auto"/>
            </w:tcBorders>
            <w:noWrap/>
            <w:vAlign w:val="bottom"/>
            <w:hideMark/>
          </w:tcPr>
          <w:p w14:paraId="6D61184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4.61%</w:t>
            </w:r>
          </w:p>
        </w:tc>
        <w:tc>
          <w:tcPr>
            <w:tcW w:w="490" w:type="pct"/>
            <w:tcBorders>
              <w:top w:val="nil"/>
              <w:left w:val="nil"/>
              <w:bottom w:val="single" w:sz="4" w:space="0" w:color="auto"/>
              <w:right w:val="single" w:sz="4" w:space="0" w:color="auto"/>
            </w:tcBorders>
            <w:noWrap/>
            <w:vAlign w:val="bottom"/>
            <w:hideMark/>
          </w:tcPr>
          <w:p w14:paraId="40EC304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5.31%</w:t>
            </w:r>
          </w:p>
        </w:tc>
        <w:tc>
          <w:tcPr>
            <w:tcW w:w="490" w:type="pct"/>
            <w:tcBorders>
              <w:top w:val="nil"/>
              <w:left w:val="nil"/>
              <w:bottom w:val="single" w:sz="4" w:space="0" w:color="auto"/>
              <w:right w:val="single" w:sz="4" w:space="0" w:color="auto"/>
            </w:tcBorders>
            <w:noWrap/>
            <w:vAlign w:val="bottom"/>
            <w:hideMark/>
          </w:tcPr>
          <w:p w14:paraId="40051CB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3.82%</w:t>
            </w:r>
          </w:p>
        </w:tc>
        <w:tc>
          <w:tcPr>
            <w:tcW w:w="70" w:type="pct"/>
            <w:vAlign w:val="center"/>
            <w:hideMark/>
          </w:tcPr>
          <w:p w14:paraId="1F2A604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1670D4E" w14:textId="77777777" w:rsidTr="00494876">
        <w:trPr>
          <w:trHeight w:val="315"/>
        </w:trPr>
        <w:tc>
          <w:tcPr>
            <w:tcW w:w="493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7BA72F1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Return on Equity (ROE)</w:t>
            </w:r>
          </w:p>
        </w:tc>
        <w:tc>
          <w:tcPr>
            <w:tcW w:w="70" w:type="pct"/>
            <w:vAlign w:val="center"/>
            <w:hideMark/>
          </w:tcPr>
          <w:p w14:paraId="57C6D1A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D2EB05E"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69761DEF"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7367474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5C26FC02"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5E9ECAF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0CDE4C31"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90" w:type="pct"/>
            <w:tcBorders>
              <w:top w:val="nil"/>
              <w:left w:val="nil"/>
              <w:bottom w:val="single" w:sz="4" w:space="0" w:color="auto"/>
              <w:right w:val="single" w:sz="4" w:space="0" w:color="auto"/>
            </w:tcBorders>
            <w:noWrap/>
            <w:vAlign w:val="bottom"/>
            <w:hideMark/>
          </w:tcPr>
          <w:p w14:paraId="471DA614"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0" w:type="pct"/>
            <w:vAlign w:val="center"/>
            <w:hideMark/>
          </w:tcPr>
          <w:p w14:paraId="5779228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FAFA307"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6330F4B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Net Income (RMB’000)</w:t>
            </w:r>
          </w:p>
        </w:tc>
        <w:tc>
          <w:tcPr>
            <w:tcW w:w="490" w:type="pct"/>
            <w:tcBorders>
              <w:top w:val="nil"/>
              <w:left w:val="nil"/>
              <w:bottom w:val="single" w:sz="4" w:space="0" w:color="auto"/>
              <w:right w:val="single" w:sz="4" w:space="0" w:color="auto"/>
            </w:tcBorders>
            <w:noWrap/>
            <w:vAlign w:val="bottom"/>
            <w:hideMark/>
          </w:tcPr>
          <w:p w14:paraId="6829FAC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3,967,266</w:t>
            </w:r>
          </w:p>
        </w:tc>
        <w:tc>
          <w:tcPr>
            <w:tcW w:w="490" w:type="pct"/>
            <w:tcBorders>
              <w:top w:val="nil"/>
              <w:left w:val="nil"/>
              <w:bottom w:val="single" w:sz="4" w:space="0" w:color="auto"/>
              <w:right w:val="single" w:sz="4" w:space="0" w:color="auto"/>
            </w:tcBorders>
            <w:noWrap/>
            <w:vAlign w:val="bottom"/>
            <w:hideMark/>
          </w:tcPr>
          <w:p w14:paraId="2D85C73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17,713,104</w:t>
            </w:r>
          </w:p>
        </w:tc>
        <w:tc>
          <w:tcPr>
            <w:tcW w:w="490" w:type="pct"/>
            <w:tcBorders>
              <w:top w:val="nil"/>
              <w:left w:val="nil"/>
              <w:bottom w:val="single" w:sz="4" w:space="0" w:color="auto"/>
              <w:right w:val="single" w:sz="4" w:space="0" w:color="auto"/>
            </w:tcBorders>
            <w:noWrap/>
            <w:vAlign w:val="bottom"/>
            <w:hideMark/>
          </w:tcPr>
          <w:p w14:paraId="00390BB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31,344,070</w:t>
            </w:r>
          </w:p>
        </w:tc>
        <w:tc>
          <w:tcPr>
            <w:tcW w:w="490" w:type="pct"/>
            <w:tcBorders>
              <w:top w:val="nil"/>
              <w:left w:val="nil"/>
              <w:bottom w:val="single" w:sz="4" w:space="0" w:color="auto"/>
              <w:right w:val="single" w:sz="4" w:space="0" w:color="auto"/>
            </w:tcBorders>
            <w:noWrap/>
            <w:vAlign w:val="bottom"/>
            <w:hideMark/>
          </w:tcPr>
          <w:p w14:paraId="2783007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41,587,940</w:t>
            </w:r>
          </w:p>
        </w:tc>
        <w:tc>
          <w:tcPr>
            <w:tcW w:w="490" w:type="pct"/>
            <w:tcBorders>
              <w:top w:val="nil"/>
              <w:left w:val="nil"/>
              <w:bottom w:val="single" w:sz="4" w:space="0" w:color="auto"/>
              <w:right w:val="single" w:sz="4" w:space="0" w:color="auto"/>
            </w:tcBorders>
            <w:noWrap/>
            <w:vAlign w:val="bottom"/>
            <w:hideMark/>
          </w:tcPr>
          <w:p w14:paraId="67B5835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33,760,758</w:t>
            </w:r>
          </w:p>
        </w:tc>
        <w:tc>
          <w:tcPr>
            <w:tcW w:w="70" w:type="pct"/>
            <w:vAlign w:val="center"/>
            <w:hideMark/>
          </w:tcPr>
          <w:p w14:paraId="397B712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3BF5EC9"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200E2B8C"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Shareholders’ Equity (RMB’000)</w:t>
            </w:r>
          </w:p>
        </w:tc>
        <w:tc>
          <w:tcPr>
            <w:tcW w:w="490" w:type="pct"/>
            <w:tcBorders>
              <w:top w:val="nil"/>
              <w:left w:val="nil"/>
              <w:bottom w:val="single" w:sz="4" w:space="0" w:color="auto"/>
              <w:right w:val="single" w:sz="4" w:space="0" w:color="auto"/>
            </w:tcBorders>
            <w:noWrap/>
            <w:vAlign w:val="bottom"/>
            <w:hideMark/>
          </w:tcPr>
          <w:p w14:paraId="5AA951D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104,244,209</w:t>
            </w:r>
          </w:p>
        </w:tc>
        <w:tc>
          <w:tcPr>
            <w:tcW w:w="490" w:type="pct"/>
            <w:tcBorders>
              <w:top w:val="nil"/>
              <w:left w:val="nil"/>
              <w:bottom w:val="single" w:sz="4" w:space="0" w:color="auto"/>
              <w:right w:val="single" w:sz="4" w:space="0" w:color="auto"/>
            </w:tcBorders>
            <w:noWrap/>
            <w:vAlign w:val="bottom"/>
            <w:hideMark/>
          </w:tcPr>
          <w:p w14:paraId="2CB5262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121,389,837</w:t>
            </w:r>
          </w:p>
        </w:tc>
        <w:tc>
          <w:tcPr>
            <w:tcW w:w="490" w:type="pct"/>
            <w:tcBorders>
              <w:top w:val="nil"/>
              <w:left w:val="nil"/>
              <w:bottom w:val="single" w:sz="4" w:space="0" w:color="auto"/>
              <w:right w:val="single" w:sz="4" w:space="0" w:color="auto"/>
            </w:tcBorders>
            <w:noWrap/>
            <w:vAlign w:val="bottom"/>
            <w:hideMark/>
          </w:tcPr>
          <w:p w14:paraId="3C8594D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150,462,113</w:t>
            </w:r>
          </w:p>
        </w:tc>
        <w:tc>
          <w:tcPr>
            <w:tcW w:w="490" w:type="pct"/>
            <w:tcBorders>
              <w:top w:val="nil"/>
              <w:left w:val="nil"/>
              <w:bottom w:val="single" w:sz="4" w:space="0" w:color="auto"/>
              <w:right w:val="single" w:sz="4" w:space="0" w:color="auto"/>
            </w:tcBorders>
            <w:noWrap/>
            <w:vAlign w:val="bottom"/>
            <w:hideMark/>
          </w:tcPr>
          <w:p w14:paraId="6BABBA7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198,688,209</w:t>
            </w:r>
          </w:p>
        </w:tc>
        <w:tc>
          <w:tcPr>
            <w:tcW w:w="490" w:type="pct"/>
            <w:tcBorders>
              <w:top w:val="nil"/>
              <w:left w:val="nil"/>
              <w:bottom w:val="single" w:sz="4" w:space="0" w:color="auto"/>
              <w:right w:val="single" w:sz="4" w:space="0" w:color="auto"/>
            </w:tcBorders>
            <w:noWrap/>
            <w:vAlign w:val="bottom"/>
            <w:hideMark/>
          </w:tcPr>
          <w:p w14:paraId="361C860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258,539,185</w:t>
            </w:r>
          </w:p>
        </w:tc>
        <w:tc>
          <w:tcPr>
            <w:tcW w:w="70" w:type="pct"/>
            <w:vAlign w:val="center"/>
            <w:hideMark/>
          </w:tcPr>
          <w:p w14:paraId="7F4F641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A3AEE06" w14:textId="77777777" w:rsidTr="00494876">
        <w:trPr>
          <w:trHeight w:val="315"/>
        </w:trPr>
        <w:tc>
          <w:tcPr>
            <w:tcW w:w="2478" w:type="pct"/>
            <w:tcBorders>
              <w:top w:val="nil"/>
              <w:left w:val="single" w:sz="4" w:space="0" w:color="auto"/>
              <w:bottom w:val="single" w:sz="4" w:space="0" w:color="auto"/>
              <w:right w:val="single" w:sz="4" w:space="0" w:color="auto"/>
            </w:tcBorders>
            <w:noWrap/>
            <w:vAlign w:val="bottom"/>
            <w:hideMark/>
          </w:tcPr>
          <w:p w14:paraId="7FA400E2"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Return on Equity (ROE) = Net Profit ÷ Shareholders’ Equity × 100</w:t>
            </w:r>
          </w:p>
        </w:tc>
        <w:tc>
          <w:tcPr>
            <w:tcW w:w="490" w:type="pct"/>
            <w:tcBorders>
              <w:top w:val="nil"/>
              <w:left w:val="nil"/>
              <w:bottom w:val="single" w:sz="4" w:space="0" w:color="auto"/>
              <w:right w:val="single" w:sz="4" w:space="0" w:color="auto"/>
            </w:tcBorders>
            <w:noWrap/>
            <w:vAlign w:val="bottom"/>
            <w:hideMark/>
          </w:tcPr>
          <w:p w14:paraId="51C2E35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3.81%</w:t>
            </w:r>
          </w:p>
        </w:tc>
        <w:tc>
          <w:tcPr>
            <w:tcW w:w="490" w:type="pct"/>
            <w:tcBorders>
              <w:top w:val="nil"/>
              <w:left w:val="nil"/>
              <w:bottom w:val="single" w:sz="4" w:space="0" w:color="auto"/>
              <w:right w:val="single" w:sz="4" w:space="0" w:color="auto"/>
            </w:tcBorders>
            <w:noWrap/>
            <w:vAlign w:val="bottom"/>
            <w:hideMark/>
          </w:tcPr>
          <w:p w14:paraId="3C97BF7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14.59%</w:t>
            </w:r>
          </w:p>
        </w:tc>
        <w:tc>
          <w:tcPr>
            <w:tcW w:w="490" w:type="pct"/>
            <w:tcBorders>
              <w:top w:val="nil"/>
              <w:left w:val="nil"/>
              <w:bottom w:val="single" w:sz="4" w:space="0" w:color="auto"/>
              <w:right w:val="single" w:sz="4" w:space="0" w:color="auto"/>
            </w:tcBorders>
            <w:noWrap/>
            <w:vAlign w:val="bottom"/>
            <w:hideMark/>
          </w:tcPr>
          <w:p w14:paraId="249A248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20.83%</w:t>
            </w:r>
          </w:p>
        </w:tc>
        <w:tc>
          <w:tcPr>
            <w:tcW w:w="490" w:type="pct"/>
            <w:tcBorders>
              <w:top w:val="nil"/>
              <w:left w:val="nil"/>
              <w:bottom w:val="single" w:sz="4" w:space="0" w:color="auto"/>
              <w:right w:val="single" w:sz="4" w:space="0" w:color="auto"/>
            </w:tcBorders>
            <w:noWrap/>
            <w:vAlign w:val="bottom"/>
            <w:hideMark/>
          </w:tcPr>
          <w:p w14:paraId="4878547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20.93%</w:t>
            </w:r>
          </w:p>
        </w:tc>
        <w:tc>
          <w:tcPr>
            <w:tcW w:w="490" w:type="pct"/>
            <w:tcBorders>
              <w:top w:val="nil"/>
              <w:left w:val="nil"/>
              <w:bottom w:val="single" w:sz="4" w:space="0" w:color="auto"/>
              <w:right w:val="single" w:sz="4" w:space="0" w:color="auto"/>
            </w:tcBorders>
            <w:noWrap/>
            <w:vAlign w:val="bottom"/>
            <w:hideMark/>
          </w:tcPr>
          <w:p w14:paraId="4B4E2C8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13.06%</w:t>
            </w:r>
          </w:p>
        </w:tc>
        <w:tc>
          <w:tcPr>
            <w:tcW w:w="70" w:type="pct"/>
            <w:vAlign w:val="center"/>
            <w:hideMark/>
          </w:tcPr>
          <w:p w14:paraId="110E3CB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71CA3DF5" w14:textId="77777777" w:rsidR="00650A83" w:rsidRDefault="00650A83" w:rsidP="00650A83"/>
    <w:p w14:paraId="76B7E1C7" w14:textId="77777777" w:rsidR="00650A83" w:rsidRDefault="00650A83" w:rsidP="00650A83">
      <w:r w:rsidRPr="00FF05EF">
        <w:t>Liquidity</w:t>
      </w:r>
    </w:p>
    <w:tbl>
      <w:tblPr>
        <w:tblW w:w="5000" w:type="pct"/>
        <w:tblLook w:val="04A0" w:firstRow="1" w:lastRow="0" w:firstColumn="1" w:lastColumn="0" w:noHBand="0" w:noVBand="1"/>
      </w:tblPr>
      <w:tblGrid>
        <w:gridCol w:w="4750"/>
        <w:gridCol w:w="879"/>
        <w:gridCol w:w="878"/>
        <w:gridCol w:w="878"/>
        <w:gridCol w:w="878"/>
        <w:gridCol w:w="878"/>
        <w:gridCol w:w="219"/>
      </w:tblGrid>
      <w:tr w:rsidR="00650A83" w:rsidRPr="00E9094B" w14:paraId="290C6745" w14:textId="77777777" w:rsidTr="00494876">
        <w:trPr>
          <w:gridAfter w:val="1"/>
          <w:wAfter w:w="63" w:type="pct"/>
          <w:trHeight w:val="552"/>
        </w:trPr>
        <w:tc>
          <w:tcPr>
            <w:tcW w:w="4937" w:type="pct"/>
            <w:gridSpan w:val="6"/>
            <w:vMerge w:val="restart"/>
            <w:tcBorders>
              <w:top w:val="nil"/>
              <w:left w:val="nil"/>
              <w:bottom w:val="nil"/>
              <w:right w:val="nil"/>
            </w:tcBorders>
            <w:shd w:val="clear" w:color="000000" w:fill="275317"/>
            <w:noWrap/>
            <w:vAlign w:val="center"/>
            <w:hideMark/>
          </w:tcPr>
          <w:p w14:paraId="075D8037"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Liquidity</w:t>
            </w:r>
          </w:p>
        </w:tc>
      </w:tr>
      <w:tr w:rsidR="00650A83" w:rsidRPr="00E9094B" w14:paraId="1AF33F50" w14:textId="77777777" w:rsidTr="00494876">
        <w:trPr>
          <w:trHeight w:val="300"/>
        </w:trPr>
        <w:tc>
          <w:tcPr>
            <w:tcW w:w="4937" w:type="pct"/>
            <w:gridSpan w:val="6"/>
            <w:vMerge/>
            <w:tcBorders>
              <w:top w:val="nil"/>
              <w:left w:val="nil"/>
              <w:bottom w:val="nil"/>
              <w:right w:val="nil"/>
            </w:tcBorders>
            <w:vAlign w:val="center"/>
            <w:hideMark/>
          </w:tcPr>
          <w:p w14:paraId="5BE278C3"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63" w:type="pct"/>
            <w:tcBorders>
              <w:top w:val="nil"/>
              <w:left w:val="nil"/>
              <w:bottom w:val="nil"/>
              <w:right w:val="nil"/>
            </w:tcBorders>
            <w:noWrap/>
            <w:vAlign w:val="bottom"/>
            <w:hideMark/>
          </w:tcPr>
          <w:p w14:paraId="1A3FC19C"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14FC17AB" w14:textId="77777777" w:rsidTr="00494876">
        <w:trPr>
          <w:trHeight w:val="315"/>
        </w:trPr>
        <w:tc>
          <w:tcPr>
            <w:tcW w:w="4937" w:type="pct"/>
            <w:gridSpan w:val="6"/>
            <w:tcBorders>
              <w:top w:val="single" w:sz="4" w:space="0" w:color="auto"/>
              <w:left w:val="single" w:sz="4" w:space="0" w:color="auto"/>
              <w:bottom w:val="nil"/>
              <w:right w:val="single" w:sz="4" w:space="0" w:color="000000"/>
            </w:tcBorders>
            <w:shd w:val="clear" w:color="000000" w:fill="DAF2D0"/>
            <w:noWrap/>
            <w:vAlign w:val="bottom"/>
            <w:hideMark/>
          </w:tcPr>
          <w:p w14:paraId="00D0980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Current Ratio</w:t>
            </w:r>
          </w:p>
        </w:tc>
        <w:tc>
          <w:tcPr>
            <w:tcW w:w="63" w:type="pct"/>
            <w:vAlign w:val="center"/>
            <w:hideMark/>
          </w:tcPr>
          <w:p w14:paraId="5D655F0B"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480299E" w14:textId="77777777" w:rsidTr="00494876">
        <w:trPr>
          <w:trHeight w:val="315"/>
        </w:trPr>
        <w:tc>
          <w:tcPr>
            <w:tcW w:w="2733" w:type="pct"/>
            <w:tcBorders>
              <w:top w:val="single" w:sz="4" w:space="0" w:color="auto"/>
              <w:left w:val="single" w:sz="4" w:space="0" w:color="auto"/>
              <w:bottom w:val="single" w:sz="4" w:space="0" w:color="auto"/>
              <w:right w:val="single" w:sz="4" w:space="0" w:color="auto"/>
            </w:tcBorders>
            <w:noWrap/>
            <w:vAlign w:val="bottom"/>
            <w:hideMark/>
          </w:tcPr>
          <w:p w14:paraId="2624C4ED"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441" w:type="pct"/>
            <w:tcBorders>
              <w:top w:val="single" w:sz="4" w:space="0" w:color="auto"/>
              <w:left w:val="nil"/>
              <w:bottom w:val="single" w:sz="4" w:space="0" w:color="auto"/>
              <w:right w:val="single" w:sz="4" w:space="0" w:color="auto"/>
            </w:tcBorders>
            <w:noWrap/>
            <w:vAlign w:val="bottom"/>
            <w:hideMark/>
          </w:tcPr>
          <w:p w14:paraId="6BA38EB6"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41" w:type="pct"/>
            <w:tcBorders>
              <w:top w:val="single" w:sz="4" w:space="0" w:color="auto"/>
              <w:left w:val="nil"/>
              <w:bottom w:val="single" w:sz="4" w:space="0" w:color="auto"/>
              <w:right w:val="single" w:sz="4" w:space="0" w:color="auto"/>
            </w:tcBorders>
            <w:noWrap/>
            <w:vAlign w:val="bottom"/>
            <w:hideMark/>
          </w:tcPr>
          <w:p w14:paraId="7CA6DB6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41" w:type="pct"/>
            <w:tcBorders>
              <w:top w:val="single" w:sz="4" w:space="0" w:color="auto"/>
              <w:left w:val="nil"/>
              <w:bottom w:val="single" w:sz="4" w:space="0" w:color="auto"/>
              <w:right w:val="single" w:sz="4" w:space="0" w:color="auto"/>
            </w:tcBorders>
            <w:noWrap/>
            <w:vAlign w:val="bottom"/>
            <w:hideMark/>
          </w:tcPr>
          <w:p w14:paraId="283C891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41" w:type="pct"/>
            <w:tcBorders>
              <w:top w:val="single" w:sz="4" w:space="0" w:color="auto"/>
              <w:left w:val="nil"/>
              <w:bottom w:val="single" w:sz="4" w:space="0" w:color="auto"/>
              <w:right w:val="single" w:sz="4" w:space="0" w:color="auto"/>
            </w:tcBorders>
            <w:noWrap/>
            <w:vAlign w:val="bottom"/>
            <w:hideMark/>
          </w:tcPr>
          <w:p w14:paraId="3563FC84"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41" w:type="pct"/>
            <w:tcBorders>
              <w:top w:val="single" w:sz="4" w:space="0" w:color="auto"/>
              <w:left w:val="nil"/>
              <w:bottom w:val="single" w:sz="4" w:space="0" w:color="auto"/>
              <w:right w:val="single" w:sz="4" w:space="0" w:color="auto"/>
            </w:tcBorders>
            <w:noWrap/>
            <w:vAlign w:val="bottom"/>
            <w:hideMark/>
          </w:tcPr>
          <w:p w14:paraId="57DB208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3" w:type="pct"/>
            <w:vAlign w:val="center"/>
            <w:hideMark/>
          </w:tcPr>
          <w:p w14:paraId="0C7BCD5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5083A03"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43C944A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Current Assets (RMB’000)</w:t>
            </w:r>
          </w:p>
        </w:tc>
        <w:tc>
          <w:tcPr>
            <w:tcW w:w="441" w:type="pct"/>
            <w:tcBorders>
              <w:top w:val="nil"/>
              <w:left w:val="nil"/>
              <w:bottom w:val="single" w:sz="4" w:space="0" w:color="auto"/>
              <w:right w:val="single" w:sz="4" w:space="0" w:color="auto"/>
            </w:tcBorders>
            <w:noWrap/>
            <w:vAlign w:val="bottom"/>
            <w:hideMark/>
          </w:tcPr>
          <w:p w14:paraId="1B5C761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166,110,189</w:t>
            </w:r>
          </w:p>
        </w:tc>
        <w:tc>
          <w:tcPr>
            <w:tcW w:w="441" w:type="pct"/>
            <w:tcBorders>
              <w:top w:val="nil"/>
              <w:left w:val="nil"/>
              <w:bottom w:val="single" w:sz="4" w:space="0" w:color="auto"/>
              <w:right w:val="single" w:sz="4" w:space="0" w:color="auto"/>
            </w:tcBorders>
            <w:noWrap/>
            <w:vAlign w:val="bottom"/>
            <w:hideMark/>
          </w:tcPr>
          <w:p w14:paraId="452C2B8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240,803,507</w:t>
            </w:r>
          </w:p>
        </w:tc>
        <w:tc>
          <w:tcPr>
            <w:tcW w:w="441" w:type="pct"/>
            <w:tcBorders>
              <w:top w:val="nil"/>
              <w:left w:val="nil"/>
              <w:bottom w:val="single" w:sz="4" w:space="0" w:color="auto"/>
              <w:right w:val="single" w:sz="4" w:space="0" w:color="auto"/>
            </w:tcBorders>
            <w:noWrap/>
            <w:vAlign w:val="bottom"/>
            <w:hideMark/>
          </w:tcPr>
          <w:p w14:paraId="4A8D95B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302,121,446</w:t>
            </w:r>
          </w:p>
        </w:tc>
        <w:tc>
          <w:tcPr>
            <w:tcW w:w="441" w:type="pct"/>
            <w:tcBorders>
              <w:top w:val="nil"/>
              <w:left w:val="nil"/>
              <w:bottom w:val="single" w:sz="4" w:space="0" w:color="auto"/>
              <w:right w:val="single" w:sz="4" w:space="0" w:color="auto"/>
            </w:tcBorders>
            <w:noWrap/>
            <w:vAlign w:val="bottom"/>
            <w:hideMark/>
          </w:tcPr>
          <w:p w14:paraId="34B604A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370,572,244</w:t>
            </w:r>
          </w:p>
        </w:tc>
        <w:tc>
          <w:tcPr>
            <w:tcW w:w="441" w:type="pct"/>
            <w:tcBorders>
              <w:top w:val="nil"/>
              <w:left w:val="nil"/>
              <w:bottom w:val="single" w:sz="4" w:space="0" w:color="auto"/>
              <w:right w:val="single" w:sz="4" w:space="0" w:color="auto"/>
            </w:tcBorders>
            <w:noWrap/>
            <w:vAlign w:val="bottom"/>
            <w:hideMark/>
          </w:tcPr>
          <w:p w14:paraId="45DDF6E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371,467,558</w:t>
            </w:r>
          </w:p>
        </w:tc>
        <w:tc>
          <w:tcPr>
            <w:tcW w:w="63" w:type="pct"/>
            <w:vAlign w:val="center"/>
            <w:hideMark/>
          </w:tcPr>
          <w:p w14:paraId="6F54D8A6"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A78C68B"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47A65989"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Current Liabilities (RMB’000)</w:t>
            </w:r>
          </w:p>
        </w:tc>
        <w:tc>
          <w:tcPr>
            <w:tcW w:w="441" w:type="pct"/>
            <w:tcBorders>
              <w:top w:val="nil"/>
              <w:left w:val="nil"/>
              <w:bottom w:val="single" w:sz="4" w:space="0" w:color="auto"/>
              <w:right w:val="single" w:sz="4" w:space="0" w:color="auto"/>
            </w:tcBorders>
            <w:noWrap/>
            <w:vAlign w:val="bottom"/>
            <w:hideMark/>
          </w:tcPr>
          <w:p w14:paraId="53C5AB7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171,303,944</w:t>
            </w:r>
          </w:p>
        </w:tc>
        <w:tc>
          <w:tcPr>
            <w:tcW w:w="441" w:type="pct"/>
            <w:tcBorders>
              <w:top w:val="nil"/>
              <w:left w:val="nil"/>
              <w:bottom w:val="single" w:sz="4" w:space="0" w:color="auto"/>
              <w:right w:val="single" w:sz="4" w:space="0" w:color="auto"/>
            </w:tcBorders>
            <w:noWrap/>
            <w:vAlign w:val="bottom"/>
            <w:hideMark/>
          </w:tcPr>
          <w:p w14:paraId="614F039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333,344,561</w:t>
            </w:r>
          </w:p>
        </w:tc>
        <w:tc>
          <w:tcPr>
            <w:tcW w:w="441" w:type="pct"/>
            <w:tcBorders>
              <w:top w:val="nil"/>
              <w:left w:val="nil"/>
              <w:bottom w:val="single" w:sz="4" w:space="0" w:color="auto"/>
              <w:right w:val="single" w:sz="4" w:space="0" w:color="auto"/>
            </w:tcBorders>
            <w:noWrap/>
            <w:vAlign w:val="bottom"/>
            <w:hideMark/>
          </w:tcPr>
          <w:p w14:paraId="2F4A77A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453,666,671</w:t>
            </w:r>
          </w:p>
        </w:tc>
        <w:tc>
          <w:tcPr>
            <w:tcW w:w="441" w:type="pct"/>
            <w:tcBorders>
              <w:top w:val="nil"/>
              <w:left w:val="nil"/>
              <w:bottom w:val="single" w:sz="4" w:space="0" w:color="auto"/>
              <w:right w:val="single" w:sz="4" w:space="0" w:color="auto"/>
            </w:tcBorders>
            <w:noWrap/>
            <w:vAlign w:val="bottom"/>
            <w:hideMark/>
          </w:tcPr>
          <w:p w14:paraId="56DCFE6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495,985,176</w:t>
            </w:r>
          </w:p>
        </w:tc>
        <w:tc>
          <w:tcPr>
            <w:tcW w:w="441" w:type="pct"/>
            <w:tcBorders>
              <w:top w:val="nil"/>
              <w:left w:val="nil"/>
              <w:bottom w:val="single" w:sz="4" w:space="0" w:color="auto"/>
              <w:right w:val="single" w:sz="4" w:space="0" w:color="auto"/>
            </w:tcBorders>
            <w:noWrap/>
            <w:vAlign w:val="bottom"/>
            <w:hideMark/>
          </w:tcPr>
          <w:p w14:paraId="7719CE1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468,451,357</w:t>
            </w:r>
          </w:p>
        </w:tc>
        <w:tc>
          <w:tcPr>
            <w:tcW w:w="63" w:type="pct"/>
            <w:vAlign w:val="center"/>
            <w:hideMark/>
          </w:tcPr>
          <w:p w14:paraId="3403A25E"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9B2F9D6"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56658688"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Current Ratio = Current Assets ÷ Current Liabilities</w:t>
            </w:r>
          </w:p>
        </w:tc>
        <w:tc>
          <w:tcPr>
            <w:tcW w:w="441" w:type="pct"/>
            <w:tcBorders>
              <w:top w:val="nil"/>
              <w:left w:val="nil"/>
              <w:bottom w:val="single" w:sz="4" w:space="0" w:color="auto"/>
              <w:right w:val="single" w:sz="4" w:space="0" w:color="auto"/>
            </w:tcBorders>
            <w:noWrap/>
            <w:vAlign w:val="bottom"/>
            <w:hideMark/>
          </w:tcPr>
          <w:p w14:paraId="0FE6E68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0.97</w:t>
            </w:r>
          </w:p>
        </w:tc>
        <w:tc>
          <w:tcPr>
            <w:tcW w:w="441" w:type="pct"/>
            <w:tcBorders>
              <w:top w:val="nil"/>
              <w:left w:val="nil"/>
              <w:bottom w:val="single" w:sz="4" w:space="0" w:color="auto"/>
              <w:right w:val="single" w:sz="4" w:space="0" w:color="auto"/>
            </w:tcBorders>
            <w:noWrap/>
            <w:vAlign w:val="bottom"/>
            <w:hideMark/>
          </w:tcPr>
          <w:p w14:paraId="28276C3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0.72</w:t>
            </w:r>
          </w:p>
        </w:tc>
        <w:tc>
          <w:tcPr>
            <w:tcW w:w="441" w:type="pct"/>
            <w:tcBorders>
              <w:top w:val="nil"/>
              <w:left w:val="nil"/>
              <w:bottom w:val="single" w:sz="4" w:space="0" w:color="auto"/>
              <w:right w:val="single" w:sz="4" w:space="0" w:color="auto"/>
            </w:tcBorders>
            <w:noWrap/>
            <w:vAlign w:val="bottom"/>
            <w:hideMark/>
          </w:tcPr>
          <w:p w14:paraId="0B6F4E4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0.67</w:t>
            </w:r>
          </w:p>
        </w:tc>
        <w:tc>
          <w:tcPr>
            <w:tcW w:w="441" w:type="pct"/>
            <w:tcBorders>
              <w:top w:val="nil"/>
              <w:left w:val="nil"/>
              <w:bottom w:val="single" w:sz="4" w:space="0" w:color="auto"/>
              <w:right w:val="single" w:sz="4" w:space="0" w:color="auto"/>
            </w:tcBorders>
            <w:noWrap/>
            <w:vAlign w:val="bottom"/>
            <w:hideMark/>
          </w:tcPr>
          <w:p w14:paraId="481ABA8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0.75</w:t>
            </w:r>
          </w:p>
        </w:tc>
        <w:tc>
          <w:tcPr>
            <w:tcW w:w="441" w:type="pct"/>
            <w:tcBorders>
              <w:top w:val="nil"/>
              <w:left w:val="nil"/>
              <w:bottom w:val="single" w:sz="4" w:space="0" w:color="auto"/>
              <w:right w:val="single" w:sz="4" w:space="0" w:color="auto"/>
            </w:tcBorders>
            <w:noWrap/>
            <w:vAlign w:val="bottom"/>
            <w:hideMark/>
          </w:tcPr>
          <w:p w14:paraId="4472CAD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0.79</w:t>
            </w:r>
          </w:p>
        </w:tc>
        <w:tc>
          <w:tcPr>
            <w:tcW w:w="63" w:type="pct"/>
            <w:vAlign w:val="center"/>
            <w:hideMark/>
          </w:tcPr>
          <w:p w14:paraId="02DCBFB3"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0DA57A0" w14:textId="77777777" w:rsidTr="00494876">
        <w:trPr>
          <w:trHeight w:val="315"/>
        </w:trPr>
        <w:tc>
          <w:tcPr>
            <w:tcW w:w="4937"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12276F5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Quick Ratio (Acid-Test Ratio)</w:t>
            </w:r>
          </w:p>
        </w:tc>
        <w:tc>
          <w:tcPr>
            <w:tcW w:w="63" w:type="pct"/>
            <w:vAlign w:val="center"/>
            <w:hideMark/>
          </w:tcPr>
          <w:p w14:paraId="0DE7635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B2707DE"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53603AE3"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41" w:type="pct"/>
            <w:tcBorders>
              <w:top w:val="nil"/>
              <w:left w:val="nil"/>
              <w:bottom w:val="single" w:sz="4" w:space="0" w:color="auto"/>
              <w:right w:val="single" w:sz="4" w:space="0" w:color="auto"/>
            </w:tcBorders>
            <w:noWrap/>
            <w:vAlign w:val="bottom"/>
            <w:hideMark/>
          </w:tcPr>
          <w:p w14:paraId="2DC0054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41" w:type="pct"/>
            <w:tcBorders>
              <w:top w:val="nil"/>
              <w:left w:val="nil"/>
              <w:bottom w:val="single" w:sz="4" w:space="0" w:color="auto"/>
              <w:right w:val="single" w:sz="4" w:space="0" w:color="auto"/>
            </w:tcBorders>
            <w:noWrap/>
            <w:vAlign w:val="bottom"/>
            <w:hideMark/>
          </w:tcPr>
          <w:p w14:paraId="3A97994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41" w:type="pct"/>
            <w:tcBorders>
              <w:top w:val="nil"/>
              <w:left w:val="nil"/>
              <w:bottom w:val="single" w:sz="4" w:space="0" w:color="auto"/>
              <w:right w:val="single" w:sz="4" w:space="0" w:color="auto"/>
            </w:tcBorders>
            <w:noWrap/>
            <w:vAlign w:val="bottom"/>
            <w:hideMark/>
          </w:tcPr>
          <w:p w14:paraId="64DF6DB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41" w:type="pct"/>
            <w:tcBorders>
              <w:top w:val="nil"/>
              <w:left w:val="nil"/>
              <w:bottom w:val="single" w:sz="4" w:space="0" w:color="auto"/>
              <w:right w:val="single" w:sz="4" w:space="0" w:color="auto"/>
            </w:tcBorders>
            <w:noWrap/>
            <w:vAlign w:val="bottom"/>
            <w:hideMark/>
          </w:tcPr>
          <w:p w14:paraId="6A80DF2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41" w:type="pct"/>
            <w:tcBorders>
              <w:top w:val="nil"/>
              <w:left w:val="nil"/>
              <w:bottom w:val="single" w:sz="4" w:space="0" w:color="auto"/>
              <w:right w:val="single" w:sz="4" w:space="0" w:color="auto"/>
            </w:tcBorders>
            <w:noWrap/>
            <w:vAlign w:val="bottom"/>
            <w:hideMark/>
          </w:tcPr>
          <w:p w14:paraId="6CFE5EB8"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3" w:type="pct"/>
            <w:vAlign w:val="center"/>
            <w:hideMark/>
          </w:tcPr>
          <w:p w14:paraId="75849A7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E834071"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2365CFDA"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Current Assets (RMB’000)</w:t>
            </w:r>
          </w:p>
        </w:tc>
        <w:tc>
          <w:tcPr>
            <w:tcW w:w="441" w:type="pct"/>
            <w:tcBorders>
              <w:top w:val="nil"/>
              <w:left w:val="nil"/>
              <w:bottom w:val="single" w:sz="4" w:space="0" w:color="auto"/>
              <w:right w:val="single" w:sz="4" w:space="0" w:color="auto"/>
            </w:tcBorders>
            <w:noWrap/>
            <w:vAlign w:val="bottom"/>
            <w:hideMark/>
          </w:tcPr>
          <w:p w14:paraId="13E3AFF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166,110,189</w:t>
            </w:r>
          </w:p>
        </w:tc>
        <w:tc>
          <w:tcPr>
            <w:tcW w:w="441" w:type="pct"/>
            <w:tcBorders>
              <w:top w:val="nil"/>
              <w:left w:val="nil"/>
              <w:bottom w:val="single" w:sz="4" w:space="0" w:color="auto"/>
              <w:right w:val="single" w:sz="4" w:space="0" w:color="auto"/>
            </w:tcBorders>
            <w:noWrap/>
            <w:vAlign w:val="bottom"/>
            <w:hideMark/>
          </w:tcPr>
          <w:p w14:paraId="20E190E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240,803,507</w:t>
            </w:r>
          </w:p>
        </w:tc>
        <w:tc>
          <w:tcPr>
            <w:tcW w:w="441" w:type="pct"/>
            <w:tcBorders>
              <w:top w:val="nil"/>
              <w:left w:val="nil"/>
              <w:bottom w:val="single" w:sz="4" w:space="0" w:color="auto"/>
              <w:right w:val="single" w:sz="4" w:space="0" w:color="auto"/>
            </w:tcBorders>
            <w:noWrap/>
            <w:vAlign w:val="bottom"/>
            <w:hideMark/>
          </w:tcPr>
          <w:p w14:paraId="088104C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302,121,446</w:t>
            </w:r>
          </w:p>
        </w:tc>
        <w:tc>
          <w:tcPr>
            <w:tcW w:w="441" w:type="pct"/>
            <w:tcBorders>
              <w:top w:val="nil"/>
              <w:left w:val="nil"/>
              <w:bottom w:val="single" w:sz="4" w:space="0" w:color="auto"/>
              <w:right w:val="single" w:sz="4" w:space="0" w:color="auto"/>
            </w:tcBorders>
            <w:noWrap/>
            <w:vAlign w:val="bottom"/>
            <w:hideMark/>
          </w:tcPr>
          <w:p w14:paraId="58A005E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370,572,244</w:t>
            </w:r>
          </w:p>
        </w:tc>
        <w:tc>
          <w:tcPr>
            <w:tcW w:w="441" w:type="pct"/>
            <w:tcBorders>
              <w:top w:val="nil"/>
              <w:left w:val="nil"/>
              <w:bottom w:val="single" w:sz="4" w:space="0" w:color="auto"/>
              <w:right w:val="single" w:sz="4" w:space="0" w:color="auto"/>
            </w:tcBorders>
            <w:noWrap/>
            <w:vAlign w:val="bottom"/>
            <w:hideMark/>
          </w:tcPr>
          <w:p w14:paraId="0E0E513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371,467,558</w:t>
            </w:r>
          </w:p>
        </w:tc>
        <w:tc>
          <w:tcPr>
            <w:tcW w:w="63" w:type="pct"/>
            <w:vAlign w:val="center"/>
            <w:hideMark/>
          </w:tcPr>
          <w:p w14:paraId="564DB771"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5738C1E"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0C4C1974"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Inventory (RMB’000)</w:t>
            </w:r>
          </w:p>
        </w:tc>
        <w:tc>
          <w:tcPr>
            <w:tcW w:w="441" w:type="pct"/>
            <w:tcBorders>
              <w:top w:val="nil"/>
              <w:left w:val="nil"/>
              <w:bottom w:val="single" w:sz="4" w:space="0" w:color="auto"/>
              <w:right w:val="single" w:sz="4" w:space="0" w:color="auto"/>
            </w:tcBorders>
            <w:noWrap/>
            <w:vAlign w:val="bottom"/>
            <w:hideMark/>
          </w:tcPr>
          <w:p w14:paraId="5E7927E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43,354,782</w:t>
            </w:r>
          </w:p>
        </w:tc>
        <w:tc>
          <w:tcPr>
            <w:tcW w:w="441" w:type="pct"/>
            <w:tcBorders>
              <w:top w:val="nil"/>
              <w:left w:val="nil"/>
              <w:bottom w:val="single" w:sz="4" w:space="0" w:color="auto"/>
              <w:right w:val="single" w:sz="4" w:space="0" w:color="auto"/>
            </w:tcBorders>
            <w:noWrap/>
            <w:vAlign w:val="bottom"/>
            <w:hideMark/>
          </w:tcPr>
          <w:p w14:paraId="68FD45B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79,107,199</w:t>
            </w:r>
          </w:p>
        </w:tc>
        <w:tc>
          <w:tcPr>
            <w:tcW w:w="441" w:type="pct"/>
            <w:tcBorders>
              <w:top w:val="nil"/>
              <w:left w:val="nil"/>
              <w:bottom w:val="single" w:sz="4" w:space="0" w:color="auto"/>
              <w:right w:val="single" w:sz="4" w:space="0" w:color="auto"/>
            </w:tcBorders>
            <w:noWrap/>
            <w:vAlign w:val="bottom"/>
            <w:hideMark/>
          </w:tcPr>
          <w:p w14:paraId="5768C4D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87,676,748</w:t>
            </w:r>
          </w:p>
        </w:tc>
        <w:tc>
          <w:tcPr>
            <w:tcW w:w="441" w:type="pct"/>
            <w:tcBorders>
              <w:top w:val="nil"/>
              <w:left w:val="nil"/>
              <w:bottom w:val="single" w:sz="4" w:space="0" w:color="auto"/>
              <w:right w:val="single" w:sz="4" w:space="0" w:color="auto"/>
            </w:tcBorders>
            <w:noWrap/>
            <w:vAlign w:val="bottom"/>
            <w:hideMark/>
          </w:tcPr>
          <w:p w14:paraId="6955396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116,036,237</w:t>
            </w:r>
          </w:p>
        </w:tc>
        <w:tc>
          <w:tcPr>
            <w:tcW w:w="441" w:type="pct"/>
            <w:tcBorders>
              <w:top w:val="nil"/>
              <w:left w:val="nil"/>
              <w:bottom w:val="single" w:sz="4" w:space="0" w:color="auto"/>
              <w:right w:val="single" w:sz="4" w:space="0" w:color="auto"/>
            </w:tcBorders>
            <w:noWrap/>
            <w:vAlign w:val="bottom"/>
            <w:hideMark/>
          </w:tcPr>
          <w:p w14:paraId="0587626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138,420,580</w:t>
            </w:r>
          </w:p>
        </w:tc>
        <w:tc>
          <w:tcPr>
            <w:tcW w:w="63" w:type="pct"/>
            <w:vAlign w:val="center"/>
            <w:hideMark/>
          </w:tcPr>
          <w:p w14:paraId="35D708A6"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BC00D21"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0CD31D2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lastRenderedPageBreak/>
              <w:t>Current Liabilities (RMB’000)</w:t>
            </w:r>
          </w:p>
        </w:tc>
        <w:tc>
          <w:tcPr>
            <w:tcW w:w="441" w:type="pct"/>
            <w:tcBorders>
              <w:top w:val="nil"/>
              <w:left w:val="nil"/>
              <w:bottom w:val="single" w:sz="4" w:space="0" w:color="auto"/>
              <w:right w:val="single" w:sz="4" w:space="0" w:color="auto"/>
            </w:tcBorders>
            <w:noWrap/>
            <w:vAlign w:val="bottom"/>
            <w:hideMark/>
          </w:tcPr>
          <w:p w14:paraId="1A11911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171,303,944</w:t>
            </w:r>
          </w:p>
        </w:tc>
        <w:tc>
          <w:tcPr>
            <w:tcW w:w="441" w:type="pct"/>
            <w:tcBorders>
              <w:top w:val="nil"/>
              <w:left w:val="nil"/>
              <w:bottom w:val="single" w:sz="4" w:space="0" w:color="auto"/>
              <w:right w:val="single" w:sz="4" w:space="0" w:color="auto"/>
            </w:tcBorders>
            <w:noWrap/>
            <w:vAlign w:val="bottom"/>
            <w:hideMark/>
          </w:tcPr>
          <w:p w14:paraId="2EF732B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333,344,561</w:t>
            </w:r>
          </w:p>
        </w:tc>
        <w:tc>
          <w:tcPr>
            <w:tcW w:w="441" w:type="pct"/>
            <w:tcBorders>
              <w:top w:val="nil"/>
              <w:left w:val="nil"/>
              <w:bottom w:val="single" w:sz="4" w:space="0" w:color="auto"/>
              <w:right w:val="single" w:sz="4" w:space="0" w:color="auto"/>
            </w:tcBorders>
            <w:noWrap/>
            <w:vAlign w:val="bottom"/>
            <w:hideMark/>
          </w:tcPr>
          <w:p w14:paraId="5C613B6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453,666,671</w:t>
            </w:r>
          </w:p>
        </w:tc>
        <w:tc>
          <w:tcPr>
            <w:tcW w:w="441" w:type="pct"/>
            <w:tcBorders>
              <w:top w:val="nil"/>
              <w:left w:val="nil"/>
              <w:bottom w:val="single" w:sz="4" w:space="0" w:color="auto"/>
              <w:right w:val="single" w:sz="4" w:space="0" w:color="auto"/>
            </w:tcBorders>
            <w:noWrap/>
            <w:vAlign w:val="bottom"/>
            <w:hideMark/>
          </w:tcPr>
          <w:p w14:paraId="193166C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495,985,176</w:t>
            </w:r>
          </w:p>
        </w:tc>
        <w:tc>
          <w:tcPr>
            <w:tcW w:w="441" w:type="pct"/>
            <w:tcBorders>
              <w:top w:val="nil"/>
              <w:left w:val="nil"/>
              <w:bottom w:val="single" w:sz="4" w:space="0" w:color="auto"/>
              <w:right w:val="single" w:sz="4" w:space="0" w:color="auto"/>
            </w:tcBorders>
            <w:noWrap/>
            <w:vAlign w:val="bottom"/>
            <w:hideMark/>
          </w:tcPr>
          <w:p w14:paraId="1740407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468,451,357</w:t>
            </w:r>
          </w:p>
        </w:tc>
        <w:tc>
          <w:tcPr>
            <w:tcW w:w="63" w:type="pct"/>
            <w:vAlign w:val="center"/>
            <w:hideMark/>
          </w:tcPr>
          <w:p w14:paraId="16F54E0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3B79554" w14:textId="77777777" w:rsidTr="00494876">
        <w:trPr>
          <w:trHeight w:val="315"/>
        </w:trPr>
        <w:tc>
          <w:tcPr>
            <w:tcW w:w="2733" w:type="pct"/>
            <w:tcBorders>
              <w:top w:val="nil"/>
              <w:left w:val="single" w:sz="4" w:space="0" w:color="auto"/>
              <w:bottom w:val="single" w:sz="4" w:space="0" w:color="auto"/>
              <w:right w:val="single" w:sz="4" w:space="0" w:color="auto"/>
            </w:tcBorders>
            <w:noWrap/>
            <w:vAlign w:val="bottom"/>
            <w:hideMark/>
          </w:tcPr>
          <w:p w14:paraId="71C4A4F8"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Quick Ratio (Acid-Test Ratio) = (Current Assets − Inventory) ÷ Current Liabilities</w:t>
            </w:r>
          </w:p>
        </w:tc>
        <w:tc>
          <w:tcPr>
            <w:tcW w:w="441" w:type="pct"/>
            <w:tcBorders>
              <w:top w:val="nil"/>
              <w:left w:val="nil"/>
              <w:bottom w:val="single" w:sz="4" w:space="0" w:color="auto"/>
              <w:right w:val="single" w:sz="4" w:space="0" w:color="auto"/>
            </w:tcBorders>
            <w:noWrap/>
            <w:vAlign w:val="bottom"/>
            <w:hideMark/>
          </w:tcPr>
          <w:p w14:paraId="1FF9B33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0.72</w:t>
            </w:r>
          </w:p>
        </w:tc>
        <w:tc>
          <w:tcPr>
            <w:tcW w:w="441" w:type="pct"/>
            <w:tcBorders>
              <w:top w:val="nil"/>
              <w:left w:val="nil"/>
              <w:bottom w:val="single" w:sz="4" w:space="0" w:color="auto"/>
              <w:right w:val="single" w:sz="4" w:space="0" w:color="auto"/>
            </w:tcBorders>
            <w:noWrap/>
            <w:vAlign w:val="bottom"/>
            <w:hideMark/>
          </w:tcPr>
          <w:p w14:paraId="495CCE7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0.49</w:t>
            </w:r>
          </w:p>
        </w:tc>
        <w:tc>
          <w:tcPr>
            <w:tcW w:w="441" w:type="pct"/>
            <w:tcBorders>
              <w:top w:val="nil"/>
              <w:left w:val="nil"/>
              <w:bottom w:val="single" w:sz="4" w:space="0" w:color="auto"/>
              <w:right w:val="single" w:sz="4" w:space="0" w:color="auto"/>
            </w:tcBorders>
            <w:noWrap/>
            <w:vAlign w:val="bottom"/>
            <w:hideMark/>
          </w:tcPr>
          <w:p w14:paraId="086ABA9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0.47</w:t>
            </w:r>
          </w:p>
        </w:tc>
        <w:tc>
          <w:tcPr>
            <w:tcW w:w="441" w:type="pct"/>
            <w:tcBorders>
              <w:top w:val="nil"/>
              <w:left w:val="nil"/>
              <w:bottom w:val="single" w:sz="4" w:space="0" w:color="auto"/>
              <w:right w:val="single" w:sz="4" w:space="0" w:color="auto"/>
            </w:tcBorders>
            <w:noWrap/>
            <w:vAlign w:val="bottom"/>
            <w:hideMark/>
          </w:tcPr>
          <w:p w14:paraId="01855EF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0.51</w:t>
            </w:r>
          </w:p>
        </w:tc>
        <w:tc>
          <w:tcPr>
            <w:tcW w:w="441" w:type="pct"/>
            <w:tcBorders>
              <w:top w:val="nil"/>
              <w:left w:val="nil"/>
              <w:bottom w:val="single" w:sz="4" w:space="0" w:color="auto"/>
              <w:right w:val="single" w:sz="4" w:space="0" w:color="auto"/>
            </w:tcBorders>
            <w:noWrap/>
            <w:vAlign w:val="bottom"/>
            <w:hideMark/>
          </w:tcPr>
          <w:p w14:paraId="74990C5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0.50</w:t>
            </w:r>
          </w:p>
        </w:tc>
        <w:tc>
          <w:tcPr>
            <w:tcW w:w="63" w:type="pct"/>
            <w:vAlign w:val="center"/>
            <w:hideMark/>
          </w:tcPr>
          <w:p w14:paraId="2E7B1A95"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74E89121" w14:textId="77777777" w:rsidR="00650A83" w:rsidRDefault="00650A83" w:rsidP="00650A83"/>
    <w:p w14:paraId="1914821F" w14:textId="77777777" w:rsidR="00650A83" w:rsidRDefault="00650A83" w:rsidP="00650A83">
      <w:r w:rsidRPr="00FF05EF">
        <w:t>Efficiency</w:t>
      </w:r>
    </w:p>
    <w:tbl>
      <w:tblPr>
        <w:tblW w:w="5000" w:type="pct"/>
        <w:tblLook w:val="04A0" w:firstRow="1" w:lastRow="0" w:firstColumn="1" w:lastColumn="0" w:noHBand="0" w:noVBand="1"/>
      </w:tblPr>
      <w:tblGrid>
        <w:gridCol w:w="4404"/>
        <w:gridCol w:w="923"/>
        <w:gridCol w:w="923"/>
        <w:gridCol w:w="923"/>
        <w:gridCol w:w="984"/>
        <w:gridCol w:w="984"/>
        <w:gridCol w:w="219"/>
      </w:tblGrid>
      <w:tr w:rsidR="00650A83" w:rsidRPr="00E9094B" w14:paraId="586619A4" w14:textId="77777777" w:rsidTr="00494876">
        <w:trPr>
          <w:gridAfter w:val="1"/>
          <w:wAfter w:w="59" w:type="pct"/>
          <w:trHeight w:val="552"/>
        </w:trPr>
        <w:tc>
          <w:tcPr>
            <w:tcW w:w="4941" w:type="pct"/>
            <w:gridSpan w:val="6"/>
            <w:vMerge w:val="restart"/>
            <w:tcBorders>
              <w:top w:val="nil"/>
              <w:left w:val="nil"/>
              <w:bottom w:val="nil"/>
              <w:right w:val="nil"/>
            </w:tcBorders>
            <w:shd w:val="clear" w:color="000000" w:fill="275317"/>
            <w:noWrap/>
            <w:vAlign w:val="center"/>
            <w:hideMark/>
          </w:tcPr>
          <w:p w14:paraId="42D09EBA"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Efficiency</w:t>
            </w:r>
          </w:p>
        </w:tc>
      </w:tr>
      <w:tr w:rsidR="00650A83" w:rsidRPr="00E9094B" w14:paraId="2A4CC10A" w14:textId="77777777" w:rsidTr="00494876">
        <w:trPr>
          <w:trHeight w:val="300"/>
        </w:trPr>
        <w:tc>
          <w:tcPr>
            <w:tcW w:w="4941" w:type="pct"/>
            <w:gridSpan w:val="6"/>
            <w:vMerge/>
            <w:tcBorders>
              <w:top w:val="nil"/>
              <w:left w:val="nil"/>
              <w:bottom w:val="nil"/>
              <w:right w:val="nil"/>
            </w:tcBorders>
            <w:vAlign w:val="center"/>
            <w:hideMark/>
          </w:tcPr>
          <w:p w14:paraId="5FF27AC6"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59" w:type="pct"/>
            <w:tcBorders>
              <w:top w:val="nil"/>
              <w:left w:val="nil"/>
              <w:bottom w:val="nil"/>
              <w:right w:val="nil"/>
            </w:tcBorders>
            <w:noWrap/>
            <w:vAlign w:val="bottom"/>
            <w:hideMark/>
          </w:tcPr>
          <w:p w14:paraId="745CE1BB"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2DE70780" w14:textId="77777777" w:rsidTr="00494876">
        <w:trPr>
          <w:trHeight w:val="315"/>
        </w:trPr>
        <w:tc>
          <w:tcPr>
            <w:tcW w:w="4941"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5D966B1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Inventory Turnover</w:t>
            </w:r>
          </w:p>
        </w:tc>
        <w:tc>
          <w:tcPr>
            <w:tcW w:w="59" w:type="pct"/>
            <w:vAlign w:val="center"/>
            <w:hideMark/>
          </w:tcPr>
          <w:p w14:paraId="6E96E54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B7FFB58"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1317753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464" w:type="pct"/>
            <w:tcBorders>
              <w:top w:val="nil"/>
              <w:left w:val="nil"/>
              <w:bottom w:val="single" w:sz="4" w:space="0" w:color="auto"/>
              <w:right w:val="single" w:sz="4" w:space="0" w:color="auto"/>
            </w:tcBorders>
            <w:noWrap/>
            <w:vAlign w:val="bottom"/>
            <w:hideMark/>
          </w:tcPr>
          <w:p w14:paraId="05F8B64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4" w:type="pct"/>
            <w:tcBorders>
              <w:top w:val="nil"/>
              <w:left w:val="nil"/>
              <w:bottom w:val="single" w:sz="4" w:space="0" w:color="auto"/>
              <w:right w:val="single" w:sz="4" w:space="0" w:color="auto"/>
            </w:tcBorders>
            <w:noWrap/>
            <w:vAlign w:val="bottom"/>
            <w:hideMark/>
          </w:tcPr>
          <w:p w14:paraId="31752F2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4" w:type="pct"/>
            <w:tcBorders>
              <w:top w:val="nil"/>
              <w:left w:val="nil"/>
              <w:bottom w:val="single" w:sz="4" w:space="0" w:color="auto"/>
              <w:right w:val="single" w:sz="4" w:space="0" w:color="auto"/>
            </w:tcBorders>
            <w:noWrap/>
            <w:vAlign w:val="bottom"/>
            <w:hideMark/>
          </w:tcPr>
          <w:p w14:paraId="779E22C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500" w:type="pct"/>
            <w:tcBorders>
              <w:top w:val="nil"/>
              <w:left w:val="nil"/>
              <w:bottom w:val="single" w:sz="4" w:space="0" w:color="auto"/>
              <w:right w:val="single" w:sz="4" w:space="0" w:color="auto"/>
            </w:tcBorders>
            <w:noWrap/>
            <w:vAlign w:val="bottom"/>
            <w:hideMark/>
          </w:tcPr>
          <w:p w14:paraId="08A9676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500" w:type="pct"/>
            <w:tcBorders>
              <w:top w:val="nil"/>
              <w:left w:val="nil"/>
              <w:bottom w:val="single" w:sz="4" w:space="0" w:color="auto"/>
              <w:right w:val="single" w:sz="4" w:space="0" w:color="auto"/>
            </w:tcBorders>
            <w:noWrap/>
            <w:vAlign w:val="bottom"/>
            <w:hideMark/>
          </w:tcPr>
          <w:p w14:paraId="65F0303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59" w:type="pct"/>
            <w:vAlign w:val="center"/>
            <w:hideMark/>
          </w:tcPr>
          <w:p w14:paraId="4A773D85"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089934B"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57DA4B9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Cost of Sales (RMB’000)</w:t>
            </w:r>
          </w:p>
        </w:tc>
        <w:tc>
          <w:tcPr>
            <w:tcW w:w="464" w:type="pct"/>
            <w:tcBorders>
              <w:top w:val="nil"/>
              <w:left w:val="nil"/>
              <w:bottom w:val="single" w:sz="4" w:space="0" w:color="auto"/>
              <w:right w:val="single" w:sz="4" w:space="0" w:color="auto"/>
            </w:tcBorders>
            <w:noWrap/>
            <w:vAlign w:val="bottom"/>
            <w:hideMark/>
          </w:tcPr>
          <w:p w14:paraId="6C93AE6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187,667,357</w:t>
            </w:r>
          </w:p>
        </w:tc>
        <w:tc>
          <w:tcPr>
            <w:tcW w:w="464" w:type="pct"/>
            <w:tcBorders>
              <w:top w:val="nil"/>
              <w:left w:val="nil"/>
              <w:bottom w:val="single" w:sz="4" w:space="0" w:color="auto"/>
              <w:right w:val="single" w:sz="4" w:space="0" w:color="auto"/>
            </w:tcBorders>
            <w:noWrap/>
            <w:vAlign w:val="bottom"/>
            <w:hideMark/>
          </w:tcPr>
          <w:p w14:paraId="7896CCF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351,815,680</w:t>
            </w:r>
          </w:p>
        </w:tc>
        <w:tc>
          <w:tcPr>
            <w:tcW w:w="464" w:type="pct"/>
            <w:tcBorders>
              <w:top w:val="nil"/>
              <w:left w:val="nil"/>
              <w:bottom w:val="single" w:sz="4" w:space="0" w:color="auto"/>
              <w:right w:val="single" w:sz="4" w:space="0" w:color="auto"/>
            </w:tcBorders>
            <w:noWrap/>
            <w:vAlign w:val="bottom"/>
            <w:hideMark/>
          </w:tcPr>
          <w:p w14:paraId="4C41B28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480,558,350</w:t>
            </w:r>
          </w:p>
        </w:tc>
        <w:tc>
          <w:tcPr>
            <w:tcW w:w="500" w:type="pct"/>
            <w:tcBorders>
              <w:top w:val="nil"/>
              <w:left w:val="nil"/>
              <w:bottom w:val="single" w:sz="4" w:space="0" w:color="auto"/>
              <w:right w:val="single" w:sz="4" w:space="0" w:color="auto"/>
            </w:tcBorders>
            <w:noWrap/>
            <w:vAlign w:val="bottom"/>
            <w:hideMark/>
          </w:tcPr>
          <w:p w14:paraId="0F6B226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626,046,616</w:t>
            </w:r>
          </w:p>
        </w:tc>
        <w:tc>
          <w:tcPr>
            <w:tcW w:w="500" w:type="pct"/>
            <w:tcBorders>
              <w:top w:val="nil"/>
              <w:left w:val="nil"/>
              <w:bottom w:val="single" w:sz="4" w:space="0" w:color="auto"/>
              <w:right w:val="single" w:sz="4" w:space="0" w:color="auto"/>
            </w:tcBorders>
            <w:noWrap/>
            <w:vAlign w:val="bottom"/>
            <w:hideMark/>
          </w:tcPr>
          <w:p w14:paraId="1C130A0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661,305,161</w:t>
            </w:r>
          </w:p>
        </w:tc>
        <w:tc>
          <w:tcPr>
            <w:tcW w:w="59" w:type="pct"/>
            <w:vAlign w:val="center"/>
            <w:hideMark/>
          </w:tcPr>
          <w:p w14:paraId="2174951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CAAE558"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08E44D3C"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Opening Inventory (RMB’000)</w:t>
            </w:r>
          </w:p>
        </w:tc>
        <w:tc>
          <w:tcPr>
            <w:tcW w:w="464" w:type="pct"/>
            <w:tcBorders>
              <w:top w:val="nil"/>
              <w:left w:val="nil"/>
              <w:bottom w:val="single" w:sz="4" w:space="0" w:color="auto"/>
              <w:right w:val="single" w:sz="4" w:space="0" w:color="auto"/>
            </w:tcBorders>
            <w:noWrap/>
            <w:vAlign w:val="bottom"/>
            <w:hideMark/>
          </w:tcPr>
          <w:p w14:paraId="3973B7F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31,396,358</w:t>
            </w:r>
          </w:p>
        </w:tc>
        <w:tc>
          <w:tcPr>
            <w:tcW w:w="464" w:type="pct"/>
            <w:tcBorders>
              <w:top w:val="nil"/>
              <w:left w:val="nil"/>
              <w:bottom w:val="single" w:sz="4" w:space="0" w:color="auto"/>
              <w:right w:val="single" w:sz="4" w:space="0" w:color="auto"/>
            </w:tcBorders>
            <w:noWrap/>
            <w:vAlign w:val="bottom"/>
            <w:hideMark/>
          </w:tcPr>
          <w:p w14:paraId="2766197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43,354,782</w:t>
            </w:r>
          </w:p>
        </w:tc>
        <w:tc>
          <w:tcPr>
            <w:tcW w:w="464" w:type="pct"/>
            <w:tcBorders>
              <w:top w:val="nil"/>
              <w:left w:val="nil"/>
              <w:bottom w:val="single" w:sz="4" w:space="0" w:color="auto"/>
              <w:right w:val="single" w:sz="4" w:space="0" w:color="auto"/>
            </w:tcBorders>
            <w:noWrap/>
            <w:vAlign w:val="bottom"/>
            <w:hideMark/>
          </w:tcPr>
          <w:p w14:paraId="12EA9DD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79,107,199</w:t>
            </w:r>
          </w:p>
        </w:tc>
        <w:tc>
          <w:tcPr>
            <w:tcW w:w="500" w:type="pct"/>
            <w:tcBorders>
              <w:top w:val="nil"/>
              <w:left w:val="nil"/>
              <w:bottom w:val="single" w:sz="4" w:space="0" w:color="auto"/>
              <w:right w:val="single" w:sz="4" w:space="0" w:color="auto"/>
            </w:tcBorders>
            <w:noWrap/>
            <w:vAlign w:val="bottom"/>
            <w:hideMark/>
          </w:tcPr>
          <w:p w14:paraId="4DB5941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87,676,748</w:t>
            </w:r>
          </w:p>
        </w:tc>
        <w:tc>
          <w:tcPr>
            <w:tcW w:w="500" w:type="pct"/>
            <w:tcBorders>
              <w:top w:val="nil"/>
              <w:left w:val="nil"/>
              <w:bottom w:val="single" w:sz="4" w:space="0" w:color="auto"/>
              <w:right w:val="single" w:sz="4" w:space="0" w:color="auto"/>
            </w:tcBorders>
            <w:noWrap/>
            <w:vAlign w:val="bottom"/>
            <w:hideMark/>
          </w:tcPr>
          <w:p w14:paraId="49FE705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116,036,237</w:t>
            </w:r>
          </w:p>
        </w:tc>
        <w:tc>
          <w:tcPr>
            <w:tcW w:w="59" w:type="pct"/>
            <w:vAlign w:val="center"/>
            <w:hideMark/>
          </w:tcPr>
          <w:p w14:paraId="4129D3B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A908B67"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432D5C1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Closing Inventory (RMB’000)</w:t>
            </w:r>
          </w:p>
        </w:tc>
        <w:tc>
          <w:tcPr>
            <w:tcW w:w="464" w:type="pct"/>
            <w:tcBorders>
              <w:top w:val="nil"/>
              <w:left w:val="nil"/>
              <w:bottom w:val="single" w:sz="4" w:space="0" w:color="auto"/>
              <w:right w:val="single" w:sz="4" w:space="0" w:color="auto"/>
            </w:tcBorders>
            <w:noWrap/>
            <w:vAlign w:val="bottom"/>
            <w:hideMark/>
          </w:tcPr>
          <w:p w14:paraId="3E322F8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43,354,782</w:t>
            </w:r>
          </w:p>
        </w:tc>
        <w:tc>
          <w:tcPr>
            <w:tcW w:w="464" w:type="pct"/>
            <w:tcBorders>
              <w:top w:val="nil"/>
              <w:left w:val="nil"/>
              <w:bottom w:val="single" w:sz="4" w:space="0" w:color="auto"/>
              <w:right w:val="single" w:sz="4" w:space="0" w:color="auto"/>
            </w:tcBorders>
            <w:noWrap/>
            <w:vAlign w:val="bottom"/>
            <w:hideMark/>
          </w:tcPr>
          <w:p w14:paraId="265613B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79,107,199</w:t>
            </w:r>
          </w:p>
        </w:tc>
        <w:tc>
          <w:tcPr>
            <w:tcW w:w="464" w:type="pct"/>
            <w:tcBorders>
              <w:top w:val="nil"/>
              <w:left w:val="nil"/>
              <w:bottom w:val="single" w:sz="4" w:space="0" w:color="auto"/>
              <w:right w:val="single" w:sz="4" w:space="0" w:color="auto"/>
            </w:tcBorders>
            <w:noWrap/>
            <w:vAlign w:val="bottom"/>
            <w:hideMark/>
          </w:tcPr>
          <w:p w14:paraId="4F3F9D9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87,676,748</w:t>
            </w:r>
          </w:p>
        </w:tc>
        <w:tc>
          <w:tcPr>
            <w:tcW w:w="500" w:type="pct"/>
            <w:tcBorders>
              <w:top w:val="nil"/>
              <w:left w:val="nil"/>
              <w:bottom w:val="single" w:sz="4" w:space="0" w:color="auto"/>
              <w:right w:val="single" w:sz="4" w:space="0" w:color="auto"/>
            </w:tcBorders>
            <w:noWrap/>
            <w:vAlign w:val="bottom"/>
            <w:hideMark/>
          </w:tcPr>
          <w:p w14:paraId="568C72B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116,036,237</w:t>
            </w:r>
          </w:p>
        </w:tc>
        <w:tc>
          <w:tcPr>
            <w:tcW w:w="500" w:type="pct"/>
            <w:tcBorders>
              <w:top w:val="nil"/>
              <w:left w:val="nil"/>
              <w:bottom w:val="single" w:sz="4" w:space="0" w:color="auto"/>
              <w:right w:val="single" w:sz="4" w:space="0" w:color="auto"/>
            </w:tcBorders>
            <w:noWrap/>
            <w:vAlign w:val="bottom"/>
            <w:hideMark/>
          </w:tcPr>
          <w:p w14:paraId="651A4C7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138,420,580</w:t>
            </w:r>
          </w:p>
        </w:tc>
        <w:tc>
          <w:tcPr>
            <w:tcW w:w="59" w:type="pct"/>
            <w:vAlign w:val="center"/>
            <w:hideMark/>
          </w:tcPr>
          <w:p w14:paraId="3CF47DF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33B0345"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6640A3C4"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Avg Inventory = (Opening Inventory + Closing Inventory)/ 2</w:t>
            </w:r>
          </w:p>
        </w:tc>
        <w:tc>
          <w:tcPr>
            <w:tcW w:w="464" w:type="pct"/>
            <w:tcBorders>
              <w:top w:val="nil"/>
              <w:left w:val="nil"/>
              <w:bottom w:val="single" w:sz="4" w:space="0" w:color="auto"/>
              <w:right w:val="single" w:sz="4" w:space="0" w:color="auto"/>
            </w:tcBorders>
            <w:noWrap/>
            <w:vAlign w:val="bottom"/>
            <w:hideMark/>
          </w:tcPr>
          <w:p w14:paraId="58D77CA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37,375,570.00</w:t>
            </w:r>
          </w:p>
        </w:tc>
        <w:tc>
          <w:tcPr>
            <w:tcW w:w="464" w:type="pct"/>
            <w:tcBorders>
              <w:top w:val="nil"/>
              <w:left w:val="nil"/>
              <w:bottom w:val="single" w:sz="4" w:space="0" w:color="auto"/>
              <w:right w:val="single" w:sz="4" w:space="0" w:color="auto"/>
            </w:tcBorders>
            <w:noWrap/>
            <w:vAlign w:val="bottom"/>
            <w:hideMark/>
          </w:tcPr>
          <w:p w14:paraId="5DD511F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61,230,990.50</w:t>
            </w:r>
          </w:p>
        </w:tc>
        <w:tc>
          <w:tcPr>
            <w:tcW w:w="464" w:type="pct"/>
            <w:tcBorders>
              <w:top w:val="nil"/>
              <w:left w:val="nil"/>
              <w:bottom w:val="single" w:sz="4" w:space="0" w:color="auto"/>
              <w:right w:val="single" w:sz="4" w:space="0" w:color="auto"/>
            </w:tcBorders>
            <w:noWrap/>
            <w:vAlign w:val="bottom"/>
            <w:hideMark/>
          </w:tcPr>
          <w:p w14:paraId="521E222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83,391,973.50</w:t>
            </w:r>
          </w:p>
        </w:tc>
        <w:tc>
          <w:tcPr>
            <w:tcW w:w="500" w:type="pct"/>
            <w:tcBorders>
              <w:top w:val="nil"/>
              <w:left w:val="nil"/>
              <w:bottom w:val="single" w:sz="4" w:space="0" w:color="auto"/>
              <w:right w:val="single" w:sz="4" w:space="0" w:color="auto"/>
            </w:tcBorders>
            <w:noWrap/>
            <w:vAlign w:val="bottom"/>
            <w:hideMark/>
          </w:tcPr>
          <w:p w14:paraId="6910A5E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101,856,492.50</w:t>
            </w:r>
          </w:p>
        </w:tc>
        <w:tc>
          <w:tcPr>
            <w:tcW w:w="500" w:type="pct"/>
            <w:tcBorders>
              <w:top w:val="nil"/>
              <w:left w:val="nil"/>
              <w:bottom w:val="single" w:sz="4" w:space="0" w:color="auto"/>
              <w:right w:val="single" w:sz="4" w:space="0" w:color="auto"/>
            </w:tcBorders>
            <w:noWrap/>
            <w:vAlign w:val="bottom"/>
            <w:hideMark/>
          </w:tcPr>
          <w:p w14:paraId="3EB88AA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127,228,408.50</w:t>
            </w:r>
          </w:p>
        </w:tc>
        <w:tc>
          <w:tcPr>
            <w:tcW w:w="59" w:type="pct"/>
            <w:vAlign w:val="center"/>
            <w:hideMark/>
          </w:tcPr>
          <w:p w14:paraId="48ACAB7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7CCE235"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29F93E64"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Inventory Turnover = Cost of Goods Sold ÷ Average Inventory</w:t>
            </w:r>
          </w:p>
        </w:tc>
        <w:tc>
          <w:tcPr>
            <w:tcW w:w="464" w:type="pct"/>
            <w:tcBorders>
              <w:top w:val="nil"/>
              <w:left w:val="nil"/>
              <w:bottom w:val="single" w:sz="4" w:space="0" w:color="auto"/>
              <w:right w:val="single" w:sz="4" w:space="0" w:color="auto"/>
            </w:tcBorders>
            <w:noWrap/>
            <w:vAlign w:val="bottom"/>
            <w:hideMark/>
          </w:tcPr>
          <w:p w14:paraId="59DB516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5.02</w:t>
            </w:r>
          </w:p>
        </w:tc>
        <w:tc>
          <w:tcPr>
            <w:tcW w:w="464" w:type="pct"/>
            <w:tcBorders>
              <w:top w:val="nil"/>
              <w:left w:val="nil"/>
              <w:bottom w:val="single" w:sz="4" w:space="0" w:color="auto"/>
              <w:right w:val="single" w:sz="4" w:space="0" w:color="auto"/>
            </w:tcBorders>
            <w:noWrap/>
            <w:vAlign w:val="bottom"/>
            <w:hideMark/>
          </w:tcPr>
          <w:p w14:paraId="4DCDC1E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5.75</w:t>
            </w:r>
          </w:p>
        </w:tc>
        <w:tc>
          <w:tcPr>
            <w:tcW w:w="464" w:type="pct"/>
            <w:tcBorders>
              <w:top w:val="nil"/>
              <w:left w:val="nil"/>
              <w:bottom w:val="single" w:sz="4" w:space="0" w:color="auto"/>
              <w:right w:val="single" w:sz="4" w:space="0" w:color="auto"/>
            </w:tcBorders>
            <w:noWrap/>
            <w:vAlign w:val="bottom"/>
            <w:hideMark/>
          </w:tcPr>
          <w:p w14:paraId="6995196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5.76</w:t>
            </w:r>
          </w:p>
        </w:tc>
        <w:tc>
          <w:tcPr>
            <w:tcW w:w="500" w:type="pct"/>
            <w:tcBorders>
              <w:top w:val="nil"/>
              <w:left w:val="nil"/>
              <w:bottom w:val="single" w:sz="4" w:space="0" w:color="auto"/>
              <w:right w:val="single" w:sz="4" w:space="0" w:color="auto"/>
            </w:tcBorders>
            <w:noWrap/>
            <w:vAlign w:val="bottom"/>
            <w:hideMark/>
          </w:tcPr>
          <w:p w14:paraId="17FB833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6.15</w:t>
            </w:r>
          </w:p>
        </w:tc>
        <w:tc>
          <w:tcPr>
            <w:tcW w:w="500" w:type="pct"/>
            <w:tcBorders>
              <w:top w:val="nil"/>
              <w:left w:val="nil"/>
              <w:bottom w:val="single" w:sz="4" w:space="0" w:color="auto"/>
              <w:right w:val="single" w:sz="4" w:space="0" w:color="auto"/>
            </w:tcBorders>
            <w:noWrap/>
            <w:vAlign w:val="bottom"/>
            <w:hideMark/>
          </w:tcPr>
          <w:p w14:paraId="26E6B5A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5.20</w:t>
            </w:r>
          </w:p>
        </w:tc>
        <w:tc>
          <w:tcPr>
            <w:tcW w:w="59" w:type="pct"/>
            <w:vAlign w:val="center"/>
            <w:hideMark/>
          </w:tcPr>
          <w:p w14:paraId="7BD43A4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8B0431B" w14:textId="77777777" w:rsidTr="00494876">
        <w:trPr>
          <w:trHeight w:val="315"/>
        </w:trPr>
        <w:tc>
          <w:tcPr>
            <w:tcW w:w="4941"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2A0EBD1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Receivables Collection Period (Days)</w:t>
            </w:r>
          </w:p>
        </w:tc>
        <w:tc>
          <w:tcPr>
            <w:tcW w:w="59" w:type="pct"/>
            <w:vAlign w:val="center"/>
            <w:hideMark/>
          </w:tcPr>
          <w:p w14:paraId="1278A07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9596067"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5D0B28CA"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64" w:type="pct"/>
            <w:tcBorders>
              <w:top w:val="nil"/>
              <w:left w:val="nil"/>
              <w:bottom w:val="single" w:sz="4" w:space="0" w:color="auto"/>
              <w:right w:val="single" w:sz="4" w:space="0" w:color="auto"/>
            </w:tcBorders>
            <w:noWrap/>
            <w:vAlign w:val="bottom"/>
            <w:hideMark/>
          </w:tcPr>
          <w:p w14:paraId="1028C04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4" w:type="pct"/>
            <w:tcBorders>
              <w:top w:val="nil"/>
              <w:left w:val="nil"/>
              <w:bottom w:val="single" w:sz="4" w:space="0" w:color="auto"/>
              <w:right w:val="single" w:sz="4" w:space="0" w:color="auto"/>
            </w:tcBorders>
            <w:noWrap/>
            <w:vAlign w:val="bottom"/>
            <w:hideMark/>
          </w:tcPr>
          <w:p w14:paraId="06641C3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4" w:type="pct"/>
            <w:tcBorders>
              <w:top w:val="nil"/>
              <w:left w:val="nil"/>
              <w:bottom w:val="single" w:sz="4" w:space="0" w:color="auto"/>
              <w:right w:val="single" w:sz="4" w:space="0" w:color="auto"/>
            </w:tcBorders>
            <w:noWrap/>
            <w:vAlign w:val="bottom"/>
            <w:hideMark/>
          </w:tcPr>
          <w:p w14:paraId="499A151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500" w:type="pct"/>
            <w:tcBorders>
              <w:top w:val="nil"/>
              <w:left w:val="nil"/>
              <w:bottom w:val="single" w:sz="4" w:space="0" w:color="auto"/>
              <w:right w:val="single" w:sz="4" w:space="0" w:color="auto"/>
            </w:tcBorders>
            <w:noWrap/>
            <w:vAlign w:val="bottom"/>
            <w:hideMark/>
          </w:tcPr>
          <w:p w14:paraId="3728AB7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500" w:type="pct"/>
            <w:tcBorders>
              <w:top w:val="nil"/>
              <w:left w:val="nil"/>
              <w:bottom w:val="single" w:sz="4" w:space="0" w:color="auto"/>
              <w:right w:val="single" w:sz="4" w:space="0" w:color="auto"/>
            </w:tcBorders>
            <w:noWrap/>
            <w:vAlign w:val="bottom"/>
            <w:hideMark/>
          </w:tcPr>
          <w:p w14:paraId="2E45C07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59" w:type="pct"/>
            <w:vAlign w:val="center"/>
            <w:hideMark/>
          </w:tcPr>
          <w:p w14:paraId="44F5EB8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24ED1FE"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64D41865"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Receivables (RMB’000)</w:t>
            </w:r>
          </w:p>
        </w:tc>
        <w:tc>
          <w:tcPr>
            <w:tcW w:w="464" w:type="pct"/>
            <w:tcBorders>
              <w:top w:val="nil"/>
              <w:left w:val="nil"/>
              <w:bottom w:val="single" w:sz="4" w:space="0" w:color="auto"/>
              <w:right w:val="single" w:sz="4" w:space="0" w:color="auto"/>
            </w:tcBorders>
            <w:noWrap/>
            <w:vAlign w:val="bottom"/>
            <w:hideMark/>
          </w:tcPr>
          <w:p w14:paraId="37B8D7B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35,593,138</w:t>
            </w:r>
          </w:p>
        </w:tc>
        <w:tc>
          <w:tcPr>
            <w:tcW w:w="464" w:type="pct"/>
            <w:tcBorders>
              <w:top w:val="nil"/>
              <w:left w:val="nil"/>
              <w:bottom w:val="single" w:sz="4" w:space="0" w:color="auto"/>
              <w:right w:val="single" w:sz="4" w:space="0" w:color="auto"/>
            </w:tcBorders>
            <w:noWrap/>
            <w:vAlign w:val="bottom"/>
            <w:hideMark/>
          </w:tcPr>
          <w:p w14:paraId="49399A4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38,828,494</w:t>
            </w:r>
          </w:p>
        </w:tc>
        <w:tc>
          <w:tcPr>
            <w:tcW w:w="464" w:type="pct"/>
            <w:tcBorders>
              <w:top w:val="nil"/>
              <w:left w:val="nil"/>
              <w:bottom w:val="single" w:sz="4" w:space="0" w:color="auto"/>
              <w:right w:val="single" w:sz="4" w:space="0" w:color="auto"/>
            </w:tcBorders>
            <w:noWrap/>
            <w:vAlign w:val="bottom"/>
            <w:hideMark/>
          </w:tcPr>
          <w:p w14:paraId="41E11C4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61,866,019</w:t>
            </w:r>
          </w:p>
        </w:tc>
        <w:tc>
          <w:tcPr>
            <w:tcW w:w="500" w:type="pct"/>
            <w:tcBorders>
              <w:top w:val="nil"/>
              <w:left w:val="nil"/>
              <w:bottom w:val="single" w:sz="4" w:space="0" w:color="auto"/>
              <w:right w:val="single" w:sz="4" w:space="0" w:color="auto"/>
            </w:tcBorders>
            <w:noWrap/>
            <w:vAlign w:val="bottom"/>
            <w:hideMark/>
          </w:tcPr>
          <w:p w14:paraId="7406418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62,298,988</w:t>
            </w:r>
          </w:p>
        </w:tc>
        <w:tc>
          <w:tcPr>
            <w:tcW w:w="500" w:type="pct"/>
            <w:tcBorders>
              <w:top w:val="nil"/>
              <w:left w:val="nil"/>
              <w:bottom w:val="single" w:sz="4" w:space="0" w:color="auto"/>
              <w:right w:val="single" w:sz="4" w:space="0" w:color="auto"/>
            </w:tcBorders>
            <w:noWrap/>
            <w:vAlign w:val="bottom"/>
            <w:hideMark/>
          </w:tcPr>
          <w:p w14:paraId="2F0DD12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37,004,685</w:t>
            </w:r>
          </w:p>
        </w:tc>
        <w:tc>
          <w:tcPr>
            <w:tcW w:w="59" w:type="pct"/>
            <w:vAlign w:val="center"/>
            <w:hideMark/>
          </w:tcPr>
          <w:p w14:paraId="401DCD03"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CC0948F"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34DAD850"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64" w:type="pct"/>
            <w:tcBorders>
              <w:top w:val="nil"/>
              <w:left w:val="nil"/>
              <w:bottom w:val="single" w:sz="4" w:space="0" w:color="auto"/>
              <w:right w:val="single" w:sz="4" w:space="0" w:color="auto"/>
            </w:tcBorders>
            <w:noWrap/>
            <w:vAlign w:val="bottom"/>
            <w:hideMark/>
          </w:tcPr>
          <w:p w14:paraId="4AA9432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64" w:type="pct"/>
            <w:tcBorders>
              <w:top w:val="nil"/>
              <w:left w:val="nil"/>
              <w:bottom w:val="single" w:sz="4" w:space="0" w:color="auto"/>
              <w:right w:val="single" w:sz="4" w:space="0" w:color="auto"/>
            </w:tcBorders>
            <w:noWrap/>
            <w:vAlign w:val="bottom"/>
            <w:hideMark/>
          </w:tcPr>
          <w:p w14:paraId="5A8179E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64" w:type="pct"/>
            <w:tcBorders>
              <w:top w:val="nil"/>
              <w:left w:val="nil"/>
              <w:bottom w:val="single" w:sz="4" w:space="0" w:color="auto"/>
              <w:right w:val="single" w:sz="4" w:space="0" w:color="auto"/>
            </w:tcBorders>
            <w:noWrap/>
            <w:vAlign w:val="bottom"/>
            <w:hideMark/>
          </w:tcPr>
          <w:p w14:paraId="342E1A6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602,315,354</w:t>
            </w:r>
          </w:p>
        </w:tc>
        <w:tc>
          <w:tcPr>
            <w:tcW w:w="500" w:type="pct"/>
            <w:tcBorders>
              <w:top w:val="nil"/>
              <w:left w:val="nil"/>
              <w:bottom w:val="single" w:sz="4" w:space="0" w:color="auto"/>
              <w:right w:val="single" w:sz="4" w:space="0" w:color="auto"/>
            </w:tcBorders>
            <w:noWrap/>
            <w:vAlign w:val="bottom"/>
            <w:hideMark/>
          </w:tcPr>
          <w:p w14:paraId="67B80E4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777,102,455</w:t>
            </w:r>
          </w:p>
        </w:tc>
        <w:tc>
          <w:tcPr>
            <w:tcW w:w="500" w:type="pct"/>
            <w:tcBorders>
              <w:top w:val="nil"/>
              <w:left w:val="nil"/>
              <w:bottom w:val="single" w:sz="4" w:space="0" w:color="auto"/>
              <w:right w:val="single" w:sz="4" w:space="0" w:color="auto"/>
            </w:tcBorders>
            <w:noWrap/>
            <w:vAlign w:val="bottom"/>
            <w:hideMark/>
          </w:tcPr>
          <w:p w14:paraId="1B08955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803,964,958</w:t>
            </w:r>
          </w:p>
        </w:tc>
        <w:tc>
          <w:tcPr>
            <w:tcW w:w="59" w:type="pct"/>
            <w:vAlign w:val="center"/>
            <w:hideMark/>
          </w:tcPr>
          <w:p w14:paraId="33569C8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3179D6D"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230FE26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Receivables Collection Period (Days) = (Trade Receivables ÷ Revenue) × 365</w:t>
            </w:r>
          </w:p>
        </w:tc>
        <w:tc>
          <w:tcPr>
            <w:tcW w:w="464" w:type="pct"/>
            <w:tcBorders>
              <w:top w:val="nil"/>
              <w:left w:val="nil"/>
              <w:bottom w:val="single" w:sz="4" w:space="0" w:color="auto"/>
              <w:right w:val="single" w:sz="4" w:space="0" w:color="auto"/>
            </w:tcBorders>
            <w:noWrap/>
            <w:vAlign w:val="bottom"/>
            <w:hideMark/>
          </w:tcPr>
          <w:p w14:paraId="336E5D7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w:t>
            </w:r>
          </w:p>
        </w:tc>
        <w:tc>
          <w:tcPr>
            <w:tcW w:w="464" w:type="pct"/>
            <w:tcBorders>
              <w:top w:val="nil"/>
              <w:left w:val="nil"/>
              <w:bottom w:val="single" w:sz="4" w:space="0" w:color="auto"/>
              <w:right w:val="single" w:sz="4" w:space="0" w:color="auto"/>
            </w:tcBorders>
            <w:noWrap/>
            <w:vAlign w:val="bottom"/>
            <w:hideMark/>
          </w:tcPr>
          <w:p w14:paraId="2C039CD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w:t>
            </w:r>
          </w:p>
        </w:tc>
        <w:tc>
          <w:tcPr>
            <w:tcW w:w="464" w:type="pct"/>
            <w:tcBorders>
              <w:top w:val="nil"/>
              <w:left w:val="nil"/>
              <w:bottom w:val="single" w:sz="4" w:space="0" w:color="auto"/>
              <w:right w:val="single" w:sz="4" w:space="0" w:color="auto"/>
            </w:tcBorders>
            <w:noWrap/>
            <w:vAlign w:val="bottom"/>
            <w:hideMark/>
          </w:tcPr>
          <w:p w14:paraId="21A4569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w:t>
            </w:r>
          </w:p>
        </w:tc>
        <w:tc>
          <w:tcPr>
            <w:tcW w:w="500" w:type="pct"/>
            <w:tcBorders>
              <w:top w:val="nil"/>
              <w:left w:val="nil"/>
              <w:bottom w:val="single" w:sz="4" w:space="0" w:color="auto"/>
              <w:right w:val="single" w:sz="4" w:space="0" w:color="auto"/>
            </w:tcBorders>
            <w:noWrap/>
            <w:vAlign w:val="bottom"/>
            <w:hideMark/>
          </w:tcPr>
          <w:p w14:paraId="389BD0E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w:t>
            </w:r>
          </w:p>
        </w:tc>
        <w:tc>
          <w:tcPr>
            <w:tcW w:w="500" w:type="pct"/>
            <w:tcBorders>
              <w:top w:val="nil"/>
              <w:left w:val="nil"/>
              <w:bottom w:val="single" w:sz="4" w:space="0" w:color="auto"/>
              <w:right w:val="single" w:sz="4" w:space="0" w:color="auto"/>
            </w:tcBorders>
            <w:noWrap/>
            <w:vAlign w:val="bottom"/>
            <w:hideMark/>
          </w:tcPr>
          <w:p w14:paraId="4CAAF2A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w:t>
            </w:r>
          </w:p>
        </w:tc>
        <w:tc>
          <w:tcPr>
            <w:tcW w:w="59" w:type="pct"/>
            <w:vAlign w:val="center"/>
            <w:hideMark/>
          </w:tcPr>
          <w:p w14:paraId="552BF9B6"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8A0F34C" w14:textId="77777777" w:rsidTr="00494876">
        <w:trPr>
          <w:trHeight w:val="315"/>
        </w:trPr>
        <w:tc>
          <w:tcPr>
            <w:tcW w:w="4941"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BFF1E11"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Payables Payment Period (Days)</w:t>
            </w:r>
          </w:p>
        </w:tc>
        <w:tc>
          <w:tcPr>
            <w:tcW w:w="59" w:type="pct"/>
            <w:vAlign w:val="center"/>
            <w:hideMark/>
          </w:tcPr>
          <w:p w14:paraId="55311FE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6C95E9D"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31A28E6A"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64" w:type="pct"/>
            <w:tcBorders>
              <w:top w:val="nil"/>
              <w:left w:val="nil"/>
              <w:bottom w:val="single" w:sz="4" w:space="0" w:color="auto"/>
              <w:right w:val="single" w:sz="4" w:space="0" w:color="auto"/>
            </w:tcBorders>
            <w:noWrap/>
            <w:vAlign w:val="bottom"/>
            <w:hideMark/>
          </w:tcPr>
          <w:p w14:paraId="443E504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4" w:type="pct"/>
            <w:tcBorders>
              <w:top w:val="nil"/>
              <w:left w:val="nil"/>
              <w:bottom w:val="single" w:sz="4" w:space="0" w:color="auto"/>
              <w:right w:val="single" w:sz="4" w:space="0" w:color="auto"/>
            </w:tcBorders>
            <w:noWrap/>
            <w:vAlign w:val="bottom"/>
            <w:hideMark/>
          </w:tcPr>
          <w:p w14:paraId="259975A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4" w:type="pct"/>
            <w:tcBorders>
              <w:top w:val="nil"/>
              <w:left w:val="nil"/>
              <w:bottom w:val="single" w:sz="4" w:space="0" w:color="auto"/>
              <w:right w:val="single" w:sz="4" w:space="0" w:color="auto"/>
            </w:tcBorders>
            <w:noWrap/>
            <w:vAlign w:val="bottom"/>
            <w:hideMark/>
          </w:tcPr>
          <w:p w14:paraId="0B4254D1"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500" w:type="pct"/>
            <w:tcBorders>
              <w:top w:val="nil"/>
              <w:left w:val="nil"/>
              <w:bottom w:val="single" w:sz="4" w:space="0" w:color="auto"/>
              <w:right w:val="single" w:sz="4" w:space="0" w:color="auto"/>
            </w:tcBorders>
            <w:noWrap/>
            <w:vAlign w:val="bottom"/>
            <w:hideMark/>
          </w:tcPr>
          <w:p w14:paraId="0ABC99A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500" w:type="pct"/>
            <w:tcBorders>
              <w:top w:val="nil"/>
              <w:left w:val="nil"/>
              <w:bottom w:val="single" w:sz="4" w:space="0" w:color="auto"/>
              <w:right w:val="single" w:sz="4" w:space="0" w:color="auto"/>
            </w:tcBorders>
            <w:noWrap/>
            <w:vAlign w:val="bottom"/>
            <w:hideMark/>
          </w:tcPr>
          <w:p w14:paraId="005FCA08"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59" w:type="pct"/>
            <w:vAlign w:val="center"/>
            <w:hideMark/>
          </w:tcPr>
          <w:p w14:paraId="75D63C0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496703F"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663F8A52"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Payables (RMB’000)</w:t>
            </w:r>
          </w:p>
        </w:tc>
        <w:tc>
          <w:tcPr>
            <w:tcW w:w="464" w:type="pct"/>
            <w:tcBorders>
              <w:top w:val="nil"/>
              <w:left w:val="nil"/>
              <w:bottom w:val="single" w:sz="4" w:space="0" w:color="auto"/>
              <w:right w:val="single" w:sz="4" w:space="0" w:color="auto"/>
            </w:tcBorders>
            <w:noWrap/>
            <w:vAlign w:val="bottom"/>
            <w:hideMark/>
          </w:tcPr>
          <w:p w14:paraId="2EAA4B1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79,043,879</w:t>
            </w:r>
          </w:p>
        </w:tc>
        <w:tc>
          <w:tcPr>
            <w:tcW w:w="464" w:type="pct"/>
            <w:tcBorders>
              <w:top w:val="nil"/>
              <w:left w:val="nil"/>
              <w:bottom w:val="single" w:sz="4" w:space="0" w:color="auto"/>
              <w:right w:val="single" w:sz="4" w:space="0" w:color="auto"/>
            </w:tcBorders>
            <w:noWrap/>
            <w:vAlign w:val="bottom"/>
            <w:hideMark/>
          </w:tcPr>
          <w:p w14:paraId="560FD9B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140,437,310</w:t>
            </w:r>
          </w:p>
        </w:tc>
        <w:tc>
          <w:tcPr>
            <w:tcW w:w="464" w:type="pct"/>
            <w:tcBorders>
              <w:top w:val="nil"/>
              <w:left w:val="nil"/>
              <w:bottom w:val="single" w:sz="4" w:space="0" w:color="auto"/>
              <w:right w:val="single" w:sz="4" w:space="0" w:color="auto"/>
            </w:tcBorders>
            <w:noWrap/>
            <w:vAlign w:val="bottom"/>
            <w:hideMark/>
          </w:tcPr>
          <w:p w14:paraId="3920474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194,429,817</w:t>
            </w:r>
          </w:p>
        </w:tc>
        <w:tc>
          <w:tcPr>
            <w:tcW w:w="500" w:type="pct"/>
            <w:tcBorders>
              <w:top w:val="nil"/>
              <w:left w:val="nil"/>
              <w:bottom w:val="single" w:sz="4" w:space="0" w:color="auto"/>
              <w:right w:val="single" w:sz="4" w:space="0" w:color="auto"/>
            </w:tcBorders>
            <w:noWrap/>
            <w:vAlign w:val="bottom"/>
            <w:hideMark/>
          </w:tcPr>
          <w:p w14:paraId="265C3E8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241,643,424</w:t>
            </w:r>
          </w:p>
        </w:tc>
        <w:tc>
          <w:tcPr>
            <w:tcW w:w="500" w:type="pct"/>
            <w:tcBorders>
              <w:top w:val="nil"/>
              <w:left w:val="nil"/>
              <w:bottom w:val="single" w:sz="4" w:space="0" w:color="auto"/>
              <w:right w:val="single" w:sz="4" w:space="0" w:color="auto"/>
            </w:tcBorders>
            <w:noWrap/>
            <w:vAlign w:val="bottom"/>
            <w:hideMark/>
          </w:tcPr>
          <w:p w14:paraId="3BD8581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186,742,375</w:t>
            </w:r>
          </w:p>
        </w:tc>
        <w:tc>
          <w:tcPr>
            <w:tcW w:w="59" w:type="pct"/>
            <w:vAlign w:val="center"/>
            <w:hideMark/>
          </w:tcPr>
          <w:p w14:paraId="75B7BB3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FDA95E3"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3A5CE226"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Cost of Sales (RMB’000)</w:t>
            </w:r>
          </w:p>
        </w:tc>
        <w:tc>
          <w:tcPr>
            <w:tcW w:w="464" w:type="pct"/>
            <w:tcBorders>
              <w:top w:val="nil"/>
              <w:left w:val="nil"/>
              <w:bottom w:val="single" w:sz="4" w:space="0" w:color="auto"/>
              <w:right w:val="single" w:sz="4" w:space="0" w:color="auto"/>
            </w:tcBorders>
            <w:noWrap/>
            <w:vAlign w:val="bottom"/>
            <w:hideMark/>
          </w:tcPr>
          <w:p w14:paraId="185CADA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187,667,357</w:t>
            </w:r>
          </w:p>
        </w:tc>
        <w:tc>
          <w:tcPr>
            <w:tcW w:w="464" w:type="pct"/>
            <w:tcBorders>
              <w:top w:val="nil"/>
              <w:left w:val="nil"/>
              <w:bottom w:val="single" w:sz="4" w:space="0" w:color="auto"/>
              <w:right w:val="single" w:sz="4" w:space="0" w:color="auto"/>
            </w:tcBorders>
            <w:noWrap/>
            <w:vAlign w:val="bottom"/>
            <w:hideMark/>
          </w:tcPr>
          <w:p w14:paraId="367F0EC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351,815,680</w:t>
            </w:r>
          </w:p>
        </w:tc>
        <w:tc>
          <w:tcPr>
            <w:tcW w:w="464" w:type="pct"/>
            <w:tcBorders>
              <w:top w:val="nil"/>
              <w:left w:val="nil"/>
              <w:bottom w:val="single" w:sz="4" w:space="0" w:color="auto"/>
              <w:right w:val="single" w:sz="4" w:space="0" w:color="auto"/>
            </w:tcBorders>
            <w:noWrap/>
            <w:vAlign w:val="bottom"/>
            <w:hideMark/>
          </w:tcPr>
          <w:p w14:paraId="4366AEB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480,558,350</w:t>
            </w:r>
          </w:p>
        </w:tc>
        <w:tc>
          <w:tcPr>
            <w:tcW w:w="500" w:type="pct"/>
            <w:tcBorders>
              <w:top w:val="nil"/>
              <w:left w:val="nil"/>
              <w:bottom w:val="single" w:sz="4" w:space="0" w:color="auto"/>
              <w:right w:val="single" w:sz="4" w:space="0" w:color="auto"/>
            </w:tcBorders>
            <w:noWrap/>
            <w:vAlign w:val="bottom"/>
            <w:hideMark/>
          </w:tcPr>
          <w:p w14:paraId="5549E58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626,046,616</w:t>
            </w:r>
          </w:p>
        </w:tc>
        <w:tc>
          <w:tcPr>
            <w:tcW w:w="500" w:type="pct"/>
            <w:tcBorders>
              <w:top w:val="nil"/>
              <w:left w:val="nil"/>
              <w:bottom w:val="single" w:sz="4" w:space="0" w:color="auto"/>
              <w:right w:val="single" w:sz="4" w:space="0" w:color="auto"/>
            </w:tcBorders>
            <w:noWrap/>
            <w:vAlign w:val="bottom"/>
            <w:hideMark/>
          </w:tcPr>
          <w:p w14:paraId="0EF6F1E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661,305,161</w:t>
            </w:r>
          </w:p>
        </w:tc>
        <w:tc>
          <w:tcPr>
            <w:tcW w:w="59" w:type="pct"/>
            <w:vAlign w:val="center"/>
            <w:hideMark/>
          </w:tcPr>
          <w:p w14:paraId="32AA71C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A0224B1"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0FB4F5B7"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lastRenderedPageBreak/>
              <w:t>Payables Payment Period (Days) = (Trade Payables ÷ Cost of Goods Sold) × 365</w:t>
            </w:r>
          </w:p>
        </w:tc>
        <w:tc>
          <w:tcPr>
            <w:tcW w:w="464" w:type="pct"/>
            <w:tcBorders>
              <w:top w:val="nil"/>
              <w:left w:val="nil"/>
              <w:bottom w:val="single" w:sz="4" w:space="0" w:color="auto"/>
              <w:right w:val="single" w:sz="4" w:space="0" w:color="auto"/>
            </w:tcBorders>
            <w:noWrap/>
            <w:vAlign w:val="bottom"/>
            <w:hideMark/>
          </w:tcPr>
          <w:p w14:paraId="2C43359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154</w:t>
            </w:r>
          </w:p>
        </w:tc>
        <w:tc>
          <w:tcPr>
            <w:tcW w:w="464" w:type="pct"/>
            <w:tcBorders>
              <w:top w:val="nil"/>
              <w:left w:val="nil"/>
              <w:bottom w:val="single" w:sz="4" w:space="0" w:color="auto"/>
              <w:right w:val="single" w:sz="4" w:space="0" w:color="auto"/>
            </w:tcBorders>
            <w:noWrap/>
            <w:vAlign w:val="bottom"/>
            <w:hideMark/>
          </w:tcPr>
          <w:p w14:paraId="296AA51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146</w:t>
            </w:r>
          </w:p>
        </w:tc>
        <w:tc>
          <w:tcPr>
            <w:tcW w:w="464" w:type="pct"/>
            <w:tcBorders>
              <w:top w:val="nil"/>
              <w:left w:val="nil"/>
              <w:bottom w:val="single" w:sz="4" w:space="0" w:color="auto"/>
              <w:right w:val="single" w:sz="4" w:space="0" w:color="auto"/>
            </w:tcBorders>
            <w:noWrap/>
            <w:vAlign w:val="bottom"/>
            <w:hideMark/>
          </w:tcPr>
          <w:p w14:paraId="7B4D0E2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148</w:t>
            </w:r>
          </w:p>
        </w:tc>
        <w:tc>
          <w:tcPr>
            <w:tcW w:w="500" w:type="pct"/>
            <w:tcBorders>
              <w:top w:val="nil"/>
              <w:left w:val="nil"/>
              <w:bottom w:val="single" w:sz="4" w:space="0" w:color="auto"/>
              <w:right w:val="single" w:sz="4" w:space="0" w:color="auto"/>
            </w:tcBorders>
            <w:noWrap/>
            <w:vAlign w:val="bottom"/>
            <w:hideMark/>
          </w:tcPr>
          <w:p w14:paraId="5625702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141</w:t>
            </w:r>
          </w:p>
        </w:tc>
        <w:tc>
          <w:tcPr>
            <w:tcW w:w="500" w:type="pct"/>
            <w:tcBorders>
              <w:top w:val="nil"/>
              <w:left w:val="nil"/>
              <w:bottom w:val="single" w:sz="4" w:space="0" w:color="auto"/>
              <w:right w:val="single" w:sz="4" w:space="0" w:color="auto"/>
            </w:tcBorders>
            <w:noWrap/>
            <w:vAlign w:val="bottom"/>
            <w:hideMark/>
          </w:tcPr>
          <w:p w14:paraId="754C244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103</w:t>
            </w:r>
          </w:p>
        </w:tc>
        <w:tc>
          <w:tcPr>
            <w:tcW w:w="59" w:type="pct"/>
            <w:vAlign w:val="center"/>
            <w:hideMark/>
          </w:tcPr>
          <w:p w14:paraId="051822F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9D96E5B" w14:textId="77777777" w:rsidTr="00494876">
        <w:trPr>
          <w:trHeight w:val="315"/>
        </w:trPr>
        <w:tc>
          <w:tcPr>
            <w:tcW w:w="4941"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F464E4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Total Asset Turnover</w:t>
            </w:r>
          </w:p>
        </w:tc>
        <w:tc>
          <w:tcPr>
            <w:tcW w:w="59" w:type="pct"/>
            <w:vAlign w:val="center"/>
            <w:hideMark/>
          </w:tcPr>
          <w:p w14:paraId="1736BC1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D1503B7"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156B69E9"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64" w:type="pct"/>
            <w:tcBorders>
              <w:top w:val="nil"/>
              <w:left w:val="nil"/>
              <w:bottom w:val="single" w:sz="4" w:space="0" w:color="auto"/>
              <w:right w:val="single" w:sz="4" w:space="0" w:color="auto"/>
            </w:tcBorders>
            <w:noWrap/>
            <w:vAlign w:val="bottom"/>
            <w:hideMark/>
          </w:tcPr>
          <w:p w14:paraId="54CAC2BF"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4" w:type="pct"/>
            <w:tcBorders>
              <w:top w:val="nil"/>
              <w:left w:val="nil"/>
              <w:bottom w:val="single" w:sz="4" w:space="0" w:color="auto"/>
              <w:right w:val="single" w:sz="4" w:space="0" w:color="auto"/>
            </w:tcBorders>
            <w:noWrap/>
            <w:vAlign w:val="bottom"/>
            <w:hideMark/>
          </w:tcPr>
          <w:p w14:paraId="019DEE96"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4" w:type="pct"/>
            <w:tcBorders>
              <w:top w:val="nil"/>
              <w:left w:val="nil"/>
              <w:bottom w:val="single" w:sz="4" w:space="0" w:color="auto"/>
              <w:right w:val="single" w:sz="4" w:space="0" w:color="auto"/>
            </w:tcBorders>
            <w:noWrap/>
            <w:vAlign w:val="bottom"/>
            <w:hideMark/>
          </w:tcPr>
          <w:p w14:paraId="22D691C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500" w:type="pct"/>
            <w:tcBorders>
              <w:top w:val="nil"/>
              <w:left w:val="nil"/>
              <w:bottom w:val="single" w:sz="4" w:space="0" w:color="auto"/>
              <w:right w:val="single" w:sz="4" w:space="0" w:color="auto"/>
            </w:tcBorders>
            <w:noWrap/>
            <w:vAlign w:val="bottom"/>
            <w:hideMark/>
          </w:tcPr>
          <w:p w14:paraId="1CA2B232"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500" w:type="pct"/>
            <w:tcBorders>
              <w:top w:val="nil"/>
              <w:left w:val="nil"/>
              <w:bottom w:val="single" w:sz="4" w:space="0" w:color="auto"/>
              <w:right w:val="single" w:sz="4" w:space="0" w:color="auto"/>
            </w:tcBorders>
            <w:noWrap/>
            <w:vAlign w:val="bottom"/>
            <w:hideMark/>
          </w:tcPr>
          <w:p w14:paraId="289AEAA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59" w:type="pct"/>
            <w:vAlign w:val="center"/>
            <w:hideMark/>
          </w:tcPr>
          <w:p w14:paraId="5A294A5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99E9B6A"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2A3C766C"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Revenue (RMB’000)</w:t>
            </w:r>
          </w:p>
        </w:tc>
        <w:tc>
          <w:tcPr>
            <w:tcW w:w="464" w:type="pct"/>
            <w:tcBorders>
              <w:top w:val="nil"/>
              <w:left w:val="nil"/>
              <w:bottom w:val="single" w:sz="4" w:space="0" w:color="auto"/>
              <w:right w:val="single" w:sz="4" w:space="0" w:color="auto"/>
            </w:tcBorders>
            <w:noWrap/>
            <w:vAlign w:val="bottom"/>
            <w:hideMark/>
          </w:tcPr>
          <w:p w14:paraId="6C97D94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211,299,918</w:t>
            </w:r>
          </w:p>
        </w:tc>
        <w:tc>
          <w:tcPr>
            <w:tcW w:w="464" w:type="pct"/>
            <w:tcBorders>
              <w:top w:val="nil"/>
              <w:left w:val="nil"/>
              <w:bottom w:val="single" w:sz="4" w:space="0" w:color="auto"/>
              <w:right w:val="single" w:sz="4" w:space="0" w:color="auto"/>
            </w:tcBorders>
            <w:noWrap/>
            <w:vAlign w:val="bottom"/>
            <w:hideMark/>
          </w:tcPr>
          <w:p w14:paraId="1877AD5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424,060,635</w:t>
            </w:r>
          </w:p>
        </w:tc>
        <w:tc>
          <w:tcPr>
            <w:tcW w:w="464" w:type="pct"/>
            <w:tcBorders>
              <w:top w:val="nil"/>
              <w:left w:val="nil"/>
              <w:bottom w:val="single" w:sz="4" w:space="0" w:color="auto"/>
              <w:right w:val="single" w:sz="4" w:space="0" w:color="auto"/>
            </w:tcBorders>
            <w:noWrap/>
            <w:vAlign w:val="bottom"/>
            <w:hideMark/>
          </w:tcPr>
          <w:p w14:paraId="4242E60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602,315,354</w:t>
            </w:r>
          </w:p>
        </w:tc>
        <w:tc>
          <w:tcPr>
            <w:tcW w:w="500" w:type="pct"/>
            <w:tcBorders>
              <w:top w:val="nil"/>
              <w:left w:val="nil"/>
              <w:bottom w:val="single" w:sz="4" w:space="0" w:color="auto"/>
              <w:right w:val="single" w:sz="4" w:space="0" w:color="auto"/>
            </w:tcBorders>
            <w:noWrap/>
            <w:vAlign w:val="bottom"/>
            <w:hideMark/>
          </w:tcPr>
          <w:p w14:paraId="1B80B16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777,102,455</w:t>
            </w:r>
          </w:p>
        </w:tc>
        <w:tc>
          <w:tcPr>
            <w:tcW w:w="500" w:type="pct"/>
            <w:tcBorders>
              <w:top w:val="nil"/>
              <w:left w:val="nil"/>
              <w:bottom w:val="single" w:sz="4" w:space="0" w:color="auto"/>
              <w:right w:val="single" w:sz="4" w:space="0" w:color="auto"/>
            </w:tcBorders>
            <w:noWrap/>
            <w:vAlign w:val="bottom"/>
            <w:hideMark/>
          </w:tcPr>
          <w:p w14:paraId="3322A21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803,964,958</w:t>
            </w:r>
          </w:p>
        </w:tc>
        <w:tc>
          <w:tcPr>
            <w:tcW w:w="59" w:type="pct"/>
            <w:vAlign w:val="center"/>
            <w:hideMark/>
          </w:tcPr>
          <w:p w14:paraId="52B15F3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4BFAFED"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54BD3AE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Total Assets (RMB’000)</w:t>
            </w:r>
          </w:p>
        </w:tc>
        <w:tc>
          <w:tcPr>
            <w:tcW w:w="464" w:type="pct"/>
            <w:tcBorders>
              <w:top w:val="nil"/>
              <w:left w:val="nil"/>
              <w:bottom w:val="single" w:sz="4" w:space="0" w:color="auto"/>
              <w:right w:val="single" w:sz="4" w:space="0" w:color="auto"/>
            </w:tcBorders>
            <w:noWrap/>
            <w:vAlign w:val="bottom"/>
            <w:hideMark/>
          </w:tcPr>
          <w:p w14:paraId="7A8A750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295,780,147</w:t>
            </w:r>
          </w:p>
        </w:tc>
        <w:tc>
          <w:tcPr>
            <w:tcW w:w="464" w:type="pct"/>
            <w:tcBorders>
              <w:top w:val="nil"/>
              <w:left w:val="nil"/>
              <w:bottom w:val="single" w:sz="4" w:space="0" w:color="auto"/>
              <w:right w:val="single" w:sz="4" w:space="0" w:color="auto"/>
            </w:tcBorders>
            <w:noWrap/>
            <w:vAlign w:val="bottom"/>
            <w:hideMark/>
          </w:tcPr>
          <w:p w14:paraId="2CB8931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493,860,646</w:t>
            </w:r>
          </w:p>
        </w:tc>
        <w:tc>
          <w:tcPr>
            <w:tcW w:w="464" w:type="pct"/>
            <w:tcBorders>
              <w:top w:val="nil"/>
              <w:left w:val="nil"/>
              <w:bottom w:val="single" w:sz="4" w:space="0" w:color="auto"/>
              <w:right w:val="single" w:sz="4" w:space="0" w:color="auto"/>
            </w:tcBorders>
            <w:noWrap/>
            <w:vAlign w:val="bottom"/>
            <w:hideMark/>
          </w:tcPr>
          <w:p w14:paraId="3FEEC10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679,547,670</w:t>
            </w:r>
          </w:p>
        </w:tc>
        <w:tc>
          <w:tcPr>
            <w:tcW w:w="500" w:type="pct"/>
            <w:tcBorders>
              <w:top w:val="nil"/>
              <w:left w:val="nil"/>
              <w:bottom w:val="single" w:sz="4" w:space="0" w:color="auto"/>
              <w:right w:val="single" w:sz="4" w:space="0" w:color="auto"/>
            </w:tcBorders>
            <w:noWrap/>
            <w:vAlign w:val="bottom"/>
            <w:hideMark/>
          </w:tcPr>
          <w:p w14:paraId="456FF8D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783,355,855</w:t>
            </w:r>
          </w:p>
        </w:tc>
        <w:tc>
          <w:tcPr>
            <w:tcW w:w="500" w:type="pct"/>
            <w:tcBorders>
              <w:top w:val="nil"/>
              <w:left w:val="nil"/>
              <w:bottom w:val="single" w:sz="4" w:space="0" w:color="auto"/>
              <w:right w:val="single" w:sz="4" w:space="0" w:color="auto"/>
            </w:tcBorders>
            <w:noWrap/>
            <w:vAlign w:val="bottom"/>
            <w:hideMark/>
          </w:tcPr>
          <w:p w14:paraId="73A94A8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883,729,883</w:t>
            </w:r>
          </w:p>
        </w:tc>
        <w:tc>
          <w:tcPr>
            <w:tcW w:w="59" w:type="pct"/>
            <w:vAlign w:val="center"/>
            <w:hideMark/>
          </w:tcPr>
          <w:p w14:paraId="409C3C3C"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8D06CC8" w14:textId="77777777" w:rsidTr="00494876">
        <w:trPr>
          <w:trHeight w:val="315"/>
        </w:trPr>
        <w:tc>
          <w:tcPr>
            <w:tcW w:w="2549" w:type="pct"/>
            <w:tcBorders>
              <w:top w:val="nil"/>
              <w:left w:val="single" w:sz="4" w:space="0" w:color="auto"/>
              <w:bottom w:val="single" w:sz="4" w:space="0" w:color="auto"/>
              <w:right w:val="single" w:sz="4" w:space="0" w:color="auto"/>
            </w:tcBorders>
            <w:noWrap/>
            <w:vAlign w:val="bottom"/>
            <w:hideMark/>
          </w:tcPr>
          <w:p w14:paraId="08CCE0A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Total Asset Turnover = Revenue ÷ Total Assets</w:t>
            </w:r>
          </w:p>
        </w:tc>
        <w:tc>
          <w:tcPr>
            <w:tcW w:w="464" w:type="pct"/>
            <w:tcBorders>
              <w:top w:val="nil"/>
              <w:left w:val="nil"/>
              <w:bottom w:val="single" w:sz="4" w:space="0" w:color="auto"/>
              <w:right w:val="single" w:sz="4" w:space="0" w:color="auto"/>
            </w:tcBorders>
            <w:noWrap/>
            <w:vAlign w:val="bottom"/>
            <w:hideMark/>
          </w:tcPr>
          <w:p w14:paraId="36D434E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0.71</w:t>
            </w:r>
          </w:p>
        </w:tc>
        <w:tc>
          <w:tcPr>
            <w:tcW w:w="464" w:type="pct"/>
            <w:tcBorders>
              <w:top w:val="nil"/>
              <w:left w:val="nil"/>
              <w:bottom w:val="single" w:sz="4" w:space="0" w:color="auto"/>
              <w:right w:val="single" w:sz="4" w:space="0" w:color="auto"/>
            </w:tcBorders>
            <w:noWrap/>
            <w:vAlign w:val="bottom"/>
            <w:hideMark/>
          </w:tcPr>
          <w:p w14:paraId="05FF270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0.86</w:t>
            </w:r>
          </w:p>
        </w:tc>
        <w:tc>
          <w:tcPr>
            <w:tcW w:w="464" w:type="pct"/>
            <w:tcBorders>
              <w:top w:val="nil"/>
              <w:left w:val="nil"/>
              <w:bottom w:val="single" w:sz="4" w:space="0" w:color="auto"/>
              <w:right w:val="single" w:sz="4" w:space="0" w:color="auto"/>
            </w:tcBorders>
            <w:noWrap/>
            <w:vAlign w:val="bottom"/>
            <w:hideMark/>
          </w:tcPr>
          <w:p w14:paraId="2889744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0.89</w:t>
            </w:r>
          </w:p>
        </w:tc>
        <w:tc>
          <w:tcPr>
            <w:tcW w:w="500" w:type="pct"/>
            <w:tcBorders>
              <w:top w:val="nil"/>
              <w:left w:val="nil"/>
              <w:bottom w:val="single" w:sz="4" w:space="0" w:color="auto"/>
              <w:right w:val="single" w:sz="4" w:space="0" w:color="auto"/>
            </w:tcBorders>
            <w:noWrap/>
            <w:vAlign w:val="bottom"/>
            <w:hideMark/>
          </w:tcPr>
          <w:p w14:paraId="3C3F039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0.99</w:t>
            </w:r>
          </w:p>
        </w:tc>
        <w:tc>
          <w:tcPr>
            <w:tcW w:w="500" w:type="pct"/>
            <w:tcBorders>
              <w:top w:val="nil"/>
              <w:left w:val="nil"/>
              <w:bottom w:val="single" w:sz="4" w:space="0" w:color="auto"/>
              <w:right w:val="single" w:sz="4" w:space="0" w:color="auto"/>
            </w:tcBorders>
            <w:noWrap/>
            <w:vAlign w:val="bottom"/>
            <w:hideMark/>
          </w:tcPr>
          <w:p w14:paraId="58788C7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0.91</w:t>
            </w:r>
          </w:p>
        </w:tc>
        <w:tc>
          <w:tcPr>
            <w:tcW w:w="59" w:type="pct"/>
            <w:vAlign w:val="center"/>
            <w:hideMark/>
          </w:tcPr>
          <w:p w14:paraId="23B2AE2B"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0EEA013C" w14:textId="77777777" w:rsidR="00650A83" w:rsidRDefault="00650A83" w:rsidP="00650A83"/>
    <w:p w14:paraId="423E26B3" w14:textId="77777777" w:rsidR="00650A83" w:rsidRDefault="00650A83" w:rsidP="00650A83">
      <w:r w:rsidRPr="00FF05EF">
        <w:t>Gearing</w:t>
      </w:r>
    </w:p>
    <w:tbl>
      <w:tblPr>
        <w:tblW w:w="5000" w:type="pct"/>
        <w:tblLook w:val="04A0" w:firstRow="1" w:lastRow="0" w:firstColumn="1" w:lastColumn="0" w:noHBand="0" w:noVBand="1"/>
      </w:tblPr>
      <w:tblGrid>
        <w:gridCol w:w="4431"/>
        <w:gridCol w:w="942"/>
        <w:gridCol w:w="942"/>
        <w:gridCol w:w="942"/>
        <w:gridCol w:w="942"/>
        <w:gridCol w:w="942"/>
        <w:gridCol w:w="219"/>
      </w:tblGrid>
      <w:tr w:rsidR="00650A83" w:rsidRPr="00E9094B" w14:paraId="1AFC4832" w14:textId="77777777" w:rsidTr="00494876">
        <w:trPr>
          <w:gridAfter w:val="1"/>
          <w:wAfter w:w="68" w:type="pct"/>
          <w:trHeight w:val="552"/>
        </w:trPr>
        <w:tc>
          <w:tcPr>
            <w:tcW w:w="4932" w:type="pct"/>
            <w:gridSpan w:val="6"/>
            <w:vMerge w:val="restart"/>
            <w:tcBorders>
              <w:top w:val="nil"/>
              <w:left w:val="nil"/>
              <w:bottom w:val="nil"/>
              <w:right w:val="nil"/>
            </w:tcBorders>
            <w:shd w:val="clear" w:color="000000" w:fill="275317"/>
            <w:noWrap/>
            <w:vAlign w:val="center"/>
            <w:hideMark/>
          </w:tcPr>
          <w:p w14:paraId="655F7AF0"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Gearing</w:t>
            </w:r>
          </w:p>
        </w:tc>
      </w:tr>
      <w:tr w:rsidR="00650A83" w:rsidRPr="00E9094B" w14:paraId="6F17C74E" w14:textId="77777777" w:rsidTr="00494876">
        <w:trPr>
          <w:trHeight w:val="300"/>
        </w:trPr>
        <w:tc>
          <w:tcPr>
            <w:tcW w:w="4932" w:type="pct"/>
            <w:gridSpan w:val="6"/>
            <w:vMerge/>
            <w:tcBorders>
              <w:top w:val="nil"/>
              <w:left w:val="nil"/>
              <w:bottom w:val="nil"/>
              <w:right w:val="nil"/>
            </w:tcBorders>
            <w:vAlign w:val="center"/>
            <w:hideMark/>
          </w:tcPr>
          <w:p w14:paraId="5B6A5511"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68" w:type="pct"/>
            <w:tcBorders>
              <w:top w:val="nil"/>
              <w:left w:val="nil"/>
              <w:bottom w:val="nil"/>
              <w:right w:val="nil"/>
            </w:tcBorders>
            <w:noWrap/>
            <w:vAlign w:val="bottom"/>
            <w:hideMark/>
          </w:tcPr>
          <w:p w14:paraId="194E6224"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69C2507C" w14:textId="77777777" w:rsidTr="00494876">
        <w:trPr>
          <w:trHeight w:val="315"/>
        </w:trPr>
        <w:tc>
          <w:tcPr>
            <w:tcW w:w="4932"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7E45FF6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Debt to Equity Ratio</w:t>
            </w:r>
          </w:p>
        </w:tc>
        <w:tc>
          <w:tcPr>
            <w:tcW w:w="68" w:type="pct"/>
            <w:vAlign w:val="center"/>
            <w:hideMark/>
          </w:tcPr>
          <w:p w14:paraId="5E65282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7B23B08"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5E96899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5029A9A4"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695DEA78"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52F8DB0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2FF788C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78" w:type="pct"/>
            <w:tcBorders>
              <w:top w:val="nil"/>
              <w:left w:val="nil"/>
              <w:bottom w:val="single" w:sz="4" w:space="0" w:color="auto"/>
              <w:right w:val="single" w:sz="4" w:space="0" w:color="auto"/>
            </w:tcBorders>
            <w:noWrap/>
            <w:vAlign w:val="bottom"/>
            <w:hideMark/>
          </w:tcPr>
          <w:p w14:paraId="464780C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8" w:type="pct"/>
            <w:vAlign w:val="center"/>
            <w:hideMark/>
          </w:tcPr>
          <w:p w14:paraId="4024328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F79C978"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1B8F7647"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Total Liabilities (RMB’000)</w:t>
            </w:r>
          </w:p>
        </w:tc>
        <w:tc>
          <w:tcPr>
            <w:tcW w:w="478" w:type="pct"/>
            <w:tcBorders>
              <w:top w:val="nil"/>
              <w:left w:val="nil"/>
              <w:bottom w:val="single" w:sz="4" w:space="0" w:color="auto"/>
              <w:right w:val="single" w:sz="4" w:space="0" w:color="auto"/>
            </w:tcBorders>
            <w:noWrap/>
            <w:vAlign w:val="bottom"/>
            <w:hideMark/>
          </w:tcPr>
          <w:p w14:paraId="69B9497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191,535,938</w:t>
            </w:r>
          </w:p>
        </w:tc>
        <w:tc>
          <w:tcPr>
            <w:tcW w:w="478" w:type="pct"/>
            <w:tcBorders>
              <w:top w:val="nil"/>
              <w:left w:val="nil"/>
              <w:bottom w:val="single" w:sz="4" w:space="0" w:color="auto"/>
              <w:right w:val="single" w:sz="4" w:space="0" w:color="auto"/>
            </w:tcBorders>
            <w:noWrap/>
            <w:vAlign w:val="bottom"/>
            <w:hideMark/>
          </w:tcPr>
          <w:p w14:paraId="044586D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372,470,809</w:t>
            </w:r>
          </w:p>
        </w:tc>
        <w:tc>
          <w:tcPr>
            <w:tcW w:w="478" w:type="pct"/>
            <w:tcBorders>
              <w:top w:val="nil"/>
              <w:left w:val="nil"/>
              <w:bottom w:val="single" w:sz="4" w:space="0" w:color="auto"/>
              <w:right w:val="single" w:sz="4" w:space="0" w:color="auto"/>
            </w:tcBorders>
            <w:noWrap/>
            <w:vAlign w:val="bottom"/>
            <w:hideMark/>
          </w:tcPr>
          <w:p w14:paraId="7A51FF8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529,085,557</w:t>
            </w:r>
          </w:p>
        </w:tc>
        <w:tc>
          <w:tcPr>
            <w:tcW w:w="478" w:type="pct"/>
            <w:tcBorders>
              <w:top w:val="nil"/>
              <w:left w:val="nil"/>
              <w:bottom w:val="single" w:sz="4" w:space="0" w:color="auto"/>
              <w:right w:val="single" w:sz="4" w:space="0" w:color="auto"/>
            </w:tcBorders>
            <w:noWrap/>
            <w:vAlign w:val="bottom"/>
            <w:hideMark/>
          </w:tcPr>
          <w:p w14:paraId="36C4C4B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584,667,646</w:t>
            </w:r>
          </w:p>
        </w:tc>
        <w:tc>
          <w:tcPr>
            <w:tcW w:w="478" w:type="pct"/>
            <w:tcBorders>
              <w:top w:val="nil"/>
              <w:left w:val="nil"/>
              <w:bottom w:val="single" w:sz="4" w:space="0" w:color="auto"/>
              <w:right w:val="single" w:sz="4" w:space="0" w:color="auto"/>
            </w:tcBorders>
            <w:noWrap/>
            <w:vAlign w:val="bottom"/>
            <w:hideMark/>
          </w:tcPr>
          <w:p w14:paraId="35BAB4C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625,190,698</w:t>
            </w:r>
          </w:p>
        </w:tc>
        <w:tc>
          <w:tcPr>
            <w:tcW w:w="68" w:type="pct"/>
            <w:vAlign w:val="center"/>
            <w:hideMark/>
          </w:tcPr>
          <w:p w14:paraId="56B7425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59BE746"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0E32D8B6"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Equity (RMB’000)</w:t>
            </w:r>
          </w:p>
        </w:tc>
        <w:tc>
          <w:tcPr>
            <w:tcW w:w="478" w:type="pct"/>
            <w:tcBorders>
              <w:top w:val="nil"/>
              <w:left w:val="nil"/>
              <w:bottom w:val="single" w:sz="4" w:space="0" w:color="auto"/>
              <w:right w:val="single" w:sz="4" w:space="0" w:color="auto"/>
            </w:tcBorders>
            <w:noWrap/>
            <w:vAlign w:val="bottom"/>
            <w:hideMark/>
          </w:tcPr>
          <w:p w14:paraId="4FB088F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104,244,209</w:t>
            </w:r>
          </w:p>
        </w:tc>
        <w:tc>
          <w:tcPr>
            <w:tcW w:w="478" w:type="pct"/>
            <w:tcBorders>
              <w:top w:val="nil"/>
              <w:left w:val="nil"/>
              <w:bottom w:val="single" w:sz="4" w:space="0" w:color="auto"/>
              <w:right w:val="single" w:sz="4" w:space="0" w:color="auto"/>
            </w:tcBorders>
            <w:noWrap/>
            <w:vAlign w:val="bottom"/>
            <w:hideMark/>
          </w:tcPr>
          <w:p w14:paraId="42837D8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121,389,837</w:t>
            </w:r>
          </w:p>
        </w:tc>
        <w:tc>
          <w:tcPr>
            <w:tcW w:w="478" w:type="pct"/>
            <w:tcBorders>
              <w:top w:val="nil"/>
              <w:left w:val="nil"/>
              <w:bottom w:val="single" w:sz="4" w:space="0" w:color="auto"/>
              <w:right w:val="single" w:sz="4" w:space="0" w:color="auto"/>
            </w:tcBorders>
            <w:noWrap/>
            <w:vAlign w:val="bottom"/>
            <w:hideMark/>
          </w:tcPr>
          <w:p w14:paraId="4974031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150,462,113</w:t>
            </w:r>
          </w:p>
        </w:tc>
        <w:tc>
          <w:tcPr>
            <w:tcW w:w="478" w:type="pct"/>
            <w:tcBorders>
              <w:top w:val="nil"/>
              <w:left w:val="nil"/>
              <w:bottom w:val="single" w:sz="4" w:space="0" w:color="auto"/>
              <w:right w:val="single" w:sz="4" w:space="0" w:color="auto"/>
            </w:tcBorders>
            <w:noWrap/>
            <w:vAlign w:val="bottom"/>
            <w:hideMark/>
          </w:tcPr>
          <w:p w14:paraId="02A7F2D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198,688,209</w:t>
            </w:r>
          </w:p>
        </w:tc>
        <w:tc>
          <w:tcPr>
            <w:tcW w:w="478" w:type="pct"/>
            <w:tcBorders>
              <w:top w:val="nil"/>
              <w:left w:val="nil"/>
              <w:bottom w:val="single" w:sz="4" w:space="0" w:color="auto"/>
              <w:right w:val="single" w:sz="4" w:space="0" w:color="auto"/>
            </w:tcBorders>
            <w:noWrap/>
            <w:vAlign w:val="bottom"/>
            <w:hideMark/>
          </w:tcPr>
          <w:p w14:paraId="001BAEE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258,539,185</w:t>
            </w:r>
          </w:p>
        </w:tc>
        <w:tc>
          <w:tcPr>
            <w:tcW w:w="68" w:type="pct"/>
            <w:vAlign w:val="center"/>
            <w:hideMark/>
          </w:tcPr>
          <w:p w14:paraId="4112498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A16D6FC"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7904688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Inventory Turnover =Total Debt ÷ Shareholders’ Equity</w:t>
            </w:r>
          </w:p>
        </w:tc>
        <w:tc>
          <w:tcPr>
            <w:tcW w:w="478" w:type="pct"/>
            <w:tcBorders>
              <w:top w:val="nil"/>
              <w:left w:val="nil"/>
              <w:bottom w:val="single" w:sz="4" w:space="0" w:color="auto"/>
              <w:right w:val="single" w:sz="4" w:space="0" w:color="auto"/>
            </w:tcBorders>
            <w:noWrap/>
            <w:vAlign w:val="bottom"/>
            <w:hideMark/>
          </w:tcPr>
          <w:p w14:paraId="392C00C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1.84</w:t>
            </w:r>
          </w:p>
        </w:tc>
        <w:tc>
          <w:tcPr>
            <w:tcW w:w="478" w:type="pct"/>
            <w:tcBorders>
              <w:top w:val="nil"/>
              <w:left w:val="nil"/>
              <w:bottom w:val="single" w:sz="4" w:space="0" w:color="auto"/>
              <w:right w:val="single" w:sz="4" w:space="0" w:color="auto"/>
            </w:tcBorders>
            <w:noWrap/>
            <w:vAlign w:val="bottom"/>
            <w:hideMark/>
          </w:tcPr>
          <w:p w14:paraId="6827A3F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3.07</w:t>
            </w:r>
          </w:p>
        </w:tc>
        <w:tc>
          <w:tcPr>
            <w:tcW w:w="478" w:type="pct"/>
            <w:tcBorders>
              <w:top w:val="nil"/>
              <w:left w:val="nil"/>
              <w:bottom w:val="single" w:sz="4" w:space="0" w:color="auto"/>
              <w:right w:val="single" w:sz="4" w:space="0" w:color="auto"/>
            </w:tcBorders>
            <w:noWrap/>
            <w:vAlign w:val="bottom"/>
            <w:hideMark/>
          </w:tcPr>
          <w:p w14:paraId="53CB3A3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3.52</w:t>
            </w:r>
          </w:p>
        </w:tc>
        <w:tc>
          <w:tcPr>
            <w:tcW w:w="478" w:type="pct"/>
            <w:tcBorders>
              <w:top w:val="nil"/>
              <w:left w:val="nil"/>
              <w:bottom w:val="single" w:sz="4" w:space="0" w:color="auto"/>
              <w:right w:val="single" w:sz="4" w:space="0" w:color="auto"/>
            </w:tcBorders>
            <w:noWrap/>
            <w:vAlign w:val="bottom"/>
            <w:hideMark/>
          </w:tcPr>
          <w:p w14:paraId="36851BE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2.94</w:t>
            </w:r>
          </w:p>
        </w:tc>
        <w:tc>
          <w:tcPr>
            <w:tcW w:w="478" w:type="pct"/>
            <w:tcBorders>
              <w:top w:val="nil"/>
              <w:left w:val="nil"/>
              <w:bottom w:val="single" w:sz="4" w:space="0" w:color="auto"/>
              <w:right w:val="single" w:sz="4" w:space="0" w:color="auto"/>
            </w:tcBorders>
            <w:noWrap/>
            <w:vAlign w:val="bottom"/>
            <w:hideMark/>
          </w:tcPr>
          <w:p w14:paraId="2B8B870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2.42</w:t>
            </w:r>
          </w:p>
        </w:tc>
        <w:tc>
          <w:tcPr>
            <w:tcW w:w="68" w:type="pct"/>
            <w:vAlign w:val="center"/>
            <w:hideMark/>
          </w:tcPr>
          <w:p w14:paraId="22C77D1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5D52106" w14:textId="77777777" w:rsidTr="00494876">
        <w:trPr>
          <w:trHeight w:val="315"/>
        </w:trPr>
        <w:tc>
          <w:tcPr>
            <w:tcW w:w="4932"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3942768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Interest Coverage Ratio</w:t>
            </w:r>
          </w:p>
        </w:tc>
        <w:tc>
          <w:tcPr>
            <w:tcW w:w="68" w:type="pct"/>
            <w:vAlign w:val="center"/>
            <w:hideMark/>
          </w:tcPr>
          <w:p w14:paraId="45C947D2"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463DE93"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6C60C5EF"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57964B1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3BCBDFDD"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1757FCB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2586299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78" w:type="pct"/>
            <w:tcBorders>
              <w:top w:val="nil"/>
              <w:left w:val="nil"/>
              <w:bottom w:val="single" w:sz="4" w:space="0" w:color="auto"/>
              <w:right w:val="single" w:sz="4" w:space="0" w:color="auto"/>
            </w:tcBorders>
            <w:noWrap/>
            <w:vAlign w:val="bottom"/>
            <w:hideMark/>
          </w:tcPr>
          <w:p w14:paraId="26F608B4"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8" w:type="pct"/>
            <w:vAlign w:val="center"/>
            <w:hideMark/>
          </w:tcPr>
          <w:p w14:paraId="47B8B77C"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2F8B016"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565E6EAA"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Operating Income (RMB’000)</w:t>
            </w:r>
          </w:p>
        </w:tc>
        <w:tc>
          <w:tcPr>
            <w:tcW w:w="478" w:type="pct"/>
            <w:tcBorders>
              <w:top w:val="nil"/>
              <w:left w:val="nil"/>
              <w:bottom w:val="single" w:sz="4" w:space="0" w:color="auto"/>
              <w:right w:val="single" w:sz="4" w:space="0" w:color="auto"/>
            </w:tcBorders>
            <w:noWrap/>
            <w:vAlign w:val="bottom"/>
            <w:hideMark/>
          </w:tcPr>
          <w:p w14:paraId="7FC8519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4,518,003</w:t>
            </w:r>
          </w:p>
        </w:tc>
        <w:tc>
          <w:tcPr>
            <w:tcW w:w="478" w:type="pct"/>
            <w:tcBorders>
              <w:top w:val="nil"/>
              <w:left w:val="nil"/>
              <w:bottom w:val="single" w:sz="4" w:space="0" w:color="auto"/>
              <w:right w:val="single" w:sz="4" w:space="0" w:color="auto"/>
            </w:tcBorders>
            <w:noWrap/>
            <w:vAlign w:val="bottom"/>
            <w:hideMark/>
          </w:tcPr>
          <w:p w14:paraId="42EFD66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21,541,819</w:t>
            </w:r>
          </w:p>
        </w:tc>
        <w:tc>
          <w:tcPr>
            <w:tcW w:w="478" w:type="pct"/>
            <w:tcBorders>
              <w:top w:val="nil"/>
              <w:left w:val="nil"/>
              <w:bottom w:val="single" w:sz="4" w:space="0" w:color="auto"/>
              <w:right w:val="single" w:sz="4" w:space="0" w:color="auto"/>
            </w:tcBorders>
            <w:noWrap/>
            <w:vAlign w:val="bottom"/>
            <w:hideMark/>
          </w:tcPr>
          <w:p w14:paraId="06018D6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38,103,095</w:t>
            </w:r>
          </w:p>
        </w:tc>
        <w:tc>
          <w:tcPr>
            <w:tcW w:w="478" w:type="pct"/>
            <w:tcBorders>
              <w:top w:val="nil"/>
              <w:left w:val="nil"/>
              <w:bottom w:val="single" w:sz="4" w:space="0" w:color="auto"/>
              <w:right w:val="single" w:sz="4" w:space="0" w:color="auto"/>
            </w:tcBorders>
            <w:noWrap/>
            <w:vAlign w:val="bottom"/>
            <w:hideMark/>
          </w:tcPr>
          <w:p w14:paraId="0499992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50,486,047</w:t>
            </w:r>
          </w:p>
        </w:tc>
        <w:tc>
          <w:tcPr>
            <w:tcW w:w="478" w:type="pct"/>
            <w:tcBorders>
              <w:top w:val="nil"/>
              <w:left w:val="nil"/>
              <w:bottom w:val="single" w:sz="4" w:space="0" w:color="auto"/>
              <w:right w:val="single" w:sz="4" w:space="0" w:color="auto"/>
            </w:tcBorders>
            <w:noWrap/>
            <w:vAlign w:val="bottom"/>
            <w:hideMark/>
          </w:tcPr>
          <w:p w14:paraId="139561F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40,184,709</w:t>
            </w:r>
          </w:p>
        </w:tc>
        <w:tc>
          <w:tcPr>
            <w:tcW w:w="68" w:type="pct"/>
            <w:vAlign w:val="center"/>
            <w:hideMark/>
          </w:tcPr>
          <w:p w14:paraId="64DCBAD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F92210A"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1987F7A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Interest Expense (RMB’000)</w:t>
            </w:r>
          </w:p>
        </w:tc>
        <w:tc>
          <w:tcPr>
            <w:tcW w:w="478" w:type="pct"/>
            <w:tcBorders>
              <w:top w:val="nil"/>
              <w:left w:val="nil"/>
              <w:bottom w:val="single" w:sz="4" w:space="0" w:color="auto"/>
              <w:right w:val="single" w:sz="4" w:space="0" w:color="auto"/>
            </w:tcBorders>
            <w:noWrap/>
            <w:vAlign w:val="bottom"/>
            <w:hideMark/>
          </w:tcPr>
          <w:p w14:paraId="1033F22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1,907,642</w:t>
            </w:r>
          </w:p>
        </w:tc>
        <w:tc>
          <w:tcPr>
            <w:tcW w:w="478" w:type="pct"/>
            <w:tcBorders>
              <w:top w:val="nil"/>
              <w:left w:val="nil"/>
              <w:bottom w:val="single" w:sz="4" w:space="0" w:color="auto"/>
              <w:right w:val="single" w:sz="4" w:space="0" w:color="auto"/>
            </w:tcBorders>
            <w:noWrap/>
            <w:vAlign w:val="bottom"/>
            <w:hideMark/>
          </w:tcPr>
          <w:p w14:paraId="33DE572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1,316,350</w:t>
            </w:r>
          </w:p>
        </w:tc>
        <w:tc>
          <w:tcPr>
            <w:tcW w:w="478" w:type="pct"/>
            <w:tcBorders>
              <w:top w:val="nil"/>
              <w:left w:val="nil"/>
              <w:bottom w:val="single" w:sz="4" w:space="0" w:color="auto"/>
              <w:right w:val="single" w:sz="4" w:space="0" w:color="auto"/>
            </w:tcBorders>
            <w:noWrap/>
            <w:vAlign w:val="bottom"/>
            <w:hideMark/>
          </w:tcPr>
          <w:p w14:paraId="73C3475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1,827,605</w:t>
            </w:r>
          </w:p>
        </w:tc>
        <w:tc>
          <w:tcPr>
            <w:tcW w:w="478" w:type="pct"/>
            <w:tcBorders>
              <w:top w:val="nil"/>
              <w:left w:val="nil"/>
              <w:bottom w:val="single" w:sz="4" w:space="0" w:color="auto"/>
              <w:right w:val="single" w:sz="4" w:space="0" w:color="auto"/>
            </w:tcBorders>
            <w:noWrap/>
            <w:vAlign w:val="bottom"/>
            <w:hideMark/>
          </w:tcPr>
          <w:p w14:paraId="2594C75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2,093,781</w:t>
            </w:r>
          </w:p>
        </w:tc>
        <w:tc>
          <w:tcPr>
            <w:tcW w:w="478" w:type="pct"/>
            <w:tcBorders>
              <w:top w:val="nil"/>
              <w:left w:val="nil"/>
              <w:bottom w:val="single" w:sz="4" w:space="0" w:color="auto"/>
              <w:right w:val="single" w:sz="4" w:space="0" w:color="auto"/>
            </w:tcBorders>
            <w:noWrap/>
            <w:vAlign w:val="bottom"/>
            <w:hideMark/>
          </w:tcPr>
          <w:p w14:paraId="57AF723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2,551,657</w:t>
            </w:r>
          </w:p>
        </w:tc>
        <w:tc>
          <w:tcPr>
            <w:tcW w:w="68" w:type="pct"/>
            <w:vAlign w:val="center"/>
            <w:hideMark/>
          </w:tcPr>
          <w:p w14:paraId="00BDE1F5"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35DCA3D" w14:textId="77777777" w:rsidTr="00494876">
        <w:trPr>
          <w:trHeight w:val="315"/>
        </w:trPr>
        <w:tc>
          <w:tcPr>
            <w:tcW w:w="2540" w:type="pct"/>
            <w:tcBorders>
              <w:top w:val="nil"/>
              <w:left w:val="single" w:sz="4" w:space="0" w:color="auto"/>
              <w:bottom w:val="single" w:sz="4" w:space="0" w:color="auto"/>
              <w:right w:val="single" w:sz="4" w:space="0" w:color="auto"/>
            </w:tcBorders>
            <w:noWrap/>
            <w:vAlign w:val="bottom"/>
            <w:hideMark/>
          </w:tcPr>
          <w:p w14:paraId="740A367A"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Interest Coverage Ratio = Operating Profit (EBIT) ÷ Interest Expense</w:t>
            </w:r>
          </w:p>
        </w:tc>
        <w:tc>
          <w:tcPr>
            <w:tcW w:w="478" w:type="pct"/>
            <w:tcBorders>
              <w:top w:val="nil"/>
              <w:left w:val="nil"/>
              <w:bottom w:val="single" w:sz="4" w:space="0" w:color="auto"/>
              <w:right w:val="single" w:sz="4" w:space="0" w:color="auto"/>
            </w:tcBorders>
            <w:noWrap/>
            <w:vAlign w:val="bottom"/>
            <w:hideMark/>
          </w:tcPr>
          <w:p w14:paraId="46D8D45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2.37</w:t>
            </w:r>
          </w:p>
        </w:tc>
        <w:tc>
          <w:tcPr>
            <w:tcW w:w="478" w:type="pct"/>
            <w:tcBorders>
              <w:top w:val="nil"/>
              <w:left w:val="nil"/>
              <w:bottom w:val="single" w:sz="4" w:space="0" w:color="auto"/>
              <w:right w:val="single" w:sz="4" w:space="0" w:color="auto"/>
            </w:tcBorders>
            <w:noWrap/>
            <w:vAlign w:val="bottom"/>
            <w:hideMark/>
          </w:tcPr>
          <w:p w14:paraId="075763D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16.36</w:t>
            </w:r>
          </w:p>
        </w:tc>
        <w:tc>
          <w:tcPr>
            <w:tcW w:w="478" w:type="pct"/>
            <w:tcBorders>
              <w:top w:val="nil"/>
              <w:left w:val="nil"/>
              <w:bottom w:val="single" w:sz="4" w:space="0" w:color="auto"/>
              <w:right w:val="single" w:sz="4" w:space="0" w:color="auto"/>
            </w:tcBorders>
            <w:noWrap/>
            <w:vAlign w:val="bottom"/>
            <w:hideMark/>
          </w:tcPr>
          <w:p w14:paraId="3E9D7B6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20.85</w:t>
            </w:r>
          </w:p>
        </w:tc>
        <w:tc>
          <w:tcPr>
            <w:tcW w:w="478" w:type="pct"/>
            <w:tcBorders>
              <w:top w:val="nil"/>
              <w:left w:val="nil"/>
              <w:bottom w:val="single" w:sz="4" w:space="0" w:color="auto"/>
              <w:right w:val="single" w:sz="4" w:space="0" w:color="auto"/>
            </w:tcBorders>
            <w:noWrap/>
            <w:vAlign w:val="bottom"/>
            <w:hideMark/>
          </w:tcPr>
          <w:p w14:paraId="3A9411E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24.11</w:t>
            </w:r>
          </w:p>
        </w:tc>
        <w:tc>
          <w:tcPr>
            <w:tcW w:w="478" w:type="pct"/>
            <w:tcBorders>
              <w:top w:val="nil"/>
              <w:left w:val="nil"/>
              <w:bottom w:val="single" w:sz="4" w:space="0" w:color="auto"/>
              <w:right w:val="single" w:sz="4" w:space="0" w:color="auto"/>
            </w:tcBorders>
            <w:noWrap/>
            <w:vAlign w:val="bottom"/>
            <w:hideMark/>
          </w:tcPr>
          <w:p w14:paraId="5D7EE16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15.75</w:t>
            </w:r>
          </w:p>
        </w:tc>
        <w:tc>
          <w:tcPr>
            <w:tcW w:w="68" w:type="pct"/>
            <w:vAlign w:val="center"/>
            <w:hideMark/>
          </w:tcPr>
          <w:p w14:paraId="679AA94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302442C7" w14:textId="77777777" w:rsidR="00650A83" w:rsidRDefault="00650A83" w:rsidP="00650A83"/>
    <w:p w14:paraId="7A22A41B" w14:textId="77777777" w:rsidR="00650A83" w:rsidRDefault="00650A83" w:rsidP="00650A83">
      <w:r w:rsidRPr="00FF05EF">
        <w:t>Investment</w:t>
      </w:r>
    </w:p>
    <w:tbl>
      <w:tblPr>
        <w:tblW w:w="5000" w:type="pct"/>
        <w:tblLook w:val="04A0" w:firstRow="1" w:lastRow="0" w:firstColumn="1" w:lastColumn="0" w:noHBand="0" w:noVBand="1"/>
      </w:tblPr>
      <w:tblGrid>
        <w:gridCol w:w="5843"/>
        <w:gridCol w:w="623"/>
        <w:gridCol w:w="623"/>
        <w:gridCol w:w="623"/>
        <w:gridCol w:w="714"/>
        <w:gridCol w:w="714"/>
        <w:gridCol w:w="220"/>
      </w:tblGrid>
      <w:tr w:rsidR="00650A83" w:rsidRPr="00E9094B" w14:paraId="4BA0EC99" w14:textId="77777777" w:rsidTr="00494876">
        <w:trPr>
          <w:gridAfter w:val="1"/>
          <w:wAfter w:w="76" w:type="pct"/>
          <w:trHeight w:val="552"/>
        </w:trPr>
        <w:tc>
          <w:tcPr>
            <w:tcW w:w="4924" w:type="pct"/>
            <w:gridSpan w:val="6"/>
            <w:vMerge w:val="restart"/>
            <w:tcBorders>
              <w:top w:val="nil"/>
              <w:left w:val="nil"/>
              <w:bottom w:val="nil"/>
              <w:right w:val="nil"/>
            </w:tcBorders>
            <w:shd w:val="clear" w:color="000000" w:fill="275317"/>
            <w:noWrap/>
            <w:vAlign w:val="center"/>
            <w:hideMark/>
          </w:tcPr>
          <w:p w14:paraId="1DFE9B85"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Investment</w:t>
            </w:r>
          </w:p>
        </w:tc>
      </w:tr>
      <w:tr w:rsidR="00650A83" w:rsidRPr="00E9094B" w14:paraId="4F0FFC49" w14:textId="77777777" w:rsidTr="00494876">
        <w:trPr>
          <w:trHeight w:val="300"/>
        </w:trPr>
        <w:tc>
          <w:tcPr>
            <w:tcW w:w="4924" w:type="pct"/>
            <w:gridSpan w:val="6"/>
            <w:vMerge/>
            <w:tcBorders>
              <w:top w:val="nil"/>
              <w:left w:val="nil"/>
              <w:bottom w:val="nil"/>
              <w:right w:val="nil"/>
            </w:tcBorders>
            <w:vAlign w:val="center"/>
            <w:hideMark/>
          </w:tcPr>
          <w:p w14:paraId="77A174A8"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76" w:type="pct"/>
            <w:tcBorders>
              <w:top w:val="nil"/>
              <w:left w:val="nil"/>
              <w:bottom w:val="nil"/>
              <w:right w:val="nil"/>
            </w:tcBorders>
            <w:noWrap/>
            <w:vAlign w:val="bottom"/>
            <w:hideMark/>
          </w:tcPr>
          <w:p w14:paraId="08055163"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4668C39F" w14:textId="77777777" w:rsidTr="00494876">
        <w:trPr>
          <w:trHeight w:val="315"/>
        </w:trPr>
        <w:tc>
          <w:tcPr>
            <w:tcW w:w="4924"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334E54A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lastRenderedPageBreak/>
              <w:t>Earnings per Share (EPS)</w:t>
            </w:r>
          </w:p>
        </w:tc>
        <w:tc>
          <w:tcPr>
            <w:tcW w:w="76" w:type="pct"/>
            <w:vAlign w:val="center"/>
            <w:hideMark/>
          </w:tcPr>
          <w:p w14:paraId="5F11BC11"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DA015BA"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3C2596B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279" w:type="pct"/>
            <w:tcBorders>
              <w:top w:val="nil"/>
              <w:left w:val="nil"/>
              <w:bottom w:val="single" w:sz="4" w:space="0" w:color="auto"/>
              <w:right w:val="single" w:sz="4" w:space="0" w:color="auto"/>
            </w:tcBorders>
            <w:noWrap/>
            <w:vAlign w:val="bottom"/>
            <w:hideMark/>
          </w:tcPr>
          <w:p w14:paraId="09147A5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279" w:type="pct"/>
            <w:tcBorders>
              <w:top w:val="nil"/>
              <w:left w:val="nil"/>
              <w:bottom w:val="single" w:sz="4" w:space="0" w:color="auto"/>
              <w:right w:val="single" w:sz="4" w:space="0" w:color="auto"/>
            </w:tcBorders>
            <w:noWrap/>
            <w:vAlign w:val="bottom"/>
            <w:hideMark/>
          </w:tcPr>
          <w:p w14:paraId="71A5755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279" w:type="pct"/>
            <w:tcBorders>
              <w:top w:val="nil"/>
              <w:left w:val="nil"/>
              <w:bottom w:val="single" w:sz="4" w:space="0" w:color="auto"/>
              <w:right w:val="single" w:sz="4" w:space="0" w:color="auto"/>
            </w:tcBorders>
            <w:noWrap/>
            <w:vAlign w:val="bottom"/>
            <w:hideMark/>
          </w:tcPr>
          <w:p w14:paraId="7392F3AD"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325" w:type="pct"/>
            <w:tcBorders>
              <w:top w:val="nil"/>
              <w:left w:val="nil"/>
              <w:bottom w:val="single" w:sz="4" w:space="0" w:color="auto"/>
              <w:right w:val="single" w:sz="4" w:space="0" w:color="auto"/>
            </w:tcBorders>
            <w:noWrap/>
            <w:vAlign w:val="bottom"/>
            <w:hideMark/>
          </w:tcPr>
          <w:p w14:paraId="679B1DD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325" w:type="pct"/>
            <w:tcBorders>
              <w:top w:val="nil"/>
              <w:left w:val="nil"/>
              <w:bottom w:val="single" w:sz="4" w:space="0" w:color="auto"/>
              <w:right w:val="single" w:sz="4" w:space="0" w:color="auto"/>
            </w:tcBorders>
            <w:noWrap/>
            <w:vAlign w:val="bottom"/>
            <w:hideMark/>
          </w:tcPr>
          <w:p w14:paraId="44D5CEC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6" w:type="pct"/>
            <w:vAlign w:val="center"/>
            <w:hideMark/>
          </w:tcPr>
          <w:p w14:paraId="5969745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092D352"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416E534B"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EPS (RMB/share)</w:t>
            </w:r>
          </w:p>
        </w:tc>
        <w:tc>
          <w:tcPr>
            <w:tcW w:w="279" w:type="pct"/>
            <w:tcBorders>
              <w:top w:val="nil"/>
              <w:left w:val="nil"/>
              <w:bottom w:val="single" w:sz="4" w:space="0" w:color="auto"/>
              <w:right w:val="single" w:sz="4" w:space="0" w:color="auto"/>
            </w:tcBorders>
            <w:noWrap/>
            <w:vAlign w:val="bottom"/>
            <w:hideMark/>
          </w:tcPr>
          <w:p w14:paraId="407E2C1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1.06</w:t>
            </w:r>
          </w:p>
        </w:tc>
        <w:tc>
          <w:tcPr>
            <w:tcW w:w="279" w:type="pct"/>
            <w:tcBorders>
              <w:top w:val="nil"/>
              <w:left w:val="nil"/>
              <w:bottom w:val="single" w:sz="4" w:space="0" w:color="auto"/>
              <w:right w:val="single" w:sz="4" w:space="0" w:color="auto"/>
            </w:tcBorders>
            <w:noWrap/>
            <w:vAlign w:val="bottom"/>
            <w:hideMark/>
          </w:tcPr>
          <w:p w14:paraId="436EC2B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5.71</w:t>
            </w:r>
          </w:p>
        </w:tc>
        <w:tc>
          <w:tcPr>
            <w:tcW w:w="279" w:type="pct"/>
            <w:tcBorders>
              <w:top w:val="nil"/>
              <w:left w:val="nil"/>
              <w:bottom w:val="single" w:sz="4" w:space="0" w:color="auto"/>
              <w:right w:val="single" w:sz="4" w:space="0" w:color="auto"/>
            </w:tcBorders>
            <w:noWrap/>
            <w:vAlign w:val="bottom"/>
            <w:hideMark/>
          </w:tcPr>
          <w:p w14:paraId="0B30446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10.32</w:t>
            </w:r>
          </w:p>
        </w:tc>
        <w:tc>
          <w:tcPr>
            <w:tcW w:w="325" w:type="pct"/>
            <w:tcBorders>
              <w:top w:val="nil"/>
              <w:left w:val="nil"/>
              <w:bottom w:val="single" w:sz="4" w:space="0" w:color="auto"/>
              <w:right w:val="single" w:sz="4" w:space="0" w:color="auto"/>
            </w:tcBorders>
            <w:noWrap/>
            <w:vAlign w:val="bottom"/>
            <w:hideMark/>
          </w:tcPr>
          <w:p w14:paraId="55BC715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13.84</w:t>
            </w:r>
          </w:p>
        </w:tc>
        <w:tc>
          <w:tcPr>
            <w:tcW w:w="325" w:type="pct"/>
            <w:tcBorders>
              <w:top w:val="nil"/>
              <w:left w:val="nil"/>
              <w:bottom w:val="single" w:sz="4" w:space="0" w:color="auto"/>
              <w:right w:val="single" w:sz="4" w:space="0" w:color="auto"/>
            </w:tcBorders>
            <w:noWrap/>
            <w:vAlign w:val="bottom"/>
            <w:hideMark/>
          </w:tcPr>
          <w:p w14:paraId="3955F01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3.58</w:t>
            </w:r>
          </w:p>
        </w:tc>
        <w:tc>
          <w:tcPr>
            <w:tcW w:w="76" w:type="pct"/>
            <w:vAlign w:val="center"/>
            <w:hideMark/>
          </w:tcPr>
          <w:p w14:paraId="30E8DDD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4020352" w14:textId="77777777" w:rsidTr="00494876">
        <w:trPr>
          <w:trHeight w:val="315"/>
        </w:trPr>
        <w:tc>
          <w:tcPr>
            <w:tcW w:w="4924"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4BC1F1A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Price/Earnings Ratio (P/E)</w:t>
            </w:r>
          </w:p>
        </w:tc>
        <w:tc>
          <w:tcPr>
            <w:tcW w:w="76" w:type="pct"/>
            <w:vAlign w:val="center"/>
            <w:hideMark/>
          </w:tcPr>
          <w:p w14:paraId="6A60F0C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08E5E13"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7C463262"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279" w:type="pct"/>
            <w:tcBorders>
              <w:top w:val="nil"/>
              <w:left w:val="nil"/>
              <w:bottom w:val="single" w:sz="4" w:space="0" w:color="auto"/>
              <w:right w:val="single" w:sz="4" w:space="0" w:color="auto"/>
            </w:tcBorders>
            <w:noWrap/>
            <w:vAlign w:val="bottom"/>
            <w:hideMark/>
          </w:tcPr>
          <w:p w14:paraId="2C07D26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279" w:type="pct"/>
            <w:tcBorders>
              <w:top w:val="nil"/>
              <w:left w:val="nil"/>
              <w:bottom w:val="single" w:sz="4" w:space="0" w:color="auto"/>
              <w:right w:val="single" w:sz="4" w:space="0" w:color="auto"/>
            </w:tcBorders>
            <w:noWrap/>
            <w:vAlign w:val="bottom"/>
            <w:hideMark/>
          </w:tcPr>
          <w:p w14:paraId="431EF25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279" w:type="pct"/>
            <w:tcBorders>
              <w:top w:val="nil"/>
              <w:left w:val="nil"/>
              <w:bottom w:val="single" w:sz="4" w:space="0" w:color="auto"/>
              <w:right w:val="single" w:sz="4" w:space="0" w:color="auto"/>
            </w:tcBorders>
            <w:noWrap/>
            <w:vAlign w:val="bottom"/>
            <w:hideMark/>
          </w:tcPr>
          <w:p w14:paraId="1542B271"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325" w:type="pct"/>
            <w:tcBorders>
              <w:top w:val="nil"/>
              <w:left w:val="nil"/>
              <w:bottom w:val="single" w:sz="4" w:space="0" w:color="auto"/>
              <w:right w:val="single" w:sz="4" w:space="0" w:color="auto"/>
            </w:tcBorders>
            <w:noWrap/>
            <w:vAlign w:val="bottom"/>
            <w:hideMark/>
          </w:tcPr>
          <w:p w14:paraId="3AC4688D"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325" w:type="pct"/>
            <w:tcBorders>
              <w:top w:val="nil"/>
              <w:left w:val="nil"/>
              <w:bottom w:val="single" w:sz="4" w:space="0" w:color="auto"/>
              <w:right w:val="single" w:sz="4" w:space="0" w:color="auto"/>
            </w:tcBorders>
            <w:noWrap/>
            <w:vAlign w:val="bottom"/>
            <w:hideMark/>
          </w:tcPr>
          <w:p w14:paraId="1BEBB859"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6" w:type="pct"/>
            <w:vAlign w:val="center"/>
            <w:hideMark/>
          </w:tcPr>
          <w:p w14:paraId="3D0C00FA"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CF09BE3"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40BBBDEB"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 xml:space="preserve">Share Price </w:t>
            </w:r>
          </w:p>
        </w:tc>
        <w:tc>
          <w:tcPr>
            <w:tcW w:w="279" w:type="pct"/>
            <w:tcBorders>
              <w:top w:val="nil"/>
              <w:left w:val="nil"/>
              <w:bottom w:val="single" w:sz="4" w:space="0" w:color="auto"/>
              <w:right w:val="single" w:sz="4" w:space="0" w:color="auto"/>
            </w:tcBorders>
            <w:noWrap/>
            <w:vAlign w:val="bottom"/>
            <w:hideMark/>
          </w:tcPr>
          <w:p w14:paraId="7D71B0F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33.90</w:t>
            </w:r>
          </w:p>
        </w:tc>
        <w:tc>
          <w:tcPr>
            <w:tcW w:w="279" w:type="pct"/>
            <w:tcBorders>
              <w:top w:val="nil"/>
              <w:left w:val="nil"/>
              <w:bottom w:val="single" w:sz="4" w:space="0" w:color="auto"/>
              <w:right w:val="single" w:sz="4" w:space="0" w:color="auto"/>
            </w:tcBorders>
            <w:noWrap/>
            <w:vAlign w:val="bottom"/>
            <w:hideMark/>
          </w:tcPr>
          <w:p w14:paraId="0D9FEB3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40.00</w:t>
            </w:r>
          </w:p>
        </w:tc>
        <w:tc>
          <w:tcPr>
            <w:tcW w:w="279" w:type="pct"/>
            <w:tcBorders>
              <w:top w:val="nil"/>
              <w:left w:val="nil"/>
              <w:bottom w:val="single" w:sz="4" w:space="0" w:color="auto"/>
              <w:right w:val="single" w:sz="4" w:space="0" w:color="auto"/>
            </w:tcBorders>
            <w:noWrap/>
            <w:vAlign w:val="bottom"/>
            <w:hideMark/>
          </w:tcPr>
          <w:p w14:paraId="4B0EBEC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74.30</w:t>
            </w:r>
          </w:p>
        </w:tc>
        <w:tc>
          <w:tcPr>
            <w:tcW w:w="325" w:type="pct"/>
            <w:tcBorders>
              <w:top w:val="nil"/>
              <w:left w:val="nil"/>
              <w:bottom w:val="single" w:sz="4" w:space="0" w:color="auto"/>
              <w:right w:val="single" w:sz="4" w:space="0" w:color="auto"/>
            </w:tcBorders>
            <w:noWrap/>
            <w:vAlign w:val="bottom"/>
            <w:hideMark/>
          </w:tcPr>
          <w:p w14:paraId="0FBA659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105.00</w:t>
            </w:r>
          </w:p>
        </w:tc>
        <w:tc>
          <w:tcPr>
            <w:tcW w:w="325" w:type="pct"/>
            <w:tcBorders>
              <w:top w:val="nil"/>
              <w:left w:val="nil"/>
              <w:bottom w:val="single" w:sz="4" w:space="0" w:color="auto"/>
              <w:right w:val="single" w:sz="4" w:space="0" w:color="auto"/>
            </w:tcBorders>
            <w:noWrap/>
            <w:vAlign w:val="bottom"/>
            <w:hideMark/>
          </w:tcPr>
          <w:p w14:paraId="7CD7FE4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105.00</w:t>
            </w:r>
          </w:p>
        </w:tc>
        <w:tc>
          <w:tcPr>
            <w:tcW w:w="76" w:type="pct"/>
            <w:vAlign w:val="center"/>
            <w:hideMark/>
          </w:tcPr>
          <w:p w14:paraId="05432BB6"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D16DB61"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35994B34"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EPS</w:t>
            </w:r>
          </w:p>
        </w:tc>
        <w:tc>
          <w:tcPr>
            <w:tcW w:w="279" w:type="pct"/>
            <w:tcBorders>
              <w:top w:val="nil"/>
              <w:left w:val="nil"/>
              <w:bottom w:val="single" w:sz="4" w:space="0" w:color="auto"/>
              <w:right w:val="single" w:sz="4" w:space="0" w:color="auto"/>
            </w:tcBorders>
            <w:noWrap/>
            <w:vAlign w:val="bottom"/>
            <w:hideMark/>
          </w:tcPr>
          <w:p w14:paraId="54E6C78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1.06</w:t>
            </w:r>
          </w:p>
        </w:tc>
        <w:tc>
          <w:tcPr>
            <w:tcW w:w="279" w:type="pct"/>
            <w:tcBorders>
              <w:top w:val="nil"/>
              <w:left w:val="nil"/>
              <w:bottom w:val="single" w:sz="4" w:space="0" w:color="auto"/>
              <w:right w:val="single" w:sz="4" w:space="0" w:color="auto"/>
            </w:tcBorders>
            <w:noWrap/>
            <w:vAlign w:val="bottom"/>
            <w:hideMark/>
          </w:tcPr>
          <w:p w14:paraId="34827F3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5.71</w:t>
            </w:r>
          </w:p>
        </w:tc>
        <w:tc>
          <w:tcPr>
            <w:tcW w:w="279" w:type="pct"/>
            <w:tcBorders>
              <w:top w:val="nil"/>
              <w:left w:val="nil"/>
              <w:bottom w:val="single" w:sz="4" w:space="0" w:color="auto"/>
              <w:right w:val="single" w:sz="4" w:space="0" w:color="auto"/>
            </w:tcBorders>
            <w:noWrap/>
            <w:vAlign w:val="bottom"/>
            <w:hideMark/>
          </w:tcPr>
          <w:p w14:paraId="0D57E2D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10.32</w:t>
            </w:r>
          </w:p>
        </w:tc>
        <w:tc>
          <w:tcPr>
            <w:tcW w:w="325" w:type="pct"/>
            <w:tcBorders>
              <w:top w:val="nil"/>
              <w:left w:val="nil"/>
              <w:bottom w:val="single" w:sz="4" w:space="0" w:color="auto"/>
              <w:right w:val="single" w:sz="4" w:space="0" w:color="auto"/>
            </w:tcBorders>
            <w:noWrap/>
            <w:vAlign w:val="bottom"/>
            <w:hideMark/>
          </w:tcPr>
          <w:p w14:paraId="7FA4FA0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13.84</w:t>
            </w:r>
          </w:p>
        </w:tc>
        <w:tc>
          <w:tcPr>
            <w:tcW w:w="325" w:type="pct"/>
            <w:tcBorders>
              <w:top w:val="nil"/>
              <w:left w:val="nil"/>
              <w:bottom w:val="single" w:sz="4" w:space="0" w:color="auto"/>
              <w:right w:val="single" w:sz="4" w:space="0" w:color="auto"/>
            </w:tcBorders>
            <w:noWrap/>
            <w:vAlign w:val="bottom"/>
            <w:hideMark/>
          </w:tcPr>
          <w:p w14:paraId="7718249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3.58</w:t>
            </w:r>
          </w:p>
        </w:tc>
        <w:tc>
          <w:tcPr>
            <w:tcW w:w="76" w:type="pct"/>
            <w:vAlign w:val="center"/>
            <w:hideMark/>
          </w:tcPr>
          <w:p w14:paraId="7441D86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3011A02" w14:textId="77777777" w:rsidTr="00494876">
        <w:trPr>
          <w:trHeight w:val="315"/>
        </w:trPr>
        <w:tc>
          <w:tcPr>
            <w:tcW w:w="3436" w:type="pct"/>
            <w:tcBorders>
              <w:top w:val="nil"/>
              <w:left w:val="single" w:sz="4" w:space="0" w:color="auto"/>
              <w:bottom w:val="single" w:sz="4" w:space="0" w:color="auto"/>
              <w:right w:val="single" w:sz="4" w:space="0" w:color="auto"/>
            </w:tcBorders>
            <w:noWrap/>
            <w:vAlign w:val="bottom"/>
            <w:hideMark/>
          </w:tcPr>
          <w:p w14:paraId="10EADF80"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Price/Earnings Ratio (P/E) = Market Price per Share ÷ Earnings per Share</w:t>
            </w:r>
          </w:p>
        </w:tc>
        <w:tc>
          <w:tcPr>
            <w:tcW w:w="279" w:type="pct"/>
            <w:tcBorders>
              <w:top w:val="nil"/>
              <w:left w:val="nil"/>
              <w:bottom w:val="single" w:sz="4" w:space="0" w:color="auto"/>
              <w:right w:val="single" w:sz="4" w:space="0" w:color="auto"/>
            </w:tcBorders>
            <w:noWrap/>
            <w:vAlign w:val="bottom"/>
            <w:hideMark/>
          </w:tcPr>
          <w:p w14:paraId="1D8CDB0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31.98</w:t>
            </w:r>
          </w:p>
        </w:tc>
        <w:tc>
          <w:tcPr>
            <w:tcW w:w="279" w:type="pct"/>
            <w:tcBorders>
              <w:top w:val="nil"/>
              <w:left w:val="nil"/>
              <w:bottom w:val="single" w:sz="4" w:space="0" w:color="auto"/>
              <w:right w:val="single" w:sz="4" w:space="0" w:color="auto"/>
            </w:tcBorders>
            <w:noWrap/>
            <w:vAlign w:val="bottom"/>
            <w:hideMark/>
          </w:tcPr>
          <w:p w14:paraId="3FBACDB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7.01</w:t>
            </w:r>
          </w:p>
        </w:tc>
        <w:tc>
          <w:tcPr>
            <w:tcW w:w="279" w:type="pct"/>
            <w:tcBorders>
              <w:top w:val="nil"/>
              <w:left w:val="nil"/>
              <w:bottom w:val="single" w:sz="4" w:space="0" w:color="auto"/>
              <w:right w:val="single" w:sz="4" w:space="0" w:color="auto"/>
            </w:tcBorders>
            <w:noWrap/>
            <w:vAlign w:val="bottom"/>
            <w:hideMark/>
          </w:tcPr>
          <w:p w14:paraId="7C71E3B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7.20</w:t>
            </w:r>
          </w:p>
        </w:tc>
        <w:tc>
          <w:tcPr>
            <w:tcW w:w="325" w:type="pct"/>
            <w:tcBorders>
              <w:top w:val="nil"/>
              <w:left w:val="nil"/>
              <w:bottom w:val="single" w:sz="4" w:space="0" w:color="auto"/>
              <w:right w:val="single" w:sz="4" w:space="0" w:color="auto"/>
            </w:tcBorders>
            <w:noWrap/>
            <w:vAlign w:val="bottom"/>
            <w:hideMark/>
          </w:tcPr>
          <w:p w14:paraId="3839598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7.59</w:t>
            </w:r>
          </w:p>
        </w:tc>
        <w:tc>
          <w:tcPr>
            <w:tcW w:w="325" w:type="pct"/>
            <w:tcBorders>
              <w:top w:val="nil"/>
              <w:left w:val="nil"/>
              <w:bottom w:val="single" w:sz="4" w:space="0" w:color="auto"/>
              <w:right w:val="single" w:sz="4" w:space="0" w:color="auto"/>
            </w:tcBorders>
            <w:noWrap/>
            <w:vAlign w:val="bottom"/>
            <w:hideMark/>
          </w:tcPr>
          <w:p w14:paraId="0B2BF0C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29.33</w:t>
            </w:r>
          </w:p>
        </w:tc>
        <w:tc>
          <w:tcPr>
            <w:tcW w:w="76" w:type="pct"/>
            <w:vAlign w:val="center"/>
            <w:hideMark/>
          </w:tcPr>
          <w:p w14:paraId="2FC1A5C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4C4F9558" w14:textId="77777777" w:rsidR="00650A83" w:rsidRDefault="00650A83" w:rsidP="00650A83"/>
    <w:p w14:paraId="242129E9" w14:textId="77777777" w:rsidR="00650A83" w:rsidRDefault="00650A83" w:rsidP="00650A83">
      <w:r w:rsidRPr="00FF05EF">
        <w:t>Cash Flow</w:t>
      </w:r>
    </w:p>
    <w:tbl>
      <w:tblPr>
        <w:tblW w:w="5000" w:type="pct"/>
        <w:tblLook w:val="04A0" w:firstRow="1" w:lastRow="0" w:firstColumn="1" w:lastColumn="0" w:noHBand="0" w:noVBand="1"/>
      </w:tblPr>
      <w:tblGrid>
        <w:gridCol w:w="4449"/>
        <w:gridCol w:w="880"/>
        <w:gridCol w:w="953"/>
        <w:gridCol w:w="953"/>
        <w:gridCol w:w="953"/>
        <w:gridCol w:w="953"/>
        <w:gridCol w:w="219"/>
      </w:tblGrid>
      <w:tr w:rsidR="00650A83" w:rsidRPr="00E9094B" w14:paraId="009E05B8" w14:textId="77777777" w:rsidTr="00494876">
        <w:trPr>
          <w:gridAfter w:val="1"/>
          <w:wAfter w:w="60" w:type="pct"/>
          <w:trHeight w:val="552"/>
        </w:trPr>
        <w:tc>
          <w:tcPr>
            <w:tcW w:w="4940" w:type="pct"/>
            <w:gridSpan w:val="6"/>
            <w:vMerge w:val="restart"/>
            <w:tcBorders>
              <w:top w:val="nil"/>
              <w:left w:val="nil"/>
              <w:bottom w:val="nil"/>
              <w:right w:val="nil"/>
            </w:tcBorders>
            <w:shd w:val="clear" w:color="000000" w:fill="275317"/>
            <w:noWrap/>
            <w:vAlign w:val="center"/>
            <w:hideMark/>
          </w:tcPr>
          <w:p w14:paraId="27519A6D"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Cash Flow</w:t>
            </w:r>
          </w:p>
        </w:tc>
      </w:tr>
      <w:tr w:rsidR="00650A83" w:rsidRPr="00E9094B" w14:paraId="6E67833A" w14:textId="77777777" w:rsidTr="00494876">
        <w:trPr>
          <w:trHeight w:val="300"/>
        </w:trPr>
        <w:tc>
          <w:tcPr>
            <w:tcW w:w="4940" w:type="pct"/>
            <w:gridSpan w:val="6"/>
            <w:vMerge/>
            <w:tcBorders>
              <w:top w:val="nil"/>
              <w:left w:val="nil"/>
              <w:bottom w:val="nil"/>
              <w:right w:val="nil"/>
            </w:tcBorders>
            <w:vAlign w:val="center"/>
            <w:hideMark/>
          </w:tcPr>
          <w:p w14:paraId="494E0736"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60" w:type="pct"/>
            <w:tcBorders>
              <w:top w:val="nil"/>
              <w:left w:val="nil"/>
              <w:bottom w:val="nil"/>
              <w:right w:val="nil"/>
            </w:tcBorders>
            <w:noWrap/>
            <w:vAlign w:val="bottom"/>
            <w:hideMark/>
          </w:tcPr>
          <w:p w14:paraId="51777244"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6A4341CC" w14:textId="77777777" w:rsidTr="00494876">
        <w:trPr>
          <w:trHeight w:val="315"/>
        </w:trPr>
        <w:tc>
          <w:tcPr>
            <w:tcW w:w="494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142230D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Operating Cash Flow (OCF)</w:t>
            </w:r>
          </w:p>
        </w:tc>
        <w:tc>
          <w:tcPr>
            <w:tcW w:w="60" w:type="pct"/>
            <w:vAlign w:val="center"/>
            <w:hideMark/>
          </w:tcPr>
          <w:p w14:paraId="7EB7BFBA"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30369E9"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3140196F"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423" w:type="pct"/>
            <w:tcBorders>
              <w:top w:val="nil"/>
              <w:left w:val="nil"/>
              <w:bottom w:val="single" w:sz="4" w:space="0" w:color="auto"/>
              <w:right w:val="single" w:sz="4" w:space="0" w:color="auto"/>
            </w:tcBorders>
            <w:noWrap/>
            <w:vAlign w:val="bottom"/>
            <w:hideMark/>
          </w:tcPr>
          <w:p w14:paraId="031C878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8" w:type="pct"/>
            <w:tcBorders>
              <w:top w:val="nil"/>
              <w:left w:val="nil"/>
              <w:bottom w:val="single" w:sz="4" w:space="0" w:color="auto"/>
              <w:right w:val="single" w:sz="4" w:space="0" w:color="auto"/>
            </w:tcBorders>
            <w:noWrap/>
            <w:vAlign w:val="bottom"/>
            <w:hideMark/>
          </w:tcPr>
          <w:p w14:paraId="7886FA9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8" w:type="pct"/>
            <w:tcBorders>
              <w:top w:val="nil"/>
              <w:left w:val="nil"/>
              <w:bottom w:val="single" w:sz="4" w:space="0" w:color="auto"/>
              <w:right w:val="single" w:sz="4" w:space="0" w:color="auto"/>
            </w:tcBorders>
            <w:noWrap/>
            <w:vAlign w:val="bottom"/>
            <w:hideMark/>
          </w:tcPr>
          <w:p w14:paraId="6D492CF4"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68" w:type="pct"/>
            <w:tcBorders>
              <w:top w:val="nil"/>
              <w:left w:val="nil"/>
              <w:bottom w:val="single" w:sz="4" w:space="0" w:color="auto"/>
              <w:right w:val="single" w:sz="4" w:space="0" w:color="auto"/>
            </w:tcBorders>
            <w:noWrap/>
            <w:vAlign w:val="bottom"/>
            <w:hideMark/>
          </w:tcPr>
          <w:p w14:paraId="2B4E8E58"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68" w:type="pct"/>
            <w:tcBorders>
              <w:top w:val="nil"/>
              <w:left w:val="nil"/>
              <w:bottom w:val="single" w:sz="4" w:space="0" w:color="auto"/>
              <w:right w:val="single" w:sz="4" w:space="0" w:color="auto"/>
            </w:tcBorders>
            <w:noWrap/>
            <w:vAlign w:val="bottom"/>
            <w:hideMark/>
          </w:tcPr>
          <w:p w14:paraId="7FB789A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0" w:type="pct"/>
            <w:vAlign w:val="center"/>
            <w:hideMark/>
          </w:tcPr>
          <w:p w14:paraId="3F27C027"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CA46FEC"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6503165D"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Operating Cash Flow</w:t>
            </w:r>
          </w:p>
        </w:tc>
        <w:tc>
          <w:tcPr>
            <w:tcW w:w="423" w:type="pct"/>
            <w:tcBorders>
              <w:top w:val="nil"/>
              <w:left w:val="nil"/>
              <w:bottom w:val="single" w:sz="4" w:space="0" w:color="auto"/>
              <w:right w:val="single" w:sz="4" w:space="0" w:color="auto"/>
            </w:tcBorders>
            <w:noWrap/>
            <w:vAlign w:val="bottom"/>
            <w:hideMark/>
          </w:tcPr>
          <w:p w14:paraId="427DDE6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65,466,682</w:t>
            </w:r>
          </w:p>
        </w:tc>
        <w:tc>
          <w:tcPr>
            <w:tcW w:w="468" w:type="pct"/>
            <w:tcBorders>
              <w:top w:val="nil"/>
              <w:left w:val="nil"/>
              <w:bottom w:val="single" w:sz="4" w:space="0" w:color="auto"/>
              <w:right w:val="single" w:sz="4" w:space="0" w:color="auto"/>
            </w:tcBorders>
            <w:noWrap/>
            <w:vAlign w:val="bottom"/>
            <w:hideMark/>
          </w:tcPr>
          <w:p w14:paraId="71C9EF7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140,837,657</w:t>
            </w:r>
          </w:p>
        </w:tc>
        <w:tc>
          <w:tcPr>
            <w:tcW w:w="468" w:type="pct"/>
            <w:tcBorders>
              <w:top w:val="nil"/>
              <w:left w:val="nil"/>
              <w:bottom w:val="single" w:sz="4" w:space="0" w:color="auto"/>
              <w:right w:val="single" w:sz="4" w:space="0" w:color="auto"/>
            </w:tcBorders>
            <w:noWrap/>
            <w:vAlign w:val="bottom"/>
            <w:hideMark/>
          </w:tcPr>
          <w:p w14:paraId="6AF5284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169,725,025</w:t>
            </w:r>
          </w:p>
        </w:tc>
        <w:tc>
          <w:tcPr>
            <w:tcW w:w="468" w:type="pct"/>
            <w:tcBorders>
              <w:top w:val="nil"/>
              <w:left w:val="nil"/>
              <w:bottom w:val="single" w:sz="4" w:space="0" w:color="auto"/>
              <w:right w:val="single" w:sz="4" w:space="0" w:color="auto"/>
            </w:tcBorders>
            <w:noWrap/>
            <w:vAlign w:val="bottom"/>
            <w:hideMark/>
          </w:tcPr>
          <w:p w14:paraId="5A165F7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133,453,873</w:t>
            </w:r>
          </w:p>
        </w:tc>
        <w:tc>
          <w:tcPr>
            <w:tcW w:w="468" w:type="pct"/>
            <w:tcBorders>
              <w:top w:val="nil"/>
              <w:left w:val="nil"/>
              <w:bottom w:val="single" w:sz="4" w:space="0" w:color="auto"/>
              <w:right w:val="single" w:sz="4" w:space="0" w:color="auto"/>
            </w:tcBorders>
            <w:noWrap/>
            <w:vAlign w:val="bottom"/>
            <w:hideMark/>
          </w:tcPr>
          <w:p w14:paraId="2758487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39,034,981</w:t>
            </w:r>
          </w:p>
        </w:tc>
        <w:tc>
          <w:tcPr>
            <w:tcW w:w="60" w:type="pct"/>
            <w:vAlign w:val="center"/>
            <w:hideMark/>
          </w:tcPr>
          <w:p w14:paraId="00E0017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A26DD93" w14:textId="77777777" w:rsidTr="00494876">
        <w:trPr>
          <w:trHeight w:val="315"/>
        </w:trPr>
        <w:tc>
          <w:tcPr>
            <w:tcW w:w="494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3B666DBA"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Free Cash Flow (FCF)</w:t>
            </w:r>
          </w:p>
        </w:tc>
        <w:tc>
          <w:tcPr>
            <w:tcW w:w="60" w:type="pct"/>
            <w:vAlign w:val="center"/>
            <w:hideMark/>
          </w:tcPr>
          <w:p w14:paraId="638C585D"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3C45CA4"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600F188F"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23" w:type="pct"/>
            <w:tcBorders>
              <w:top w:val="nil"/>
              <w:left w:val="nil"/>
              <w:bottom w:val="single" w:sz="4" w:space="0" w:color="auto"/>
              <w:right w:val="single" w:sz="4" w:space="0" w:color="auto"/>
            </w:tcBorders>
            <w:noWrap/>
            <w:vAlign w:val="bottom"/>
            <w:hideMark/>
          </w:tcPr>
          <w:p w14:paraId="3E2DFCB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8" w:type="pct"/>
            <w:tcBorders>
              <w:top w:val="nil"/>
              <w:left w:val="nil"/>
              <w:bottom w:val="single" w:sz="4" w:space="0" w:color="auto"/>
              <w:right w:val="single" w:sz="4" w:space="0" w:color="auto"/>
            </w:tcBorders>
            <w:noWrap/>
            <w:vAlign w:val="bottom"/>
            <w:hideMark/>
          </w:tcPr>
          <w:p w14:paraId="0544DF5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8" w:type="pct"/>
            <w:tcBorders>
              <w:top w:val="nil"/>
              <w:left w:val="nil"/>
              <w:bottom w:val="single" w:sz="4" w:space="0" w:color="auto"/>
              <w:right w:val="single" w:sz="4" w:space="0" w:color="auto"/>
            </w:tcBorders>
            <w:noWrap/>
            <w:vAlign w:val="bottom"/>
            <w:hideMark/>
          </w:tcPr>
          <w:p w14:paraId="3E398EF5"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68" w:type="pct"/>
            <w:tcBorders>
              <w:top w:val="nil"/>
              <w:left w:val="nil"/>
              <w:bottom w:val="single" w:sz="4" w:space="0" w:color="auto"/>
              <w:right w:val="single" w:sz="4" w:space="0" w:color="auto"/>
            </w:tcBorders>
            <w:noWrap/>
            <w:vAlign w:val="bottom"/>
            <w:hideMark/>
          </w:tcPr>
          <w:p w14:paraId="412E323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68" w:type="pct"/>
            <w:tcBorders>
              <w:top w:val="nil"/>
              <w:left w:val="nil"/>
              <w:bottom w:val="single" w:sz="4" w:space="0" w:color="auto"/>
              <w:right w:val="single" w:sz="4" w:space="0" w:color="auto"/>
            </w:tcBorders>
            <w:noWrap/>
            <w:vAlign w:val="bottom"/>
            <w:hideMark/>
          </w:tcPr>
          <w:p w14:paraId="2449EA7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0" w:type="pct"/>
            <w:vAlign w:val="center"/>
            <w:hideMark/>
          </w:tcPr>
          <w:p w14:paraId="42B563D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B5F008A"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5F22CD21"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OCF (RMB’000)</w:t>
            </w:r>
          </w:p>
        </w:tc>
        <w:tc>
          <w:tcPr>
            <w:tcW w:w="423" w:type="pct"/>
            <w:tcBorders>
              <w:top w:val="nil"/>
              <w:left w:val="nil"/>
              <w:bottom w:val="single" w:sz="4" w:space="0" w:color="auto"/>
              <w:right w:val="single" w:sz="4" w:space="0" w:color="auto"/>
            </w:tcBorders>
            <w:noWrap/>
            <w:vAlign w:val="bottom"/>
            <w:hideMark/>
          </w:tcPr>
          <w:p w14:paraId="552444C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65,466,682</w:t>
            </w:r>
          </w:p>
        </w:tc>
        <w:tc>
          <w:tcPr>
            <w:tcW w:w="468" w:type="pct"/>
            <w:tcBorders>
              <w:top w:val="nil"/>
              <w:left w:val="nil"/>
              <w:bottom w:val="single" w:sz="4" w:space="0" w:color="auto"/>
              <w:right w:val="single" w:sz="4" w:space="0" w:color="auto"/>
            </w:tcBorders>
            <w:noWrap/>
            <w:vAlign w:val="bottom"/>
            <w:hideMark/>
          </w:tcPr>
          <w:p w14:paraId="6B6E6AD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140,837,657</w:t>
            </w:r>
          </w:p>
        </w:tc>
        <w:tc>
          <w:tcPr>
            <w:tcW w:w="468" w:type="pct"/>
            <w:tcBorders>
              <w:top w:val="nil"/>
              <w:left w:val="nil"/>
              <w:bottom w:val="single" w:sz="4" w:space="0" w:color="auto"/>
              <w:right w:val="single" w:sz="4" w:space="0" w:color="auto"/>
            </w:tcBorders>
            <w:noWrap/>
            <w:vAlign w:val="bottom"/>
            <w:hideMark/>
          </w:tcPr>
          <w:p w14:paraId="0604B171"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169,725,025</w:t>
            </w:r>
          </w:p>
        </w:tc>
        <w:tc>
          <w:tcPr>
            <w:tcW w:w="468" w:type="pct"/>
            <w:tcBorders>
              <w:top w:val="nil"/>
              <w:left w:val="nil"/>
              <w:bottom w:val="single" w:sz="4" w:space="0" w:color="auto"/>
              <w:right w:val="single" w:sz="4" w:space="0" w:color="auto"/>
            </w:tcBorders>
            <w:noWrap/>
            <w:vAlign w:val="bottom"/>
            <w:hideMark/>
          </w:tcPr>
          <w:p w14:paraId="7D17E38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133,453,873</w:t>
            </w:r>
          </w:p>
        </w:tc>
        <w:tc>
          <w:tcPr>
            <w:tcW w:w="468" w:type="pct"/>
            <w:tcBorders>
              <w:top w:val="nil"/>
              <w:left w:val="nil"/>
              <w:bottom w:val="single" w:sz="4" w:space="0" w:color="auto"/>
              <w:right w:val="single" w:sz="4" w:space="0" w:color="auto"/>
            </w:tcBorders>
            <w:noWrap/>
            <w:vAlign w:val="bottom"/>
            <w:hideMark/>
          </w:tcPr>
          <w:p w14:paraId="1880F46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39,034,981</w:t>
            </w:r>
          </w:p>
        </w:tc>
        <w:tc>
          <w:tcPr>
            <w:tcW w:w="60" w:type="pct"/>
            <w:vAlign w:val="center"/>
            <w:hideMark/>
          </w:tcPr>
          <w:p w14:paraId="262D1A8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5726D74"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76A465A7"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CapEx (RMB’000) (Investment outflows)</w:t>
            </w:r>
          </w:p>
        </w:tc>
        <w:tc>
          <w:tcPr>
            <w:tcW w:w="423" w:type="pct"/>
            <w:tcBorders>
              <w:top w:val="nil"/>
              <w:left w:val="nil"/>
              <w:bottom w:val="single" w:sz="4" w:space="0" w:color="auto"/>
              <w:right w:val="single" w:sz="4" w:space="0" w:color="auto"/>
            </w:tcBorders>
            <w:noWrap/>
            <w:vAlign w:val="bottom"/>
            <w:hideMark/>
          </w:tcPr>
          <w:p w14:paraId="1BDCA85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45,403,992</w:t>
            </w:r>
          </w:p>
        </w:tc>
        <w:tc>
          <w:tcPr>
            <w:tcW w:w="468" w:type="pct"/>
            <w:tcBorders>
              <w:top w:val="nil"/>
              <w:left w:val="nil"/>
              <w:bottom w:val="single" w:sz="4" w:space="0" w:color="auto"/>
              <w:right w:val="single" w:sz="4" w:space="0" w:color="auto"/>
            </w:tcBorders>
            <w:noWrap/>
            <w:vAlign w:val="bottom"/>
            <w:hideMark/>
          </w:tcPr>
          <w:p w14:paraId="7B33B27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120,595,997</w:t>
            </w:r>
          </w:p>
        </w:tc>
        <w:tc>
          <w:tcPr>
            <w:tcW w:w="468" w:type="pct"/>
            <w:tcBorders>
              <w:top w:val="nil"/>
              <w:left w:val="nil"/>
              <w:bottom w:val="single" w:sz="4" w:space="0" w:color="auto"/>
              <w:right w:val="single" w:sz="4" w:space="0" w:color="auto"/>
            </w:tcBorders>
            <w:noWrap/>
            <w:vAlign w:val="bottom"/>
            <w:hideMark/>
          </w:tcPr>
          <w:p w14:paraId="0951EE9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125,663,644</w:t>
            </w:r>
          </w:p>
        </w:tc>
        <w:tc>
          <w:tcPr>
            <w:tcW w:w="468" w:type="pct"/>
            <w:tcBorders>
              <w:top w:val="nil"/>
              <w:left w:val="nil"/>
              <w:bottom w:val="single" w:sz="4" w:space="0" w:color="auto"/>
              <w:right w:val="single" w:sz="4" w:space="0" w:color="auto"/>
            </w:tcBorders>
            <w:noWrap/>
            <w:vAlign w:val="bottom"/>
            <w:hideMark/>
          </w:tcPr>
          <w:p w14:paraId="273B312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129,082,282</w:t>
            </w:r>
          </w:p>
        </w:tc>
        <w:tc>
          <w:tcPr>
            <w:tcW w:w="468" w:type="pct"/>
            <w:tcBorders>
              <w:top w:val="nil"/>
              <w:left w:val="nil"/>
              <w:bottom w:val="single" w:sz="4" w:space="0" w:color="auto"/>
              <w:right w:val="single" w:sz="4" w:space="0" w:color="auto"/>
            </w:tcBorders>
            <w:noWrap/>
            <w:vAlign w:val="bottom"/>
            <w:hideMark/>
          </w:tcPr>
          <w:p w14:paraId="24D8BF1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197,463,109</w:t>
            </w:r>
          </w:p>
        </w:tc>
        <w:tc>
          <w:tcPr>
            <w:tcW w:w="60" w:type="pct"/>
            <w:vAlign w:val="center"/>
            <w:hideMark/>
          </w:tcPr>
          <w:p w14:paraId="2A28AC9B"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24432EB1"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41DDEF5B"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Free Cash Flow (FCF) = Operating Cash Flow − Capital Expenditure</w:t>
            </w:r>
          </w:p>
        </w:tc>
        <w:tc>
          <w:tcPr>
            <w:tcW w:w="423" w:type="pct"/>
            <w:tcBorders>
              <w:top w:val="nil"/>
              <w:left w:val="nil"/>
              <w:bottom w:val="single" w:sz="4" w:space="0" w:color="auto"/>
              <w:right w:val="single" w:sz="4" w:space="0" w:color="auto"/>
            </w:tcBorders>
            <w:noWrap/>
            <w:vAlign w:val="bottom"/>
            <w:hideMark/>
          </w:tcPr>
          <w:p w14:paraId="7A34456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20062690</w:t>
            </w:r>
          </w:p>
        </w:tc>
        <w:tc>
          <w:tcPr>
            <w:tcW w:w="468" w:type="pct"/>
            <w:tcBorders>
              <w:top w:val="nil"/>
              <w:left w:val="nil"/>
              <w:bottom w:val="single" w:sz="4" w:space="0" w:color="auto"/>
              <w:right w:val="single" w:sz="4" w:space="0" w:color="auto"/>
            </w:tcBorders>
            <w:noWrap/>
            <w:vAlign w:val="bottom"/>
            <w:hideMark/>
          </w:tcPr>
          <w:p w14:paraId="42578E5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20241660</w:t>
            </w:r>
          </w:p>
        </w:tc>
        <w:tc>
          <w:tcPr>
            <w:tcW w:w="468" w:type="pct"/>
            <w:tcBorders>
              <w:top w:val="nil"/>
              <w:left w:val="nil"/>
              <w:bottom w:val="single" w:sz="4" w:space="0" w:color="auto"/>
              <w:right w:val="single" w:sz="4" w:space="0" w:color="auto"/>
            </w:tcBorders>
            <w:noWrap/>
            <w:vAlign w:val="bottom"/>
            <w:hideMark/>
          </w:tcPr>
          <w:p w14:paraId="33FC2DE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44061381</w:t>
            </w:r>
          </w:p>
        </w:tc>
        <w:tc>
          <w:tcPr>
            <w:tcW w:w="468" w:type="pct"/>
            <w:tcBorders>
              <w:top w:val="nil"/>
              <w:left w:val="nil"/>
              <w:bottom w:val="single" w:sz="4" w:space="0" w:color="auto"/>
              <w:right w:val="single" w:sz="4" w:space="0" w:color="auto"/>
            </w:tcBorders>
            <w:noWrap/>
            <w:vAlign w:val="bottom"/>
            <w:hideMark/>
          </w:tcPr>
          <w:p w14:paraId="6C7A5E7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4371591</w:t>
            </w:r>
          </w:p>
        </w:tc>
        <w:tc>
          <w:tcPr>
            <w:tcW w:w="468" w:type="pct"/>
            <w:tcBorders>
              <w:top w:val="nil"/>
              <w:left w:val="nil"/>
              <w:bottom w:val="single" w:sz="4" w:space="0" w:color="auto"/>
              <w:right w:val="single" w:sz="4" w:space="0" w:color="auto"/>
            </w:tcBorders>
            <w:noWrap/>
            <w:vAlign w:val="bottom"/>
            <w:hideMark/>
          </w:tcPr>
          <w:p w14:paraId="2D861F9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-158428128</w:t>
            </w:r>
          </w:p>
        </w:tc>
        <w:tc>
          <w:tcPr>
            <w:tcW w:w="60" w:type="pct"/>
            <w:vAlign w:val="center"/>
            <w:hideMark/>
          </w:tcPr>
          <w:p w14:paraId="0D76DE8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B0846A3" w14:textId="77777777" w:rsidTr="00494876">
        <w:trPr>
          <w:trHeight w:val="315"/>
        </w:trPr>
        <w:tc>
          <w:tcPr>
            <w:tcW w:w="4940"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406313BE"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Cash Flow Adequacy Ratio</w:t>
            </w:r>
          </w:p>
        </w:tc>
        <w:tc>
          <w:tcPr>
            <w:tcW w:w="60" w:type="pct"/>
            <w:vAlign w:val="center"/>
            <w:hideMark/>
          </w:tcPr>
          <w:p w14:paraId="33F938E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5B821A24"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078AC3D2" w14:textId="77777777" w:rsidR="00650A83" w:rsidRPr="00E9094B" w:rsidRDefault="00650A83" w:rsidP="00494876">
            <w:pPr>
              <w:spacing w:after="0" w:line="240" w:lineRule="auto"/>
              <w:jc w:val="left"/>
              <w:rPr>
                <w:rFonts w:eastAsia="Times New Roman" w:cs="Arial"/>
                <w:color w:val="000000"/>
                <w:kern w:val="0"/>
                <w14:ligatures w14:val="none"/>
              </w:rPr>
            </w:pPr>
            <w:r w:rsidRPr="00E9094B">
              <w:rPr>
                <w:rFonts w:eastAsia="Times New Roman" w:cs="Arial"/>
                <w:color w:val="000000"/>
                <w:kern w:val="0"/>
                <w14:ligatures w14:val="none"/>
              </w:rPr>
              <w:t> </w:t>
            </w:r>
          </w:p>
        </w:tc>
        <w:tc>
          <w:tcPr>
            <w:tcW w:w="423" w:type="pct"/>
            <w:tcBorders>
              <w:top w:val="nil"/>
              <w:left w:val="nil"/>
              <w:bottom w:val="single" w:sz="4" w:space="0" w:color="auto"/>
              <w:right w:val="single" w:sz="4" w:space="0" w:color="auto"/>
            </w:tcBorders>
            <w:noWrap/>
            <w:vAlign w:val="bottom"/>
            <w:hideMark/>
          </w:tcPr>
          <w:p w14:paraId="7186F247"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468" w:type="pct"/>
            <w:tcBorders>
              <w:top w:val="nil"/>
              <w:left w:val="nil"/>
              <w:bottom w:val="single" w:sz="4" w:space="0" w:color="auto"/>
              <w:right w:val="single" w:sz="4" w:space="0" w:color="auto"/>
            </w:tcBorders>
            <w:noWrap/>
            <w:vAlign w:val="bottom"/>
            <w:hideMark/>
          </w:tcPr>
          <w:p w14:paraId="61098753"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468" w:type="pct"/>
            <w:tcBorders>
              <w:top w:val="nil"/>
              <w:left w:val="nil"/>
              <w:bottom w:val="single" w:sz="4" w:space="0" w:color="auto"/>
              <w:right w:val="single" w:sz="4" w:space="0" w:color="auto"/>
            </w:tcBorders>
            <w:noWrap/>
            <w:vAlign w:val="bottom"/>
            <w:hideMark/>
          </w:tcPr>
          <w:p w14:paraId="45996CF8"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468" w:type="pct"/>
            <w:tcBorders>
              <w:top w:val="nil"/>
              <w:left w:val="nil"/>
              <w:bottom w:val="single" w:sz="4" w:space="0" w:color="auto"/>
              <w:right w:val="single" w:sz="4" w:space="0" w:color="auto"/>
            </w:tcBorders>
            <w:noWrap/>
            <w:vAlign w:val="bottom"/>
            <w:hideMark/>
          </w:tcPr>
          <w:p w14:paraId="29F63C9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468" w:type="pct"/>
            <w:tcBorders>
              <w:top w:val="nil"/>
              <w:left w:val="nil"/>
              <w:bottom w:val="single" w:sz="4" w:space="0" w:color="auto"/>
              <w:right w:val="single" w:sz="4" w:space="0" w:color="auto"/>
            </w:tcBorders>
            <w:noWrap/>
            <w:vAlign w:val="bottom"/>
            <w:hideMark/>
          </w:tcPr>
          <w:p w14:paraId="667E2B5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60" w:type="pct"/>
            <w:vAlign w:val="center"/>
            <w:hideMark/>
          </w:tcPr>
          <w:p w14:paraId="11509573"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4E103290"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2931CE37"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OCF (RMB’000)</w:t>
            </w:r>
          </w:p>
        </w:tc>
        <w:tc>
          <w:tcPr>
            <w:tcW w:w="423" w:type="pct"/>
            <w:tcBorders>
              <w:top w:val="nil"/>
              <w:left w:val="nil"/>
              <w:bottom w:val="single" w:sz="4" w:space="0" w:color="auto"/>
              <w:right w:val="single" w:sz="4" w:space="0" w:color="auto"/>
            </w:tcBorders>
            <w:noWrap/>
            <w:vAlign w:val="bottom"/>
            <w:hideMark/>
          </w:tcPr>
          <w:p w14:paraId="76C0E67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65,466,682</w:t>
            </w:r>
          </w:p>
        </w:tc>
        <w:tc>
          <w:tcPr>
            <w:tcW w:w="468" w:type="pct"/>
            <w:tcBorders>
              <w:top w:val="nil"/>
              <w:left w:val="nil"/>
              <w:bottom w:val="single" w:sz="4" w:space="0" w:color="auto"/>
              <w:right w:val="single" w:sz="4" w:space="0" w:color="auto"/>
            </w:tcBorders>
            <w:noWrap/>
            <w:vAlign w:val="bottom"/>
            <w:hideMark/>
          </w:tcPr>
          <w:p w14:paraId="6156AFA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140,837,657</w:t>
            </w:r>
          </w:p>
        </w:tc>
        <w:tc>
          <w:tcPr>
            <w:tcW w:w="468" w:type="pct"/>
            <w:tcBorders>
              <w:top w:val="nil"/>
              <w:left w:val="nil"/>
              <w:bottom w:val="single" w:sz="4" w:space="0" w:color="auto"/>
              <w:right w:val="single" w:sz="4" w:space="0" w:color="auto"/>
            </w:tcBorders>
            <w:noWrap/>
            <w:vAlign w:val="bottom"/>
            <w:hideMark/>
          </w:tcPr>
          <w:p w14:paraId="559CC778"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169,725,025</w:t>
            </w:r>
          </w:p>
        </w:tc>
        <w:tc>
          <w:tcPr>
            <w:tcW w:w="468" w:type="pct"/>
            <w:tcBorders>
              <w:top w:val="nil"/>
              <w:left w:val="nil"/>
              <w:bottom w:val="single" w:sz="4" w:space="0" w:color="auto"/>
              <w:right w:val="single" w:sz="4" w:space="0" w:color="auto"/>
            </w:tcBorders>
            <w:noWrap/>
            <w:vAlign w:val="bottom"/>
            <w:hideMark/>
          </w:tcPr>
          <w:p w14:paraId="7A9D3CD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133,453,873</w:t>
            </w:r>
          </w:p>
        </w:tc>
        <w:tc>
          <w:tcPr>
            <w:tcW w:w="468" w:type="pct"/>
            <w:tcBorders>
              <w:top w:val="nil"/>
              <w:left w:val="nil"/>
              <w:bottom w:val="single" w:sz="4" w:space="0" w:color="auto"/>
              <w:right w:val="single" w:sz="4" w:space="0" w:color="auto"/>
            </w:tcBorders>
            <w:noWrap/>
            <w:vAlign w:val="bottom"/>
            <w:hideMark/>
          </w:tcPr>
          <w:p w14:paraId="7D3382F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39,034,981</w:t>
            </w:r>
          </w:p>
        </w:tc>
        <w:tc>
          <w:tcPr>
            <w:tcW w:w="60" w:type="pct"/>
            <w:vAlign w:val="center"/>
            <w:hideMark/>
          </w:tcPr>
          <w:p w14:paraId="3C34BBAA"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EFEA5EA"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5E7094EE"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CapEx (RMB’000)</w:t>
            </w:r>
          </w:p>
        </w:tc>
        <w:tc>
          <w:tcPr>
            <w:tcW w:w="423" w:type="pct"/>
            <w:tcBorders>
              <w:top w:val="nil"/>
              <w:left w:val="nil"/>
              <w:bottom w:val="single" w:sz="4" w:space="0" w:color="auto"/>
              <w:right w:val="single" w:sz="4" w:space="0" w:color="auto"/>
            </w:tcBorders>
            <w:noWrap/>
            <w:vAlign w:val="bottom"/>
            <w:hideMark/>
          </w:tcPr>
          <w:p w14:paraId="200E476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45,403,992</w:t>
            </w:r>
          </w:p>
        </w:tc>
        <w:tc>
          <w:tcPr>
            <w:tcW w:w="468" w:type="pct"/>
            <w:tcBorders>
              <w:top w:val="nil"/>
              <w:left w:val="nil"/>
              <w:bottom w:val="single" w:sz="4" w:space="0" w:color="auto"/>
              <w:right w:val="single" w:sz="4" w:space="0" w:color="auto"/>
            </w:tcBorders>
            <w:noWrap/>
            <w:vAlign w:val="bottom"/>
            <w:hideMark/>
          </w:tcPr>
          <w:p w14:paraId="5ED6053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120,595,997</w:t>
            </w:r>
          </w:p>
        </w:tc>
        <w:tc>
          <w:tcPr>
            <w:tcW w:w="468" w:type="pct"/>
            <w:tcBorders>
              <w:top w:val="nil"/>
              <w:left w:val="nil"/>
              <w:bottom w:val="single" w:sz="4" w:space="0" w:color="auto"/>
              <w:right w:val="single" w:sz="4" w:space="0" w:color="auto"/>
            </w:tcBorders>
            <w:noWrap/>
            <w:vAlign w:val="bottom"/>
            <w:hideMark/>
          </w:tcPr>
          <w:p w14:paraId="539233A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125,663,644</w:t>
            </w:r>
          </w:p>
        </w:tc>
        <w:tc>
          <w:tcPr>
            <w:tcW w:w="468" w:type="pct"/>
            <w:tcBorders>
              <w:top w:val="nil"/>
              <w:left w:val="nil"/>
              <w:bottom w:val="single" w:sz="4" w:space="0" w:color="auto"/>
              <w:right w:val="single" w:sz="4" w:space="0" w:color="auto"/>
            </w:tcBorders>
            <w:noWrap/>
            <w:vAlign w:val="bottom"/>
            <w:hideMark/>
          </w:tcPr>
          <w:p w14:paraId="2AD40AA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129,082,282</w:t>
            </w:r>
          </w:p>
        </w:tc>
        <w:tc>
          <w:tcPr>
            <w:tcW w:w="468" w:type="pct"/>
            <w:tcBorders>
              <w:top w:val="nil"/>
              <w:left w:val="nil"/>
              <w:bottom w:val="single" w:sz="4" w:space="0" w:color="auto"/>
              <w:right w:val="single" w:sz="4" w:space="0" w:color="auto"/>
            </w:tcBorders>
            <w:noWrap/>
            <w:vAlign w:val="bottom"/>
            <w:hideMark/>
          </w:tcPr>
          <w:p w14:paraId="23AA3823"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197,463,109</w:t>
            </w:r>
          </w:p>
        </w:tc>
        <w:tc>
          <w:tcPr>
            <w:tcW w:w="60" w:type="pct"/>
            <w:vAlign w:val="center"/>
            <w:hideMark/>
          </w:tcPr>
          <w:p w14:paraId="54384D69"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0AAFADC9" w14:textId="77777777" w:rsidTr="00494876">
        <w:trPr>
          <w:trHeight w:val="315"/>
        </w:trPr>
        <w:tc>
          <w:tcPr>
            <w:tcW w:w="2643" w:type="pct"/>
            <w:tcBorders>
              <w:top w:val="nil"/>
              <w:left w:val="single" w:sz="4" w:space="0" w:color="auto"/>
              <w:bottom w:val="single" w:sz="4" w:space="0" w:color="auto"/>
              <w:right w:val="single" w:sz="4" w:space="0" w:color="auto"/>
            </w:tcBorders>
            <w:noWrap/>
            <w:vAlign w:val="bottom"/>
            <w:hideMark/>
          </w:tcPr>
          <w:p w14:paraId="5A2FC3A5"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Cash Flow Adequacy Ratio = Operating Cash Flow ÷ (CapEx)</w:t>
            </w:r>
          </w:p>
        </w:tc>
        <w:tc>
          <w:tcPr>
            <w:tcW w:w="423" w:type="pct"/>
            <w:tcBorders>
              <w:top w:val="nil"/>
              <w:left w:val="nil"/>
              <w:bottom w:val="single" w:sz="4" w:space="0" w:color="auto"/>
              <w:right w:val="single" w:sz="4" w:space="0" w:color="auto"/>
            </w:tcBorders>
            <w:noWrap/>
            <w:vAlign w:val="bottom"/>
            <w:hideMark/>
          </w:tcPr>
          <w:p w14:paraId="75716F4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1.44</w:t>
            </w:r>
          </w:p>
        </w:tc>
        <w:tc>
          <w:tcPr>
            <w:tcW w:w="468" w:type="pct"/>
            <w:tcBorders>
              <w:top w:val="nil"/>
              <w:left w:val="nil"/>
              <w:bottom w:val="single" w:sz="4" w:space="0" w:color="auto"/>
              <w:right w:val="single" w:sz="4" w:space="0" w:color="auto"/>
            </w:tcBorders>
            <w:noWrap/>
            <w:vAlign w:val="bottom"/>
            <w:hideMark/>
          </w:tcPr>
          <w:p w14:paraId="1BC6C49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1.17</w:t>
            </w:r>
          </w:p>
        </w:tc>
        <w:tc>
          <w:tcPr>
            <w:tcW w:w="468" w:type="pct"/>
            <w:tcBorders>
              <w:top w:val="nil"/>
              <w:left w:val="nil"/>
              <w:bottom w:val="single" w:sz="4" w:space="0" w:color="auto"/>
              <w:right w:val="single" w:sz="4" w:space="0" w:color="auto"/>
            </w:tcBorders>
            <w:noWrap/>
            <w:vAlign w:val="bottom"/>
            <w:hideMark/>
          </w:tcPr>
          <w:p w14:paraId="336FDD7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1.35</w:t>
            </w:r>
          </w:p>
        </w:tc>
        <w:tc>
          <w:tcPr>
            <w:tcW w:w="468" w:type="pct"/>
            <w:tcBorders>
              <w:top w:val="nil"/>
              <w:left w:val="nil"/>
              <w:bottom w:val="single" w:sz="4" w:space="0" w:color="auto"/>
              <w:right w:val="single" w:sz="4" w:space="0" w:color="auto"/>
            </w:tcBorders>
            <w:noWrap/>
            <w:vAlign w:val="bottom"/>
            <w:hideMark/>
          </w:tcPr>
          <w:p w14:paraId="65911D6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1.03</w:t>
            </w:r>
          </w:p>
        </w:tc>
        <w:tc>
          <w:tcPr>
            <w:tcW w:w="468" w:type="pct"/>
            <w:tcBorders>
              <w:top w:val="nil"/>
              <w:left w:val="nil"/>
              <w:bottom w:val="single" w:sz="4" w:space="0" w:color="auto"/>
              <w:right w:val="single" w:sz="4" w:space="0" w:color="auto"/>
            </w:tcBorders>
            <w:noWrap/>
            <w:vAlign w:val="bottom"/>
            <w:hideMark/>
          </w:tcPr>
          <w:p w14:paraId="0B2241E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0.20</w:t>
            </w:r>
          </w:p>
        </w:tc>
        <w:tc>
          <w:tcPr>
            <w:tcW w:w="60" w:type="pct"/>
            <w:vAlign w:val="center"/>
            <w:hideMark/>
          </w:tcPr>
          <w:p w14:paraId="3C46FEF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10AAB504" w14:textId="77777777" w:rsidR="00650A83" w:rsidRDefault="00650A83" w:rsidP="00650A83"/>
    <w:p w14:paraId="7FEF0861" w14:textId="77777777" w:rsidR="00650A83" w:rsidRPr="00403DD3" w:rsidRDefault="00650A83" w:rsidP="00650A83">
      <w:pPr>
        <w:jc w:val="center"/>
      </w:pPr>
    </w:p>
    <w:p w14:paraId="10217EB5" w14:textId="77777777" w:rsidR="00650A83" w:rsidRDefault="00650A83" w:rsidP="00650A83">
      <w:pPr>
        <w:pStyle w:val="Heading2"/>
      </w:pPr>
      <w:bookmarkStart w:id="72" w:name="_Toc227948008"/>
      <w:r w:rsidRPr="008E7995">
        <w:t xml:space="preserve">Cash </w:t>
      </w:r>
      <w:r>
        <w:t>Conversion</w:t>
      </w:r>
      <w:r w:rsidRPr="008E7995">
        <w:t xml:space="preserve"> Calculations</w:t>
      </w:r>
      <w:bookmarkEnd w:id="72"/>
    </w:p>
    <w:tbl>
      <w:tblPr>
        <w:tblW w:w="5000" w:type="pct"/>
        <w:tblLook w:val="04A0" w:firstRow="1" w:lastRow="0" w:firstColumn="1" w:lastColumn="0" w:noHBand="0" w:noVBand="1"/>
      </w:tblPr>
      <w:tblGrid>
        <w:gridCol w:w="6020"/>
        <w:gridCol w:w="624"/>
        <w:gridCol w:w="624"/>
        <w:gridCol w:w="624"/>
        <w:gridCol w:w="624"/>
        <w:gridCol w:w="624"/>
        <w:gridCol w:w="220"/>
      </w:tblGrid>
      <w:tr w:rsidR="00650A83" w:rsidRPr="00E9094B" w14:paraId="47D5423E" w14:textId="77777777" w:rsidTr="00494876">
        <w:trPr>
          <w:gridAfter w:val="1"/>
          <w:wAfter w:w="73" w:type="pct"/>
          <w:trHeight w:val="552"/>
        </w:trPr>
        <w:tc>
          <w:tcPr>
            <w:tcW w:w="4927" w:type="pct"/>
            <w:gridSpan w:val="6"/>
            <w:vMerge w:val="restart"/>
            <w:tcBorders>
              <w:top w:val="nil"/>
              <w:left w:val="nil"/>
              <w:bottom w:val="nil"/>
              <w:right w:val="nil"/>
            </w:tcBorders>
            <w:shd w:val="clear" w:color="000000" w:fill="275317"/>
            <w:noWrap/>
            <w:vAlign w:val="center"/>
            <w:hideMark/>
          </w:tcPr>
          <w:p w14:paraId="700696D4"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r w:rsidRPr="00E9094B">
              <w:rPr>
                <w:rFonts w:eastAsia="Times New Roman" w:cs="Arial"/>
                <w:b/>
                <w:bCs/>
                <w:color w:val="FFFFFF"/>
                <w:kern w:val="0"/>
                <w:sz w:val="48"/>
                <w:szCs w:val="48"/>
                <w14:ligatures w14:val="none"/>
              </w:rPr>
              <w:t>BYD Cash Conversion Cycle (CCC)</w:t>
            </w:r>
          </w:p>
        </w:tc>
      </w:tr>
      <w:tr w:rsidR="00650A83" w:rsidRPr="00E9094B" w14:paraId="12B00CD8" w14:textId="77777777" w:rsidTr="00494876">
        <w:trPr>
          <w:trHeight w:val="300"/>
        </w:trPr>
        <w:tc>
          <w:tcPr>
            <w:tcW w:w="4927" w:type="pct"/>
            <w:gridSpan w:val="6"/>
            <w:vMerge/>
            <w:tcBorders>
              <w:top w:val="nil"/>
              <w:left w:val="nil"/>
              <w:bottom w:val="nil"/>
              <w:right w:val="nil"/>
            </w:tcBorders>
            <w:vAlign w:val="center"/>
            <w:hideMark/>
          </w:tcPr>
          <w:p w14:paraId="5B5B2ED8" w14:textId="77777777" w:rsidR="00650A83" w:rsidRPr="00E9094B" w:rsidRDefault="00650A83" w:rsidP="00494876">
            <w:pPr>
              <w:spacing w:after="0" w:line="240" w:lineRule="auto"/>
              <w:jc w:val="left"/>
              <w:rPr>
                <w:rFonts w:eastAsia="Times New Roman" w:cs="Arial"/>
                <w:b/>
                <w:bCs/>
                <w:color w:val="FFFFFF"/>
                <w:kern w:val="0"/>
                <w:sz w:val="48"/>
                <w:szCs w:val="48"/>
                <w14:ligatures w14:val="none"/>
              </w:rPr>
            </w:pPr>
          </w:p>
        </w:tc>
        <w:tc>
          <w:tcPr>
            <w:tcW w:w="73" w:type="pct"/>
            <w:tcBorders>
              <w:top w:val="nil"/>
              <w:left w:val="nil"/>
              <w:bottom w:val="nil"/>
              <w:right w:val="nil"/>
            </w:tcBorders>
            <w:noWrap/>
            <w:vAlign w:val="bottom"/>
            <w:hideMark/>
          </w:tcPr>
          <w:p w14:paraId="54210B01" w14:textId="77777777" w:rsidR="00650A83" w:rsidRPr="00E9094B" w:rsidRDefault="00650A83" w:rsidP="00494876">
            <w:pPr>
              <w:spacing w:after="0" w:line="240" w:lineRule="auto"/>
              <w:jc w:val="center"/>
              <w:rPr>
                <w:rFonts w:eastAsia="Times New Roman" w:cs="Arial"/>
                <w:b/>
                <w:bCs/>
                <w:color w:val="FFFFFF"/>
                <w:kern w:val="0"/>
                <w:sz w:val="48"/>
                <w:szCs w:val="48"/>
                <w14:ligatures w14:val="none"/>
              </w:rPr>
            </w:pPr>
          </w:p>
        </w:tc>
      </w:tr>
      <w:tr w:rsidR="00650A83" w:rsidRPr="00E9094B" w14:paraId="531ADC85" w14:textId="77777777" w:rsidTr="00494876">
        <w:trPr>
          <w:trHeight w:val="315"/>
        </w:trPr>
        <w:tc>
          <w:tcPr>
            <w:tcW w:w="4927" w:type="pct"/>
            <w:gridSpan w:val="6"/>
            <w:tcBorders>
              <w:top w:val="single" w:sz="4" w:space="0" w:color="auto"/>
              <w:left w:val="single" w:sz="4" w:space="0" w:color="auto"/>
              <w:bottom w:val="single" w:sz="4" w:space="0" w:color="auto"/>
              <w:right w:val="single" w:sz="4" w:space="0" w:color="000000"/>
            </w:tcBorders>
            <w:shd w:val="clear" w:color="000000" w:fill="DAF2D0"/>
            <w:noWrap/>
            <w:vAlign w:val="bottom"/>
            <w:hideMark/>
          </w:tcPr>
          <w:p w14:paraId="06E96807" w14:textId="77777777" w:rsidR="00650A83" w:rsidRPr="00E9094B" w:rsidRDefault="00650A83" w:rsidP="00494876">
            <w:pPr>
              <w:spacing w:after="0" w:line="240" w:lineRule="auto"/>
              <w:jc w:val="center"/>
              <w:rPr>
                <w:rFonts w:eastAsia="Times New Roman" w:cs="Arial"/>
                <w:b/>
                <w:bCs/>
                <w:kern w:val="0"/>
                <w14:ligatures w14:val="none"/>
              </w:rPr>
            </w:pPr>
            <w:r w:rsidRPr="00E9094B">
              <w:rPr>
                <w:rFonts w:eastAsia="Times New Roman" w:cs="Arial"/>
                <w:b/>
                <w:bCs/>
                <w:kern w:val="0"/>
                <w14:ligatures w14:val="none"/>
              </w:rPr>
              <w:t>Cash Conversion Cycle (CCC)</w:t>
            </w:r>
          </w:p>
        </w:tc>
        <w:tc>
          <w:tcPr>
            <w:tcW w:w="73" w:type="pct"/>
            <w:vAlign w:val="center"/>
            <w:hideMark/>
          </w:tcPr>
          <w:p w14:paraId="434898CE"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0DC0B80"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488AB14F"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 </w:t>
            </w:r>
          </w:p>
        </w:tc>
        <w:tc>
          <w:tcPr>
            <w:tcW w:w="268" w:type="pct"/>
            <w:tcBorders>
              <w:top w:val="nil"/>
              <w:left w:val="nil"/>
              <w:bottom w:val="single" w:sz="4" w:space="0" w:color="auto"/>
              <w:right w:val="single" w:sz="4" w:space="0" w:color="auto"/>
            </w:tcBorders>
            <w:noWrap/>
            <w:vAlign w:val="bottom"/>
            <w:hideMark/>
          </w:tcPr>
          <w:p w14:paraId="0BC0F91F"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2021</w:t>
            </w:r>
          </w:p>
        </w:tc>
        <w:tc>
          <w:tcPr>
            <w:tcW w:w="268" w:type="pct"/>
            <w:tcBorders>
              <w:top w:val="nil"/>
              <w:left w:val="nil"/>
              <w:bottom w:val="single" w:sz="4" w:space="0" w:color="auto"/>
              <w:right w:val="single" w:sz="4" w:space="0" w:color="auto"/>
            </w:tcBorders>
            <w:noWrap/>
            <w:vAlign w:val="bottom"/>
            <w:hideMark/>
          </w:tcPr>
          <w:p w14:paraId="0521D070"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2022</w:t>
            </w:r>
          </w:p>
        </w:tc>
        <w:tc>
          <w:tcPr>
            <w:tcW w:w="268" w:type="pct"/>
            <w:tcBorders>
              <w:top w:val="nil"/>
              <w:left w:val="nil"/>
              <w:bottom w:val="single" w:sz="4" w:space="0" w:color="auto"/>
              <w:right w:val="single" w:sz="4" w:space="0" w:color="auto"/>
            </w:tcBorders>
            <w:noWrap/>
            <w:vAlign w:val="bottom"/>
            <w:hideMark/>
          </w:tcPr>
          <w:p w14:paraId="7D4618AC"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2023</w:t>
            </w:r>
          </w:p>
        </w:tc>
        <w:tc>
          <w:tcPr>
            <w:tcW w:w="268" w:type="pct"/>
            <w:tcBorders>
              <w:top w:val="nil"/>
              <w:left w:val="nil"/>
              <w:bottom w:val="single" w:sz="4" w:space="0" w:color="auto"/>
              <w:right w:val="single" w:sz="4" w:space="0" w:color="auto"/>
            </w:tcBorders>
            <w:noWrap/>
            <w:vAlign w:val="bottom"/>
            <w:hideMark/>
          </w:tcPr>
          <w:p w14:paraId="052D8356"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2024</w:t>
            </w:r>
          </w:p>
        </w:tc>
        <w:tc>
          <w:tcPr>
            <w:tcW w:w="268" w:type="pct"/>
            <w:tcBorders>
              <w:top w:val="nil"/>
              <w:left w:val="nil"/>
              <w:bottom w:val="single" w:sz="4" w:space="0" w:color="auto"/>
              <w:right w:val="single" w:sz="4" w:space="0" w:color="auto"/>
            </w:tcBorders>
            <w:noWrap/>
            <w:vAlign w:val="bottom"/>
            <w:hideMark/>
          </w:tcPr>
          <w:p w14:paraId="3E142FAB" w14:textId="77777777" w:rsidR="00650A83" w:rsidRPr="00E9094B" w:rsidRDefault="00650A83" w:rsidP="00494876">
            <w:pPr>
              <w:spacing w:after="0" w:line="240" w:lineRule="auto"/>
              <w:jc w:val="center"/>
              <w:rPr>
                <w:rFonts w:eastAsia="Times New Roman" w:cs="Arial"/>
                <w:b/>
                <w:bCs/>
                <w:color w:val="000000"/>
                <w:kern w:val="0"/>
                <w14:ligatures w14:val="none"/>
              </w:rPr>
            </w:pPr>
            <w:r w:rsidRPr="00E9094B">
              <w:rPr>
                <w:rFonts w:eastAsia="Times New Roman" w:cs="Arial"/>
                <w:b/>
                <w:bCs/>
                <w:color w:val="000000"/>
                <w:kern w:val="0"/>
                <w14:ligatures w14:val="none"/>
              </w:rPr>
              <w:t>2025</w:t>
            </w:r>
          </w:p>
        </w:tc>
        <w:tc>
          <w:tcPr>
            <w:tcW w:w="73" w:type="pct"/>
            <w:vAlign w:val="center"/>
            <w:hideMark/>
          </w:tcPr>
          <w:p w14:paraId="27757A28"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738713E3"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74B20577"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Inventory Turnover (Times)</w:t>
            </w:r>
          </w:p>
        </w:tc>
        <w:tc>
          <w:tcPr>
            <w:tcW w:w="268" w:type="pct"/>
            <w:tcBorders>
              <w:top w:val="nil"/>
              <w:left w:val="nil"/>
              <w:bottom w:val="single" w:sz="4" w:space="0" w:color="auto"/>
              <w:right w:val="single" w:sz="4" w:space="0" w:color="auto"/>
            </w:tcBorders>
            <w:noWrap/>
            <w:vAlign w:val="bottom"/>
            <w:hideMark/>
          </w:tcPr>
          <w:p w14:paraId="6C88898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5.02</w:t>
            </w:r>
          </w:p>
        </w:tc>
        <w:tc>
          <w:tcPr>
            <w:tcW w:w="268" w:type="pct"/>
            <w:tcBorders>
              <w:top w:val="nil"/>
              <w:left w:val="nil"/>
              <w:bottom w:val="single" w:sz="4" w:space="0" w:color="auto"/>
              <w:right w:val="single" w:sz="4" w:space="0" w:color="auto"/>
            </w:tcBorders>
            <w:noWrap/>
            <w:vAlign w:val="bottom"/>
            <w:hideMark/>
          </w:tcPr>
          <w:p w14:paraId="4D1033F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5.75</w:t>
            </w:r>
          </w:p>
        </w:tc>
        <w:tc>
          <w:tcPr>
            <w:tcW w:w="268" w:type="pct"/>
            <w:tcBorders>
              <w:top w:val="nil"/>
              <w:left w:val="nil"/>
              <w:bottom w:val="single" w:sz="4" w:space="0" w:color="auto"/>
              <w:right w:val="single" w:sz="4" w:space="0" w:color="auto"/>
            </w:tcBorders>
            <w:noWrap/>
            <w:vAlign w:val="bottom"/>
            <w:hideMark/>
          </w:tcPr>
          <w:p w14:paraId="01A7632E"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5.76</w:t>
            </w:r>
          </w:p>
        </w:tc>
        <w:tc>
          <w:tcPr>
            <w:tcW w:w="268" w:type="pct"/>
            <w:tcBorders>
              <w:top w:val="nil"/>
              <w:left w:val="nil"/>
              <w:bottom w:val="single" w:sz="4" w:space="0" w:color="auto"/>
              <w:right w:val="single" w:sz="4" w:space="0" w:color="auto"/>
            </w:tcBorders>
            <w:noWrap/>
            <w:vAlign w:val="bottom"/>
            <w:hideMark/>
          </w:tcPr>
          <w:p w14:paraId="0D948F4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6.15</w:t>
            </w:r>
          </w:p>
        </w:tc>
        <w:tc>
          <w:tcPr>
            <w:tcW w:w="268" w:type="pct"/>
            <w:tcBorders>
              <w:top w:val="nil"/>
              <w:left w:val="nil"/>
              <w:bottom w:val="single" w:sz="4" w:space="0" w:color="auto"/>
              <w:right w:val="single" w:sz="4" w:space="0" w:color="auto"/>
            </w:tcBorders>
            <w:noWrap/>
            <w:vAlign w:val="bottom"/>
            <w:hideMark/>
          </w:tcPr>
          <w:p w14:paraId="1748D5F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5.20</w:t>
            </w:r>
          </w:p>
        </w:tc>
        <w:tc>
          <w:tcPr>
            <w:tcW w:w="73" w:type="pct"/>
            <w:vAlign w:val="center"/>
            <w:hideMark/>
          </w:tcPr>
          <w:p w14:paraId="6045DEF4"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1A4C14CA"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2012DA8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Inventory Days (365 ÷ Turnover)</w:t>
            </w:r>
          </w:p>
        </w:tc>
        <w:tc>
          <w:tcPr>
            <w:tcW w:w="268" w:type="pct"/>
            <w:tcBorders>
              <w:top w:val="nil"/>
              <w:left w:val="nil"/>
              <w:bottom w:val="single" w:sz="4" w:space="0" w:color="auto"/>
              <w:right w:val="single" w:sz="4" w:space="0" w:color="auto"/>
            </w:tcBorders>
            <w:noWrap/>
            <w:vAlign w:val="bottom"/>
            <w:hideMark/>
          </w:tcPr>
          <w:p w14:paraId="0E558E90"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73</w:t>
            </w:r>
          </w:p>
        </w:tc>
        <w:tc>
          <w:tcPr>
            <w:tcW w:w="268" w:type="pct"/>
            <w:tcBorders>
              <w:top w:val="nil"/>
              <w:left w:val="nil"/>
              <w:bottom w:val="single" w:sz="4" w:space="0" w:color="auto"/>
              <w:right w:val="single" w:sz="4" w:space="0" w:color="auto"/>
            </w:tcBorders>
            <w:noWrap/>
            <w:vAlign w:val="bottom"/>
            <w:hideMark/>
          </w:tcPr>
          <w:p w14:paraId="034ADBE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64</w:t>
            </w:r>
          </w:p>
        </w:tc>
        <w:tc>
          <w:tcPr>
            <w:tcW w:w="268" w:type="pct"/>
            <w:tcBorders>
              <w:top w:val="nil"/>
              <w:left w:val="nil"/>
              <w:bottom w:val="single" w:sz="4" w:space="0" w:color="auto"/>
              <w:right w:val="single" w:sz="4" w:space="0" w:color="auto"/>
            </w:tcBorders>
            <w:noWrap/>
            <w:vAlign w:val="bottom"/>
            <w:hideMark/>
          </w:tcPr>
          <w:p w14:paraId="69E3834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63</w:t>
            </w:r>
          </w:p>
        </w:tc>
        <w:tc>
          <w:tcPr>
            <w:tcW w:w="268" w:type="pct"/>
            <w:tcBorders>
              <w:top w:val="nil"/>
              <w:left w:val="nil"/>
              <w:bottom w:val="single" w:sz="4" w:space="0" w:color="auto"/>
              <w:right w:val="single" w:sz="4" w:space="0" w:color="auto"/>
            </w:tcBorders>
            <w:noWrap/>
            <w:vAlign w:val="bottom"/>
            <w:hideMark/>
          </w:tcPr>
          <w:p w14:paraId="58307B3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59</w:t>
            </w:r>
          </w:p>
        </w:tc>
        <w:tc>
          <w:tcPr>
            <w:tcW w:w="268" w:type="pct"/>
            <w:tcBorders>
              <w:top w:val="nil"/>
              <w:left w:val="nil"/>
              <w:bottom w:val="single" w:sz="4" w:space="0" w:color="auto"/>
              <w:right w:val="single" w:sz="4" w:space="0" w:color="auto"/>
            </w:tcBorders>
            <w:noWrap/>
            <w:vAlign w:val="bottom"/>
            <w:hideMark/>
          </w:tcPr>
          <w:p w14:paraId="56F3A27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70</w:t>
            </w:r>
          </w:p>
        </w:tc>
        <w:tc>
          <w:tcPr>
            <w:tcW w:w="73" w:type="pct"/>
            <w:vAlign w:val="center"/>
            <w:hideMark/>
          </w:tcPr>
          <w:p w14:paraId="5BAD16A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38E12CD"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73C63B5B"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Receivables Days</w:t>
            </w:r>
          </w:p>
        </w:tc>
        <w:tc>
          <w:tcPr>
            <w:tcW w:w="268" w:type="pct"/>
            <w:tcBorders>
              <w:top w:val="nil"/>
              <w:left w:val="nil"/>
              <w:bottom w:val="single" w:sz="4" w:space="0" w:color="auto"/>
              <w:right w:val="single" w:sz="4" w:space="0" w:color="auto"/>
            </w:tcBorders>
            <w:noWrap/>
            <w:vAlign w:val="bottom"/>
            <w:hideMark/>
          </w:tcPr>
          <w:p w14:paraId="16E0182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61</w:t>
            </w:r>
          </w:p>
        </w:tc>
        <w:tc>
          <w:tcPr>
            <w:tcW w:w="268" w:type="pct"/>
            <w:tcBorders>
              <w:top w:val="nil"/>
              <w:left w:val="nil"/>
              <w:bottom w:val="single" w:sz="4" w:space="0" w:color="auto"/>
              <w:right w:val="single" w:sz="4" w:space="0" w:color="auto"/>
            </w:tcBorders>
            <w:noWrap/>
            <w:vAlign w:val="bottom"/>
            <w:hideMark/>
          </w:tcPr>
          <w:p w14:paraId="2E0C7BF2"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33</w:t>
            </w:r>
          </w:p>
        </w:tc>
        <w:tc>
          <w:tcPr>
            <w:tcW w:w="268" w:type="pct"/>
            <w:tcBorders>
              <w:top w:val="nil"/>
              <w:left w:val="nil"/>
              <w:bottom w:val="single" w:sz="4" w:space="0" w:color="auto"/>
              <w:right w:val="single" w:sz="4" w:space="0" w:color="auto"/>
            </w:tcBorders>
            <w:noWrap/>
            <w:vAlign w:val="bottom"/>
            <w:hideMark/>
          </w:tcPr>
          <w:p w14:paraId="2FFBC79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37</w:t>
            </w:r>
          </w:p>
        </w:tc>
        <w:tc>
          <w:tcPr>
            <w:tcW w:w="268" w:type="pct"/>
            <w:tcBorders>
              <w:top w:val="nil"/>
              <w:left w:val="nil"/>
              <w:bottom w:val="single" w:sz="4" w:space="0" w:color="auto"/>
              <w:right w:val="single" w:sz="4" w:space="0" w:color="auto"/>
            </w:tcBorders>
            <w:noWrap/>
            <w:vAlign w:val="bottom"/>
            <w:hideMark/>
          </w:tcPr>
          <w:p w14:paraId="692482B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29</w:t>
            </w:r>
          </w:p>
        </w:tc>
        <w:tc>
          <w:tcPr>
            <w:tcW w:w="268" w:type="pct"/>
            <w:tcBorders>
              <w:top w:val="nil"/>
              <w:left w:val="nil"/>
              <w:bottom w:val="single" w:sz="4" w:space="0" w:color="auto"/>
              <w:right w:val="single" w:sz="4" w:space="0" w:color="auto"/>
            </w:tcBorders>
            <w:noWrap/>
            <w:vAlign w:val="bottom"/>
            <w:hideMark/>
          </w:tcPr>
          <w:p w14:paraId="38B742F4"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17</w:t>
            </w:r>
          </w:p>
        </w:tc>
        <w:tc>
          <w:tcPr>
            <w:tcW w:w="73" w:type="pct"/>
            <w:vAlign w:val="center"/>
            <w:hideMark/>
          </w:tcPr>
          <w:p w14:paraId="69906560"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3ABFD9CF"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5C743722"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Payables Days</w:t>
            </w:r>
          </w:p>
        </w:tc>
        <w:tc>
          <w:tcPr>
            <w:tcW w:w="268" w:type="pct"/>
            <w:tcBorders>
              <w:top w:val="nil"/>
              <w:left w:val="nil"/>
              <w:bottom w:val="single" w:sz="4" w:space="0" w:color="auto"/>
              <w:right w:val="single" w:sz="4" w:space="0" w:color="auto"/>
            </w:tcBorders>
            <w:noWrap/>
            <w:vAlign w:val="bottom"/>
            <w:hideMark/>
          </w:tcPr>
          <w:p w14:paraId="71740C6F"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154</w:t>
            </w:r>
          </w:p>
        </w:tc>
        <w:tc>
          <w:tcPr>
            <w:tcW w:w="268" w:type="pct"/>
            <w:tcBorders>
              <w:top w:val="nil"/>
              <w:left w:val="nil"/>
              <w:bottom w:val="single" w:sz="4" w:space="0" w:color="auto"/>
              <w:right w:val="single" w:sz="4" w:space="0" w:color="auto"/>
            </w:tcBorders>
            <w:noWrap/>
            <w:vAlign w:val="bottom"/>
            <w:hideMark/>
          </w:tcPr>
          <w:p w14:paraId="0C0DEC8C"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146</w:t>
            </w:r>
          </w:p>
        </w:tc>
        <w:tc>
          <w:tcPr>
            <w:tcW w:w="268" w:type="pct"/>
            <w:tcBorders>
              <w:top w:val="nil"/>
              <w:left w:val="nil"/>
              <w:bottom w:val="single" w:sz="4" w:space="0" w:color="auto"/>
              <w:right w:val="single" w:sz="4" w:space="0" w:color="auto"/>
            </w:tcBorders>
            <w:noWrap/>
            <w:vAlign w:val="bottom"/>
            <w:hideMark/>
          </w:tcPr>
          <w:p w14:paraId="0D3871D5"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148</w:t>
            </w:r>
          </w:p>
        </w:tc>
        <w:tc>
          <w:tcPr>
            <w:tcW w:w="268" w:type="pct"/>
            <w:tcBorders>
              <w:top w:val="nil"/>
              <w:left w:val="nil"/>
              <w:bottom w:val="single" w:sz="4" w:space="0" w:color="auto"/>
              <w:right w:val="single" w:sz="4" w:space="0" w:color="auto"/>
            </w:tcBorders>
            <w:noWrap/>
            <w:vAlign w:val="bottom"/>
            <w:hideMark/>
          </w:tcPr>
          <w:p w14:paraId="4973A9FB"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141</w:t>
            </w:r>
          </w:p>
        </w:tc>
        <w:tc>
          <w:tcPr>
            <w:tcW w:w="268" w:type="pct"/>
            <w:tcBorders>
              <w:top w:val="nil"/>
              <w:left w:val="nil"/>
              <w:bottom w:val="single" w:sz="4" w:space="0" w:color="auto"/>
              <w:right w:val="single" w:sz="4" w:space="0" w:color="auto"/>
            </w:tcBorders>
            <w:noWrap/>
            <w:vAlign w:val="bottom"/>
            <w:hideMark/>
          </w:tcPr>
          <w:p w14:paraId="754CE576"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103</w:t>
            </w:r>
          </w:p>
        </w:tc>
        <w:tc>
          <w:tcPr>
            <w:tcW w:w="73" w:type="pct"/>
            <w:vAlign w:val="center"/>
            <w:hideMark/>
          </w:tcPr>
          <w:p w14:paraId="220BD38F"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r w:rsidR="00650A83" w:rsidRPr="00E9094B" w14:paraId="6F3F4CFA" w14:textId="77777777" w:rsidTr="00494876">
        <w:trPr>
          <w:trHeight w:val="315"/>
        </w:trPr>
        <w:tc>
          <w:tcPr>
            <w:tcW w:w="3586" w:type="pct"/>
            <w:tcBorders>
              <w:top w:val="nil"/>
              <w:left w:val="single" w:sz="4" w:space="0" w:color="auto"/>
              <w:bottom w:val="single" w:sz="4" w:space="0" w:color="auto"/>
              <w:right w:val="single" w:sz="4" w:space="0" w:color="auto"/>
            </w:tcBorders>
            <w:noWrap/>
            <w:vAlign w:val="bottom"/>
            <w:hideMark/>
          </w:tcPr>
          <w:p w14:paraId="6D13B143" w14:textId="77777777" w:rsidR="00650A83" w:rsidRPr="00E9094B" w:rsidRDefault="00650A83" w:rsidP="00494876">
            <w:pPr>
              <w:spacing w:after="0" w:line="240" w:lineRule="auto"/>
              <w:jc w:val="left"/>
              <w:rPr>
                <w:rFonts w:eastAsia="Times New Roman" w:cs="Arial"/>
                <w:b/>
                <w:bCs/>
                <w:color w:val="000000"/>
                <w:kern w:val="0"/>
                <w14:ligatures w14:val="none"/>
              </w:rPr>
            </w:pPr>
            <w:r w:rsidRPr="00E9094B">
              <w:rPr>
                <w:rFonts w:eastAsia="Times New Roman" w:cs="Arial"/>
                <w:b/>
                <w:bCs/>
                <w:color w:val="000000"/>
                <w:kern w:val="0"/>
                <w14:ligatures w14:val="none"/>
              </w:rPr>
              <w:t>Cash Conversion Cycle (CCC) = Inventory Days + Receivables Days − Payables Days</w:t>
            </w:r>
          </w:p>
        </w:tc>
        <w:tc>
          <w:tcPr>
            <w:tcW w:w="268" w:type="pct"/>
            <w:tcBorders>
              <w:top w:val="nil"/>
              <w:left w:val="nil"/>
              <w:bottom w:val="single" w:sz="4" w:space="0" w:color="auto"/>
              <w:right w:val="single" w:sz="4" w:space="0" w:color="auto"/>
            </w:tcBorders>
            <w:noWrap/>
            <w:vAlign w:val="bottom"/>
            <w:hideMark/>
          </w:tcPr>
          <w:p w14:paraId="27845A17"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-19.56</w:t>
            </w:r>
          </w:p>
        </w:tc>
        <w:tc>
          <w:tcPr>
            <w:tcW w:w="268" w:type="pct"/>
            <w:tcBorders>
              <w:top w:val="nil"/>
              <w:left w:val="nil"/>
              <w:bottom w:val="single" w:sz="4" w:space="0" w:color="auto"/>
              <w:right w:val="single" w:sz="4" w:space="0" w:color="auto"/>
            </w:tcBorders>
            <w:noWrap/>
            <w:vAlign w:val="bottom"/>
            <w:hideMark/>
          </w:tcPr>
          <w:p w14:paraId="1B80FCD9"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-48.75</w:t>
            </w:r>
          </w:p>
        </w:tc>
        <w:tc>
          <w:tcPr>
            <w:tcW w:w="268" w:type="pct"/>
            <w:tcBorders>
              <w:top w:val="nil"/>
              <w:left w:val="nil"/>
              <w:bottom w:val="single" w:sz="4" w:space="0" w:color="auto"/>
              <w:right w:val="single" w:sz="4" w:space="0" w:color="auto"/>
            </w:tcBorders>
            <w:noWrap/>
            <w:vAlign w:val="bottom"/>
            <w:hideMark/>
          </w:tcPr>
          <w:p w14:paraId="3E70D82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-46.85</w:t>
            </w:r>
          </w:p>
        </w:tc>
        <w:tc>
          <w:tcPr>
            <w:tcW w:w="268" w:type="pct"/>
            <w:tcBorders>
              <w:top w:val="nil"/>
              <w:left w:val="nil"/>
              <w:bottom w:val="single" w:sz="4" w:space="0" w:color="auto"/>
              <w:right w:val="single" w:sz="4" w:space="0" w:color="auto"/>
            </w:tcBorders>
            <w:noWrap/>
            <w:vAlign w:val="bottom"/>
            <w:hideMark/>
          </w:tcPr>
          <w:p w14:paraId="0A219A1A"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-52.24</w:t>
            </w:r>
          </w:p>
        </w:tc>
        <w:tc>
          <w:tcPr>
            <w:tcW w:w="268" w:type="pct"/>
            <w:tcBorders>
              <w:top w:val="nil"/>
              <w:left w:val="nil"/>
              <w:bottom w:val="single" w:sz="4" w:space="0" w:color="auto"/>
              <w:right w:val="single" w:sz="4" w:space="0" w:color="auto"/>
            </w:tcBorders>
            <w:noWrap/>
            <w:vAlign w:val="bottom"/>
            <w:hideMark/>
          </w:tcPr>
          <w:p w14:paraId="46219EED" w14:textId="77777777" w:rsidR="00650A83" w:rsidRPr="00E9094B" w:rsidRDefault="00650A83" w:rsidP="00494876">
            <w:pPr>
              <w:spacing w:after="0" w:line="240" w:lineRule="auto"/>
              <w:jc w:val="right"/>
              <w:rPr>
                <w:rFonts w:eastAsia="Times New Roman" w:cs="Arial"/>
                <w:color w:val="000000"/>
                <w:kern w:val="0"/>
                <w14:ligatures w14:val="none"/>
              </w:rPr>
            </w:pPr>
            <w:r w:rsidRPr="00E9094B">
              <w:rPr>
                <w:rFonts w:eastAsia="Times New Roman" w:cs="Arial"/>
                <w:color w:val="000000"/>
                <w:kern w:val="0"/>
                <w14:ligatures w14:val="none"/>
              </w:rPr>
              <w:t>-16.05</w:t>
            </w:r>
          </w:p>
        </w:tc>
        <w:tc>
          <w:tcPr>
            <w:tcW w:w="73" w:type="pct"/>
            <w:vAlign w:val="center"/>
            <w:hideMark/>
          </w:tcPr>
          <w:p w14:paraId="12DACEE1" w14:textId="77777777" w:rsidR="00650A83" w:rsidRPr="00E9094B" w:rsidRDefault="00650A83" w:rsidP="00494876">
            <w:pPr>
              <w:spacing w:after="0" w:line="240" w:lineRule="auto"/>
              <w:jc w:val="left"/>
              <w:rPr>
                <w:rFonts w:ascii="Times New Roman" w:eastAsia="Times New Roman" w:hAnsi="Times New Roman" w:cs="Times New Roman"/>
                <w:kern w:val="0"/>
                <w:sz w:val="20"/>
                <w:szCs w:val="20"/>
                <w14:ligatures w14:val="none"/>
              </w:rPr>
            </w:pPr>
          </w:p>
        </w:tc>
      </w:tr>
    </w:tbl>
    <w:p w14:paraId="6AED3D6B" w14:textId="77777777" w:rsidR="00650A83" w:rsidRDefault="00650A83" w:rsidP="00650A83"/>
    <w:p w14:paraId="2A5A0F9C" w14:textId="77777777" w:rsidR="00650A83" w:rsidRDefault="00650A83" w:rsidP="00650A83"/>
    <w:p w14:paraId="5C159023" w14:textId="77777777" w:rsidR="00650A83" w:rsidRDefault="00650A83" w:rsidP="00650A83"/>
    <w:p w14:paraId="42477EF5" w14:textId="77777777" w:rsidR="00650A83" w:rsidRDefault="00650A83" w:rsidP="00650A83"/>
    <w:p w14:paraId="4BDE5A97" w14:textId="77777777" w:rsidR="00650A83" w:rsidRDefault="00650A83" w:rsidP="00650A83"/>
    <w:p w14:paraId="2C4627AD" w14:textId="77777777" w:rsidR="00650A83" w:rsidRDefault="00650A83" w:rsidP="00650A83"/>
    <w:p w14:paraId="7FF14565" w14:textId="77777777" w:rsidR="00650A83" w:rsidRPr="00650A83" w:rsidRDefault="00650A83" w:rsidP="00650A83"/>
    <w:sectPr w:rsidR="00650A83" w:rsidRPr="00650A83" w:rsidSect="00416FD6">
      <w:footerReference w:type="default" r:id="rId7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4B3DA" w14:textId="77777777" w:rsidR="00567C5F" w:rsidRPr="00CE2117" w:rsidRDefault="00567C5F" w:rsidP="00416FD6">
      <w:pPr>
        <w:spacing w:after="0" w:line="240" w:lineRule="auto"/>
      </w:pPr>
      <w:r w:rsidRPr="00CE2117">
        <w:separator/>
      </w:r>
    </w:p>
  </w:endnote>
  <w:endnote w:type="continuationSeparator" w:id="0">
    <w:p w14:paraId="4A8D51A9" w14:textId="77777777" w:rsidR="00567C5F" w:rsidRPr="00CE2117" w:rsidRDefault="00567C5F" w:rsidP="00416FD6">
      <w:pPr>
        <w:spacing w:after="0" w:line="240" w:lineRule="auto"/>
      </w:pPr>
      <w:r w:rsidRPr="00CE21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1265"/>
      <w:docPartObj>
        <w:docPartGallery w:val="Page Numbers (Bottom of Page)"/>
        <w:docPartUnique/>
      </w:docPartObj>
    </w:sdtPr>
    <w:sdtContent>
      <w:p w14:paraId="202ADF6B" w14:textId="04174FFB" w:rsidR="00416FD6" w:rsidRPr="00CE2117" w:rsidRDefault="00416FD6">
        <w:pPr>
          <w:pStyle w:val="Footer"/>
          <w:jc w:val="center"/>
        </w:pPr>
        <w:r w:rsidRPr="00CE2117">
          <w:fldChar w:fldCharType="begin"/>
        </w:r>
        <w:r w:rsidRPr="00CE2117">
          <w:instrText xml:space="preserve"> PAGE   \* MERGEFORMAT </w:instrText>
        </w:r>
        <w:r w:rsidRPr="00CE2117">
          <w:fldChar w:fldCharType="separate"/>
        </w:r>
        <w:r w:rsidRPr="00CE2117">
          <w:t>2</w:t>
        </w:r>
        <w:r w:rsidRPr="00CE2117">
          <w:fldChar w:fldCharType="end"/>
        </w:r>
      </w:p>
    </w:sdtContent>
  </w:sdt>
  <w:p w14:paraId="213EACB4" w14:textId="77777777" w:rsidR="00416FD6" w:rsidRPr="00CE2117" w:rsidRDefault="00416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811A3" w14:textId="77777777" w:rsidR="00567C5F" w:rsidRPr="00CE2117" w:rsidRDefault="00567C5F" w:rsidP="00416FD6">
      <w:pPr>
        <w:spacing w:after="0" w:line="240" w:lineRule="auto"/>
      </w:pPr>
      <w:r w:rsidRPr="00CE2117">
        <w:separator/>
      </w:r>
    </w:p>
  </w:footnote>
  <w:footnote w:type="continuationSeparator" w:id="0">
    <w:p w14:paraId="0953350B" w14:textId="77777777" w:rsidR="00567C5F" w:rsidRPr="00CE2117" w:rsidRDefault="00567C5F" w:rsidP="00416FD6">
      <w:pPr>
        <w:spacing w:after="0" w:line="240" w:lineRule="auto"/>
      </w:pPr>
      <w:r w:rsidRPr="00CE211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D6"/>
    <w:rsid w:val="00000F87"/>
    <w:rsid w:val="000010CF"/>
    <w:rsid w:val="00002B6E"/>
    <w:rsid w:val="00014133"/>
    <w:rsid w:val="00015678"/>
    <w:rsid w:val="00016672"/>
    <w:rsid w:val="00016BBE"/>
    <w:rsid w:val="0002768F"/>
    <w:rsid w:val="00031738"/>
    <w:rsid w:val="00032488"/>
    <w:rsid w:val="00033E9F"/>
    <w:rsid w:val="0003564E"/>
    <w:rsid w:val="0004155B"/>
    <w:rsid w:val="000449ED"/>
    <w:rsid w:val="00052E13"/>
    <w:rsid w:val="00053BC4"/>
    <w:rsid w:val="00055D69"/>
    <w:rsid w:val="00063316"/>
    <w:rsid w:val="00074D7B"/>
    <w:rsid w:val="00076444"/>
    <w:rsid w:val="000774AA"/>
    <w:rsid w:val="000811F8"/>
    <w:rsid w:val="00084E20"/>
    <w:rsid w:val="00091FE3"/>
    <w:rsid w:val="0009257C"/>
    <w:rsid w:val="000A132E"/>
    <w:rsid w:val="000A191D"/>
    <w:rsid w:val="000A7334"/>
    <w:rsid w:val="000B6C78"/>
    <w:rsid w:val="000B73C1"/>
    <w:rsid w:val="000B7680"/>
    <w:rsid w:val="000C0D7B"/>
    <w:rsid w:val="000C2825"/>
    <w:rsid w:val="000D4D8F"/>
    <w:rsid w:val="000D5E75"/>
    <w:rsid w:val="000E227D"/>
    <w:rsid w:val="000E26BB"/>
    <w:rsid w:val="000E3EE5"/>
    <w:rsid w:val="00100FDA"/>
    <w:rsid w:val="00104A87"/>
    <w:rsid w:val="00110FF7"/>
    <w:rsid w:val="0011338A"/>
    <w:rsid w:val="00120B0B"/>
    <w:rsid w:val="00121143"/>
    <w:rsid w:val="00122E37"/>
    <w:rsid w:val="0013325E"/>
    <w:rsid w:val="00134A32"/>
    <w:rsid w:val="00136EF0"/>
    <w:rsid w:val="0013705B"/>
    <w:rsid w:val="00140DD3"/>
    <w:rsid w:val="001563AB"/>
    <w:rsid w:val="00157545"/>
    <w:rsid w:val="001616C8"/>
    <w:rsid w:val="0017005B"/>
    <w:rsid w:val="00173937"/>
    <w:rsid w:val="00173BA7"/>
    <w:rsid w:val="00174281"/>
    <w:rsid w:val="00177CF2"/>
    <w:rsid w:val="0018652B"/>
    <w:rsid w:val="001A2932"/>
    <w:rsid w:val="001A31C5"/>
    <w:rsid w:val="001B01F6"/>
    <w:rsid w:val="001B16E4"/>
    <w:rsid w:val="001B2346"/>
    <w:rsid w:val="001B3E36"/>
    <w:rsid w:val="001B5287"/>
    <w:rsid w:val="001B6E8D"/>
    <w:rsid w:val="001B753A"/>
    <w:rsid w:val="001C3D6D"/>
    <w:rsid w:val="001D082E"/>
    <w:rsid w:val="001D3E01"/>
    <w:rsid w:val="001D51DD"/>
    <w:rsid w:val="001D7052"/>
    <w:rsid w:val="001E0E96"/>
    <w:rsid w:val="001E6EA3"/>
    <w:rsid w:val="001F4534"/>
    <w:rsid w:val="001F78FF"/>
    <w:rsid w:val="00200237"/>
    <w:rsid w:val="00200A23"/>
    <w:rsid w:val="00200B43"/>
    <w:rsid w:val="002013B9"/>
    <w:rsid w:val="0020242D"/>
    <w:rsid w:val="00206856"/>
    <w:rsid w:val="002073AB"/>
    <w:rsid w:val="00207A23"/>
    <w:rsid w:val="00207D2E"/>
    <w:rsid w:val="0021068A"/>
    <w:rsid w:val="00211F7D"/>
    <w:rsid w:val="00224854"/>
    <w:rsid w:val="00226CA6"/>
    <w:rsid w:val="00237C14"/>
    <w:rsid w:val="00245287"/>
    <w:rsid w:val="0024557E"/>
    <w:rsid w:val="0025342F"/>
    <w:rsid w:val="0025780D"/>
    <w:rsid w:val="0026131A"/>
    <w:rsid w:val="00261409"/>
    <w:rsid w:val="00261607"/>
    <w:rsid w:val="00261F1F"/>
    <w:rsid w:val="00273F03"/>
    <w:rsid w:val="00274F94"/>
    <w:rsid w:val="002766F4"/>
    <w:rsid w:val="00280D11"/>
    <w:rsid w:val="002830AF"/>
    <w:rsid w:val="002846AE"/>
    <w:rsid w:val="00285F51"/>
    <w:rsid w:val="00287439"/>
    <w:rsid w:val="002944F5"/>
    <w:rsid w:val="002952B2"/>
    <w:rsid w:val="002A2C96"/>
    <w:rsid w:val="002A3D87"/>
    <w:rsid w:val="002C52E6"/>
    <w:rsid w:val="002D2430"/>
    <w:rsid w:val="002D2F09"/>
    <w:rsid w:val="002D64B3"/>
    <w:rsid w:val="002E0616"/>
    <w:rsid w:val="002E32F5"/>
    <w:rsid w:val="002E7805"/>
    <w:rsid w:val="002F225D"/>
    <w:rsid w:val="002F42A3"/>
    <w:rsid w:val="002F58B7"/>
    <w:rsid w:val="0030337E"/>
    <w:rsid w:val="003103CE"/>
    <w:rsid w:val="003224E0"/>
    <w:rsid w:val="003242BC"/>
    <w:rsid w:val="00326952"/>
    <w:rsid w:val="003322EA"/>
    <w:rsid w:val="00332AA6"/>
    <w:rsid w:val="003352AF"/>
    <w:rsid w:val="003379A9"/>
    <w:rsid w:val="00350067"/>
    <w:rsid w:val="00354035"/>
    <w:rsid w:val="003569A0"/>
    <w:rsid w:val="003609B4"/>
    <w:rsid w:val="00363854"/>
    <w:rsid w:val="00374C6C"/>
    <w:rsid w:val="00380C29"/>
    <w:rsid w:val="003827AA"/>
    <w:rsid w:val="00383593"/>
    <w:rsid w:val="003873EF"/>
    <w:rsid w:val="003874E4"/>
    <w:rsid w:val="00387C6A"/>
    <w:rsid w:val="003909AA"/>
    <w:rsid w:val="00396EB6"/>
    <w:rsid w:val="003A19C1"/>
    <w:rsid w:val="003A3C02"/>
    <w:rsid w:val="003A4F3C"/>
    <w:rsid w:val="003A560F"/>
    <w:rsid w:val="003A6306"/>
    <w:rsid w:val="003B4202"/>
    <w:rsid w:val="003C339A"/>
    <w:rsid w:val="003C359E"/>
    <w:rsid w:val="003C4B58"/>
    <w:rsid w:val="003C6995"/>
    <w:rsid w:val="003C7347"/>
    <w:rsid w:val="003D1B6B"/>
    <w:rsid w:val="003D7C7E"/>
    <w:rsid w:val="003F258B"/>
    <w:rsid w:val="003F3C52"/>
    <w:rsid w:val="00401166"/>
    <w:rsid w:val="00401394"/>
    <w:rsid w:val="00403DD3"/>
    <w:rsid w:val="00406F31"/>
    <w:rsid w:val="00410007"/>
    <w:rsid w:val="0041603F"/>
    <w:rsid w:val="004161FF"/>
    <w:rsid w:val="00416FD6"/>
    <w:rsid w:val="004202C3"/>
    <w:rsid w:val="00422A23"/>
    <w:rsid w:val="00425CDD"/>
    <w:rsid w:val="00427264"/>
    <w:rsid w:val="004272FE"/>
    <w:rsid w:val="00434A3B"/>
    <w:rsid w:val="00437FED"/>
    <w:rsid w:val="00440BA4"/>
    <w:rsid w:val="00446E1B"/>
    <w:rsid w:val="004526C4"/>
    <w:rsid w:val="0045302B"/>
    <w:rsid w:val="00454D7A"/>
    <w:rsid w:val="00457640"/>
    <w:rsid w:val="0046360E"/>
    <w:rsid w:val="0046617F"/>
    <w:rsid w:val="004677E1"/>
    <w:rsid w:val="00470ECE"/>
    <w:rsid w:val="0047123B"/>
    <w:rsid w:val="00472363"/>
    <w:rsid w:val="00476087"/>
    <w:rsid w:val="004765B6"/>
    <w:rsid w:val="004819AB"/>
    <w:rsid w:val="00483A30"/>
    <w:rsid w:val="00485A44"/>
    <w:rsid w:val="00487E2D"/>
    <w:rsid w:val="00492308"/>
    <w:rsid w:val="00494365"/>
    <w:rsid w:val="004965A0"/>
    <w:rsid w:val="004A27FA"/>
    <w:rsid w:val="004B2A68"/>
    <w:rsid w:val="004B4F83"/>
    <w:rsid w:val="004C1A21"/>
    <w:rsid w:val="004C562D"/>
    <w:rsid w:val="004D1820"/>
    <w:rsid w:val="004E011D"/>
    <w:rsid w:val="004E2EA5"/>
    <w:rsid w:val="004E55C6"/>
    <w:rsid w:val="004F21EE"/>
    <w:rsid w:val="004F308C"/>
    <w:rsid w:val="004F5440"/>
    <w:rsid w:val="00503700"/>
    <w:rsid w:val="005067D9"/>
    <w:rsid w:val="00506B9C"/>
    <w:rsid w:val="005122F6"/>
    <w:rsid w:val="00513845"/>
    <w:rsid w:val="005209F4"/>
    <w:rsid w:val="005215FB"/>
    <w:rsid w:val="00522419"/>
    <w:rsid w:val="005244A2"/>
    <w:rsid w:val="00526771"/>
    <w:rsid w:val="00526E8F"/>
    <w:rsid w:val="00526FE4"/>
    <w:rsid w:val="0053397C"/>
    <w:rsid w:val="005345A5"/>
    <w:rsid w:val="0054026F"/>
    <w:rsid w:val="00542373"/>
    <w:rsid w:val="00561198"/>
    <w:rsid w:val="00562E19"/>
    <w:rsid w:val="00564527"/>
    <w:rsid w:val="00567B6B"/>
    <w:rsid w:val="00567C5F"/>
    <w:rsid w:val="005738E9"/>
    <w:rsid w:val="0057793B"/>
    <w:rsid w:val="0058003C"/>
    <w:rsid w:val="0058655F"/>
    <w:rsid w:val="00594350"/>
    <w:rsid w:val="0059698D"/>
    <w:rsid w:val="005974B8"/>
    <w:rsid w:val="00597716"/>
    <w:rsid w:val="0059777F"/>
    <w:rsid w:val="005A24B7"/>
    <w:rsid w:val="005B4253"/>
    <w:rsid w:val="005B5DB5"/>
    <w:rsid w:val="005C04B3"/>
    <w:rsid w:val="005C0CAD"/>
    <w:rsid w:val="005D08C3"/>
    <w:rsid w:val="005D0E11"/>
    <w:rsid w:val="005E1B15"/>
    <w:rsid w:val="005E3E0D"/>
    <w:rsid w:val="005F7DAA"/>
    <w:rsid w:val="006006CF"/>
    <w:rsid w:val="00601894"/>
    <w:rsid w:val="00603A2C"/>
    <w:rsid w:val="0060505E"/>
    <w:rsid w:val="00605603"/>
    <w:rsid w:val="006056B0"/>
    <w:rsid w:val="00615212"/>
    <w:rsid w:val="0061791E"/>
    <w:rsid w:val="00623042"/>
    <w:rsid w:val="0063205C"/>
    <w:rsid w:val="00633666"/>
    <w:rsid w:val="0063471E"/>
    <w:rsid w:val="00635507"/>
    <w:rsid w:val="006448D7"/>
    <w:rsid w:val="00646DD2"/>
    <w:rsid w:val="00650A83"/>
    <w:rsid w:val="006513BB"/>
    <w:rsid w:val="00652660"/>
    <w:rsid w:val="006549F9"/>
    <w:rsid w:val="00661537"/>
    <w:rsid w:val="00661B65"/>
    <w:rsid w:val="00663948"/>
    <w:rsid w:val="006671C9"/>
    <w:rsid w:val="00671CC6"/>
    <w:rsid w:val="006729CB"/>
    <w:rsid w:val="006853AA"/>
    <w:rsid w:val="0068685B"/>
    <w:rsid w:val="006939B5"/>
    <w:rsid w:val="006A0A19"/>
    <w:rsid w:val="006A0D55"/>
    <w:rsid w:val="006C09D0"/>
    <w:rsid w:val="006C37B0"/>
    <w:rsid w:val="006F0E59"/>
    <w:rsid w:val="006F2DCD"/>
    <w:rsid w:val="00704DE4"/>
    <w:rsid w:val="0070603A"/>
    <w:rsid w:val="007069BF"/>
    <w:rsid w:val="00706B27"/>
    <w:rsid w:val="007115D8"/>
    <w:rsid w:val="00713552"/>
    <w:rsid w:val="007140A2"/>
    <w:rsid w:val="00721F8B"/>
    <w:rsid w:val="00723067"/>
    <w:rsid w:val="00730DD8"/>
    <w:rsid w:val="00730EE3"/>
    <w:rsid w:val="00732ABA"/>
    <w:rsid w:val="007348F6"/>
    <w:rsid w:val="00734BE0"/>
    <w:rsid w:val="00742DAF"/>
    <w:rsid w:val="00744A58"/>
    <w:rsid w:val="00744AE8"/>
    <w:rsid w:val="00746387"/>
    <w:rsid w:val="007530D8"/>
    <w:rsid w:val="00753BA0"/>
    <w:rsid w:val="007705C2"/>
    <w:rsid w:val="00771B50"/>
    <w:rsid w:val="00774D8F"/>
    <w:rsid w:val="0078026F"/>
    <w:rsid w:val="00783829"/>
    <w:rsid w:val="00787FE6"/>
    <w:rsid w:val="00791909"/>
    <w:rsid w:val="007948B0"/>
    <w:rsid w:val="007A7479"/>
    <w:rsid w:val="007B1986"/>
    <w:rsid w:val="007B371F"/>
    <w:rsid w:val="007B3E16"/>
    <w:rsid w:val="007B67FF"/>
    <w:rsid w:val="007C0ECB"/>
    <w:rsid w:val="007C1B44"/>
    <w:rsid w:val="007C2C9F"/>
    <w:rsid w:val="007D2F42"/>
    <w:rsid w:val="007D3100"/>
    <w:rsid w:val="007D3B24"/>
    <w:rsid w:val="007D6638"/>
    <w:rsid w:val="007E36A5"/>
    <w:rsid w:val="007E4662"/>
    <w:rsid w:val="007E736F"/>
    <w:rsid w:val="007F11DE"/>
    <w:rsid w:val="007F425A"/>
    <w:rsid w:val="007F55D7"/>
    <w:rsid w:val="007F6E13"/>
    <w:rsid w:val="007F7C16"/>
    <w:rsid w:val="008006DF"/>
    <w:rsid w:val="008052A0"/>
    <w:rsid w:val="00806BDF"/>
    <w:rsid w:val="00812237"/>
    <w:rsid w:val="00812985"/>
    <w:rsid w:val="00812C51"/>
    <w:rsid w:val="00812F1C"/>
    <w:rsid w:val="00813BAF"/>
    <w:rsid w:val="00815BEE"/>
    <w:rsid w:val="008278F5"/>
    <w:rsid w:val="0083514D"/>
    <w:rsid w:val="008356C9"/>
    <w:rsid w:val="0083604B"/>
    <w:rsid w:val="00837333"/>
    <w:rsid w:val="0084230C"/>
    <w:rsid w:val="00842DF7"/>
    <w:rsid w:val="008432D9"/>
    <w:rsid w:val="00855696"/>
    <w:rsid w:val="00856DE8"/>
    <w:rsid w:val="008606DB"/>
    <w:rsid w:val="00864CCA"/>
    <w:rsid w:val="00865EB9"/>
    <w:rsid w:val="00866CC6"/>
    <w:rsid w:val="00873EB4"/>
    <w:rsid w:val="00874BB4"/>
    <w:rsid w:val="00877910"/>
    <w:rsid w:val="0088017D"/>
    <w:rsid w:val="00881B13"/>
    <w:rsid w:val="00882765"/>
    <w:rsid w:val="00883C3F"/>
    <w:rsid w:val="00883D06"/>
    <w:rsid w:val="0088419A"/>
    <w:rsid w:val="008863F1"/>
    <w:rsid w:val="00892D65"/>
    <w:rsid w:val="00893578"/>
    <w:rsid w:val="00893A12"/>
    <w:rsid w:val="00893CB5"/>
    <w:rsid w:val="008A62B4"/>
    <w:rsid w:val="008B2557"/>
    <w:rsid w:val="008B286D"/>
    <w:rsid w:val="008B3981"/>
    <w:rsid w:val="008B4EC8"/>
    <w:rsid w:val="008C02A6"/>
    <w:rsid w:val="008C0787"/>
    <w:rsid w:val="008C6860"/>
    <w:rsid w:val="008E0492"/>
    <w:rsid w:val="008E06CA"/>
    <w:rsid w:val="008E0A13"/>
    <w:rsid w:val="008E7995"/>
    <w:rsid w:val="008F0C50"/>
    <w:rsid w:val="008F3369"/>
    <w:rsid w:val="008F462A"/>
    <w:rsid w:val="008F572C"/>
    <w:rsid w:val="008F7A42"/>
    <w:rsid w:val="00904A49"/>
    <w:rsid w:val="009074D4"/>
    <w:rsid w:val="00910411"/>
    <w:rsid w:val="0091396B"/>
    <w:rsid w:val="0091400D"/>
    <w:rsid w:val="00914138"/>
    <w:rsid w:val="00914586"/>
    <w:rsid w:val="00925DCA"/>
    <w:rsid w:val="0092656A"/>
    <w:rsid w:val="009335AF"/>
    <w:rsid w:val="00937032"/>
    <w:rsid w:val="00937346"/>
    <w:rsid w:val="009377C1"/>
    <w:rsid w:val="00942C33"/>
    <w:rsid w:val="00946D5A"/>
    <w:rsid w:val="0095063D"/>
    <w:rsid w:val="009533E7"/>
    <w:rsid w:val="009575B8"/>
    <w:rsid w:val="00960B45"/>
    <w:rsid w:val="00970BF2"/>
    <w:rsid w:val="009711BB"/>
    <w:rsid w:val="00972568"/>
    <w:rsid w:val="0097586A"/>
    <w:rsid w:val="00987F2B"/>
    <w:rsid w:val="009928D4"/>
    <w:rsid w:val="009A2117"/>
    <w:rsid w:val="009B2A8C"/>
    <w:rsid w:val="009B4B64"/>
    <w:rsid w:val="009B5314"/>
    <w:rsid w:val="009B5413"/>
    <w:rsid w:val="009C0AE9"/>
    <w:rsid w:val="009C15FF"/>
    <w:rsid w:val="009C2C99"/>
    <w:rsid w:val="009C4F69"/>
    <w:rsid w:val="009C6533"/>
    <w:rsid w:val="009D2278"/>
    <w:rsid w:val="009D591B"/>
    <w:rsid w:val="009D7F86"/>
    <w:rsid w:val="009E2EA2"/>
    <w:rsid w:val="009E358C"/>
    <w:rsid w:val="009E3AD0"/>
    <w:rsid w:val="009E5B93"/>
    <w:rsid w:val="009E6C17"/>
    <w:rsid w:val="009E6E36"/>
    <w:rsid w:val="009F259E"/>
    <w:rsid w:val="009F2B1E"/>
    <w:rsid w:val="009F44C8"/>
    <w:rsid w:val="009F4F6E"/>
    <w:rsid w:val="00A01499"/>
    <w:rsid w:val="00A017D9"/>
    <w:rsid w:val="00A170EA"/>
    <w:rsid w:val="00A217A1"/>
    <w:rsid w:val="00A22F77"/>
    <w:rsid w:val="00A25842"/>
    <w:rsid w:val="00A31060"/>
    <w:rsid w:val="00A3267C"/>
    <w:rsid w:val="00A35067"/>
    <w:rsid w:val="00A35BC4"/>
    <w:rsid w:val="00A47AD6"/>
    <w:rsid w:val="00A47CC4"/>
    <w:rsid w:val="00A52747"/>
    <w:rsid w:val="00A56380"/>
    <w:rsid w:val="00A61755"/>
    <w:rsid w:val="00A62909"/>
    <w:rsid w:val="00A63BCC"/>
    <w:rsid w:val="00A71C93"/>
    <w:rsid w:val="00A72391"/>
    <w:rsid w:val="00A76A37"/>
    <w:rsid w:val="00A82A02"/>
    <w:rsid w:val="00A8319E"/>
    <w:rsid w:val="00A84339"/>
    <w:rsid w:val="00A849C6"/>
    <w:rsid w:val="00A911C1"/>
    <w:rsid w:val="00A92563"/>
    <w:rsid w:val="00A92DD8"/>
    <w:rsid w:val="00A94553"/>
    <w:rsid w:val="00A97D29"/>
    <w:rsid w:val="00AA1A54"/>
    <w:rsid w:val="00AA58B3"/>
    <w:rsid w:val="00AB5AED"/>
    <w:rsid w:val="00AB7801"/>
    <w:rsid w:val="00AC5D9D"/>
    <w:rsid w:val="00AC714F"/>
    <w:rsid w:val="00AC78A4"/>
    <w:rsid w:val="00AD176E"/>
    <w:rsid w:val="00AD2B37"/>
    <w:rsid w:val="00AD4C97"/>
    <w:rsid w:val="00AE269F"/>
    <w:rsid w:val="00AE316B"/>
    <w:rsid w:val="00AE48FB"/>
    <w:rsid w:val="00AE7195"/>
    <w:rsid w:val="00AF0540"/>
    <w:rsid w:val="00AF110B"/>
    <w:rsid w:val="00B16AEB"/>
    <w:rsid w:val="00B17EC8"/>
    <w:rsid w:val="00B20FF4"/>
    <w:rsid w:val="00B242E7"/>
    <w:rsid w:val="00B25AEC"/>
    <w:rsid w:val="00B3304E"/>
    <w:rsid w:val="00B44005"/>
    <w:rsid w:val="00B519D8"/>
    <w:rsid w:val="00B523F8"/>
    <w:rsid w:val="00B56E65"/>
    <w:rsid w:val="00B65055"/>
    <w:rsid w:val="00B65270"/>
    <w:rsid w:val="00B70311"/>
    <w:rsid w:val="00B77092"/>
    <w:rsid w:val="00B8297F"/>
    <w:rsid w:val="00B82F36"/>
    <w:rsid w:val="00B85E09"/>
    <w:rsid w:val="00B96E81"/>
    <w:rsid w:val="00B96F06"/>
    <w:rsid w:val="00BA19BA"/>
    <w:rsid w:val="00BA2AC1"/>
    <w:rsid w:val="00BA36F2"/>
    <w:rsid w:val="00BB10EF"/>
    <w:rsid w:val="00BC07D3"/>
    <w:rsid w:val="00BC1842"/>
    <w:rsid w:val="00BC4AA1"/>
    <w:rsid w:val="00BC767A"/>
    <w:rsid w:val="00BE132B"/>
    <w:rsid w:val="00BE431A"/>
    <w:rsid w:val="00BE458E"/>
    <w:rsid w:val="00BE669F"/>
    <w:rsid w:val="00BF28A7"/>
    <w:rsid w:val="00BF2C46"/>
    <w:rsid w:val="00C001C6"/>
    <w:rsid w:val="00C010A1"/>
    <w:rsid w:val="00C064DE"/>
    <w:rsid w:val="00C14DF1"/>
    <w:rsid w:val="00C15E81"/>
    <w:rsid w:val="00C223BA"/>
    <w:rsid w:val="00C23A3D"/>
    <w:rsid w:val="00C26713"/>
    <w:rsid w:val="00C34D53"/>
    <w:rsid w:val="00C37975"/>
    <w:rsid w:val="00C42EE8"/>
    <w:rsid w:val="00C478DD"/>
    <w:rsid w:val="00C47B62"/>
    <w:rsid w:val="00C65946"/>
    <w:rsid w:val="00C670E8"/>
    <w:rsid w:val="00C67763"/>
    <w:rsid w:val="00C71263"/>
    <w:rsid w:val="00C73F5E"/>
    <w:rsid w:val="00C76271"/>
    <w:rsid w:val="00C762B6"/>
    <w:rsid w:val="00C810E2"/>
    <w:rsid w:val="00C82D3B"/>
    <w:rsid w:val="00C8436E"/>
    <w:rsid w:val="00C97086"/>
    <w:rsid w:val="00C97B85"/>
    <w:rsid w:val="00CA0824"/>
    <w:rsid w:val="00CA60E0"/>
    <w:rsid w:val="00CA649F"/>
    <w:rsid w:val="00CC0491"/>
    <w:rsid w:val="00CC0C3C"/>
    <w:rsid w:val="00CC343F"/>
    <w:rsid w:val="00CC527D"/>
    <w:rsid w:val="00CD7A21"/>
    <w:rsid w:val="00CE0073"/>
    <w:rsid w:val="00CE20D9"/>
    <w:rsid w:val="00CE2117"/>
    <w:rsid w:val="00CE45CC"/>
    <w:rsid w:val="00CE640E"/>
    <w:rsid w:val="00CF27D4"/>
    <w:rsid w:val="00CF3232"/>
    <w:rsid w:val="00CF3B44"/>
    <w:rsid w:val="00D03FD2"/>
    <w:rsid w:val="00D13430"/>
    <w:rsid w:val="00D1378E"/>
    <w:rsid w:val="00D14285"/>
    <w:rsid w:val="00D17A1C"/>
    <w:rsid w:val="00D17B57"/>
    <w:rsid w:val="00D17CD5"/>
    <w:rsid w:val="00D26FAE"/>
    <w:rsid w:val="00D45821"/>
    <w:rsid w:val="00D65796"/>
    <w:rsid w:val="00D662E9"/>
    <w:rsid w:val="00D74DD1"/>
    <w:rsid w:val="00D752C0"/>
    <w:rsid w:val="00D77957"/>
    <w:rsid w:val="00D82C38"/>
    <w:rsid w:val="00D86277"/>
    <w:rsid w:val="00D93F16"/>
    <w:rsid w:val="00D948B3"/>
    <w:rsid w:val="00DA5006"/>
    <w:rsid w:val="00DA554D"/>
    <w:rsid w:val="00DB09C2"/>
    <w:rsid w:val="00DB3F25"/>
    <w:rsid w:val="00DB7114"/>
    <w:rsid w:val="00DC042D"/>
    <w:rsid w:val="00DC0F10"/>
    <w:rsid w:val="00DC3045"/>
    <w:rsid w:val="00DD3510"/>
    <w:rsid w:val="00DD41C0"/>
    <w:rsid w:val="00DD7401"/>
    <w:rsid w:val="00DE01D0"/>
    <w:rsid w:val="00DF07BE"/>
    <w:rsid w:val="00DF360A"/>
    <w:rsid w:val="00DF3EC4"/>
    <w:rsid w:val="00DF4273"/>
    <w:rsid w:val="00DF7E96"/>
    <w:rsid w:val="00E024C0"/>
    <w:rsid w:val="00E0667D"/>
    <w:rsid w:val="00E11186"/>
    <w:rsid w:val="00E13035"/>
    <w:rsid w:val="00E132A3"/>
    <w:rsid w:val="00E151D2"/>
    <w:rsid w:val="00E163DB"/>
    <w:rsid w:val="00E2371B"/>
    <w:rsid w:val="00E27A45"/>
    <w:rsid w:val="00E32FE3"/>
    <w:rsid w:val="00E358F3"/>
    <w:rsid w:val="00E3722E"/>
    <w:rsid w:val="00E47AA4"/>
    <w:rsid w:val="00E61A82"/>
    <w:rsid w:val="00E625DD"/>
    <w:rsid w:val="00E62D37"/>
    <w:rsid w:val="00E63AB6"/>
    <w:rsid w:val="00E72381"/>
    <w:rsid w:val="00E77818"/>
    <w:rsid w:val="00E8189F"/>
    <w:rsid w:val="00E82940"/>
    <w:rsid w:val="00E86853"/>
    <w:rsid w:val="00E920F1"/>
    <w:rsid w:val="00EA01D5"/>
    <w:rsid w:val="00EA32E6"/>
    <w:rsid w:val="00EA4D27"/>
    <w:rsid w:val="00EB1954"/>
    <w:rsid w:val="00EB5A5F"/>
    <w:rsid w:val="00EC1233"/>
    <w:rsid w:val="00EC45E9"/>
    <w:rsid w:val="00ED05A1"/>
    <w:rsid w:val="00ED3527"/>
    <w:rsid w:val="00ED5172"/>
    <w:rsid w:val="00ED7841"/>
    <w:rsid w:val="00EE0920"/>
    <w:rsid w:val="00EE37DA"/>
    <w:rsid w:val="00EE73C5"/>
    <w:rsid w:val="00EF2725"/>
    <w:rsid w:val="00F03228"/>
    <w:rsid w:val="00F0682A"/>
    <w:rsid w:val="00F071CF"/>
    <w:rsid w:val="00F079E2"/>
    <w:rsid w:val="00F1066D"/>
    <w:rsid w:val="00F13B7B"/>
    <w:rsid w:val="00F22F8B"/>
    <w:rsid w:val="00F30E35"/>
    <w:rsid w:val="00F3421F"/>
    <w:rsid w:val="00F35E7E"/>
    <w:rsid w:val="00F40451"/>
    <w:rsid w:val="00F41533"/>
    <w:rsid w:val="00F46BDF"/>
    <w:rsid w:val="00F501FF"/>
    <w:rsid w:val="00F514E9"/>
    <w:rsid w:val="00F524FB"/>
    <w:rsid w:val="00F53E26"/>
    <w:rsid w:val="00F5672D"/>
    <w:rsid w:val="00F60557"/>
    <w:rsid w:val="00F63A58"/>
    <w:rsid w:val="00F70866"/>
    <w:rsid w:val="00F72FEA"/>
    <w:rsid w:val="00F7469F"/>
    <w:rsid w:val="00F77DBB"/>
    <w:rsid w:val="00F77FB6"/>
    <w:rsid w:val="00F9310B"/>
    <w:rsid w:val="00F95970"/>
    <w:rsid w:val="00F95E43"/>
    <w:rsid w:val="00FA24B9"/>
    <w:rsid w:val="00FB579B"/>
    <w:rsid w:val="00FB711E"/>
    <w:rsid w:val="00FC0E83"/>
    <w:rsid w:val="00FC3710"/>
    <w:rsid w:val="00FC3BDD"/>
    <w:rsid w:val="00FC7A5A"/>
    <w:rsid w:val="00FD1E8D"/>
    <w:rsid w:val="00FD46CD"/>
    <w:rsid w:val="00FD6CC3"/>
    <w:rsid w:val="00FD748F"/>
    <w:rsid w:val="00FE6167"/>
    <w:rsid w:val="00FF05EF"/>
    <w:rsid w:val="00FF1029"/>
    <w:rsid w:val="00FF263E"/>
    <w:rsid w:val="00FF3661"/>
    <w:rsid w:val="00FF605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34C0"/>
  <w15:chartTrackingRefBased/>
  <w15:docId w15:val="{1AA0972E-972C-4EF3-8F96-BE7C455E1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D6"/>
    <w:pPr>
      <w:spacing w:line="360" w:lineRule="auto"/>
      <w:jc w:val="both"/>
    </w:pPr>
    <w:rPr>
      <w:rFonts w:ascii="Arial" w:hAnsi="Arial"/>
      <w:lang w:val="en-GB"/>
    </w:rPr>
  </w:style>
  <w:style w:type="paragraph" w:styleId="Heading1">
    <w:name w:val="heading 1"/>
    <w:basedOn w:val="Normal"/>
    <w:next w:val="Normal"/>
    <w:link w:val="Heading1Char"/>
    <w:uiPriority w:val="9"/>
    <w:qFormat/>
    <w:rsid w:val="00416FD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16FD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16FD6"/>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16F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6F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6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D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416FD6"/>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16FD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416F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6F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6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FD6"/>
    <w:rPr>
      <w:rFonts w:eastAsiaTheme="majorEastAsia" w:cstheme="majorBidi"/>
      <w:color w:val="272727" w:themeColor="text1" w:themeTint="D8"/>
    </w:rPr>
  </w:style>
  <w:style w:type="paragraph" w:styleId="Title">
    <w:name w:val="Title"/>
    <w:basedOn w:val="Normal"/>
    <w:next w:val="Normal"/>
    <w:link w:val="TitleChar"/>
    <w:uiPriority w:val="10"/>
    <w:qFormat/>
    <w:rsid w:val="00416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FD6"/>
    <w:pPr>
      <w:spacing w:before="160"/>
      <w:jc w:val="center"/>
    </w:pPr>
    <w:rPr>
      <w:i/>
      <w:iCs/>
      <w:color w:val="404040" w:themeColor="text1" w:themeTint="BF"/>
    </w:rPr>
  </w:style>
  <w:style w:type="character" w:customStyle="1" w:styleId="QuoteChar">
    <w:name w:val="Quote Char"/>
    <w:basedOn w:val="DefaultParagraphFont"/>
    <w:link w:val="Quote"/>
    <w:uiPriority w:val="29"/>
    <w:rsid w:val="00416FD6"/>
    <w:rPr>
      <w:i/>
      <w:iCs/>
      <w:color w:val="404040" w:themeColor="text1" w:themeTint="BF"/>
    </w:rPr>
  </w:style>
  <w:style w:type="paragraph" w:styleId="ListParagraph">
    <w:name w:val="List Paragraph"/>
    <w:basedOn w:val="Normal"/>
    <w:uiPriority w:val="34"/>
    <w:qFormat/>
    <w:rsid w:val="00416FD6"/>
    <w:pPr>
      <w:ind w:left="720"/>
      <w:contextualSpacing/>
    </w:pPr>
  </w:style>
  <w:style w:type="character" w:styleId="IntenseEmphasis">
    <w:name w:val="Intense Emphasis"/>
    <w:basedOn w:val="DefaultParagraphFont"/>
    <w:uiPriority w:val="21"/>
    <w:qFormat/>
    <w:rsid w:val="00416FD6"/>
    <w:rPr>
      <w:i/>
      <w:iCs/>
      <w:color w:val="2F5496" w:themeColor="accent1" w:themeShade="BF"/>
    </w:rPr>
  </w:style>
  <w:style w:type="paragraph" w:styleId="IntenseQuote">
    <w:name w:val="Intense Quote"/>
    <w:basedOn w:val="Normal"/>
    <w:next w:val="Normal"/>
    <w:link w:val="IntenseQuoteChar"/>
    <w:uiPriority w:val="30"/>
    <w:qFormat/>
    <w:rsid w:val="00416F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6FD6"/>
    <w:rPr>
      <w:i/>
      <w:iCs/>
      <w:color w:val="2F5496" w:themeColor="accent1" w:themeShade="BF"/>
    </w:rPr>
  </w:style>
  <w:style w:type="character" w:styleId="IntenseReference">
    <w:name w:val="Intense Reference"/>
    <w:basedOn w:val="DefaultParagraphFont"/>
    <w:uiPriority w:val="32"/>
    <w:qFormat/>
    <w:rsid w:val="00416FD6"/>
    <w:rPr>
      <w:b/>
      <w:bCs/>
      <w:smallCaps/>
      <w:color w:val="2F5496" w:themeColor="accent1" w:themeShade="BF"/>
      <w:spacing w:val="5"/>
    </w:rPr>
  </w:style>
  <w:style w:type="paragraph" w:styleId="Header">
    <w:name w:val="header"/>
    <w:basedOn w:val="Normal"/>
    <w:link w:val="HeaderChar"/>
    <w:uiPriority w:val="99"/>
    <w:unhideWhenUsed/>
    <w:rsid w:val="00416F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FD6"/>
    <w:rPr>
      <w:rFonts w:ascii="Arial" w:hAnsi="Arial"/>
    </w:rPr>
  </w:style>
  <w:style w:type="paragraph" w:styleId="Footer">
    <w:name w:val="footer"/>
    <w:basedOn w:val="Normal"/>
    <w:link w:val="FooterChar"/>
    <w:uiPriority w:val="99"/>
    <w:unhideWhenUsed/>
    <w:rsid w:val="00416F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FD6"/>
    <w:rPr>
      <w:rFonts w:ascii="Arial" w:hAnsi="Arial"/>
    </w:rPr>
  </w:style>
  <w:style w:type="table" w:styleId="TableGrid">
    <w:name w:val="Table Grid"/>
    <w:basedOn w:val="TableNormal"/>
    <w:uiPriority w:val="39"/>
    <w:rsid w:val="00D13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2117"/>
    <w:pPr>
      <w:spacing w:after="200" w:line="240" w:lineRule="auto"/>
    </w:pPr>
    <w:rPr>
      <w:iCs/>
      <w:color w:val="000000" w:themeColor="text1"/>
      <w:sz w:val="22"/>
      <w:szCs w:val="18"/>
    </w:rPr>
  </w:style>
  <w:style w:type="character" w:styleId="Hyperlink">
    <w:name w:val="Hyperlink"/>
    <w:basedOn w:val="DefaultParagraphFont"/>
    <w:uiPriority w:val="99"/>
    <w:unhideWhenUsed/>
    <w:rsid w:val="004B2A68"/>
    <w:rPr>
      <w:color w:val="0563C1" w:themeColor="hyperlink"/>
      <w:u w:val="single"/>
    </w:rPr>
  </w:style>
  <w:style w:type="character" w:styleId="UnresolvedMention">
    <w:name w:val="Unresolved Mention"/>
    <w:basedOn w:val="DefaultParagraphFont"/>
    <w:uiPriority w:val="99"/>
    <w:semiHidden/>
    <w:unhideWhenUsed/>
    <w:rsid w:val="004B2A68"/>
    <w:rPr>
      <w:color w:val="605E5C"/>
      <w:shd w:val="clear" w:color="auto" w:fill="E1DFDD"/>
    </w:rPr>
  </w:style>
  <w:style w:type="table" w:styleId="GridTable4-Accent6">
    <w:name w:val="Grid Table 4 Accent 6"/>
    <w:basedOn w:val="TableNormal"/>
    <w:uiPriority w:val="49"/>
    <w:rsid w:val="0036385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8006D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2">
    <w:name w:val="Grid Table 4 Accent 2"/>
    <w:basedOn w:val="TableNormal"/>
    <w:uiPriority w:val="49"/>
    <w:rsid w:val="001B6E8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1">
    <w:name w:val="toc 1"/>
    <w:basedOn w:val="Normal"/>
    <w:next w:val="Normal"/>
    <w:autoRedefine/>
    <w:uiPriority w:val="39"/>
    <w:unhideWhenUsed/>
    <w:rsid w:val="00C23A3D"/>
    <w:pPr>
      <w:spacing w:after="100"/>
    </w:pPr>
  </w:style>
  <w:style w:type="paragraph" w:styleId="TOC2">
    <w:name w:val="toc 2"/>
    <w:basedOn w:val="Normal"/>
    <w:next w:val="Normal"/>
    <w:autoRedefine/>
    <w:uiPriority w:val="39"/>
    <w:unhideWhenUsed/>
    <w:rsid w:val="00C23A3D"/>
    <w:pPr>
      <w:spacing w:after="100"/>
      <w:ind w:left="240"/>
    </w:pPr>
  </w:style>
  <w:style w:type="paragraph" w:styleId="TOC3">
    <w:name w:val="toc 3"/>
    <w:basedOn w:val="Normal"/>
    <w:next w:val="Normal"/>
    <w:autoRedefine/>
    <w:uiPriority w:val="39"/>
    <w:unhideWhenUsed/>
    <w:rsid w:val="00C23A3D"/>
    <w:pPr>
      <w:spacing w:after="100"/>
      <w:ind w:left="480"/>
    </w:pPr>
  </w:style>
  <w:style w:type="paragraph" w:styleId="TableofFigures">
    <w:name w:val="table of figures"/>
    <w:basedOn w:val="Normal"/>
    <w:next w:val="Normal"/>
    <w:uiPriority w:val="99"/>
    <w:unhideWhenUsed/>
    <w:rsid w:val="00C23A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712833">
      <w:bodyDiv w:val="1"/>
      <w:marLeft w:val="0"/>
      <w:marRight w:val="0"/>
      <w:marTop w:val="0"/>
      <w:marBottom w:val="0"/>
      <w:divBdr>
        <w:top w:val="none" w:sz="0" w:space="0" w:color="auto"/>
        <w:left w:val="none" w:sz="0" w:space="0" w:color="auto"/>
        <w:bottom w:val="none" w:sz="0" w:space="0" w:color="auto"/>
        <w:right w:val="none" w:sz="0" w:space="0" w:color="auto"/>
      </w:divBdr>
      <w:divsChild>
        <w:div w:id="1197962673">
          <w:marLeft w:val="0"/>
          <w:marRight w:val="0"/>
          <w:marTop w:val="0"/>
          <w:marBottom w:val="0"/>
          <w:divBdr>
            <w:top w:val="none" w:sz="0" w:space="0" w:color="auto"/>
            <w:left w:val="none" w:sz="0" w:space="0" w:color="auto"/>
            <w:bottom w:val="none" w:sz="0" w:space="0" w:color="auto"/>
            <w:right w:val="none" w:sz="0" w:space="0" w:color="auto"/>
          </w:divBdr>
        </w:div>
      </w:divsChild>
    </w:div>
    <w:div w:id="1019550996">
      <w:bodyDiv w:val="1"/>
      <w:marLeft w:val="0"/>
      <w:marRight w:val="0"/>
      <w:marTop w:val="0"/>
      <w:marBottom w:val="0"/>
      <w:divBdr>
        <w:top w:val="none" w:sz="0" w:space="0" w:color="auto"/>
        <w:left w:val="none" w:sz="0" w:space="0" w:color="auto"/>
        <w:bottom w:val="none" w:sz="0" w:space="0" w:color="auto"/>
        <w:right w:val="none" w:sz="0" w:space="0" w:color="auto"/>
      </w:divBdr>
      <w:divsChild>
        <w:div w:id="73898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8.xml"/><Relationship Id="rId21" Type="http://schemas.openxmlformats.org/officeDocument/2006/relationships/chart" Target="charts/chart13.xml"/><Relationship Id="rId42" Type="http://schemas.openxmlformats.org/officeDocument/2006/relationships/hyperlink" Target="https://doi.org/10.3390/su12083078" TargetMode="External"/><Relationship Id="rId47" Type="http://schemas.openxmlformats.org/officeDocument/2006/relationships/hyperlink" Target="https://doi.org/10.3390/math14030447" TargetMode="External"/><Relationship Id="rId63" Type="http://schemas.openxmlformats.org/officeDocument/2006/relationships/hyperlink" Target="https://doi.org/10.54518/rh.2.2.2022.345-362" TargetMode="External"/><Relationship Id="rId68" Type="http://schemas.openxmlformats.org/officeDocument/2006/relationships/hyperlink" Target="https://doi.org/10.22495/jgrv13i3art4" TargetMode="External"/><Relationship Id="rId2" Type="http://schemas.openxmlformats.org/officeDocument/2006/relationships/styles" Target="styles.xml"/><Relationship Id="rId16" Type="http://schemas.openxmlformats.org/officeDocument/2006/relationships/chart" Target="charts/chart8.xml"/><Relationship Id="rId29" Type="http://schemas.openxmlformats.org/officeDocument/2006/relationships/image" Target="media/image4.png"/><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image" Target="media/image7.jpeg"/><Relationship Id="rId37" Type="http://schemas.openxmlformats.org/officeDocument/2006/relationships/hyperlink" Target="https://doi.org/10.57185/qs4g0w42" TargetMode="External"/><Relationship Id="rId40" Type="http://schemas.openxmlformats.org/officeDocument/2006/relationships/hyperlink" Target="https://doi.org/10.3390/businesses4010006" TargetMode="External"/><Relationship Id="rId45" Type="http://schemas.openxmlformats.org/officeDocument/2006/relationships/hyperlink" Target="https://doi.org/10.13140/RG.2.2.16689.44648" TargetMode="External"/><Relationship Id="rId53" Type="http://schemas.openxmlformats.org/officeDocument/2006/relationships/hyperlink" Target="https://doi.org/10.47353/ecbis.v2i3.121" TargetMode="External"/><Relationship Id="rId58" Type="http://schemas.openxmlformats.org/officeDocument/2006/relationships/hyperlink" Target="https://doi.org/10.60079/amfr.v3i1.427" TargetMode="External"/><Relationship Id="rId66" Type="http://schemas.openxmlformats.org/officeDocument/2006/relationships/hyperlink" Target="https://doi.org/10.2991/aebmr.k.220603.135"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080/13467581.2025.2527978" TargetMode="External"/><Relationship Id="rId19" Type="http://schemas.openxmlformats.org/officeDocument/2006/relationships/chart" Target="charts/chart1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image" Target="media/image5.png"/><Relationship Id="rId35" Type="http://schemas.openxmlformats.org/officeDocument/2006/relationships/hyperlink" Target="https://doi.org/10.31538/iijse.v5i2.2195" TargetMode="External"/><Relationship Id="rId43" Type="http://schemas.openxmlformats.org/officeDocument/2006/relationships/hyperlink" Target="https://doi.org/10.1186/s43093-026-00792-y" TargetMode="External"/><Relationship Id="rId48" Type="http://schemas.openxmlformats.org/officeDocument/2006/relationships/hyperlink" Target="https://doi.org/10.52783/jisem.v10i40s.7261" TargetMode="External"/><Relationship Id="rId56" Type="http://schemas.openxmlformats.org/officeDocument/2006/relationships/hyperlink" Target="https://doi.org/10.24294/jipd10071" TargetMode="External"/><Relationship Id="rId64" Type="http://schemas.openxmlformats.org/officeDocument/2006/relationships/hyperlink" Target="https://doi.org/10.3390/risks14010016" TargetMode="External"/><Relationship Id="rId69" Type="http://schemas.openxmlformats.org/officeDocument/2006/relationships/hyperlink" Target="https://doi.org/10.1007/s10690-026-09597-z" TargetMode="External"/><Relationship Id="rId8" Type="http://schemas.openxmlformats.org/officeDocument/2006/relationships/image" Target="media/image2.png"/><Relationship Id="rId51" Type="http://schemas.openxmlformats.org/officeDocument/2006/relationships/hyperlink" Target="https://doi.org/10.1007/s43621-025-02420-1" TargetMode="External"/><Relationship Id="rId72" Type="http://schemas.openxmlformats.org/officeDocument/2006/relationships/image" Target="media/image8.emf"/><Relationship Id="rId3"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33" Type="http://schemas.openxmlformats.org/officeDocument/2006/relationships/hyperlink" Target="https://doi.org/10.47772/IJRISS.2026.10200301" TargetMode="External"/><Relationship Id="rId38" Type="http://schemas.openxmlformats.org/officeDocument/2006/relationships/hyperlink" Target="https://doi.org/10.4236/ib.2012.42017" TargetMode="External"/><Relationship Id="rId46" Type="http://schemas.openxmlformats.org/officeDocument/2006/relationships/hyperlink" Target="https://doi.org/10.1186/s41469-016-0002-x" TargetMode="External"/><Relationship Id="rId59" Type="http://schemas.openxmlformats.org/officeDocument/2006/relationships/hyperlink" Target="https://doi.org/10.1108/JED-08-2024-0281" TargetMode="External"/><Relationship Id="rId67" Type="http://schemas.openxmlformats.org/officeDocument/2006/relationships/hyperlink" Target="https://doi.org/10.3390/jrfm18040208" TargetMode="External"/><Relationship Id="rId20" Type="http://schemas.openxmlformats.org/officeDocument/2006/relationships/chart" Target="charts/chart12.xml"/><Relationship Id="rId41" Type="http://schemas.openxmlformats.org/officeDocument/2006/relationships/hyperlink" Target="https://doi.org/10.13140/RG.2.2.18179.57125" TargetMode="External"/><Relationship Id="rId54" Type="http://schemas.openxmlformats.org/officeDocument/2006/relationships/hyperlink" Target="https://doi.org/10.4236/ajibm.2018.89128" TargetMode="External"/><Relationship Id="rId62" Type="http://schemas.openxmlformats.org/officeDocument/2006/relationships/hyperlink" Target="https://doi.org/10.36948/ijfmr.2025.v07i03.45596" TargetMode="External"/><Relationship Id="rId70" Type="http://schemas.openxmlformats.org/officeDocument/2006/relationships/hyperlink" Target="https://doi.org/10.37634/efp.2026.1.5"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image" Target="media/image3.png"/><Relationship Id="rId36" Type="http://schemas.openxmlformats.org/officeDocument/2006/relationships/hyperlink" Target="https://doi.org/10.55640/ijefms/Volume11Issue03-02" TargetMode="External"/><Relationship Id="rId49" Type="http://schemas.openxmlformats.org/officeDocument/2006/relationships/hyperlink" Target="https://doi.org/10.1287/stsc.2024.0320" TargetMode="External"/><Relationship Id="rId57" Type="http://schemas.openxmlformats.org/officeDocument/2006/relationships/hyperlink" Target="https://doi.org/10.1016/j.bushor.2025.10.005" TargetMode="External"/><Relationship Id="rId10" Type="http://schemas.openxmlformats.org/officeDocument/2006/relationships/chart" Target="charts/chart2.xml"/><Relationship Id="rId31" Type="http://schemas.openxmlformats.org/officeDocument/2006/relationships/image" Target="media/image6.png"/><Relationship Id="rId44" Type="http://schemas.openxmlformats.org/officeDocument/2006/relationships/hyperlink" Target="https://doi.org/10.31014/aior.1992.09.01.707" TargetMode="External"/><Relationship Id="rId52" Type="http://schemas.openxmlformats.org/officeDocument/2006/relationships/hyperlink" Target="https://doi.org/10.54254/2754-1169/2026.BJ32296" TargetMode="External"/><Relationship Id="rId60" Type="http://schemas.openxmlformats.org/officeDocument/2006/relationships/hyperlink" Target="https://doi.org/10.64882/ijrt.v14.iS1.1061" TargetMode="External"/><Relationship Id="rId65" Type="http://schemas.openxmlformats.org/officeDocument/2006/relationships/hyperlink" Target="https://doi.org/10.62051/ijgem.v7n3.22" TargetMode="External"/><Relationship Id="rId73" Type="http://schemas.openxmlformats.org/officeDocument/2006/relationships/package" Target="embeddings/Microsoft_Excel_Worksheet.xlsx"/><Relationship Id="rId4" Type="http://schemas.openxmlformats.org/officeDocument/2006/relationships/webSettings" Target="webSettings.xml"/><Relationship Id="rId9"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chart" Target="charts/chart10.xml"/><Relationship Id="rId39" Type="http://schemas.openxmlformats.org/officeDocument/2006/relationships/hyperlink" Target="https://doi.org/10.47772/IJRISS.2026.10200555" TargetMode="External"/><Relationship Id="rId34" Type="http://schemas.openxmlformats.org/officeDocument/2006/relationships/hyperlink" Target="https://doi.org/10.1080/23311975.2026.2632804" TargetMode="External"/><Relationship Id="rId50" Type="http://schemas.openxmlformats.org/officeDocument/2006/relationships/hyperlink" Target="https://doi.org/10.55041/ijcope.v2i3.160" TargetMode="External"/><Relationship Id="rId55" Type="http://schemas.openxmlformats.org/officeDocument/2006/relationships/hyperlink" Target="https://doi.org/10.1080/23322039.2026.2626087"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doi.org/10.17010/ijf/2024/v18i11/17464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D:\MY%20RESEARCH%20HUB\2026.04.24%20756%20Financial%20Management%204\BYD.xlsx" TargetMode="External"/><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Gross Profit Margin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Profitability!$B$4:$F$4</c:f>
              <c:numCache>
                <c:formatCode>General</c:formatCode>
                <c:ptCount val="5"/>
                <c:pt idx="0">
                  <c:v>2021</c:v>
                </c:pt>
                <c:pt idx="1">
                  <c:v>2022</c:v>
                </c:pt>
                <c:pt idx="2">
                  <c:v>2023</c:v>
                </c:pt>
                <c:pt idx="3">
                  <c:v>2024</c:v>
                </c:pt>
                <c:pt idx="4">
                  <c:v>2025</c:v>
                </c:pt>
              </c:numCache>
            </c:numRef>
          </c:cat>
          <c:val>
            <c:numRef>
              <c:f>Profitability!$B$9:$F$9</c:f>
              <c:numCache>
                <c:formatCode>0.00%</c:formatCode>
                <c:ptCount val="5"/>
                <c:pt idx="0">
                  <c:v>0.11184368277890198</c:v>
                </c:pt>
                <c:pt idx="1">
                  <c:v>0.170364681456462</c:v>
                </c:pt>
                <c:pt idx="2">
                  <c:v>0.20214826534207858</c:v>
                </c:pt>
                <c:pt idx="3">
                  <c:v>0.1943834278582996</c:v>
                </c:pt>
                <c:pt idx="4">
                  <c:v>0.17744529233573883</c:v>
                </c:pt>
              </c:numCache>
            </c:numRef>
          </c:val>
          <c:smooth val="0"/>
          <c:extLst>
            <c:ext xmlns:c16="http://schemas.microsoft.com/office/drawing/2014/chart" uri="{C3380CC4-5D6E-409C-BE32-E72D297353CC}">
              <c16:uniqueId val="{00000000-CCEA-40B0-BDF0-059177ABA5F5}"/>
            </c:ext>
          </c:extLst>
        </c:ser>
        <c:dLbls>
          <c:dLblPos val="t"/>
          <c:showLegendKey val="0"/>
          <c:showVal val="1"/>
          <c:showCatName val="0"/>
          <c:showSerName val="0"/>
          <c:showPercent val="0"/>
          <c:showBubbleSize val="0"/>
        </c:dLbls>
        <c:smooth val="0"/>
        <c:axId val="1367272047"/>
        <c:axId val="1367260527"/>
      </c:lineChart>
      <c:catAx>
        <c:axId val="1367272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367260527"/>
        <c:crosses val="autoZero"/>
        <c:auto val="1"/>
        <c:lblAlgn val="ctr"/>
        <c:lblOffset val="100"/>
        <c:noMultiLvlLbl val="0"/>
      </c:catAx>
      <c:valAx>
        <c:axId val="13672605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720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Net Profit Margin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Profitability!$B$11:$F$11</c:f>
              <c:numCache>
                <c:formatCode>General</c:formatCode>
                <c:ptCount val="5"/>
                <c:pt idx="0">
                  <c:v>2021</c:v>
                </c:pt>
                <c:pt idx="1">
                  <c:v>2022</c:v>
                </c:pt>
                <c:pt idx="2">
                  <c:v>2023</c:v>
                </c:pt>
                <c:pt idx="3">
                  <c:v>2024</c:v>
                </c:pt>
                <c:pt idx="4">
                  <c:v>2025</c:v>
                </c:pt>
              </c:numCache>
            </c:numRef>
          </c:cat>
          <c:val>
            <c:numRef>
              <c:f>Profitability!$B$14:$F$14</c:f>
              <c:numCache>
                <c:formatCode>0.00%</c:formatCode>
                <c:ptCount val="5"/>
                <c:pt idx="0">
                  <c:v>1.8775520774220084E-2</c:v>
                </c:pt>
                <c:pt idx="1">
                  <c:v>4.1770215242921571E-2</c:v>
                </c:pt>
                <c:pt idx="2">
                  <c:v>5.2039300993811294E-2</c:v>
                </c:pt>
                <c:pt idx="3">
                  <c:v>5.3516675610039088E-2</c:v>
                </c:pt>
                <c:pt idx="4">
                  <c:v>4.1992822776736001E-2</c:v>
                </c:pt>
              </c:numCache>
            </c:numRef>
          </c:val>
          <c:smooth val="0"/>
          <c:extLst>
            <c:ext xmlns:c16="http://schemas.microsoft.com/office/drawing/2014/chart" uri="{C3380CC4-5D6E-409C-BE32-E72D297353CC}">
              <c16:uniqueId val="{00000000-8998-461D-B894-E55D599E68F4}"/>
            </c:ext>
          </c:extLst>
        </c:ser>
        <c:dLbls>
          <c:dLblPos val="t"/>
          <c:showLegendKey val="0"/>
          <c:showVal val="1"/>
          <c:showCatName val="0"/>
          <c:showSerName val="0"/>
          <c:showPercent val="0"/>
          <c:showBubbleSize val="0"/>
        </c:dLbls>
        <c:smooth val="0"/>
        <c:axId val="1354238415"/>
        <c:axId val="1354249935"/>
      </c:lineChart>
      <c:catAx>
        <c:axId val="13542384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384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Operating Profit Margin</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Profitability!$B$16:$F$16</c:f>
              <c:numCache>
                <c:formatCode>General</c:formatCode>
                <c:ptCount val="5"/>
                <c:pt idx="0">
                  <c:v>2021</c:v>
                </c:pt>
                <c:pt idx="1">
                  <c:v>2022</c:v>
                </c:pt>
                <c:pt idx="2">
                  <c:v>2023</c:v>
                </c:pt>
                <c:pt idx="3">
                  <c:v>2024</c:v>
                </c:pt>
                <c:pt idx="4">
                  <c:v>2025</c:v>
                </c:pt>
              </c:numCache>
            </c:numRef>
          </c:cat>
          <c:val>
            <c:numRef>
              <c:f>Profitability!$B$19:$F$19</c:f>
              <c:numCache>
                <c:formatCode>0.00%</c:formatCode>
                <c:ptCount val="5"/>
                <c:pt idx="0">
                  <c:v>2.1381943934308579E-2</c:v>
                </c:pt>
                <c:pt idx="1">
                  <c:v>5.0798912282909732E-2</c:v>
                </c:pt>
                <c:pt idx="2">
                  <c:v>6.3261038834484043E-2</c:v>
                </c:pt>
                <c:pt idx="3">
                  <c:v>6.4967040928985351E-2</c:v>
                </c:pt>
                <c:pt idx="4">
                  <c:v>4.9983159838167972E-2</c:v>
                </c:pt>
              </c:numCache>
            </c:numRef>
          </c:val>
          <c:smooth val="0"/>
          <c:extLst>
            <c:ext xmlns:c16="http://schemas.microsoft.com/office/drawing/2014/chart" uri="{C3380CC4-5D6E-409C-BE32-E72D297353CC}">
              <c16:uniqueId val="{00000000-2FDC-45FE-9055-3D39D7E4FD7E}"/>
            </c:ext>
          </c:extLst>
        </c:ser>
        <c:dLbls>
          <c:dLblPos val="t"/>
          <c:showLegendKey val="0"/>
          <c:showVal val="1"/>
          <c:showCatName val="0"/>
          <c:showSerName val="0"/>
          <c:showPercent val="0"/>
          <c:showBubbleSize val="0"/>
        </c:dLbls>
        <c:smooth val="0"/>
        <c:axId val="1367244687"/>
        <c:axId val="1367267247"/>
      </c:lineChart>
      <c:catAx>
        <c:axId val="1367244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367267247"/>
        <c:crosses val="autoZero"/>
        <c:auto val="1"/>
        <c:lblAlgn val="ctr"/>
        <c:lblOffset val="100"/>
        <c:noMultiLvlLbl val="0"/>
      </c:catAx>
      <c:valAx>
        <c:axId val="136726724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67244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Return on Assets (ROA)</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Profitability!$B$21:$F$21</c:f>
              <c:numCache>
                <c:formatCode>General</c:formatCode>
                <c:ptCount val="5"/>
                <c:pt idx="0">
                  <c:v>2021</c:v>
                </c:pt>
                <c:pt idx="1">
                  <c:v>2022</c:v>
                </c:pt>
                <c:pt idx="2">
                  <c:v>2023</c:v>
                </c:pt>
                <c:pt idx="3">
                  <c:v>2024</c:v>
                </c:pt>
                <c:pt idx="4">
                  <c:v>2025</c:v>
                </c:pt>
              </c:numCache>
            </c:numRef>
          </c:cat>
          <c:val>
            <c:numRef>
              <c:f>Profitability!$B$24:$F$24</c:f>
              <c:numCache>
                <c:formatCode>0.00%</c:formatCode>
                <c:ptCount val="5"/>
                <c:pt idx="0">
                  <c:v>1.3412888052963203E-2</c:v>
                </c:pt>
                <c:pt idx="1">
                  <c:v>3.5866603551966358E-2</c:v>
                </c:pt>
                <c:pt idx="2">
                  <c:v>4.6124902466371492E-2</c:v>
                </c:pt>
                <c:pt idx="3">
                  <c:v>5.3089460855564805E-2</c:v>
                </c:pt>
                <c:pt idx="4">
                  <c:v>3.8202575978750736E-2</c:v>
                </c:pt>
              </c:numCache>
            </c:numRef>
          </c:val>
          <c:smooth val="0"/>
          <c:extLst>
            <c:ext xmlns:c16="http://schemas.microsoft.com/office/drawing/2014/chart" uri="{C3380CC4-5D6E-409C-BE32-E72D297353CC}">
              <c16:uniqueId val="{00000000-BEA1-4CAF-A14A-8ED34AF844A4}"/>
            </c:ext>
          </c:extLst>
        </c:ser>
        <c:dLbls>
          <c:dLblPos val="t"/>
          <c:showLegendKey val="0"/>
          <c:showVal val="1"/>
          <c:showCatName val="0"/>
          <c:showSerName val="0"/>
          <c:showPercent val="0"/>
          <c:showBubbleSize val="0"/>
        </c:dLbls>
        <c:smooth val="0"/>
        <c:axId val="97286607"/>
        <c:axId val="97274127"/>
      </c:lineChart>
      <c:catAx>
        <c:axId val="97286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274127"/>
        <c:crosses val="autoZero"/>
        <c:auto val="1"/>
        <c:lblAlgn val="ctr"/>
        <c:lblOffset val="100"/>
        <c:noMultiLvlLbl val="0"/>
      </c:catAx>
      <c:valAx>
        <c:axId val="972741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66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Return on Equity (ROE)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Profitability!$B$26:$F$26</c:f>
              <c:numCache>
                <c:formatCode>General</c:formatCode>
                <c:ptCount val="5"/>
                <c:pt idx="0">
                  <c:v>2021</c:v>
                </c:pt>
                <c:pt idx="1">
                  <c:v>2022</c:v>
                </c:pt>
                <c:pt idx="2">
                  <c:v>2023</c:v>
                </c:pt>
                <c:pt idx="3">
                  <c:v>2024</c:v>
                </c:pt>
                <c:pt idx="4">
                  <c:v>2025</c:v>
                </c:pt>
              </c:numCache>
            </c:numRef>
          </c:cat>
          <c:val>
            <c:numRef>
              <c:f>Profitability!$B$29:$F$29</c:f>
              <c:numCache>
                <c:formatCode>0.00%</c:formatCode>
                <c:ptCount val="5"/>
                <c:pt idx="0">
                  <c:v>3.8057423410445754E-2</c:v>
                </c:pt>
                <c:pt idx="1">
                  <c:v>0.14591916784598696</c:v>
                </c:pt>
                <c:pt idx="2">
                  <c:v>0.20831868817367996</c:v>
                </c:pt>
                <c:pt idx="3">
                  <c:v>0.20931257173897017</c:v>
                </c:pt>
                <c:pt idx="4">
                  <c:v>0.13058275092806532</c:v>
                </c:pt>
              </c:numCache>
            </c:numRef>
          </c:val>
          <c:smooth val="0"/>
          <c:extLst>
            <c:ext xmlns:c16="http://schemas.microsoft.com/office/drawing/2014/chart" uri="{C3380CC4-5D6E-409C-BE32-E72D297353CC}">
              <c16:uniqueId val="{00000000-659D-4CEB-A9CF-AC8C8F5B3017}"/>
            </c:ext>
          </c:extLst>
        </c:ser>
        <c:dLbls>
          <c:dLblPos val="t"/>
          <c:showLegendKey val="0"/>
          <c:showVal val="1"/>
          <c:showCatName val="0"/>
          <c:showSerName val="0"/>
          <c:showPercent val="0"/>
          <c:showBubbleSize val="0"/>
        </c:dLbls>
        <c:smooth val="0"/>
        <c:axId val="97285647"/>
        <c:axId val="97300047"/>
      </c:lineChart>
      <c:catAx>
        <c:axId val="97285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00047"/>
        <c:crosses val="autoZero"/>
        <c:auto val="1"/>
        <c:lblAlgn val="ctr"/>
        <c:lblOffset val="100"/>
        <c:noMultiLvlLbl val="0"/>
      </c:catAx>
      <c:valAx>
        <c:axId val="9730004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56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Current Ratio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Liquidity!$B$4:$F$4</c:f>
              <c:numCache>
                <c:formatCode>General</c:formatCode>
                <c:ptCount val="5"/>
                <c:pt idx="0">
                  <c:v>2021</c:v>
                </c:pt>
                <c:pt idx="1">
                  <c:v>2022</c:v>
                </c:pt>
                <c:pt idx="2">
                  <c:v>2023</c:v>
                </c:pt>
                <c:pt idx="3">
                  <c:v>2024</c:v>
                </c:pt>
                <c:pt idx="4">
                  <c:v>2025</c:v>
                </c:pt>
              </c:numCache>
            </c:numRef>
          </c:cat>
          <c:val>
            <c:numRef>
              <c:f>Liquidity!$B$7:$F$7</c:f>
              <c:numCache>
                <c:formatCode>0.00</c:formatCode>
                <c:ptCount val="5"/>
                <c:pt idx="0">
                  <c:v>0.96968105416183525</c:v>
                </c:pt>
                <c:pt idx="1">
                  <c:v>0.72238618886600048</c:v>
                </c:pt>
                <c:pt idx="2">
                  <c:v>0.66595468724657536</c:v>
                </c:pt>
                <c:pt idx="3">
                  <c:v>0.74714378963616446</c:v>
                </c:pt>
                <c:pt idx="4">
                  <c:v>0.79296932851023849</c:v>
                </c:pt>
              </c:numCache>
            </c:numRef>
          </c:val>
          <c:smooth val="0"/>
          <c:extLst>
            <c:ext xmlns:c16="http://schemas.microsoft.com/office/drawing/2014/chart" uri="{C3380CC4-5D6E-409C-BE32-E72D297353CC}">
              <c16:uniqueId val="{00000000-2E84-40CA-9145-35E1F4E8D0DE}"/>
            </c:ext>
          </c:extLst>
        </c:ser>
        <c:dLbls>
          <c:dLblPos val="t"/>
          <c:showLegendKey val="0"/>
          <c:showVal val="1"/>
          <c:showCatName val="0"/>
          <c:showSerName val="0"/>
          <c:showPercent val="0"/>
          <c:showBubbleSize val="0"/>
        </c:dLbls>
        <c:smooth val="0"/>
        <c:axId val="97280847"/>
        <c:axId val="97277007"/>
      </c:lineChart>
      <c:catAx>
        <c:axId val="972808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277007"/>
        <c:crosses val="autoZero"/>
        <c:auto val="1"/>
        <c:lblAlgn val="ctr"/>
        <c:lblOffset val="100"/>
        <c:noMultiLvlLbl val="0"/>
      </c:catAx>
      <c:valAx>
        <c:axId val="9727700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808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Quick Ratio (Acid-Test Ratio)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Liquidity!$B$9:$F$9</c:f>
              <c:numCache>
                <c:formatCode>General</c:formatCode>
                <c:ptCount val="5"/>
                <c:pt idx="0">
                  <c:v>2021</c:v>
                </c:pt>
                <c:pt idx="1">
                  <c:v>2022</c:v>
                </c:pt>
                <c:pt idx="2">
                  <c:v>2023</c:v>
                </c:pt>
                <c:pt idx="3">
                  <c:v>2024</c:v>
                </c:pt>
                <c:pt idx="4">
                  <c:v>2025</c:v>
                </c:pt>
              </c:numCache>
            </c:numRef>
          </c:cat>
          <c:val>
            <c:numRef>
              <c:f>Liquidity!$B$13:$F$13</c:f>
              <c:numCache>
                <c:formatCode>0.00</c:formatCode>
                <c:ptCount val="5"/>
                <c:pt idx="0">
                  <c:v>0.71659416668188325</c:v>
                </c:pt>
                <c:pt idx="1">
                  <c:v>0.48507258530010933</c:v>
                </c:pt>
                <c:pt idx="2">
                  <c:v>0.47269220268552636</c:v>
                </c:pt>
                <c:pt idx="3">
                  <c:v>0.51319277130976193</c:v>
                </c:pt>
                <c:pt idx="4">
                  <c:v>0.49748383587241907</c:v>
                </c:pt>
              </c:numCache>
            </c:numRef>
          </c:val>
          <c:smooth val="0"/>
          <c:extLst>
            <c:ext xmlns:c16="http://schemas.microsoft.com/office/drawing/2014/chart" uri="{C3380CC4-5D6E-409C-BE32-E72D297353CC}">
              <c16:uniqueId val="{00000000-8BAC-416D-A835-A895A6A18BAA}"/>
            </c:ext>
          </c:extLst>
        </c:ser>
        <c:dLbls>
          <c:dLblPos val="t"/>
          <c:showLegendKey val="0"/>
          <c:showVal val="1"/>
          <c:showCatName val="0"/>
          <c:showSerName val="0"/>
          <c:showPercent val="0"/>
          <c:showBubbleSize val="0"/>
        </c:dLbls>
        <c:smooth val="0"/>
        <c:axId val="97313967"/>
        <c:axId val="97312527"/>
      </c:lineChart>
      <c:catAx>
        <c:axId val="97313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12527"/>
        <c:crosses val="autoZero"/>
        <c:auto val="1"/>
        <c:lblAlgn val="ctr"/>
        <c:lblOffset val="100"/>
        <c:noMultiLvlLbl val="0"/>
      </c:catAx>
      <c:valAx>
        <c:axId val="973125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39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Inventory Turnover</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Efficiency!$B$4:$F$4</c:f>
              <c:numCache>
                <c:formatCode>General</c:formatCode>
                <c:ptCount val="5"/>
                <c:pt idx="0">
                  <c:v>2021</c:v>
                </c:pt>
                <c:pt idx="1">
                  <c:v>2022</c:v>
                </c:pt>
                <c:pt idx="2">
                  <c:v>2023</c:v>
                </c:pt>
                <c:pt idx="3">
                  <c:v>2024</c:v>
                </c:pt>
                <c:pt idx="4">
                  <c:v>2025</c:v>
                </c:pt>
              </c:numCache>
            </c:numRef>
          </c:cat>
          <c:val>
            <c:numRef>
              <c:f>Efficiency!$B$9:$F$9</c:f>
              <c:numCache>
                <c:formatCode>0.00</c:formatCode>
                <c:ptCount val="5"/>
                <c:pt idx="0">
                  <c:v>5.0211236109576385</c:v>
                </c:pt>
                <c:pt idx="1">
                  <c:v>5.7457127040922193</c:v>
                </c:pt>
                <c:pt idx="2">
                  <c:v>5.7626451303493855</c:v>
                </c:pt>
                <c:pt idx="3">
                  <c:v>6.1463594576457661</c:v>
                </c:pt>
                <c:pt idx="4">
                  <c:v>5.1977790872075555</c:v>
                </c:pt>
              </c:numCache>
            </c:numRef>
          </c:val>
          <c:smooth val="0"/>
          <c:extLst>
            <c:ext xmlns:c16="http://schemas.microsoft.com/office/drawing/2014/chart" uri="{C3380CC4-5D6E-409C-BE32-E72D297353CC}">
              <c16:uniqueId val="{00000000-08C5-4B55-9C0D-1188A8C67539}"/>
            </c:ext>
          </c:extLst>
        </c:ser>
        <c:dLbls>
          <c:dLblPos val="t"/>
          <c:showLegendKey val="0"/>
          <c:showVal val="1"/>
          <c:showCatName val="0"/>
          <c:showSerName val="0"/>
          <c:showPercent val="0"/>
          <c:showBubbleSize val="0"/>
        </c:dLbls>
        <c:smooth val="0"/>
        <c:axId val="97278447"/>
        <c:axId val="97292847"/>
      </c:lineChart>
      <c:catAx>
        <c:axId val="972784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292847"/>
        <c:crosses val="autoZero"/>
        <c:auto val="1"/>
        <c:lblAlgn val="ctr"/>
        <c:lblOffset val="100"/>
        <c:noMultiLvlLbl val="0"/>
      </c:catAx>
      <c:valAx>
        <c:axId val="9729284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784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Receivables Collection Period (Days)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Efficiency!$B$11:$F$11</c:f>
              <c:numCache>
                <c:formatCode>General</c:formatCode>
                <c:ptCount val="5"/>
                <c:pt idx="0">
                  <c:v>2021</c:v>
                </c:pt>
                <c:pt idx="1">
                  <c:v>2022</c:v>
                </c:pt>
                <c:pt idx="2">
                  <c:v>2023</c:v>
                </c:pt>
                <c:pt idx="3">
                  <c:v>2024</c:v>
                </c:pt>
                <c:pt idx="4">
                  <c:v>2025</c:v>
                </c:pt>
              </c:numCache>
            </c:numRef>
          </c:cat>
          <c:val>
            <c:numRef>
              <c:f>Efficiency!$B$14:$F$14</c:f>
              <c:numCache>
                <c:formatCode>0</c:formatCode>
                <c:ptCount val="5"/>
                <c:pt idx="0">
                  <c:v>61.483674451780907</c:v>
                </c:pt>
                <c:pt idx="1">
                  <c:v>33.420693033674304</c:v>
                </c:pt>
                <c:pt idx="2">
                  <c:v>37.490488636954119</c:v>
                </c:pt>
                <c:pt idx="3">
                  <c:v>29.261431969096019</c:v>
                </c:pt>
                <c:pt idx="4">
                  <c:v>16.800122804606119</c:v>
                </c:pt>
              </c:numCache>
            </c:numRef>
          </c:val>
          <c:smooth val="0"/>
          <c:extLst>
            <c:ext xmlns:c16="http://schemas.microsoft.com/office/drawing/2014/chart" uri="{C3380CC4-5D6E-409C-BE32-E72D297353CC}">
              <c16:uniqueId val="{00000000-7A9F-4F02-89C9-C8B916D12243}"/>
            </c:ext>
          </c:extLst>
        </c:ser>
        <c:dLbls>
          <c:dLblPos val="t"/>
          <c:showLegendKey val="0"/>
          <c:showVal val="1"/>
          <c:showCatName val="0"/>
          <c:showSerName val="0"/>
          <c:showPercent val="0"/>
          <c:showBubbleSize val="0"/>
        </c:dLbls>
        <c:smooth val="0"/>
        <c:axId val="97314927"/>
        <c:axId val="97305327"/>
      </c:lineChart>
      <c:catAx>
        <c:axId val="97314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05327"/>
        <c:crosses val="autoZero"/>
        <c:auto val="1"/>
        <c:lblAlgn val="ctr"/>
        <c:lblOffset val="100"/>
        <c:noMultiLvlLbl val="0"/>
      </c:catAx>
      <c:valAx>
        <c:axId val="973053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4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Payables Payment Period (Days)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Efficiency!$B$16:$F$16</c:f>
              <c:numCache>
                <c:formatCode>General</c:formatCode>
                <c:ptCount val="5"/>
                <c:pt idx="0">
                  <c:v>2021</c:v>
                </c:pt>
                <c:pt idx="1">
                  <c:v>2022</c:v>
                </c:pt>
                <c:pt idx="2">
                  <c:v>2023</c:v>
                </c:pt>
                <c:pt idx="3">
                  <c:v>2024</c:v>
                </c:pt>
                <c:pt idx="4">
                  <c:v>2025</c:v>
                </c:pt>
              </c:numCache>
            </c:numRef>
          </c:cat>
          <c:val>
            <c:numRef>
              <c:f>Efficiency!$B$19:$F$19</c:f>
              <c:numCache>
                <c:formatCode>0</c:formatCode>
                <c:ptCount val="5"/>
                <c:pt idx="0">
                  <c:v>153.73486522219204</c:v>
                </c:pt>
                <c:pt idx="1">
                  <c:v>145.70020912655173</c:v>
                </c:pt>
                <c:pt idx="2">
                  <c:v>147.67589243845205</c:v>
                </c:pt>
                <c:pt idx="3">
                  <c:v>140.88383757033196</c:v>
                </c:pt>
                <c:pt idx="4">
                  <c:v>103.07036886258324</c:v>
                </c:pt>
              </c:numCache>
            </c:numRef>
          </c:val>
          <c:smooth val="0"/>
          <c:extLst>
            <c:ext xmlns:c16="http://schemas.microsoft.com/office/drawing/2014/chart" uri="{C3380CC4-5D6E-409C-BE32-E72D297353CC}">
              <c16:uniqueId val="{00000000-71F5-4439-8739-3F722E80057F}"/>
            </c:ext>
          </c:extLst>
        </c:ser>
        <c:dLbls>
          <c:dLblPos val="t"/>
          <c:showLegendKey val="0"/>
          <c:showVal val="1"/>
          <c:showCatName val="0"/>
          <c:showSerName val="0"/>
          <c:showPercent val="0"/>
          <c:showBubbleSize val="0"/>
        </c:dLbls>
        <c:smooth val="0"/>
        <c:axId val="97321167"/>
        <c:axId val="97329807"/>
      </c:lineChart>
      <c:catAx>
        <c:axId val="97321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29807"/>
        <c:crosses val="autoZero"/>
        <c:auto val="1"/>
        <c:lblAlgn val="ctr"/>
        <c:lblOffset val="100"/>
        <c:noMultiLvlLbl val="0"/>
      </c:catAx>
      <c:valAx>
        <c:axId val="9732980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1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Total Asset Turnover</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Efficiency!$B$21:$F$21</c:f>
              <c:numCache>
                <c:formatCode>General</c:formatCode>
                <c:ptCount val="5"/>
                <c:pt idx="0">
                  <c:v>2021</c:v>
                </c:pt>
                <c:pt idx="1">
                  <c:v>2022</c:v>
                </c:pt>
                <c:pt idx="2">
                  <c:v>2023</c:v>
                </c:pt>
                <c:pt idx="3">
                  <c:v>2024</c:v>
                </c:pt>
                <c:pt idx="4">
                  <c:v>2025</c:v>
                </c:pt>
              </c:numCache>
            </c:numRef>
          </c:cat>
          <c:val>
            <c:numRef>
              <c:f>Efficiency!$B$24:$F$24</c:f>
              <c:numCache>
                <c:formatCode>0.00</c:formatCode>
                <c:ptCount val="5"/>
                <c:pt idx="0">
                  <c:v>0.71438167890287785</c:v>
                </c:pt>
                <c:pt idx="1">
                  <c:v>0.85866456141961955</c:v>
                </c:pt>
                <c:pt idx="2">
                  <c:v>0.88634746404177944</c:v>
                </c:pt>
                <c:pt idx="3">
                  <c:v>0.99201716568519172</c:v>
                </c:pt>
                <c:pt idx="4">
                  <c:v>0.90974060452813721</c:v>
                </c:pt>
              </c:numCache>
            </c:numRef>
          </c:val>
          <c:smooth val="0"/>
          <c:extLst>
            <c:ext xmlns:c16="http://schemas.microsoft.com/office/drawing/2014/chart" uri="{C3380CC4-5D6E-409C-BE32-E72D297353CC}">
              <c16:uniqueId val="{00000000-67BB-4435-84E3-76F5BD1BC4EB}"/>
            </c:ext>
          </c:extLst>
        </c:ser>
        <c:dLbls>
          <c:dLblPos val="t"/>
          <c:showLegendKey val="0"/>
          <c:showVal val="1"/>
          <c:showCatName val="0"/>
          <c:showSerName val="0"/>
          <c:showPercent val="0"/>
          <c:showBubbleSize val="0"/>
        </c:dLbls>
        <c:smooth val="0"/>
        <c:axId val="97337487"/>
        <c:axId val="97335567"/>
      </c:lineChart>
      <c:catAx>
        <c:axId val="97337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35567"/>
        <c:crosses val="autoZero"/>
        <c:auto val="1"/>
        <c:lblAlgn val="ctr"/>
        <c:lblOffset val="100"/>
        <c:noMultiLvlLbl val="0"/>
      </c:catAx>
      <c:valAx>
        <c:axId val="9733556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37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Debt to Equity Ratio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Gearing!$B$4:$F$4</c:f>
              <c:numCache>
                <c:formatCode>General</c:formatCode>
                <c:ptCount val="5"/>
                <c:pt idx="0">
                  <c:v>2021</c:v>
                </c:pt>
                <c:pt idx="1">
                  <c:v>2022</c:v>
                </c:pt>
                <c:pt idx="2">
                  <c:v>2023</c:v>
                </c:pt>
                <c:pt idx="3">
                  <c:v>2024</c:v>
                </c:pt>
                <c:pt idx="4">
                  <c:v>2025</c:v>
                </c:pt>
              </c:numCache>
            </c:numRef>
          </c:cat>
          <c:val>
            <c:numRef>
              <c:f>Gearing!$B$7:$F$7</c:f>
              <c:numCache>
                <c:formatCode>0.00</c:formatCode>
                <c:ptCount val="5"/>
                <c:pt idx="0">
                  <c:v>1.8373772494163201</c:v>
                </c:pt>
                <c:pt idx="1">
                  <c:v>3.0683854448210521</c:v>
                </c:pt>
                <c:pt idx="2">
                  <c:v>3.5164038737113841</c:v>
                </c:pt>
                <c:pt idx="3">
                  <c:v>2.942638865902707</c:v>
                </c:pt>
                <c:pt idx="4">
                  <c:v>2.4181661205437774</c:v>
                </c:pt>
              </c:numCache>
            </c:numRef>
          </c:val>
          <c:smooth val="0"/>
          <c:extLst>
            <c:ext xmlns:c16="http://schemas.microsoft.com/office/drawing/2014/chart" uri="{C3380CC4-5D6E-409C-BE32-E72D297353CC}">
              <c16:uniqueId val="{00000000-7B75-4D4B-A86E-BC79EE494026}"/>
            </c:ext>
          </c:extLst>
        </c:ser>
        <c:dLbls>
          <c:dLblPos val="t"/>
          <c:showLegendKey val="0"/>
          <c:showVal val="1"/>
          <c:showCatName val="0"/>
          <c:showSerName val="0"/>
          <c:showPercent val="0"/>
          <c:showBubbleSize val="0"/>
        </c:dLbls>
        <c:smooth val="0"/>
        <c:axId val="97310607"/>
        <c:axId val="97316367"/>
      </c:lineChart>
      <c:catAx>
        <c:axId val="97310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16367"/>
        <c:crosses val="autoZero"/>
        <c:auto val="1"/>
        <c:lblAlgn val="ctr"/>
        <c:lblOffset val="100"/>
        <c:noMultiLvlLbl val="0"/>
      </c:catAx>
      <c:valAx>
        <c:axId val="9731636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6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Interest Coverage Ratio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Gearing!$B$9:$F$9</c:f>
              <c:numCache>
                <c:formatCode>General</c:formatCode>
                <c:ptCount val="5"/>
                <c:pt idx="0">
                  <c:v>2021</c:v>
                </c:pt>
                <c:pt idx="1">
                  <c:v>2022</c:v>
                </c:pt>
                <c:pt idx="2">
                  <c:v>2023</c:v>
                </c:pt>
                <c:pt idx="3">
                  <c:v>2024</c:v>
                </c:pt>
                <c:pt idx="4">
                  <c:v>2025</c:v>
                </c:pt>
              </c:numCache>
            </c:numRef>
          </c:cat>
          <c:val>
            <c:numRef>
              <c:f>Gearing!$B$12:$F$12</c:f>
              <c:numCache>
                <c:formatCode>0.00</c:formatCode>
                <c:ptCount val="5"/>
                <c:pt idx="0">
                  <c:v>2.3683704804150882</c:v>
                </c:pt>
                <c:pt idx="1">
                  <c:v>16.364811030501006</c:v>
                </c:pt>
                <c:pt idx="2">
                  <c:v>20.84864891483663</c:v>
                </c:pt>
                <c:pt idx="3">
                  <c:v>24.112381858465618</c:v>
                </c:pt>
                <c:pt idx="4">
                  <c:v>15.748475990307474</c:v>
                </c:pt>
              </c:numCache>
            </c:numRef>
          </c:val>
          <c:smooth val="0"/>
          <c:extLst>
            <c:ext xmlns:c16="http://schemas.microsoft.com/office/drawing/2014/chart" uri="{C3380CC4-5D6E-409C-BE32-E72D297353CC}">
              <c16:uniqueId val="{00000000-B69E-4426-904E-615E4721261E}"/>
            </c:ext>
          </c:extLst>
        </c:ser>
        <c:dLbls>
          <c:dLblPos val="t"/>
          <c:showLegendKey val="0"/>
          <c:showVal val="1"/>
          <c:showCatName val="0"/>
          <c:showSerName val="0"/>
          <c:showPercent val="0"/>
          <c:showBubbleSize val="0"/>
        </c:dLbls>
        <c:smooth val="0"/>
        <c:axId val="1112506399"/>
        <c:axId val="1112513119"/>
      </c:lineChart>
      <c:catAx>
        <c:axId val="1112506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112513119"/>
        <c:crosses val="autoZero"/>
        <c:auto val="1"/>
        <c:lblAlgn val="ctr"/>
        <c:lblOffset val="100"/>
        <c:noMultiLvlLbl val="0"/>
      </c:catAx>
      <c:valAx>
        <c:axId val="111251311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125063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tx>
            <c:strRef>
              <c:f>Investment!$A$5</c:f>
              <c:strCache>
                <c:ptCount val="1"/>
                <c:pt idx="0">
                  <c:v>EPS (RMB/share)</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Investment!$B$4:$F$4</c:f>
              <c:numCache>
                <c:formatCode>General</c:formatCode>
                <c:ptCount val="5"/>
                <c:pt idx="0">
                  <c:v>2021</c:v>
                </c:pt>
                <c:pt idx="1">
                  <c:v>2022</c:v>
                </c:pt>
                <c:pt idx="2">
                  <c:v>2023</c:v>
                </c:pt>
                <c:pt idx="3">
                  <c:v>2024</c:v>
                </c:pt>
                <c:pt idx="4">
                  <c:v>2025</c:v>
                </c:pt>
              </c:numCache>
            </c:numRef>
          </c:cat>
          <c:val>
            <c:numRef>
              <c:f>Investment!$B$5:$F$5</c:f>
              <c:numCache>
                <c:formatCode>#,##0.00</c:formatCode>
                <c:ptCount val="5"/>
                <c:pt idx="0">
                  <c:v>1.06</c:v>
                </c:pt>
                <c:pt idx="1">
                  <c:v>5.71</c:v>
                </c:pt>
                <c:pt idx="2">
                  <c:v>10.32</c:v>
                </c:pt>
                <c:pt idx="3">
                  <c:v>13.84</c:v>
                </c:pt>
                <c:pt idx="4">
                  <c:v>3.58</c:v>
                </c:pt>
              </c:numCache>
            </c:numRef>
          </c:val>
          <c:smooth val="0"/>
          <c:extLst>
            <c:ext xmlns:c16="http://schemas.microsoft.com/office/drawing/2014/chart" uri="{C3380CC4-5D6E-409C-BE32-E72D297353CC}">
              <c16:uniqueId val="{00000000-9FCC-43C3-B2AD-7A56E1C6834F}"/>
            </c:ext>
          </c:extLst>
        </c:ser>
        <c:dLbls>
          <c:dLblPos val="t"/>
          <c:showLegendKey val="0"/>
          <c:showVal val="1"/>
          <c:showCatName val="0"/>
          <c:showSerName val="0"/>
          <c:showPercent val="0"/>
          <c:showBubbleSize val="0"/>
        </c:dLbls>
        <c:smooth val="0"/>
        <c:axId val="1764996880"/>
        <c:axId val="1764973360"/>
      </c:lineChart>
      <c:catAx>
        <c:axId val="1764996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764973360"/>
        <c:crosses val="autoZero"/>
        <c:auto val="1"/>
        <c:lblAlgn val="ctr"/>
        <c:lblOffset val="100"/>
        <c:noMultiLvlLbl val="0"/>
      </c:catAx>
      <c:valAx>
        <c:axId val="176497336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764996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Price/Earnings Ratio (P/E)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Investment!$B$7:$F$7</c:f>
              <c:numCache>
                <c:formatCode>General</c:formatCode>
                <c:ptCount val="5"/>
                <c:pt idx="0">
                  <c:v>2021</c:v>
                </c:pt>
                <c:pt idx="1">
                  <c:v>2022</c:v>
                </c:pt>
                <c:pt idx="2">
                  <c:v>2023</c:v>
                </c:pt>
                <c:pt idx="3">
                  <c:v>2024</c:v>
                </c:pt>
                <c:pt idx="4">
                  <c:v>2025</c:v>
                </c:pt>
              </c:numCache>
            </c:numRef>
          </c:cat>
          <c:val>
            <c:numRef>
              <c:f>Investment!$B$10:$F$10</c:f>
              <c:numCache>
                <c:formatCode>0.00</c:formatCode>
                <c:ptCount val="5"/>
                <c:pt idx="0">
                  <c:v>31.981132075471695</c:v>
                </c:pt>
                <c:pt idx="1">
                  <c:v>7.0052539404553418</c:v>
                </c:pt>
                <c:pt idx="2">
                  <c:v>7.1996124031007751</c:v>
                </c:pt>
                <c:pt idx="3">
                  <c:v>7.5867052023121389</c:v>
                </c:pt>
                <c:pt idx="4">
                  <c:v>29.329608938547487</c:v>
                </c:pt>
              </c:numCache>
            </c:numRef>
          </c:val>
          <c:smooth val="0"/>
          <c:extLst>
            <c:ext xmlns:c16="http://schemas.microsoft.com/office/drawing/2014/chart" uri="{C3380CC4-5D6E-409C-BE32-E72D297353CC}">
              <c16:uniqueId val="{00000000-7572-45FB-9D7D-3B8DBE12E200}"/>
            </c:ext>
          </c:extLst>
        </c:ser>
        <c:dLbls>
          <c:dLblPos val="t"/>
          <c:showLegendKey val="0"/>
          <c:showVal val="1"/>
          <c:showCatName val="0"/>
          <c:showSerName val="0"/>
          <c:showPercent val="0"/>
          <c:showBubbleSize val="0"/>
        </c:dLbls>
        <c:smooth val="0"/>
        <c:axId val="1108187599"/>
        <c:axId val="1108189519"/>
      </c:lineChart>
      <c:catAx>
        <c:axId val="1108187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108189519"/>
        <c:crosses val="autoZero"/>
        <c:auto val="1"/>
        <c:lblAlgn val="ctr"/>
        <c:lblOffset val="100"/>
        <c:noMultiLvlLbl val="0"/>
      </c:catAx>
      <c:valAx>
        <c:axId val="110818951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1081875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tx>
            <c:strRef>
              <c:f>'Cash Flow'!$A$5</c:f>
              <c:strCache>
                <c:ptCount val="1"/>
                <c:pt idx="0">
                  <c:v>Operating Cash Flow</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Flow'!$B$4:$F$4</c:f>
              <c:numCache>
                <c:formatCode>General</c:formatCode>
                <c:ptCount val="5"/>
                <c:pt idx="0">
                  <c:v>2021</c:v>
                </c:pt>
                <c:pt idx="1">
                  <c:v>2022</c:v>
                </c:pt>
                <c:pt idx="2">
                  <c:v>2023</c:v>
                </c:pt>
                <c:pt idx="3">
                  <c:v>2024</c:v>
                </c:pt>
                <c:pt idx="4">
                  <c:v>2025</c:v>
                </c:pt>
              </c:numCache>
            </c:numRef>
          </c:cat>
          <c:val>
            <c:numRef>
              <c:f>'Cash Flow'!$B$5:$F$5</c:f>
              <c:numCache>
                <c:formatCode>#,##0</c:formatCode>
                <c:ptCount val="5"/>
                <c:pt idx="0">
                  <c:v>65466682</c:v>
                </c:pt>
                <c:pt idx="1">
                  <c:v>140837657</c:v>
                </c:pt>
                <c:pt idx="2">
                  <c:v>169725025</c:v>
                </c:pt>
                <c:pt idx="3">
                  <c:v>133453873</c:v>
                </c:pt>
                <c:pt idx="4">
                  <c:v>39034981</c:v>
                </c:pt>
              </c:numCache>
            </c:numRef>
          </c:val>
          <c:smooth val="0"/>
          <c:extLst>
            <c:ext xmlns:c16="http://schemas.microsoft.com/office/drawing/2014/chart" uri="{C3380CC4-5D6E-409C-BE32-E72D297353CC}">
              <c16:uniqueId val="{00000000-7095-4DFA-A536-8C7FF1101A5F}"/>
            </c:ext>
          </c:extLst>
        </c:ser>
        <c:dLbls>
          <c:dLblPos val="t"/>
          <c:showLegendKey val="0"/>
          <c:showVal val="1"/>
          <c:showCatName val="0"/>
          <c:showSerName val="0"/>
          <c:showPercent val="0"/>
          <c:showBubbleSize val="0"/>
        </c:dLbls>
        <c:smooth val="0"/>
        <c:axId val="97325967"/>
        <c:axId val="97331727"/>
      </c:lineChart>
      <c:catAx>
        <c:axId val="9732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31727"/>
        <c:crosses val="autoZero"/>
        <c:auto val="1"/>
        <c:lblAlgn val="ctr"/>
        <c:lblOffset val="100"/>
        <c:noMultiLvlLbl val="0"/>
      </c:catAx>
      <c:valAx>
        <c:axId val="9733172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259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Free Cash Flow (FCF)</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Flow'!$B$7:$F$7</c:f>
              <c:numCache>
                <c:formatCode>General</c:formatCode>
                <c:ptCount val="5"/>
                <c:pt idx="0">
                  <c:v>2021</c:v>
                </c:pt>
                <c:pt idx="1">
                  <c:v>2022</c:v>
                </c:pt>
                <c:pt idx="2">
                  <c:v>2023</c:v>
                </c:pt>
                <c:pt idx="3">
                  <c:v>2024</c:v>
                </c:pt>
                <c:pt idx="4">
                  <c:v>2025</c:v>
                </c:pt>
              </c:numCache>
            </c:numRef>
          </c:cat>
          <c:val>
            <c:numRef>
              <c:f>'Cash Flow'!$B$10:$F$10</c:f>
              <c:numCache>
                <c:formatCode>0</c:formatCode>
                <c:ptCount val="5"/>
                <c:pt idx="0">
                  <c:v>20062690</c:v>
                </c:pt>
                <c:pt idx="1">
                  <c:v>20241660</c:v>
                </c:pt>
                <c:pt idx="2">
                  <c:v>44061381</c:v>
                </c:pt>
                <c:pt idx="3">
                  <c:v>4371591</c:v>
                </c:pt>
                <c:pt idx="4">
                  <c:v>-158428128</c:v>
                </c:pt>
              </c:numCache>
            </c:numRef>
          </c:val>
          <c:smooth val="0"/>
          <c:extLst>
            <c:ext xmlns:c16="http://schemas.microsoft.com/office/drawing/2014/chart" uri="{C3380CC4-5D6E-409C-BE32-E72D297353CC}">
              <c16:uniqueId val="{00000000-C3EB-42C4-8D5B-172024858FA2}"/>
            </c:ext>
          </c:extLst>
        </c:ser>
        <c:dLbls>
          <c:dLblPos val="t"/>
          <c:showLegendKey val="0"/>
          <c:showVal val="1"/>
          <c:showCatName val="0"/>
          <c:showSerName val="0"/>
          <c:showPercent val="0"/>
          <c:showBubbleSize val="0"/>
        </c:dLbls>
        <c:smooth val="0"/>
        <c:axId val="1354208655"/>
        <c:axId val="1354215855"/>
      </c:lineChart>
      <c:catAx>
        <c:axId val="135420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1354215855"/>
        <c:crosses val="autoZero"/>
        <c:auto val="1"/>
        <c:lblAlgn val="ctr"/>
        <c:lblOffset val="100"/>
        <c:noMultiLvlLbl val="0"/>
      </c:catAx>
      <c:valAx>
        <c:axId val="135421585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42086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Cash Flow Adequacy Ratio</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Flow'!$B$12:$F$12</c:f>
              <c:numCache>
                <c:formatCode>General</c:formatCode>
                <c:ptCount val="5"/>
                <c:pt idx="0">
                  <c:v>2021</c:v>
                </c:pt>
                <c:pt idx="1">
                  <c:v>2022</c:v>
                </c:pt>
                <c:pt idx="2">
                  <c:v>2023</c:v>
                </c:pt>
                <c:pt idx="3">
                  <c:v>2024</c:v>
                </c:pt>
                <c:pt idx="4">
                  <c:v>2025</c:v>
                </c:pt>
              </c:numCache>
            </c:numRef>
          </c:cat>
          <c:val>
            <c:numRef>
              <c:f>'Cash Flow'!$B$15:$F$15</c:f>
              <c:numCache>
                <c:formatCode>0.00</c:formatCode>
                <c:ptCount val="5"/>
                <c:pt idx="0">
                  <c:v>1.4418706178963294</c:v>
                </c:pt>
                <c:pt idx="1">
                  <c:v>1.1678468647678248</c:v>
                </c:pt>
                <c:pt idx="2">
                  <c:v>1.350629502674616</c:v>
                </c:pt>
                <c:pt idx="3">
                  <c:v>1.0338667006212363</c:v>
                </c:pt>
                <c:pt idx="4">
                  <c:v>0.197682398487912</c:v>
                </c:pt>
              </c:numCache>
            </c:numRef>
          </c:val>
          <c:smooth val="0"/>
          <c:extLst>
            <c:ext xmlns:c16="http://schemas.microsoft.com/office/drawing/2014/chart" uri="{C3380CC4-5D6E-409C-BE32-E72D297353CC}">
              <c16:uniqueId val="{00000000-BE04-47B8-AD11-A6968B6AF711}"/>
            </c:ext>
          </c:extLst>
        </c:ser>
        <c:dLbls>
          <c:dLblPos val="t"/>
          <c:showLegendKey val="0"/>
          <c:showVal val="1"/>
          <c:showCatName val="0"/>
          <c:showSerName val="0"/>
          <c:showPercent val="0"/>
          <c:showBubbleSize val="0"/>
        </c:dLbls>
        <c:smooth val="0"/>
        <c:axId val="97310127"/>
        <c:axId val="97327887"/>
      </c:lineChart>
      <c:catAx>
        <c:axId val="97310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327887"/>
        <c:crosses val="autoZero"/>
        <c:auto val="1"/>
        <c:lblAlgn val="ctr"/>
        <c:lblOffset val="100"/>
        <c:noMultiLvlLbl val="0"/>
      </c:catAx>
      <c:valAx>
        <c:axId val="973278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310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a:t>Cash Conversion Cycle (CCC)</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dLbl>
              <c:idx val="0"/>
              <c:layout>
                <c:manualLayout>
                  <c:x val="-9.9076552930883646E-2"/>
                  <c:y val="6.94790755322250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BA3-4270-9621-764C033C0264}"/>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'Cash Conversion Cycle (CCC)'!$B$4:$F$4</c:f>
              <c:numCache>
                <c:formatCode>General</c:formatCode>
                <c:ptCount val="5"/>
                <c:pt idx="0">
                  <c:v>2021</c:v>
                </c:pt>
                <c:pt idx="1">
                  <c:v>2022</c:v>
                </c:pt>
                <c:pt idx="2">
                  <c:v>2023</c:v>
                </c:pt>
                <c:pt idx="3">
                  <c:v>2024</c:v>
                </c:pt>
                <c:pt idx="4">
                  <c:v>2025</c:v>
                </c:pt>
              </c:numCache>
            </c:numRef>
          </c:cat>
          <c:val>
            <c:numRef>
              <c:f>'Cash Conversion Cycle (CCC)'!$B$9:$F$9</c:f>
              <c:numCache>
                <c:formatCode>0.00</c:formatCode>
                <c:ptCount val="5"/>
                <c:pt idx="0">
                  <c:v>-19.55829804746412</c:v>
                </c:pt>
                <c:pt idx="1">
                  <c:v>-48.753889456509199</c:v>
                </c:pt>
                <c:pt idx="2">
                  <c:v>-46.846435021744128</c:v>
                </c:pt>
                <c:pt idx="3">
                  <c:v>-52.237658823050339</c:v>
                </c:pt>
                <c:pt idx="4">
                  <c:v>-16.047946518869182</c:v>
                </c:pt>
              </c:numCache>
            </c:numRef>
          </c:val>
          <c:smooth val="0"/>
          <c:extLst>
            <c:ext xmlns:c16="http://schemas.microsoft.com/office/drawing/2014/chart" uri="{C3380CC4-5D6E-409C-BE32-E72D297353CC}">
              <c16:uniqueId val="{00000001-9BA3-4270-9621-764C033C0264}"/>
            </c:ext>
          </c:extLst>
        </c:ser>
        <c:dLbls>
          <c:dLblPos val="t"/>
          <c:showLegendKey val="0"/>
          <c:showVal val="1"/>
          <c:showCatName val="0"/>
          <c:showSerName val="0"/>
          <c:showPercent val="0"/>
          <c:showBubbleSize val="0"/>
        </c:dLbls>
        <c:smooth val="0"/>
        <c:axId val="97293327"/>
        <c:axId val="97282287"/>
      </c:lineChart>
      <c:catAx>
        <c:axId val="97293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97282287"/>
        <c:crosses val="autoZero"/>
        <c:auto val="1"/>
        <c:lblAlgn val="ctr"/>
        <c:lblOffset val="100"/>
        <c:noMultiLvlLbl val="0"/>
      </c:catAx>
      <c:valAx>
        <c:axId val="972822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72933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040DCD77-CF57-4E59-B48B-6AEA7CD7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52</Pages>
  <Words>9994</Words>
  <Characters>56972</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user 1</cp:lastModifiedBy>
  <cp:revision>679</cp:revision>
  <dcterms:created xsi:type="dcterms:W3CDTF">2026-04-19T05:05:00Z</dcterms:created>
  <dcterms:modified xsi:type="dcterms:W3CDTF">2026-04-24T13:02:00Z</dcterms:modified>
</cp:coreProperties>
</file>