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CAB" w:rsidRDefault="00216A1C">
      <w:pPr>
        <w:pStyle w:val="normal0"/>
        <w:jc w:val="center"/>
        <w:rPr>
          <w:rFonts w:ascii="Calibri" w:eastAsia="Calibri" w:hAnsi="Calibri" w:cs="Calibri"/>
        </w:rPr>
      </w:pPr>
      <w:r>
        <w:rPr>
          <w:rFonts w:ascii="Calibri" w:eastAsia="Calibri" w:hAnsi="Calibri" w:cs="Calibri"/>
          <w:b/>
        </w:rPr>
        <w:t xml:space="preserve">Emergence and development of the term </w:t>
      </w:r>
      <w:r>
        <w:rPr>
          <w:rFonts w:ascii="Calibri" w:eastAsia="Calibri" w:hAnsi="Calibri" w:cs="Calibri"/>
          <w:b/>
          <w:i/>
        </w:rPr>
        <w:t>hoplite</w:t>
      </w:r>
      <w:r>
        <w:rPr>
          <w:rFonts w:ascii="Calibri" w:eastAsia="Calibri" w:hAnsi="Calibri" w:cs="Calibri"/>
          <w:b/>
        </w:rPr>
        <w:t xml:space="preserve"> in Archaic and Classical Greece. </w:t>
      </w:r>
      <w:r>
        <w:rPr>
          <w:rFonts w:ascii="Calibri" w:eastAsia="Calibri" w:hAnsi="Calibri" w:cs="Calibri"/>
        </w:rPr>
        <w:t xml:space="preserve"> </w:t>
      </w:r>
    </w:p>
    <w:p w:rsidR="00F50CAB" w:rsidRDefault="00216A1C">
      <w:pPr>
        <w:pStyle w:val="normal0"/>
        <w:jc w:val="center"/>
        <w:rPr>
          <w:rFonts w:ascii="Calibri" w:eastAsia="Calibri" w:hAnsi="Calibri" w:cs="Calibri"/>
        </w:rPr>
      </w:pPr>
      <w:r>
        <w:rPr>
          <w:rFonts w:ascii="Calibri" w:eastAsia="Calibri" w:hAnsi="Calibri" w:cs="Calibri"/>
        </w:rPr>
        <w:t>A reply by Marcin Gawlik to the article Hoplite and Phalanx in Archaic and Classical Greece: A Reassessment by Fernando Echeverria</w:t>
      </w:r>
    </w:p>
    <w:p w:rsidR="00F50CAB" w:rsidRDefault="00F50CAB">
      <w:pPr>
        <w:pStyle w:val="normal0"/>
        <w:jc w:val="center"/>
        <w:rPr>
          <w:rFonts w:ascii="Calibri" w:eastAsia="Calibri" w:hAnsi="Calibri" w:cs="Calibri"/>
        </w:rPr>
      </w:pPr>
    </w:p>
    <w:p w:rsidR="00F50CAB" w:rsidRDefault="00216A1C">
      <w:pPr>
        <w:pStyle w:val="normal0"/>
        <w:rPr>
          <w:rFonts w:ascii="Calibri" w:eastAsia="Calibri" w:hAnsi="Calibri" w:cs="Calibri"/>
        </w:rPr>
      </w:pPr>
      <w:r>
        <w:rPr>
          <w:rFonts w:ascii="Calibri" w:eastAsia="Calibri" w:hAnsi="Calibri" w:cs="Calibri"/>
        </w:rPr>
        <w:t xml:space="preserve">Echeverria in his article presents a summary of scientific research in thesis that semantic development of the term </w:t>
      </w:r>
      <w:r>
        <w:rPr>
          <w:rFonts w:ascii="Calibri" w:eastAsia="Calibri" w:hAnsi="Calibri" w:cs="Calibri"/>
          <w:i/>
        </w:rPr>
        <w:t>hoplite</w:t>
      </w:r>
      <w:r>
        <w:rPr>
          <w:rFonts w:ascii="Calibri" w:eastAsia="Calibri" w:hAnsi="Calibri" w:cs="Calibri"/>
        </w:rPr>
        <w:t xml:space="preserve"> was different in Archaic and Classical periods. He challenges the widely agreed concept of the </w:t>
      </w:r>
      <w:r>
        <w:rPr>
          <w:rFonts w:ascii="Calibri" w:eastAsia="Calibri" w:hAnsi="Calibri" w:cs="Calibri"/>
          <w:i/>
        </w:rPr>
        <w:t>hoplite</w:t>
      </w:r>
      <w:r>
        <w:rPr>
          <w:rFonts w:ascii="Calibri" w:eastAsia="Calibri" w:hAnsi="Calibri" w:cs="Calibri"/>
        </w:rPr>
        <w:t xml:space="preserve"> in Archaic Greece as defining a heavy infantry warrior identified by a specific set of appliances. The author points out the methodological problems connected to geographical and chronological research in contemporary resources. Most of these problems are related to writings in the Classical period describing an Archaic period and therefore simplifying terminology in their own nomenclature to describe Greek military evolution. </w:t>
      </w:r>
    </w:p>
    <w:p w:rsidR="00F50CAB" w:rsidRDefault="00F50CAB">
      <w:pPr>
        <w:pStyle w:val="normal0"/>
        <w:rPr>
          <w:rFonts w:ascii="Calibri" w:eastAsia="Calibri" w:hAnsi="Calibri" w:cs="Calibri"/>
        </w:rPr>
      </w:pPr>
    </w:p>
    <w:p w:rsidR="00F50CAB" w:rsidRDefault="00216A1C">
      <w:pPr>
        <w:pStyle w:val="normal0"/>
        <w:rPr>
          <w:rFonts w:ascii="Calibri" w:eastAsia="Calibri" w:hAnsi="Calibri" w:cs="Calibri"/>
        </w:rPr>
      </w:pPr>
      <w:r>
        <w:rPr>
          <w:rFonts w:ascii="Calibri" w:eastAsia="Calibri" w:hAnsi="Calibri" w:cs="Calibri"/>
        </w:rPr>
        <w:t>The "Hoplite Revolution" concept was cemented by Snodgrass but it derived from earlier Writers beginning with Aristotle to modern researchers. The idea assumed that before the 7th century BC aristocracy played a main role on the battlefields because it was the only social class which could afford the necessary hoplite equipment called panoply. He further argues that around 650 hoplite formation, tactics and equipment were fully developed therefore bringing significant political, mental and military changes to the Greek Polis.</w:t>
      </w:r>
      <w:r>
        <w:rPr>
          <w:rFonts w:ascii="Calibri" w:eastAsia="Calibri" w:hAnsi="Calibri" w:cs="Calibri"/>
          <w:vertAlign w:val="superscript"/>
        </w:rPr>
        <w:footnoteReference w:id="2"/>
      </w:r>
      <w:r>
        <w:rPr>
          <w:rFonts w:ascii="Calibri" w:eastAsia="Calibri" w:hAnsi="Calibri" w:cs="Calibri"/>
        </w:rPr>
        <w:t xml:space="preserve"> Following Szubelak: before the 8th century BC Greeks were fighting in phalanx formation for quite a long time but only the aristocracy could afford to buy hoplite panoply and the spread of colonies across Mediterranean sea brought great wealth and development of the main Polis. Colonies delivered metals which decreased the cost of panoply and better technology to forge metals were developed therefore more citizens could afford hoplite equipment. Lower classes paid for their equipment and trained hard to defend their community. It is not a surprise that they began to demand political rights. According to the "Hoplite Revolution" thesis lower classes threatened the aristocracy that if they will not grant them rights they would not participate in war efforts which would paralyse the defence system of the Polis. The specific form of the phalanx also created a brotherhood of arms in the hoplite "class". The hoplite phalanx and soldiers became not just part of the war machine but an integral part of the entire Greek concept of civilization.</w:t>
      </w:r>
      <w:r>
        <w:rPr>
          <w:rFonts w:ascii="Calibri" w:eastAsia="Calibri" w:hAnsi="Calibri" w:cs="Calibri"/>
          <w:vertAlign w:val="superscript"/>
        </w:rPr>
        <w:footnoteReference w:id="3"/>
      </w:r>
      <w:r>
        <w:rPr>
          <w:rFonts w:ascii="Calibri" w:eastAsia="Calibri" w:hAnsi="Calibri" w:cs="Calibri"/>
        </w:rPr>
        <w:t xml:space="preserve"> Hanson wrote, “There are few controversies in Greek history as spirited as those over the origins and nature of hoplite battle”.</w:t>
      </w:r>
      <w:r>
        <w:rPr>
          <w:rFonts w:ascii="Calibri" w:eastAsia="Calibri" w:hAnsi="Calibri" w:cs="Calibri"/>
          <w:vertAlign w:val="superscript"/>
        </w:rPr>
        <w:footnoteReference w:id="4"/>
      </w:r>
      <w:r>
        <w:rPr>
          <w:rFonts w:ascii="Calibri" w:eastAsia="Calibri" w:hAnsi="Calibri" w:cs="Calibri"/>
        </w:rPr>
        <w:t xml:space="preserve"> As Mumford says “War was not a mere residue of more common primitive forms of aggression” but civilizations’ “ultimate drama”.</w:t>
      </w:r>
      <w:r>
        <w:rPr>
          <w:rFonts w:ascii="Calibri" w:eastAsia="Calibri" w:hAnsi="Calibri" w:cs="Calibri"/>
          <w:vertAlign w:val="superscript"/>
        </w:rPr>
        <w:footnoteReference w:id="5"/>
      </w:r>
      <w:r>
        <w:rPr>
          <w:rFonts w:ascii="Calibri" w:eastAsia="Calibri" w:hAnsi="Calibri" w:cs="Calibri"/>
        </w:rPr>
        <w:t xml:space="preserve"> Military practices and warfare are undeniably entwined with culture, society and politics, particularly in Ancient Greece, as Plato said “peace is merely a name; in truth an undeclared war always exists by nature among all city-states.”</w:t>
      </w:r>
      <w:r>
        <w:rPr>
          <w:rFonts w:ascii="Calibri" w:eastAsia="Calibri" w:hAnsi="Calibri" w:cs="Calibri"/>
          <w:vertAlign w:val="superscript"/>
        </w:rPr>
        <w:footnoteReference w:id="6"/>
      </w:r>
      <w:r>
        <w:rPr>
          <w:rFonts w:ascii="Calibri" w:eastAsia="Calibri" w:hAnsi="Calibri" w:cs="Calibri"/>
        </w:rPr>
        <w:t xml:space="preserve"> They are therefore instrumental in understanding the Archaic period. According to "Hoplite Revolution" Echeverria distinguishes two false assumptions: first, that </w:t>
      </w:r>
      <w:r>
        <w:rPr>
          <w:rFonts w:ascii="Calibri" w:eastAsia="Calibri" w:hAnsi="Calibri" w:cs="Calibri"/>
          <w:i/>
        </w:rPr>
        <w:t>hoplon</w:t>
      </w:r>
      <w:r>
        <w:rPr>
          <w:rFonts w:ascii="Calibri" w:eastAsia="Calibri" w:hAnsi="Calibri" w:cs="Calibri"/>
        </w:rPr>
        <w:t xml:space="preserve"> is the most common term in Greek to designate the </w:t>
      </w:r>
      <w:r>
        <w:rPr>
          <w:rFonts w:ascii="Calibri" w:eastAsia="Calibri" w:hAnsi="Calibri" w:cs="Calibri"/>
          <w:i/>
        </w:rPr>
        <w:t>argive</w:t>
      </w:r>
      <w:r>
        <w:rPr>
          <w:rFonts w:ascii="Calibri" w:eastAsia="Calibri" w:hAnsi="Calibri" w:cs="Calibri"/>
        </w:rPr>
        <w:t xml:space="preserve"> shield; </w:t>
      </w:r>
      <w:r>
        <w:rPr>
          <w:rFonts w:ascii="Calibri" w:eastAsia="Calibri" w:hAnsi="Calibri" w:cs="Calibri"/>
        </w:rPr>
        <w:lastRenderedPageBreak/>
        <w:t xml:space="preserve">second, that the term </w:t>
      </w:r>
      <w:r>
        <w:rPr>
          <w:rFonts w:ascii="Calibri" w:eastAsia="Calibri" w:hAnsi="Calibri" w:cs="Calibri"/>
          <w:i/>
        </w:rPr>
        <w:t xml:space="preserve">hoplite </w:t>
      </w:r>
      <w:r>
        <w:rPr>
          <w:rFonts w:ascii="Calibri" w:eastAsia="Calibri" w:hAnsi="Calibri" w:cs="Calibri"/>
        </w:rPr>
        <w:t>derives from it.</w:t>
      </w:r>
      <w:r>
        <w:rPr>
          <w:rFonts w:ascii="Calibri" w:eastAsia="Calibri" w:hAnsi="Calibri" w:cs="Calibri"/>
          <w:vertAlign w:val="superscript"/>
        </w:rPr>
        <w:footnoteReference w:id="7"/>
      </w:r>
      <w:r>
        <w:rPr>
          <w:rFonts w:ascii="Calibri" w:eastAsia="Calibri" w:hAnsi="Calibri" w:cs="Calibri"/>
        </w:rPr>
        <w:t xml:space="preserve"> He further argues that this first assumption can be traced back to Diodorus Silicus " After a trial of the new shield it’s easy manipulation secured its adoption, and the infantry who had formerly been called </w:t>
      </w:r>
      <w:r>
        <w:rPr>
          <w:rFonts w:ascii="Calibri" w:eastAsia="Calibri" w:hAnsi="Calibri" w:cs="Calibri"/>
          <w:i/>
        </w:rPr>
        <w:t>hoplites</w:t>
      </w:r>
      <w:r>
        <w:rPr>
          <w:rFonts w:ascii="Calibri" w:eastAsia="Calibri" w:hAnsi="Calibri" w:cs="Calibri"/>
        </w:rPr>
        <w:t xml:space="preserve"> because of their heavy shield, were now called </w:t>
      </w:r>
      <w:r>
        <w:rPr>
          <w:rFonts w:ascii="Calibri" w:eastAsia="Calibri" w:hAnsi="Calibri" w:cs="Calibri"/>
          <w:i/>
        </w:rPr>
        <w:t>peltasts</w:t>
      </w:r>
      <w:r>
        <w:rPr>
          <w:rFonts w:ascii="Calibri" w:eastAsia="Calibri" w:hAnsi="Calibri" w:cs="Calibri"/>
        </w:rPr>
        <w:t xml:space="preserve"> from the light pelta they carried.</w:t>
      </w:r>
      <w:r>
        <w:rPr>
          <w:rFonts w:ascii="Calibri" w:eastAsia="Calibri" w:hAnsi="Calibri" w:cs="Calibri"/>
          <w:vertAlign w:val="superscript"/>
        </w:rPr>
        <w:footnoteReference w:id="8"/>
      </w:r>
      <w:r>
        <w:rPr>
          <w:rFonts w:ascii="Calibri" w:eastAsia="Calibri" w:hAnsi="Calibri" w:cs="Calibri"/>
        </w:rPr>
        <w:t xml:space="preserve"> Echeverria points out that </w:t>
      </w:r>
      <w:r>
        <w:rPr>
          <w:rFonts w:ascii="Calibri" w:eastAsia="Calibri" w:hAnsi="Calibri" w:cs="Calibri"/>
          <w:i/>
        </w:rPr>
        <w:t>aspis</w:t>
      </w:r>
      <w:r>
        <w:rPr>
          <w:rFonts w:ascii="Calibri" w:eastAsia="Calibri" w:hAnsi="Calibri" w:cs="Calibri"/>
        </w:rPr>
        <w:t xml:space="preserve"> and </w:t>
      </w:r>
      <w:r>
        <w:rPr>
          <w:rFonts w:ascii="Calibri" w:eastAsia="Calibri" w:hAnsi="Calibri" w:cs="Calibri"/>
          <w:i/>
        </w:rPr>
        <w:t>argive</w:t>
      </w:r>
      <w:r>
        <w:rPr>
          <w:rFonts w:ascii="Calibri" w:eastAsia="Calibri" w:hAnsi="Calibri" w:cs="Calibri"/>
        </w:rPr>
        <w:t xml:space="preserve"> are more related than </w:t>
      </w:r>
      <w:r>
        <w:rPr>
          <w:rFonts w:ascii="Calibri" w:eastAsia="Calibri" w:hAnsi="Calibri" w:cs="Calibri"/>
          <w:i/>
        </w:rPr>
        <w:t>hoplite</w:t>
      </w:r>
      <w:r>
        <w:rPr>
          <w:rFonts w:ascii="Calibri" w:eastAsia="Calibri" w:hAnsi="Calibri" w:cs="Calibri"/>
        </w:rPr>
        <w:t xml:space="preserve"> and </w:t>
      </w:r>
      <w:r>
        <w:rPr>
          <w:rFonts w:ascii="Calibri" w:eastAsia="Calibri" w:hAnsi="Calibri" w:cs="Calibri"/>
          <w:i/>
        </w:rPr>
        <w:t>argive</w:t>
      </w:r>
      <w:r>
        <w:rPr>
          <w:rFonts w:ascii="Calibri" w:eastAsia="Calibri" w:hAnsi="Calibri" w:cs="Calibri"/>
        </w:rPr>
        <w:t>, even if Diodorus justifies the second connection.</w:t>
      </w:r>
      <w:r>
        <w:rPr>
          <w:rFonts w:ascii="Calibri" w:eastAsia="Calibri" w:hAnsi="Calibri" w:cs="Calibri"/>
          <w:vertAlign w:val="superscript"/>
        </w:rPr>
        <w:footnoteReference w:id="9"/>
      </w:r>
      <w:r>
        <w:rPr>
          <w:rFonts w:ascii="Calibri" w:eastAsia="Calibri" w:hAnsi="Calibri" w:cs="Calibri"/>
        </w:rPr>
        <w:t xml:space="preserve"> According to Lazenby and Whitehead Pausanias made a similar mistake.</w:t>
      </w:r>
      <w:r>
        <w:rPr>
          <w:rFonts w:ascii="Calibri" w:eastAsia="Calibri" w:hAnsi="Calibri" w:cs="Calibri"/>
          <w:vertAlign w:val="superscript"/>
        </w:rPr>
        <w:footnoteReference w:id="10"/>
      </w:r>
      <w:r>
        <w:rPr>
          <w:rFonts w:ascii="Calibri" w:eastAsia="Calibri" w:hAnsi="Calibri" w:cs="Calibri"/>
        </w:rPr>
        <w:t xml:space="preserve"> Moreover Archaic writers Alcaues and Archilochus refer to the shield as </w:t>
      </w:r>
      <w:r>
        <w:rPr>
          <w:rFonts w:ascii="Calibri" w:eastAsia="Calibri" w:hAnsi="Calibri" w:cs="Calibri"/>
          <w:i/>
        </w:rPr>
        <w:t>aspis</w:t>
      </w:r>
      <w:r>
        <w:rPr>
          <w:rFonts w:ascii="Calibri" w:eastAsia="Calibri" w:hAnsi="Calibri" w:cs="Calibri"/>
        </w:rPr>
        <w:t xml:space="preserve"> and Classical Thucidydes does this twelve times, and according to Echeverria this connection as confirmed by Pausanias and Diodorus is likely to be true but is questionable. In relation to the second assumption Lazenby and Whitehead argue that the term </w:t>
      </w:r>
      <w:r>
        <w:rPr>
          <w:rFonts w:ascii="Calibri" w:eastAsia="Calibri" w:hAnsi="Calibri" w:cs="Calibri"/>
          <w:i/>
        </w:rPr>
        <w:t>hoplite</w:t>
      </w:r>
      <w:r>
        <w:rPr>
          <w:rFonts w:ascii="Calibri" w:eastAsia="Calibri" w:hAnsi="Calibri" w:cs="Calibri"/>
        </w:rPr>
        <w:t xml:space="preserve"> derives from panoply (ὅπλα) and not from the shield (ὅπλον), and Echeverria adds that the meaning of </w:t>
      </w:r>
      <w:r>
        <w:rPr>
          <w:rFonts w:ascii="Calibri" w:eastAsia="Calibri" w:hAnsi="Calibri" w:cs="Calibri"/>
          <w:i/>
        </w:rPr>
        <w:t>hoplon/a</w:t>
      </w:r>
      <w:r>
        <w:rPr>
          <w:rFonts w:ascii="Calibri" w:eastAsia="Calibri" w:hAnsi="Calibri" w:cs="Calibri"/>
        </w:rPr>
        <w:t xml:space="preserve"> in Archaic Greek could meant "tool", "implement" or plural group or set of tools, and it had nothing to do with military matters. Nonetheless he warns that Archaic literature as poetic language must be treated with caution. In singular form the connection between </w:t>
      </w:r>
      <w:r>
        <w:rPr>
          <w:rFonts w:ascii="Calibri" w:eastAsia="Calibri" w:hAnsi="Calibri" w:cs="Calibri"/>
          <w:i/>
        </w:rPr>
        <w:t>hoplon</w:t>
      </w:r>
      <w:r>
        <w:rPr>
          <w:rFonts w:ascii="Calibri" w:eastAsia="Calibri" w:hAnsi="Calibri" w:cs="Calibri"/>
        </w:rPr>
        <w:t xml:space="preserve"> and shield and plural as group will appear clearer far later in the 5th century BC.</w:t>
      </w:r>
      <w:r>
        <w:rPr>
          <w:rFonts w:ascii="Calibri" w:eastAsia="Calibri" w:hAnsi="Calibri" w:cs="Calibri"/>
          <w:vertAlign w:val="superscript"/>
        </w:rPr>
        <w:footnoteReference w:id="11"/>
      </w:r>
      <w:r>
        <w:rPr>
          <w:rFonts w:ascii="Calibri" w:eastAsia="Calibri" w:hAnsi="Calibri" w:cs="Calibri"/>
        </w:rPr>
        <w:t xml:space="preserve"> According to Echeverria Snodgrass wrongly derived the word </w:t>
      </w:r>
      <w:r>
        <w:rPr>
          <w:rFonts w:ascii="Calibri" w:eastAsia="Calibri" w:hAnsi="Calibri" w:cs="Calibri"/>
          <w:i/>
        </w:rPr>
        <w:t>hoplites</w:t>
      </w:r>
      <w:r>
        <w:rPr>
          <w:rFonts w:ascii="Calibri" w:eastAsia="Calibri" w:hAnsi="Calibri" w:cs="Calibri"/>
        </w:rPr>
        <w:t xml:space="preserve"> from previously mentioned Pausanias who compared shields by mistake.</w:t>
      </w:r>
      <w:r>
        <w:rPr>
          <w:rFonts w:ascii="Calibri" w:eastAsia="Calibri" w:hAnsi="Calibri" w:cs="Calibri"/>
          <w:vertAlign w:val="superscript"/>
        </w:rPr>
        <w:footnoteReference w:id="12"/>
      </w:r>
      <w:r>
        <w:rPr>
          <w:rFonts w:ascii="Calibri" w:eastAsia="Calibri" w:hAnsi="Calibri" w:cs="Calibri"/>
        </w:rPr>
        <w:t xml:space="preserve"> He also underlines that the first unequivocal connection between </w:t>
      </w:r>
      <w:r>
        <w:rPr>
          <w:rFonts w:ascii="Calibri" w:eastAsia="Calibri" w:hAnsi="Calibri" w:cs="Calibri"/>
          <w:i/>
        </w:rPr>
        <w:t>hoplon</w:t>
      </w:r>
      <w:r>
        <w:rPr>
          <w:rFonts w:ascii="Calibri" w:eastAsia="Calibri" w:hAnsi="Calibri" w:cs="Calibri"/>
        </w:rPr>
        <w:t xml:space="preserve"> and </w:t>
      </w:r>
      <w:r>
        <w:rPr>
          <w:rFonts w:ascii="Calibri" w:eastAsia="Calibri" w:hAnsi="Calibri" w:cs="Calibri"/>
          <w:i/>
        </w:rPr>
        <w:t>argive</w:t>
      </w:r>
      <w:r>
        <w:rPr>
          <w:rFonts w:ascii="Calibri" w:eastAsia="Calibri" w:hAnsi="Calibri" w:cs="Calibri"/>
        </w:rPr>
        <w:t xml:space="preserve"> shield appeared in Xenophon (Hell. 2.4.25).</w:t>
      </w:r>
      <w:r>
        <w:rPr>
          <w:rFonts w:ascii="Calibri" w:eastAsia="Calibri" w:hAnsi="Calibri" w:cs="Calibri"/>
          <w:vertAlign w:val="superscript"/>
        </w:rPr>
        <w:footnoteReference w:id="13"/>
      </w:r>
      <w:r>
        <w:rPr>
          <w:rFonts w:ascii="Calibri" w:eastAsia="Calibri" w:hAnsi="Calibri" w:cs="Calibri"/>
        </w:rPr>
        <w:t xml:space="preserve"> However I cannot find an unequivocal connection between the two as the source does not specify what shield is it and </w:t>
      </w:r>
      <w:r>
        <w:rPr>
          <w:rFonts w:ascii="Calibri" w:eastAsia="Calibri" w:hAnsi="Calibri" w:cs="Calibri"/>
          <w:i/>
        </w:rPr>
        <w:t>hoplon</w:t>
      </w:r>
      <w:r>
        <w:rPr>
          <w:rFonts w:ascii="Calibri" w:eastAsia="Calibri" w:hAnsi="Calibri" w:cs="Calibri"/>
        </w:rPr>
        <w:t xml:space="preserve"> is not mention at all. “The latter, who were now numerous and included all sorts of people, were engaged in making shields, some of wood, others of wicker-work, and in painting them. And having given pledges that whoever fought with them should be accorded equality in taxation with citizens even if they were foreigners, they marched forth before ten days had passed, a large body of hoplites with numerous light troops</w:t>
      </w:r>
      <w:r w:rsidR="00C570FC">
        <w:rPr>
          <w:rFonts w:ascii="Calibri" w:eastAsia="Calibri" w:hAnsi="Calibri" w:cs="Calibri"/>
        </w:rPr>
        <w:t>,</w:t>
      </w:r>
      <w:r>
        <w:rPr>
          <w:rFonts w:ascii="Calibri" w:eastAsia="Calibri" w:hAnsi="Calibri" w:cs="Calibri"/>
        </w:rPr>
        <w:t>"</w:t>
      </w:r>
      <w:r>
        <w:rPr>
          <w:rFonts w:ascii="Calibri" w:eastAsia="Calibri" w:hAnsi="Calibri" w:cs="Calibri"/>
          <w:vertAlign w:val="superscript"/>
        </w:rPr>
        <w:footnoteReference w:id="14"/>
      </w:r>
      <w:r>
        <w:rPr>
          <w:rFonts w:ascii="Calibri" w:eastAsia="Calibri" w:hAnsi="Calibri" w:cs="Calibri"/>
        </w:rPr>
        <w:t xml:space="preserve"> </w:t>
      </w:r>
      <w:r w:rsidR="00C570FC" w:rsidRPr="0002746D">
        <w:rPr>
          <w:rFonts w:asciiTheme="majorHAnsi" w:hAnsiTheme="majorHAnsi" w:cstheme="majorHAnsi"/>
        </w:rPr>
        <w:t>moreover some writers before Xenophon mentioned</w:t>
      </w:r>
      <w:r w:rsidR="00C570FC">
        <w:rPr>
          <w:rFonts w:asciiTheme="majorHAnsi" w:hAnsiTheme="majorHAnsi" w:cstheme="majorHAnsi"/>
        </w:rPr>
        <w:t xml:space="preserve"> a</w:t>
      </w:r>
      <w:r w:rsidR="00C570FC" w:rsidRPr="0002746D">
        <w:rPr>
          <w:rFonts w:asciiTheme="majorHAnsi" w:hAnsiTheme="majorHAnsi" w:cstheme="majorHAnsi"/>
        </w:rPr>
        <w:t xml:space="preserve"> hoplite-shield con</w:t>
      </w:r>
      <w:r w:rsidR="00C570FC">
        <w:rPr>
          <w:rFonts w:asciiTheme="majorHAnsi" w:hAnsiTheme="majorHAnsi" w:cstheme="majorHAnsi"/>
        </w:rPr>
        <w:t>nection,</w:t>
      </w:r>
      <w:r w:rsidR="00C570FC" w:rsidRPr="0002746D">
        <w:rPr>
          <w:rFonts w:asciiTheme="majorHAnsi" w:hAnsiTheme="majorHAnsi" w:cstheme="majorHAnsi"/>
        </w:rPr>
        <w:t xml:space="preserve"> for example Pindar " Their excellence shines clearly, in the naked footraces and in the shield-clashing</w:t>
      </w:r>
      <w:r w:rsidR="00C570FC">
        <w:rPr>
          <w:rFonts w:asciiTheme="majorHAnsi" w:hAnsiTheme="majorHAnsi" w:cstheme="majorHAnsi"/>
        </w:rPr>
        <w:t xml:space="preserve"> hoplite </w:t>
      </w:r>
      <w:r w:rsidR="00C570FC" w:rsidRPr="0002746D">
        <w:rPr>
          <w:rFonts w:asciiTheme="majorHAnsi" w:hAnsiTheme="majorHAnsi" w:cstheme="majorHAnsi"/>
        </w:rPr>
        <w:t>races, and in all the deeds of their hands, in flinging the spear</w:t>
      </w:r>
      <w:r w:rsidR="00C570FC">
        <w:rPr>
          <w:rFonts w:asciiTheme="majorHAnsi" w:hAnsiTheme="majorHAnsi" w:cstheme="majorHAnsi"/>
        </w:rPr>
        <w:t>."</w:t>
      </w:r>
      <w:r w:rsidR="00C570FC">
        <w:rPr>
          <w:rStyle w:val="FootnoteReference"/>
          <w:rFonts w:asciiTheme="majorHAnsi" w:hAnsiTheme="majorHAnsi" w:cstheme="majorHAnsi"/>
        </w:rPr>
        <w:footnoteReference w:id="15"/>
      </w:r>
      <w:r w:rsidR="00C570FC">
        <w:rPr>
          <w:rFonts w:asciiTheme="majorHAnsi" w:hAnsiTheme="majorHAnsi" w:cstheme="majorHAnsi"/>
        </w:rPr>
        <w:t xml:space="preserve"> Nonetheless the author successfully points out that the word </w:t>
      </w:r>
      <w:r w:rsidR="00C570FC" w:rsidRPr="00A96C1B">
        <w:rPr>
          <w:rFonts w:asciiTheme="majorHAnsi" w:hAnsiTheme="majorHAnsi" w:cstheme="majorHAnsi"/>
          <w:i/>
        </w:rPr>
        <w:t>hoplite</w:t>
      </w:r>
      <w:r w:rsidR="00C570FC">
        <w:rPr>
          <w:rFonts w:asciiTheme="majorHAnsi" w:hAnsiTheme="majorHAnsi" w:cstheme="majorHAnsi"/>
          <w:i/>
        </w:rPr>
        <w:t>/</w:t>
      </w:r>
      <w:r w:rsidR="00C570FC" w:rsidRPr="00A96C1B">
        <w:rPr>
          <w:rFonts w:asciiTheme="majorHAnsi" w:hAnsiTheme="majorHAnsi" w:cstheme="majorHAnsi"/>
          <w:i/>
        </w:rPr>
        <w:t>s</w:t>
      </w:r>
      <w:r w:rsidR="00C570FC">
        <w:rPr>
          <w:rFonts w:asciiTheme="majorHAnsi" w:hAnsiTheme="majorHAnsi" w:cstheme="majorHAnsi"/>
        </w:rPr>
        <w:t xml:space="preserve"> was not mentioned once in pre 5th century BC sources. </w:t>
      </w:r>
      <w:r w:rsidR="00C570FC" w:rsidRPr="0002746D">
        <w:rPr>
          <w:rFonts w:asciiTheme="majorHAnsi" w:hAnsiTheme="majorHAnsi" w:cstheme="majorHAnsi"/>
        </w:rPr>
        <w:t xml:space="preserve">  </w:t>
      </w:r>
      <w:r w:rsidR="00C570FC">
        <w:rPr>
          <w:rFonts w:ascii="Calibri" w:eastAsia="Calibri" w:hAnsi="Calibri" w:cs="Calibri"/>
        </w:rPr>
        <w:t xml:space="preserve"> </w:t>
      </w:r>
    </w:p>
    <w:p w:rsidR="00F50CAB" w:rsidRDefault="00F50CAB">
      <w:pPr>
        <w:pStyle w:val="normal0"/>
        <w:rPr>
          <w:rFonts w:ascii="Calibri" w:eastAsia="Calibri" w:hAnsi="Calibri" w:cs="Calibri"/>
        </w:rPr>
      </w:pPr>
    </w:p>
    <w:p w:rsidR="00F50CAB" w:rsidRDefault="00216A1C">
      <w:pPr>
        <w:pStyle w:val="normal0"/>
        <w:rPr>
          <w:rFonts w:ascii="Calibri" w:eastAsia="Calibri" w:hAnsi="Calibri" w:cs="Calibri"/>
        </w:rPr>
      </w:pPr>
      <w:r>
        <w:rPr>
          <w:rFonts w:ascii="Calibri" w:eastAsia="Calibri" w:hAnsi="Calibri" w:cs="Calibri"/>
        </w:rPr>
        <w:t xml:space="preserve">As mentioned, Aristotle first related warfare and military organisation to the socio-political climate of the polis, namely the rise of the hoplite phalanx and fall of the aristocracy. Alongside Lorimer and others </w:t>
      </w:r>
      <w:r>
        <w:rPr>
          <w:rFonts w:ascii="Calibri" w:eastAsia="Calibri" w:hAnsi="Calibri" w:cs="Calibri"/>
        </w:rPr>
        <w:lastRenderedPageBreak/>
        <w:t xml:space="preserve">this led to the ‘orthodox’ theory that the hoplite phalanx developed suddenly in early Archaic Greece with the invention of the </w:t>
      </w:r>
      <w:r>
        <w:rPr>
          <w:rFonts w:ascii="Calibri" w:eastAsia="Calibri" w:hAnsi="Calibri" w:cs="Calibri"/>
          <w:i/>
        </w:rPr>
        <w:t>hoplon</w:t>
      </w:r>
      <w:r>
        <w:rPr>
          <w:rFonts w:ascii="Calibri" w:eastAsia="Calibri" w:hAnsi="Calibri" w:cs="Calibri"/>
        </w:rPr>
        <w:t xml:space="preserve"> shield and caused massive socio-political change.</w:t>
      </w:r>
      <w:r>
        <w:rPr>
          <w:rFonts w:ascii="Calibri" w:eastAsia="Calibri" w:hAnsi="Calibri" w:cs="Calibri"/>
          <w:vertAlign w:val="superscript"/>
        </w:rPr>
        <w:footnoteReference w:id="16"/>
      </w:r>
      <w:r>
        <w:rPr>
          <w:rFonts w:ascii="Calibri" w:eastAsia="Calibri" w:hAnsi="Calibri" w:cs="Calibri"/>
        </w:rPr>
        <w:t xml:space="preserve"> However the extent of cultural determinism in this has been criticised and this led to the developed of three major theories that have led to much debate. As mentioned Snodgrass first suggested the ‘gradualist’ theory which argues archaeological dating points to the gradual development of the hoplite phalanx between 750–650 BC.</w:t>
      </w:r>
      <w:r>
        <w:rPr>
          <w:rFonts w:ascii="Calibri" w:eastAsia="Calibri" w:hAnsi="Calibri" w:cs="Calibri"/>
          <w:vertAlign w:val="superscript"/>
        </w:rPr>
        <w:footnoteReference w:id="17"/>
      </w:r>
      <w:r>
        <w:rPr>
          <w:rFonts w:ascii="Calibri" w:eastAsia="Calibri" w:hAnsi="Calibri" w:cs="Calibri"/>
        </w:rPr>
        <w:t xml:space="preserve"> This position highlights scattered evidence, the importance of individuals’ roles in development and suggests development occurred alongside various separate innovations in equipment over a period of time, due also to the need for a larger fighting force and the creation and distribution of armour. </w:t>
      </w:r>
    </w:p>
    <w:p w:rsidR="00F50CAB" w:rsidRDefault="00F50CAB">
      <w:pPr>
        <w:pStyle w:val="normal0"/>
        <w:rPr>
          <w:rFonts w:ascii="Calibri" w:eastAsia="Calibri" w:hAnsi="Calibri" w:cs="Calibri"/>
        </w:rPr>
      </w:pPr>
    </w:p>
    <w:p w:rsidR="00F50CAB" w:rsidRDefault="00216A1C">
      <w:pPr>
        <w:pStyle w:val="normal0"/>
        <w:rPr>
          <w:rFonts w:ascii="Calibri" w:eastAsia="Calibri" w:hAnsi="Calibri" w:cs="Calibri"/>
        </w:rPr>
      </w:pPr>
      <w:r>
        <w:rPr>
          <w:rFonts w:ascii="Calibri" w:eastAsia="Calibri" w:hAnsi="Calibri" w:cs="Calibri"/>
        </w:rPr>
        <w:t xml:space="preserve">Others have critiqued the extent this theories rejects deterministic features, arguing for a more rapid and deterministic theory of development in relation to the </w:t>
      </w:r>
      <w:r>
        <w:rPr>
          <w:rFonts w:ascii="Calibri" w:eastAsia="Calibri" w:hAnsi="Calibri" w:cs="Calibri"/>
          <w:i/>
        </w:rPr>
        <w:t>hoplon</w:t>
      </w:r>
      <w:r>
        <w:rPr>
          <w:rFonts w:ascii="Calibri" w:eastAsia="Calibri" w:hAnsi="Calibri" w:cs="Calibri"/>
        </w:rPr>
        <w:t xml:space="preserve"> shield and Greek polis. Cartledge and Hanson argued for the rapid adoption of the hoplite phalanx due to its superiority and because it limited  mobility and individual free flowing fighting as seen in the dark ages.</w:t>
      </w:r>
      <w:r>
        <w:rPr>
          <w:rFonts w:ascii="Calibri" w:eastAsia="Calibri" w:hAnsi="Calibri" w:cs="Calibri"/>
          <w:vertAlign w:val="superscript"/>
        </w:rPr>
        <w:footnoteReference w:id="18"/>
      </w:r>
      <w:r>
        <w:rPr>
          <w:rFonts w:ascii="Calibri" w:eastAsia="Calibri" w:hAnsi="Calibri" w:cs="Calibri"/>
        </w:rPr>
        <w:t>Such Literature highlights important points. Cartledge says hoplite warfare is ill suited to Greek terrain. Its adoption is understandable due to its superiority to previous aristocratic armies which fought on open plains but its preservation after is likely understandable only in relation to political reasons.</w:t>
      </w:r>
      <w:r>
        <w:rPr>
          <w:rFonts w:ascii="Calibri" w:eastAsia="Calibri" w:hAnsi="Calibri" w:cs="Calibri"/>
          <w:vertAlign w:val="superscript"/>
        </w:rPr>
        <w:footnoteReference w:id="19"/>
      </w:r>
      <w:r>
        <w:rPr>
          <w:rFonts w:ascii="Calibri" w:eastAsia="Calibri" w:hAnsi="Calibri" w:cs="Calibri"/>
        </w:rPr>
        <w:t xml:space="preserve"> However, it might be considered that this claim is false because hoplites were superior to any other formation/army from none Greek countries until the clash with Macedonian phalanx and Roman army. Other influential arguments include that Homeric warfare is representative of later hoplite warfare.</w:t>
      </w:r>
      <w:r>
        <w:rPr>
          <w:rFonts w:ascii="Calibri" w:eastAsia="Calibri" w:hAnsi="Calibri" w:cs="Calibri"/>
          <w:vertAlign w:val="superscript"/>
        </w:rPr>
        <w:footnoteReference w:id="20"/>
      </w:r>
    </w:p>
    <w:p w:rsidR="00F50CAB" w:rsidRDefault="00F50CAB">
      <w:pPr>
        <w:pStyle w:val="normal0"/>
        <w:rPr>
          <w:rFonts w:ascii="Calibri" w:eastAsia="Calibri" w:hAnsi="Calibri" w:cs="Calibri"/>
        </w:rPr>
      </w:pPr>
    </w:p>
    <w:p w:rsidR="00F50CAB" w:rsidRDefault="00216A1C">
      <w:pPr>
        <w:pStyle w:val="normal0"/>
        <w:rPr>
          <w:rFonts w:ascii="Calibri" w:eastAsia="Calibri" w:hAnsi="Calibri" w:cs="Calibri"/>
        </w:rPr>
      </w:pPr>
      <w:bookmarkStart w:id="0" w:name="_gjdgxs" w:colFirst="0" w:colLast="0"/>
      <w:bookmarkEnd w:id="0"/>
      <w:r>
        <w:rPr>
          <w:rFonts w:ascii="Calibri" w:eastAsia="Calibri" w:hAnsi="Calibri" w:cs="Calibri"/>
        </w:rPr>
        <w:t>A third position argues for an ‘extended gradualist’ development from a more individualistic mass warfare in Homeric times to a unified hoplite phalanx in the fifth century BC. Analyzing the Chigi Vase and others Wees suggested a transitional period from the dark ages, highlighting the use of javelins in some renditions.</w:t>
      </w:r>
      <w:r>
        <w:rPr>
          <w:rFonts w:ascii="Calibri" w:eastAsia="Calibri" w:hAnsi="Calibri" w:cs="Calibri"/>
          <w:vertAlign w:val="superscript"/>
        </w:rPr>
        <w:footnoteReference w:id="21"/>
      </w:r>
      <w:r>
        <w:rPr>
          <w:rFonts w:ascii="Calibri" w:eastAsia="Calibri" w:hAnsi="Calibri" w:cs="Calibri"/>
        </w:rPr>
        <w:t xml:space="preserve"> This theory highlighted assumptions about the phalanx. Wees showed the </w:t>
      </w:r>
      <w:r>
        <w:rPr>
          <w:rFonts w:ascii="Calibri" w:eastAsia="Calibri" w:hAnsi="Calibri" w:cs="Calibri"/>
          <w:i/>
        </w:rPr>
        <w:t>hoplon</w:t>
      </w:r>
      <w:r>
        <w:rPr>
          <w:rFonts w:ascii="Calibri" w:eastAsia="Calibri" w:hAnsi="Calibri" w:cs="Calibri"/>
        </w:rPr>
        <w:t xml:space="preserve"> shield does not necessitate close knit phalanx formation, the use of the othismos or a unified force. There is great variation in armour and weapons in Homer and although heavy armour limited mobility it may have been worn merely for status and protection, similar to the use of chariots by the aristocracy in previous times.</w:t>
      </w:r>
      <w:r>
        <w:rPr>
          <w:rFonts w:ascii="Calibri" w:eastAsia="Calibri" w:hAnsi="Calibri" w:cs="Calibri"/>
          <w:vertAlign w:val="superscript"/>
        </w:rPr>
        <w:footnoteReference w:id="22"/>
      </w:r>
      <w:r>
        <w:rPr>
          <w:rFonts w:ascii="Calibri" w:eastAsia="Calibri" w:hAnsi="Calibri" w:cs="Calibri"/>
        </w:rPr>
        <w:t xml:space="preserve">Likewise use of the term othismos is often contradictory and varied, Thucydides uses it  </w:t>
      </w:r>
      <w:r>
        <w:rPr>
          <w:rFonts w:ascii="Calibri" w:eastAsia="Calibri" w:hAnsi="Calibri" w:cs="Calibri"/>
        </w:rPr>
        <w:lastRenderedPageBreak/>
        <w:t>to describe colliding and fighting with a 'pushing of shields' at Delium, however it also used to mean to ‘push with a weapon' or with an army at a certain point.</w:t>
      </w:r>
      <w:r>
        <w:rPr>
          <w:rFonts w:ascii="Calibri" w:eastAsia="Calibri" w:hAnsi="Calibri" w:cs="Calibri"/>
          <w:vertAlign w:val="superscript"/>
        </w:rPr>
        <w:footnoteReference w:id="23"/>
      </w:r>
    </w:p>
    <w:p w:rsidR="00F50CAB" w:rsidRDefault="00F50CAB">
      <w:pPr>
        <w:pStyle w:val="normal0"/>
        <w:rPr>
          <w:rFonts w:ascii="Calibri" w:eastAsia="Calibri" w:hAnsi="Calibri" w:cs="Calibri"/>
        </w:rPr>
      </w:pPr>
    </w:p>
    <w:p w:rsidR="00F50CAB" w:rsidRDefault="00216A1C">
      <w:pPr>
        <w:pStyle w:val="normal0"/>
        <w:rPr>
          <w:rFonts w:ascii="Calibri" w:eastAsia="Calibri" w:hAnsi="Calibri" w:cs="Calibri"/>
        </w:rPr>
      </w:pPr>
      <w:r>
        <w:rPr>
          <w:rFonts w:ascii="Calibri" w:eastAsia="Calibri" w:hAnsi="Calibri" w:cs="Calibri"/>
        </w:rPr>
        <w:t xml:space="preserve">Echeverría dissects the origin and meaning of </w:t>
      </w:r>
      <w:r>
        <w:rPr>
          <w:rFonts w:ascii="Calibri" w:eastAsia="Calibri" w:hAnsi="Calibri" w:cs="Calibri"/>
          <w:i/>
        </w:rPr>
        <w:t>hoplite</w:t>
      </w:r>
      <w:r>
        <w:rPr>
          <w:rFonts w:ascii="Calibri" w:eastAsia="Calibri" w:hAnsi="Calibri" w:cs="Calibri"/>
        </w:rPr>
        <w:t xml:space="preserve"> and </w:t>
      </w:r>
      <w:r>
        <w:rPr>
          <w:rFonts w:ascii="Calibri" w:eastAsia="Calibri" w:hAnsi="Calibri" w:cs="Calibri"/>
          <w:i/>
        </w:rPr>
        <w:t>phalanx</w:t>
      </w:r>
      <w:r>
        <w:rPr>
          <w:rFonts w:ascii="Calibri" w:eastAsia="Calibri" w:hAnsi="Calibri" w:cs="Calibri"/>
        </w:rPr>
        <w:t xml:space="preserve"> to shed light on this debate. His thesis claims informal definitions of these have become fossilized and conceptual accuracy is necessary. He makes two arguments. First the concepts </w:t>
      </w:r>
      <w:r>
        <w:rPr>
          <w:rFonts w:ascii="Calibri" w:eastAsia="Calibri" w:hAnsi="Calibri" w:cs="Calibri"/>
          <w:i/>
        </w:rPr>
        <w:t>hoplite</w:t>
      </w:r>
      <w:r>
        <w:rPr>
          <w:rFonts w:ascii="Calibri" w:eastAsia="Calibri" w:hAnsi="Calibri" w:cs="Calibri"/>
        </w:rPr>
        <w:t xml:space="preserve"> and </w:t>
      </w:r>
      <w:r>
        <w:rPr>
          <w:rFonts w:ascii="Calibri" w:eastAsia="Calibri" w:hAnsi="Calibri" w:cs="Calibri"/>
          <w:i/>
        </w:rPr>
        <w:t>phalanx</w:t>
      </w:r>
      <w:r>
        <w:rPr>
          <w:rFonts w:ascii="Calibri" w:eastAsia="Calibri" w:hAnsi="Calibri" w:cs="Calibri"/>
        </w:rPr>
        <w:t xml:space="preserve"> belong to the Classical period. They were only cemented here and they reflect the “social, political, economic, and ideological context” of this time, and for methodological reasons should not be used to refer to heavy armoured Archaic warriors.</w:t>
      </w:r>
      <w:r>
        <w:rPr>
          <w:rFonts w:ascii="Calibri" w:eastAsia="Calibri" w:hAnsi="Calibri" w:cs="Calibri"/>
          <w:vertAlign w:val="superscript"/>
        </w:rPr>
        <w:footnoteReference w:id="24"/>
      </w:r>
      <w:r>
        <w:rPr>
          <w:rFonts w:ascii="Calibri" w:eastAsia="Calibri" w:hAnsi="Calibri" w:cs="Calibri"/>
        </w:rPr>
        <w:t xml:space="preserve"> In older times use the terms incorporated social concepts of cooperation and warrior citizens and were used in relation to adjectival function and periphrastic construction and these gradually fell away and gave way to their use as technical terms in Classical times. Likewise he notes while they are present in Archaic literature, technical vocabulary seen in Classical times to refer to formations and armour and allow the identification of the Classical hoplite and phalanx are not.</w:t>
      </w:r>
    </w:p>
    <w:p w:rsidR="00F50CAB" w:rsidRDefault="00F50CAB">
      <w:pPr>
        <w:pStyle w:val="normal0"/>
        <w:rPr>
          <w:rFonts w:ascii="Calibri" w:eastAsia="Calibri" w:hAnsi="Calibri" w:cs="Calibri"/>
        </w:rPr>
      </w:pPr>
    </w:p>
    <w:p w:rsidR="00F50CAB" w:rsidRDefault="00216A1C">
      <w:pPr>
        <w:pStyle w:val="normal0"/>
        <w:rPr>
          <w:rFonts w:ascii="Calibri" w:eastAsia="Calibri" w:hAnsi="Calibri" w:cs="Calibri"/>
        </w:rPr>
      </w:pPr>
      <w:r>
        <w:rPr>
          <w:rFonts w:ascii="Calibri" w:eastAsia="Calibri" w:hAnsi="Calibri" w:cs="Calibri"/>
        </w:rPr>
        <w:t>Secondly, he argues this supports the ‘extended gradual’ developmental theory and the late appearance of the hoplite phalanx. He argues Archaic ‘status warriors’,</w:t>
      </w:r>
      <w:r>
        <w:rPr>
          <w:rFonts w:ascii="Calibri" w:eastAsia="Calibri" w:hAnsi="Calibri" w:cs="Calibri"/>
          <w:vertAlign w:val="superscript"/>
        </w:rPr>
        <w:footnoteReference w:id="25"/>
      </w:r>
      <w:r>
        <w:rPr>
          <w:rFonts w:ascii="Calibri" w:eastAsia="Calibri" w:hAnsi="Calibri" w:cs="Calibri"/>
        </w:rPr>
        <w:t xml:space="preserve"> heavily armed leaders from the upper classes depicted for example in Homer, where representative of the Archaic military and socio-political organisation of the Archaic period and it was likely only with the rise of the military and socio-political institutions of the polis in the fifth century BC these evolved into the hoplite and use of phalanx, as these were more representative of these institutions. He also suggests changing terminology paralleled changing warfare methods, namely that the consolidation of the terms </w:t>
      </w:r>
      <w:r>
        <w:rPr>
          <w:rFonts w:ascii="Calibri" w:eastAsia="Calibri" w:hAnsi="Calibri" w:cs="Calibri"/>
          <w:i/>
        </w:rPr>
        <w:t>hoplite</w:t>
      </w:r>
      <w:r>
        <w:rPr>
          <w:rFonts w:ascii="Calibri" w:eastAsia="Calibri" w:hAnsi="Calibri" w:cs="Calibri"/>
        </w:rPr>
        <w:t xml:space="preserve"> and </w:t>
      </w:r>
      <w:r>
        <w:rPr>
          <w:rFonts w:ascii="Calibri" w:eastAsia="Calibri" w:hAnsi="Calibri" w:cs="Calibri"/>
          <w:i/>
        </w:rPr>
        <w:t>phalanx</w:t>
      </w:r>
      <w:r>
        <w:rPr>
          <w:rFonts w:ascii="Calibri" w:eastAsia="Calibri" w:hAnsi="Calibri" w:cs="Calibri"/>
        </w:rPr>
        <w:t xml:space="preserve"> in the Classical period highlights their need “to denote the evolving military realities of their time.”</w:t>
      </w:r>
      <w:r>
        <w:rPr>
          <w:rFonts w:ascii="Calibri" w:eastAsia="Calibri" w:hAnsi="Calibri" w:cs="Calibri"/>
          <w:vertAlign w:val="superscript"/>
        </w:rPr>
        <w:footnoteReference w:id="26"/>
      </w:r>
    </w:p>
    <w:p w:rsidR="00F50CAB" w:rsidRDefault="00F50CAB">
      <w:pPr>
        <w:pStyle w:val="normal0"/>
        <w:rPr>
          <w:rFonts w:ascii="Calibri" w:eastAsia="Calibri" w:hAnsi="Calibri" w:cs="Calibri"/>
        </w:rPr>
      </w:pPr>
    </w:p>
    <w:p w:rsidR="00F50CAB" w:rsidRDefault="00216A1C">
      <w:pPr>
        <w:pStyle w:val="normal0"/>
        <w:rPr>
          <w:rFonts w:ascii="Calibri" w:eastAsia="Calibri" w:hAnsi="Calibri" w:cs="Calibri"/>
        </w:rPr>
      </w:pPr>
      <w:r>
        <w:rPr>
          <w:rFonts w:ascii="Calibri" w:eastAsia="Calibri" w:hAnsi="Calibri" w:cs="Calibri"/>
        </w:rPr>
        <w:t xml:space="preserve">Potential critique of his thesis includes the scarcity and validity of available archaeological evidence. Echeverría often analyses the works of Homer and others and this highlights issues regarding the validity and accuracy of lyric poetry. One principle arguments is that despite presence of the terms </w:t>
      </w:r>
      <w:r>
        <w:rPr>
          <w:rFonts w:ascii="Calibri" w:eastAsia="Calibri" w:hAnsi="Calibri" w:cs="Calibri"/>
          <w:i/>
        </w:rPr>
        <w:t>hoplite</w:t>
      </w:r>
      <w:r>
        <w:rPr>
          <w:rFonts w:ascii="Calibri" w:eastAsia="Calibri" w:hAnsi="Calibri" w:cs="Calibri"/>
        </w:rPr>
        <w:t xml:space="preserve"> and “phalanx” in Archaic literature, technical descriptions identifying the Classical hoplite phalanx are not. Lack of military knowledge and the focus and aim of lyric poetry sources such as Homer however may be blamed for this. Echeverría himself notes such issues by suggesting the use of the term </w:t>
      </w:r>
      <w:r>
        <w:rPr>
          <w:rFonts w:ascii="Calibri" w:eastAsia="Calibri" w:hAnsi="Calibri" w:cs="Calibri"/>
          <w:i/>
        </w:rPr>
        <w:t>hoplite</w:t>
      </w:r>
      <w:r>
        <w:rPr>
          <w:rFonts w:ascii="Calibri" w:eastAsia="Calibri" w:hAnsi="Calibri" w:cs="Calibri"/>
        </w:rPr>
        <w:t xml:space="preserve"> in tragedy, rather than indicating their presence here, depicts a tendency to portray myth in contemporary terms to increase understanding and </w:t>
      </w:r>
      <w:r w:rsidR="003C0C43">
        <w:rPr>
          <w:rFonts w:ascii="Calibri" w:eastAsia="Calibri" w:hAnsi="Calibri" w:cs="Calibri"/>
        </w:rPr>
        <w:t>relatablility</w:t>
      </w:r>
      <w:r>
        <w:rPr>
          <w:rFonts w:ascii="Calibri" w:eastAsia="Calibri" w:hAnsi="Calibri" w:cs="Calibri"/>
        </w:rPr>
        <w:t xml:space="preserve"> for the audience.</w:t>
      </w:r>
      <w:r>
        <w:rPr>
          <w:rFonts w:ascii="Calibri" w:eastAsia="Calibri" w:hAnsi="Calibri" w:cs="Calibri"/>
          <w:vertAlign w:val="superscript"/>
        </w:rPr>
        <w:footnoteReference w:id="27"/>
      </w:r>
      <w:r>
        <w:rPr>
          <w:rFonts w:ascii="Calibri" w:eastAsia="Calibri" w:hAnsi="Calibri" w:cs="Calibri"/>
        </w:rPr>
        <w:t xml:space="preserve"> In light of the available literary evidence however his argument that lack of surrounding terminology as seen in Classical sources most </w:t>
      </w:r>
      <w:r>
        <w:rPr>
          <w:rFonts w:ascii="Calibri" w:eastAsia="Calibri" w:hAnsi="Calibri" w:cs="Calibri"/>
        </w:rPr>
        <w:lastRenderedPageBreak/>
        <w:t>likely indicates as Foxhall said “whatever hoplites became… in this period they were something different,”</w:t>
      </w:r>
      <w:r>
        <w:rPr>
          <w:rFonts w:ascii="Calibri" w:eastAsia="Calibri" w:hAnsi="Calibri" w:cs="Calibri"/>
          <w:vertAlign w:val="superscript"/>
        </w:rPr>
        <w:footnoteReference w:id="28"/>
      </w:r>
      <w:r>
        <w:rPr>
          <w:rFonts w:ascii="Calibri" w:eastAsia="Calibri" w:hAnsi="Calibri" w:cs="Calibri"/>
        </w:rPr>
        <w:t xml:space="preserve"> appears reasonable. </w:t>
      </w:r>
    </w:p>
    <w:p w:rsidR="00F50CAB" w:rsidRDefault="00F50CAB">
      <w:pPr>
        <w:pStyle w:val="normal0"/>
        <w:rPr>
          <w:rFonts w:ascii="Calibri" w:eastAsia="Calibri" w:hAnsi="Calibri" w:cs="Calibri"/>
        </w:rPr>
      </w:pPr>
    </w:p>
    <w:p w:rsidR="00F50CAB" w:rsidRDefault="00216A1C">
      <w:pPr>
        <w:pStyle w:val="normal0"/>
        <w:rPr>
          <w:rFonts w:ascii="Calibri" w:eastAsia="Calibri" w:hAnsi="Calibri" w:cs="Calibri"/>
          <w:vertAlign w:val="superscript"/>
        </w:rPr>
      </w:pPr>
      <w:r>
        <w:rPr>
          <w:rFonts w:ascii="Calibri" w:eastAsia="Calibri" w:hAnsi="Calibri" w:cs="Calibri"/>
        </w:rPr>
        <w:t>Echeverria relates emphasis on ‘status warriors’ in Archaic poetry to Archaic social and military organization, contrasting it with the uniformity, solidarity and anxiety over deserters found in many Classical descriptions of warfare.</w:t>
      </w:r>
      <w:r>
        <w:rPr>
          <w:rFonts w:ascii="Calibri" w:eastAsia="Calibri" w:hAnsi="Calibri" w:cs="Calibri"/>
          <w:vertAlign w:val="superscript"/>
        </w:rPr>
        <w:footnoteReference w:id="29"/>
      </w:r>
      <w:r>
        <w:rPr>
          <w:rFonts w:ascii="Calibri" w:eastAsia="Calibri" w:hAnsi="Calibri" w:cs="Calibri"/>
        </w:rPr>
        <w:t xml:space="preserve"> This is important to highlight, however the focus and issues surrounding the use of poetic work must be again be accommodated for in this argument and Christ also draws links between individualistic description of ‘heroes’ and the battles of such warriors and conscription anxiety and desertion in the Classical period.</w:t>
      </w:r>
      <w:r>
        <w:rPr>
          <w:rFonts w:ascii="Calibri" w:eastAsia="Calibri" w:hAnsi="Calibri" w:cs="Calibri"/>
          <w:vertAlign w:val="superscript"/>
        </w:rPr>
        <w:footnoteReference w:id="30"/>
      </w:r>
      <w:r>
        <w:rPr>
          <w:rFonts w:ascii="Calibri" w:eastAsia="Calibri" w:hAnsi="Calibri" w:cs="Calibri"/>
        </w:rPr>
        <w:t xml:space="preserve"> Likewise it should be notes Individualistic descriptions also remained constant throughout the Classical period. Some suggest Homeric accounts are reconcilable with hoplite warfare, that the heroes’ battles may have been the first clashes of the promachoi before the push of the othismos.</w:t>
      </w:r>
      <w:r>
        <w:rPr>
          <w:rFonts w:ascii="Calibri" w:eastAsia="Calibri" w:hAnsi="Calibri" w:cs="Calibri"/>
          <w:vertAlign w:val="superscript"/>
        </w:rPr>
        <w:footnoteReference w:id="31"/>
      </w:r>
      <w:r>
        <w:rPr>
          <w:rFonts w:ascii="Calibri" w:eastAsia="Calibri" w:hAnsi="Calibri" w:cs="Calibri"/>
        </w:rPr>
        <w:t xml:space="preserve"> Contemporary Western assumptions about individualistic accounts have been highlighted, for example by looking at contemporary battle accounts by the warriors of the New Guinea highlanders, which despite describing mass formation battle somewhat similar to that of the hoplite phalanx, are often described from a highly individualistic perspective.</w:t>
      </w:r>
      <w:r>
        <w:rPr>
          <w:rFonts w:ascii="Calibri" w:eastAsia="Calibri" w:hAnsi="Calibri" w:cs="Calibri"/>
          <w:vertAlign w:val="superscript"/>
        </w:rPr>
        <w:footnoteReference w:id="32"/>
      </w:r>
    </w:p>
    <w:p w:rsidR="00F50CAB" w:rsidRDefault="00F50CAB">
      <w:pPr>
        <w:pStyle w:val="normal0"/>
        <w:rPr>
          <w:rFonts w:ascii="Calibri" w:eastAsia="Calibri" w:hAnsi="Calibri" w:cs="Calibri"/>
          <w:vertAlign w:val="superscript"/>
        </w:rPr>
      </w:pPr>
    </w:p>
    <w:p w:rsidR="00F50CAB" w:rsidRDefault="00216A1C">
      <w:pPr>
        <w:pStyle w:val="normal0"/>
        <w:rPr>
          <w:rFonts w:ascii="Calibri" w:eastAsia="Calibri" w:hAnsi="Calibri" w:cs="Calibri"/>
        </w:rPr>
      </w:pPr>
      <w:r>
        <w:rPr>
          <w:rFonts w:ascii="Calibri" w:eastAsia="Calibri" w:hAnsi="Calibri" w:cs="Calibri"/>
        </w:rPr>
        <w:t xml:space="preserve">Echeverria’s argument that the evolution of the term </w:t>
      </w:r>
      <w:r>
        <w:rPr>
          <w:rFonts w:ascii="Calibri" w:eastAsia="Calibri" w:hAnsi="Calibri" w:cs="Calibri"/>
          <w:i/>
        </w:rPr>
        <w:t>hoplite</w:t>
      </w:r>
      <w:r>
        <w:rPr>
          <w:rFonts w:ascii="Calibri" w:eastAsia="Calibri" w:hAnsi="Calibri" w:cs="Calibri"/>
        </w:rPr>
        <w:t xml:space="preserve"> is strongly connected with the semantics and nomenclature of Ancient writers could be counterbalanced with the logical assumption that the Archaic and Classical writers who have been describing heavy infantry warriors as </w:t>
      </w:r>
      <w:r>
        <w:rPr>
          <w:rFonts w:ascii="Calibri" w:eastAsia="Calibri" w:hAnsi="Calibri" w:cs="Calibri"/>
          <w:i/>
        </w:rPr>
        <w:t>hoplites</w:t>
      </w:r>
      <w:r>
        <w:rPr>
          <w:rFonts w:ascii="Calibri" w:eastAsia="Calibri" w:hAnsi="Calibri" w:cs="Calibri"/>
        </w:rPr>
        <w:t xml:space="preserve"> could have made a mistake according to theirs scarce knowledge and carefree approach, indeed many Ancient writers referred to </w:t>
      </w:r>
      <w:r>
        <w:rPr>
          <w:rFonts w:ascii="Calibri" w:eastAsia="Calibri" w:hAnsi="Calibri" w:cs="Calibri"/>
          <w:i/>
        </w:rPr>
        <w:t>hoplite</w:t>
      </w:r>
      <w:r>
        <w:rPr>
          <w:rFonts w:ascii="Calibri" w:eastAsia="Calibri" w:hAnsi="Calibri" w:cs="Calibri"/>
        </w:rPr>
        <w:t xml:space="preserve"> as Greek heavy armed infantryman, which in the end does not eliminate this thesis as possible.</w:t>
      </w:r>
    </w:p>
    <w:p w:rsidR="00F50CAB" w:rsidRDefault="00F50CAB">
      <w:pPr>
        <w:pStyle w:val="normal0"/>
        <w:rPr>
          <w:rFonts w:ascii="Calibri" w:eastAsia="Calibri" w:hAnsi="Calibri" w:cs="Calibri"/>
        </w:rPr>
      </w:pPr>
    </w:p>
    <w:p w:rsidR="00F50CAB" w:rsidRDefault="00216A1C">
      <w:pPr>
        <w:pStyle w:val="normal0"/>
        <w:rPr>
          <w:rFonts w:ascii="Calibri" w:eastAsia="Calibri" w:hAnsi="Calibri" w:cs="Calibri"/>
        </w:rPr>
      </w:pPr>
      <w:r>
        <w:rPr>
          <w:rFonts w:ascii="Calibri" w:eastAsia="Calibri" w:hAnsi="Calibri" w:cs="Calibri"/>
        </w:rPr>
        <w:t>Echeverría rightly emphasises the relationship between the organisation and practice of warfare and military, economic and socio-political organisation. A more individualistic form of warfare reflects better the socio-political and military organisation of the Archaic period and the consolidation of the hoplite phalanx</w:t>
      </w:r>
      <w:r w:rsidR="003C0C43">
        <w:rPr>
          <w:rFonts w:ascii="Calibri" w:eastAsia="Calibri" w:hAnsi="Calibri" w:cs="Calibri"/>
        </w:rPr>
        <w:t xml:space="preserve"> likely occurred alongside and in</w:t>
      </w:r>
      <w:r>
        <w:rPr>
          <w:rFonts w:ascii="Calibri" w:eastAsia="Calibri" w:hAnsi="Calibri" w:cs="Calibri"/>
        </w:rPr>
        <w:t xml:space="preserve"> relation to the consolidation of the military and socio-political institutions of the polis. Echeverria's argument could also have benefitted however from more detailed discussion of his suggested evolution of ‘status warriors’ into heavy armoured hoplites, as well as a more detailed exploration of the circumstances of and interconnections between the growth of the hoplite phalanx and the Greek polis. Echeverria's arguments are coherent and substantive, his challenge of fossilised views of hoplites and use of the term is valuable and his pinpointing of contradictions in primary sources indicate the superiority of his arguments over other researchers. Nonetheless his work </w:t>
      </w:r>
      <w:r>
        <w:rPr>
          <w:rFonts w:ascii="Calibri" w:eastAsia="Calibri" w:hAnsi="Calibri" w:cs="Calibri"/>
        </w:rPr>
        <w:lastRenderedPageBreak/>
        <w:t>is an accurate criticism rather than a ground breaking approach to the history of hoplites, and creates more questions than answers.</w:t>
      </w:r>
    </w:p>
    <w:p w:rsidR="00F50CAB" w:rsidRDefault="00F50CAB">
      <w:pPr>
        <w:pStyle w:val="normal0"/>
        <w:rPr>
          <w:rFonts w:ascii="Calibri" w:eastAsia="Calibri" w:hAnsi="Calibri" w:cs="Calibri"/>
        </w:rPr>
      </w:pPr>
    </w:p>
    <w:p w:rsidR="00F50CAB" w:rsidRDefault="00216A1C">
      <w:pPr>
        <w:pStyle w:val="normal0"/>
        <w:rPr>
          <w:rFonts w:ascii="Calibri" w:eastAsia="Calibri" w:hAnsi="Calibri" w:cs="Calibri"/>
          <w:b/>
        </w:rPr>
      </w:pPr>
      <w:r>
        <w:rPr>
          <w:rFonts w:ascii="Calibri" w:eastAsia="Calibri" w:hAnsi="Calibri" w:cs="Calibri"/>
          <w:b/>
        </w:rPr>
        <w:t>Bibliography</w:t>
      </w:r>
    </w:p>
    <w:p w:rsidR="00F50CAB" w:rsidRDefault="00F50CAB">
      <w:pPr>
        <w:pStyle w:val="normal0"/>
        <w:rPr>
          <w:rFonts w:ascii="Calibri" w:eastAsia="Calibri" w:hAnsi="Calibri" w:cs="Calibri"/>
          <w:b/>
        </w:rPr>
      </w:pPr>
    </w:p>
    <w:p w:rsidR="00F50CAB" w:rsidRDefault="00216A1C">
      <w:pPr>
        <w:pStyle w:val="normal0"/>
        <w:rPr>
          <w:rFonts w:ascii="Calibri" w:eastAsia="Calibri" w:hAnsi="Calibri" w:cs="Calibri"/>
          <w:sz w:val="20"/>
          <w:szCs w:val="20"/>
        </w:rPr>
      </w:pPr>
      <w:r>
        <w:rPr>
          <w:rFonts w:ascii="Calibri" w:eastAsia="Calibri" w:hAnsi="Calibri" w:cs="Calibri"/>
          <w:sz w:val="20"/>
          <w:szCs w:val="20"/>
        </w:rPr>
        <w:t xml:space="preserve">Alcaleus of Mytilene, </w:t>
      </w:r>
      <w:r>
        <w:rPr>
          <w:rFonts w:ascii="Calibri" w:eastAsia="Calibri" w:hAnsi="Calibri" w:cs="Calibri"/>
          <w:i/>
          <w:sz w:val="20"/>
          <w:szCs w:val="20"/>
        </w:rPr>
        <w:t>Poetarum Lesbiorum Fragmenta</w:t>
      </w:r>
      <w:r>
        <w:rPr>
          <w:rFonts w:ascii="Calibri" w:eastAsia="Calibri" w:hAnsi="Calibri" w:cs="Calibri"/>
          <w:sz w:val="20"/>
          <w:szCs w:val="20"/>
        </w:rPr>
        <w:t>, Edit. E.Lobel, D. L. Page, (Oxford Press, 1995).</w:t>
      </w:r>
    </w:p>
    <w:p w:rsidR="00F50CAB" w:rsidRDefault="00216A1C">
      <w:pPr>
        <w:pStyle w:val="normal0"/>
        <w:spacing w:line="240" w:lineRule="auto"/>
        <w:rPr>
          <w:rFonts w:ascii="Calibri" w:eastAsia="Calibri" w:hAnsi="Calibri" w:cs="Calibri"/>
          <w:sz w:val="20"/>
          <w:szCs w:val="20"/>
        </w:rPr>
      </w:pPr>
      <w:r>
        <w:rPr>
          <w:rFonts w:ascii="Calibri" w:eastAsia="Calibri" w:hAnsi="Calibri" w:cs="Calibri"/>
          <w:sz w:val="20"/>
          <w:szCs w:val="20"/>
          <w:highlight w:val="white"/>
        </w:rPr>
        <w:t>Cartledge, P</w:t>
      </w:r>
      <w:r w:rsidR="00C76972">
        <w:rPr>
          <w:rFonts w:ascii="Calibri" w:eastAsia="Calibri" w:hAnsi="Calibri" w:cs="Calibri"/>
          <w:sz w:val="20"/>
          <w:szCs w:val="20"/>
          <w:highlight w:val="white"/>
        </w:rPr>
        <w:t>aul</w:t>
      </w:r>
      <w:r>
        <w:rPr>
          <w:rFonts w:ascii="Calibri" w:eastAsia="Calibri" w:hAnsi="Calibri" w:cs="Calibri"/>
          <w:i/>
          <w:sz w:val="20"/>
          <w:szCs w:val="20"/>
          <w:highlight w:val="white"/>
        </w:rPr>
        <w:t>., Hoplites and heroes: Sparta's contribution to the technique of ancient warfare, The Journal of Hellenic Studies</w:t>
      </w:r>
      <w:r>
        <w:rPr>
          <w:rFonts w:ascii="Calibri" w:eastAsia="Calibri" w:hAnsi="Calibri" w:cs="Calibri"/>
          <w:sz w:val="20"/>
          <w:szCs w:val="20"/>
          <w:highlight w:val="white"/>
        </w:rPr>
        <w:t>, 97 (1977).</w:t>
      </w:r>
    </w:p>
    <w:p w:rsidR="00F50CAB" w:rsidRDefault="00216A1C">
      <w:pPr>
        <w:pStyle w:val="normal0"/>
        <w:spacing w:line="240" w:lineRule="auto"/>
        <w:rPr>
          <w:rFonts w:ascii="Calibri" w:eastAsia="Calibri" w:hAnsi="Calibri" w:cs="Calibri"/>
          <w:sz w:val="20"/>
          <w:szCs w:val="20"/>
        </w:rPr>
      </w:pPr>
      <w:r>
        <w:rPr>
          <w:rFonts w:ascii="Calibri" w:eastAsia="Calibri" w:hAnsi="Calibri" w:cs="Calibri"/>
          <w:sz w:val="20"/>
          <w:szCs w:val="20"/>
          <w:highlight w:val="white"/>
        </w:rPr>
        <w:t xml:space="preserve">Christ, Matthew R., </w:t>
      </w:r>
      <w:r>
        <w:rPr>
          <w:rFonts w:ascii="Calibri" w:eastAsia="Calibri" w:hAnsi="Calibri" w:cs="Calibri"/>
          <w:i/>
          <w:sz w:val="20"/>
          <w:szCs w:val="20"/>
          <w:highlight w:val="white"/>
        </w:rPr>
        <w:t>Draft evasion onstage and offstage in classical Athens. The Classical Quarterly</w:t>
      </w:r>
      <w:r>
        <w:rPr>
          <w:rFonts w:ascii="Calibri" w:eastAsia="Calibri" w:hAnsi="Calibri" w:cs="Calibri"/>
          <w:sz w:val="20"/>
          <w:szCs w:val="20"/>
          <w:highlight w:val="white"/>
        </w:rPr>
        <w:t>, 54.1 (2004).</w:t>
      </w:r>
    </w:p>
    <w:p w:rsidR="00F50CAB" w:rsidRDefault="00216A1C">
      <w:pPr>
        <w:pStyle w:val="Heading1"/>
        <w:shd w:val="clear" w:color="auto" w:fill="FFFFFF"/>
        <w:spacing w:before="0" w:after="0"/>
        <w:rPr>
          <w:rFonts w:ascii="Calibri" w:eastAsia="Calibri" w:hAnsi="Calibri" w:cs="Calibri"/>
          <w:sz w:val="20"/>
          <w:szCs w:val="20"/>
        </w:rPr>
      </w:pPr>
      <w:r>
        <w:rPr>
          <w:rFonts w:ascii="Calibri" w:eastAsia="Calibri" w:hAnsi="Calibri" w:cs="Calibri"/>
          <w:sz w:val="20"/>
          <w:szCs w:val="20"/>
        </w:rPr>
        <w:t xml:space="preserve">Crowley, J., The </w:t>
      </w:r>
      <w:r>
        <w:rPr>
          <w:rFonts w:ascii="Calibri" w:eastAsia="Calibri" w:hAnsi="Calibri" w:cs="Calibri"/>
          <w:i/>
          <w:sz w:val="20"/>
          <w:szCs w:val="20"/>
        </w:rPr>
        <w:t>Psychology of the Athenian Hoplite : the Culture of Combat in Classical Athens</w:t>
      </w:r>
      <w:r>
        <w:rPr>
          <w:rFonts w:ascii="Calibri" w:eastAsia="Calibri" w:hAnsi="Calibri" w:cs="Calibri"/>
          <w:sz w:val="20"/>
          <w:szCs w:val="20"/>
        </w:rPr>
        <w:t>, (Cambridge: Cambridge University Press 2012).</w:t>
      </w:r>
    </w:p>
    <w:p w:rsidR="00F50CAB" w:rsidRDefault="00216A1C">
      <w:pPr>
        <w:pStyle w:val="Heading1"/>
        <w:shd w:val="clear" w:color="auto" w:fill="FFFFFF"/>
        <w:spacing w:before="0" w:after="0"/>
        <w:rPr>
          <w:rFonts w:ascii="Calibri" w:eastAsia="Calibri" w:hAnsi="Calibri" w:cs="Calibri"/>
          <w:sz w:val="20"/>
          <w:szCs w:val="20"/>
        </w:rPr>
      </w:pPr>
      <w:bookmarkStart w:id="1" w:name="_4pymekhmaffu" w:colFirst="0" w:colLast="0"/>
      <w:bookmarkEnd w:id="1"/>
      <w:r>
        <w:rPr>
          <w:rFonts w:ascii="Calibri" w:eastAsia="Calibri" w:hAnsi="Calibri" w:cs="Calibri"/>
          <w:sz w:val="20"/>
          <w:szCs w:val="20"/>
        </w:rPr>
        <w:t xml:space="preserve">Diodorus Siculus, </w:t>
      </w:r>
      <w:r>
        <w:rPr>
          <w:rFonts w:ascii="Calibri" w:eastAsia="Calibri" w:hAnsi="Calibri" w:cs="Calibri"/>
          <w:i/>
          <w:sz w:val="20"/>
          <w:szCs w:val="20"/>
        </w:rPr>
        <w:t>Diodorus of Sicily in Twelve Volumes</w:t>
      </w:r>
      <w:r>
        <w:rPr>
          <w:rFonts w:ascii="Calibri" w:eastAsia="Calibri" w:hAnsi="Calibri" w:cs="Calibri"/>
          <w:sz w:val="20"/>
          <w:szCs w:val="20"/>
        </w:rPr>
        <w:t>, Vol. 4-8, Trans. by C. H. Oldfather, (Cambridge, Mass.: Harvard University Press; London: William Heinemann, Ltd. (1989).</w:t>
      </w:r>
    </w:p>
    <w:p w:rsidR="00F50CAB" w:rsidRDefault="00216A1C">
      <w:pPr>
        <w:pStyle w:val="normal0"/>
        <w:spacing w:line="240" w:lineRule="auto"/>
        <w:rPr>
          <w:rFonts w:ascii="Calibri" w:eastAsia="Calibri" w:hAnsi="Calibri" w:cs="Calibri"/>
          <w:sz w:val="20"/>
          <w:szCs w:val="20"/>
        </w:rPr>
      </w:pPr>
      <w:r>
        <w:rPr>
          <w:rFonts w:ascii="Calibri" w:eastAsia="Calibri" w:hAnsi="Calibri" w:cs="Calibri"/>
          <w:sz w:val="20"/>
          <w:szCs w:val="20"/>
          <w:highlight w:val="white"/>
        </w:rPr>
        <w:t xml:space="preserve">Echeverría, Fernando., </w:t>
      </w:r>
      <w:r>
        <w:rPr>
          <w:rFonts w:ascii="Calibri" w:eastAsia="Calibri" w:hAnsi="Calibri" w:cs="Calibri"/>
          <w:i/>
          <w:sz w:val="20"/>
          <w:szCs w:val="20"/>
          <w:highlight w:val="white"/>
        </w:rPr>
        <w:t>Hoplite and phalanx in Archaic and Classical Greece: a reassessment." Classical Philology</w:t>
      </w:r>
      <w:r>
        <w:rPr>
          <w:rFonts w:ascii="Calibri" w:eastAsia="Calibri" w:hAnsi="Calibri" w:cs="Calibri"/>
          <w:sz w:val="20"/>
          <w:szCs w:val="20"/>
          <w:highlight w:val="white"/>
        </w:rPr>
        <w:t>, 107.4 (2012).</w:t>
      </w:r>
    </w:p>
    <w:p w:rsidR="00F50CAB" w:rsidRDefault="00216A1C">
      <w:pPr>
        <w:pStyle w:val="normal0"/>
        <w:spacing w:line="240" w:lineRule="auto"/>
        <w:rPr>
          <w:rFonts w:ascii="Calibri" w:eastAsia="Calibri" w:hAnsi="Calibri" w:cs="Calibri"/>
          <w:sz w:val="20"/>
          <w:szCs w:val="20"/>
        </w:rPr>
      </w:pPr>
      <w:r>
        <w:rPr>
          <w:rFonts w:ascii="Calibri" w:eastAsia="Calibri" w:hAnsi="Calibri" w:cs="Calibri"/>
          <w:sz w:val="20"/>
          <w:szCs w:val="20"/>
          <w:highlight w:val="white"/>
        </w:rPr>
        <w:t xml:space="preserve">Foxhall, Lin., </w:t>
      </w:r>
      <w:r>
        <w:rPr>
          <w:rFonts w:ascii="Calibri" w:eastAsia="Calibri" w:hAnsi="Calibri" w:cs="Calibri"/>
          <w:i/>
          <w:sz w:val="20"/>
          <w:szCs w:val="20"/>
          <w:highlight w:val="white"/>
        </w:rPr>
        <w:t>A view from the top: evaluating the Solonian property classes</w:t>
      </w:r>
      <w:r>
        <w:rPr>
          <w:rFonts w:ascii="Calibri" w:eastAsia="Calibri" w:hAnsi="Calibri" w:cs="Calibri"/>
          <w:sz w:val="20"/>
          <w:szCs w:val="20"/>
          <w:highlight w:val="white"/>
        </w:rPr>
        <w:t>, (1997).</w:t>
      </w:r>
    </w:p>
    <w:p w:rsidR="00F50CAB" w:rsidRDefault="00216A1C">
      <w:pPr>
        <w:pStyle w:val="norm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Hanson, Victor Davis, ed. </w:t>
      </w:r>
      <w:r>
        <w:rPr>
          <w:rFonts w:ascii="Calibri" w:eastAsia="Calibri" w:hAnsi="Calibri" w:cs="Calibri"/>
          <w:i/>
          <w:sz w:val="20"/>
          <w:szCs w:val="20"/>
          <w:highlight w:val="white"/>
        </w:rPr>
        <w:t>Hoplites: The classical Greek battle experience</w:t>
      </w:r>
      <w:r>
        <w:rPr>
          <w:rFonts w:ascii="Calibri" w:eastAsia="Calibri" w:hAnsi="Calibri" w:cs="Calibri"/>
          <w:sz w:val="20"/>
          <w:szCs w:val="20"/>
          <w:highlight w:val="white"/>
        </w:rPr>
        <w:t>, (Routledge, 2002).</w:t>
      </w:r>
    </w:p>
    <w:p w:rsidR="00F50CAB" w:rsidRDefault="00216A1C">
      <w:pPr>
        <w:pStyle w:val="normal0"/>
        <w:spacing w:line="240" w:lineRule="auto"/>
        <w:rPr>
          <w:rFonts w:ascii="Calibri" w:eastAsia="Calibri" w:hAnsi="Calibri" w:cs="Calibri"/>
          <w:sz w:val="20"/>
          <w:szCs w:val="20"/>
        </w:rPr>
      </w:pPr>
      <w:r>
        <w:rPr>
          <w:rFonts w:ascii="Calibri" w:eastAsia="Calibri" w:hAnsi="Calibri" w:cs="Calibri"/>
          <w:sz w:val="20"/>
          <w:szCs w:val="20"/>
          <w:highlight w:val="white"/>
        </w:rPr>
        <w:t xml:space="preserve">Kagan, Donald, and Gregory F. Viggiano., </w:t>
      </w:r>
      <w:r>
        <w:rPr>
          <w:rFonts w:ascii="Calibri" w:eastAsia="Calibri" w:hAnsi="Calibri" w:cs="Calibri"/>
          <w:i/>
          <w:sz w:val="20"/>
          <w:szCs w:val="20"/>
          <w:highlight w:val="white"/>
        </w:rPr>
        <w:t xml:space="preserve">Men of Bronze. Hoplite Warfare in Ancient Greece, </w:t>
      </w:r>
      <w:r>
        <w:rPr>
          <w:rFonts w:ascii="Calibri" w:eastAsia="Calibri" w:hAnsi="Calibri" w:cs="Calibri"/>
          <w:sz w:val="20"/>
          <w:szCs w:val="20"/>
          <w:highlight w:val="white"/>
        </w:rPr>
        <w:t>(Princeton: 2013).</w:t>
      </w:r>
    </w:p>
    <w:p w:rsidR="00F50CAB" w:rsidRDefault="00216A1C">
      <w:pPr>
        <w:pStyle w:val="norm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Latacz, Joachim. </w:t>
      </w:r>
      <w:r>
        <w:rPr>
          <w:rFonts w:ascii="Calibri" w:eastAsia="Calibri" w:hAnsi="Calibri" w:cs="Calibri"/>
          <w:i/>
          <w:sz w:val="20"/>
          <w:szCs w:val="20"/>
          <w:highlight w:val="white"/>
        </w:rPr>
        <w:t>Kampfparänese, Kampfdarstellung und Kampfwirklichkeit in der Ilias, bei Kallinos und Tyrtaios</w:t>
      </w:r>
      <w:r>
        <w:rPr>
          <w:rFonts w:ascii="Calibri" w:eastAsia="Calibri" w:hAnsi="Calibri" w:cs="Calibri"/>
          <w:sz w:val="20"/>
          <w:szCs w:val="20"/>
          <w:highlight w:val="white"/>
        </w:rPr>
        <w:t>. Vol. 66. (CH Beck, 1977).</w:t>
      </w:r>
    </w:p>
    <w:p w:rsidR="00F50CAB" w:rsidRDefault="00216A1C">
      <w:pPr>
        <w:pStyle w:val="Heading1"/>
        <w:shd w:val="clear" w:color="auto" w:fill="FFFFFF"/>
        <w:spacing w:before="0" w:after="0"/>
        <w:rPr>
          <w:rFonts w:ascii="Calibri" w:eastAsia="Calibri" w:hAnsi="Calibri" w:cs="Calibri"/>
          <w:sz w:val="20"/>
          <w:szCs w:val="20"/>
        </w:rPr>
      </w:pPr>
      <w:bookmarkStart w:id="2" w:name="_7nvji8as9ll5" w:colFirst="0" w:colLast="0"/>
      <w:bookmarkEnd w:id="2"/>
      <w:r>
        <w:rPr>
          <w:rFonts w:ascii="Calibri" w:eastAsia="Calibri" w:hAnsi="Calibri" w:cs="Calibri"/>
          <w:sz w:val="20"/>
          <w:szCs w:val="20"/>
        </w:rPr>
        <w:t xml:space="preserve">Lazenby, John F., Whitehead David, </w:t>
      </w:r>
      <w:r>
        <w:rPr>
          <w:rFonts w:ascii="Calibri" w:eastAsia="Calibri" w:hAnsi="Calibri" w:cs="Calibri"/>
          <w:i/>
          <w:sz w:val="20"/>
          <w:szCs w:val="20"/>
        </w:rPr>
        <w:t>The myth of the hoplite's hoplon</w:t>
      </w:r>
      <w:r>
        <w:rPr>
          <w:rFonts w:ascii="Calibri" w:eastAsia="Calibri" w:hAnsi="Calibri" w:cs="Calibri"/>
          <w:sz w:val="20"/>
          <w:szCs w:val="20"/>
        </w:rPr>
        <w:t>, vol. 46, issue 1, (May 1996).</w:t>
      </w:r>
    </w:p>
    <w:p w:rsidR="00F50CAB" w:rsidRDefault="00216A1C">
      <w:pPr>
        <w:pStyle w:val="norm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xml:space="preserve">Lorimer, Hilda L. </w:t>
      </w:r>
      <w:r>
        <w:rPr>
          <w:rFonts w:ascii="Calibri" w:eastAsia="Calibri" w:hAnsi="Calibri" w:cs="Calibri"/>
          <w:i/>
          <w:sz w:val="20"/>
          <w:szCs w:val="20"/>
          <w:highlight w:val="white"/>
        </w:rPr>
        <w:t>The hoplite phalanx with special reference to the poems of Archilochus and Tyrtaeus. Annual of the British School at Athens</w:t>
      </w:r>
      <w:r>
        <w:rPr>
          <w:rFonts w:ascii="Calibri" w:eastAsia="Calibri" w:hAnsi="Calibri" w:cs="Calibri"/>
          <w:sz w:val="20"/>
          <w:szCs w:val="20"/>
          <w:highlight w:val="white"/>
        </w:rPr>
        <w:t>, 42 (1947).</w:t>
      </w:r>
    </w:p>
    <w:p w:rsidR="00F50CAB" w:rsidRDefault="00216A1C">
      <w:pPr>
        <w:pStyle w:val="normal0"/>
        <w:spacing w:line="240" w:lineRule="auto"/>
        <w:rPr>
          <w:rFonts w:ascii="Calibri" w:eastAsia="Calibri" w:hAnsi="Calibri" w:cs="Calibri"/>
          <w:sz w:val="20"/>
          <w:szCs w:val="20"/>
        </w:rPr>
      </w:pPr>
      <w:r>
        <w:rPr>
          <w:rFonts w:ascii="Calibri" w:eastAsia="Calibri" w:hAnsi="Calibri" w:cs="Calibri"/>
          <w:sz w:val="20"/>
          <w:szCs w:val="20"/>
          <w:highlight w:val="white"/>
        </w:rPr>
        <w:t xml:space="preserve">Matthew, Christopher A., </w:t>
      </w:r>
      <w:r>
        <w:rPr>
          <w:rFonts w:ascii="Calibri" w:eastAsia="Calibri" w:hAnsi="Calibri" w:cs="Calibri"/>
          <w:i/>
          <w:sz w:val="20"/>
          <w:szCs w:val="20"/>
          <w:highlight w:val="white"/>
        </w:rPr>
        <w:t>When Push Comes to Shove: What Was the" Othismos" of Hoplite Combat?, Historia: ZeitschriftfürAlte Geschichte</w:t>
      </w:r>
      <w:r>
        <w:rPr>
          <w:rFonts w:ascii="Calibri" w:eastAsia="Calibri" w:hAnsi="Calibri" w:cs="Calibri"/>
          <w:sz w:val="20"/>
          <w:szCs w:val="20"/>
          <w:highlight w:val="white"/>
        </w:rPr>
        <w:t> H. 4 (2009).</w:t>
      </w:r>
    </w:p>
    <w:p w:rsidR="00F50CAB" w:rsidRDefault="00216A1C">
      <w:pPr>
        <w:pStyle w:val="norm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 xml:space="preserve">Mumford, Lewis, Ruth Nanda Anshen, and Hans Zehrer. </w:t>
      </w:r>
      <w:r>
        <w:rPr>
          <w:rFonts w:ascii="Calibri" w:eastAsia="Calibri" w:hAnsi="Calibri" w:cs="Calibri"/>
          <w:i/>
          <w:sz w:val="20"/>
          <w:szCs w:val="20"/>
          <w:highlight w:val="white"/>
        </w:rPr>
        <w:t>The transformations of man</w:t>
      </w:r>
      <w:r>
        <w:rPr>
          <w:rFonts w:ascii="Calibri" w:eastAsia="Calibri" w:hAnsi="Calibri" w:cs="Calibri"/>
          <w:sz w:val="20"/>
          <w:szCs w:val="20"/>
          <w:highlight w:val="white"/>
        </w:rPr>
        <w:t>, (1956).</w:t>
      </w:r>
    </w:p>
    <w:p w:rsidR="00F50CAB" w:rsidRDefault="00216A1C">
      <w:pPr>
        <w:pStyle w:val="normal0"/>
        <w:spacing w:line="240" w:lineRule="auto"/>
        <w:rPr>
          <w:rFonts w:ascii="Calibri" w:eastAsia="Calibri" w:hAnsi="Calibri" w:cs="Calibri"/>
          <w:sz w:val="20"/>
          <w:szCs w:val="20"/>
          <w:highlight w:val="white"/>
        </w:rPr>
      </w:pPr>
      <w:r>
        <w:rPr>
          <w:rFonts w:ascii="Calibri" w:eastAsia="Calibri" w:hAnsi="Calibri" w:cs="Calibri"/>
          <w:sz w:val="20"/>
          <w:szCs w:val="20"/>
          <w:highlight w:val="white"/>
        </w:rPr>
        <w:t>Plato, Laws 1.626a.</w:t>
      </w:r>
    </w:p>
    <w:p w:rsidR="00F50CAB" w:rsidRDefault="00216A1C">
      <w:pPr>
        <w:pStyle w:val="normal0"/>
        <w:rPr>
          <w:rFonts w:ascii="Calibri" w:eastAsia="Calibri" w:hAnsi="Calibri" w:cs="Calibri"/>
          <w:sz w:val="20"/>
          <w:szCs w:val="20"/>
        </w:rPr>
      </w:pPr>
      <w:r>
        <w:rPr>
          <w:rFonts w:ascii="Calibri" w:eastAsia="Calibri" w:hAnsi="Calibri" w:cs="Calibri"/>
          <w:sz w:val="20"/>
          <w:szCs w:val="20"/>
        </w:rPr>
        <w:t xml:space="preserve">Snodgrass, A. M., </w:t>
      </w:r>
      <w:r>
        <w:rPr>
          <w:rFonts w:ascii="Calibri" w:eastAsia="Calibri" w:hAnsi="Calibri" w:cs="Calibri"/>
          <w:i/>
          <w:sz w:val="20"/>
          <w:szCs w:val="20"/>
        </w:rPr>
        <w:t>Archaic Greece: The Age of Experiment</w:t>
      </w:r>
      <w:r>
        <w:rPr>
          <w:rFonts w:ascii="Calibri" w:eastAsia="Calibri" w:hAnsi="Calibri" w:cs="Calibri"/>
          <w:sz w:val="20"/>
          <w:szCs w:val="20"/>
        </w:rPr>
        <w:t>, (Berkley: University of California Press 1981).</w:t>
      </w:r>
    </w:p>
    <w:p w:rsidR="00F50CAB" w:rsidRDefault="00216A1C">
      <w:pPr>
        <w:pStyle w:val="normal0"/>
        <w:rPr>
          <w:rFonts w:ascii="Calibri" w:eastAsia="Calibri" w:hAnsi="Calibri" w:cs="Calibri"/>
          <w:sz w:val="20"/>
          <w:szCs w:val="20"/>
        </w:rPr>
      </w:pPr>
      <w:r>
        <w:rPr>
          <w:rFonts w:ascii="Calibri" w:eastAsia="Calibri" w:hAnsi="Calibri" w:cs="Calibri"/>
          <w:sz w:val="20"/>
          <w:szCs w:val="20"/>
        </w:rPr>
        <w:t xml:space="preserve">Snodgrass, Anthony M., </w:t>
      </w:r>
      <w:r>
        <w:rPr>
          <w:rFonts w:ascii="Calibri" w:eastAsia="Calibri" w:hAnsi="Calibri" w:cs="Calibri"/>
          <w:i/>
          <w:sz w:val="20"/>
          <w:szCs w:val="20"/>
        </w:rPr>
        <w:t>Early Greek Armour and Weapons</w:t>
      </w:r>
      <w:r>
        <w:rPr>
          <w:rFonts w:ascii="Calibri" w:eastAsia="Calibri" w:hAnsi="Calibri" w:cs="Calibri"/>
          <w:sz w:val="20"/>
          <w:szCs w:val="20"/>
        </w:rPr>
        <w:t>, (Oxford: University of Oxford, 1962).</w:t>
      </w:r>
    </w:p>
    <w:p w:rsidR="00F50CAB" w:rsidRDefault="00216A1C">
      <w:pPr>
        <w:pStyle w:val="normal0"/>
        <w:rPr>
          <w:rFonts w:ascii="Calibri" w:eastAsia="Calibri" w:hAnsi="Calibri" w:cs="Calibri"/>
          <w:sz w:val="20"/>
          <w:szCs w:val="20"/>
        </w:rPr>
      </w:pPr>
      <w:r>
        <w:rPr>
          <w:rFonts w:ascii="Calibri" w:eastAsia="Calibri" w:hAnsi="Calibri" w:cs="Calibri"/>
          <w:sz w:val="20"/>
          <w:szCs w:val="20"/>
          <w:highlight w:val="white"/>
        </w:rPr>
        <w:t xml:space="preserve">Snodgrass, Anthony M., </w:t>
      </w:r>
      <w:r>
        <w:rPr>
          <w:rFonts w:ascii="Calibri" w:eastAsia="Calibri" w:hAnsi="Calibri" w:cs="Calibri"/>
          <w:i/>
          <w:sz w:val="20"/>
          <w:szCs w:val="20"/>
          <w:highlight w:val="white"/>
        </w:rPr>
        <w:t>The hoplite reform and history. The journal of Hellenic studies,</w:t>
      </w:r>
      <w:r>
        <w:rPr>
          <w:rFonts w:ascii="Calibri" w:eastAsia="Calibri" w:hAnsi="Calibri" w:cs="Calibri"/>
          <w:sz w:val="20"/>
          <w:szCs w:val="20"/>
          <w:highlight w:val="white"/>
        </w:rPr>
        <w:t> 85 (1965).</w:t>
      </w:r>
    </w:p>
    <w:p w:rsidR="00F50CAB" w:rsidRDefault="00216A1C">
      <w:pPr>
        <w:pStyle w:val="normal0"/>
        <w:spacing w:line="240" w:lineRule="auto"/>
        <w:rPr>
          <w:rFonts w:ascii="Calibri" w:eastAsia="Calibri" w:hAnsi="Calibri" w:cs="Calibri"/>
          <w:sz w:val="20"/>
          <w:szCs w:val="20"/>
        </w:rPr>
      </w:pPr>
      <w:r>
        <w:rPr>
          <w:rFonts w:ascii="Calibri" w:eastAsia="Calibri" w:hAnsi="Calibri" w:cs="Calibri"/>
          <w:sz w:val="20"/>
          <w:szCs w:val="20"/>
        </w:rPr>
        <w:t>Szubelak, Bronislaw, Greek Hoplite VII-V BC, (Warsaw: Inforteditions, 2006).</w:t>
      </w:r>
    </w:p>
    <w:p w:rsidR="00F50CAB" w:rsidRDefault="00216A1C">
      <w:pPr>
        <w:pStyle w:val="normal0"/>
        <w:spacing w:line="240" w:lineRule="auto"/>
        <w:rPr>
          <w:rFonts w:ascii="Calibri" w:eastAsia="Calibri" w:hAnsi="Calibri" w:cs="Calibri"/>
          <w:sz w:val="20"/>
          <w:szCs w:val="20"/>
        </w:rPr>
      </w:pPr>
      <w:r>
        <w:rPr>
          <w:rFonts w:ascii="Calibri" w:eastAsia="Calibri" w:hAnsi="Calibri" w:cs="Calibri"/>
          <w:sz w:val="20"/>
          <w:szCs w:val="20"/>
          <w:highlight w:val="white"/>
        </w:rPr>
        <w:t>Theocritus, et al. </w:t>
      </w:r>
      <w:r>
        <w:rPr>
          <w:rFonts w:ascii="Calibri" w:eastAsia="Calibri" w:hAnsi="Calibri" w:cs="Calibri"/>
          <w:i/>
          <w:sz w:val="20"/>
          <w:szCs w:val="20"/>
          <w:highlight w:val="white"/>
        </w:rPr>
        <w:t>The Idylls of Theocritus, Bion, and Moschus; and the War-songs of Tyrtaeus</w:t>
      </w:r>
      <w:r>
        <w:rPr>
          <w:rFonts w:ascii="Calibri" w:eastAsia="Calibri" w:hAnsi="Calibri" w:cs="Calibri"/>
          <w:sz w:val="20"/>
          <w:szCs w:val="20"/>
          <w:highlight w:val="white"/>
        </w:rPr>
        <w:t>. Henry G. Bohn (1853).</w:t>
      </w:r>
    </w:p>
    <w:p w:rsidR="00F50CAB" w:rsidRDefault="00216A1C">
      <w:pPr>
        <w:pStyle w:val="normal0"/>
        <w:spacing w:line="240" w:lineRule="auto"/>
        <w:rPr>
          <w:rFonts w:ascii="Calibri" w:eastAsia="Calibri" w:hAnsi="Calibri" w:cs="Calibri"/>
          <w:sz w:val="20"/>
          <w:szCs w:val="20"/>
        </w:rPr>
      </w:pPr>
      <w:r>
        <w:rPr>
          <w:rFonts w:ascii="Calibri" w:eastAsia="Calibri" w:hAnsi="Calibri" w:cs="Calibri"/>
          <w:sz w:val="20"/>
          <w:szCs w:val="20"/>
          <w:highlight w:val="white"/>
        </w:rPr>
        <w:t>Van Wees, Hans. </w:t>
      </w:r>
      <w:r>
        <w:rPr>
          <w:rFonts w:ascii="Calibri" w:eastAsia="Calibri" w:hAnsi="Calibri" w:cs="Calibri"/>
          <w:i/>
          <w:sz w:val="20"/>
          <w:szCs w:val="20"/>
          <w:highlight w:val="white"/>
        </w:rPr>
        <w:t>Status warriors: war, violence and society in Homer and history</w:t>
      </w:r>
      <w:r>
        <w:rPr>
          <w:rFonts w:ascii="Calibri" w:eastAsia="Calibri" w:hAnsi="Calibri" w:cs="Calibri"/>
          <w:sz w:val="20"/>
          <w:szCs w:val="20"/>
          <w:highlight w:val="white"/>
        </w:rPr>
        <w:t>. Vol. 9. JC Gieben, 1992.</w:t>
      </w:r>
    </w:p>
    <w:p w:rsidR="00F50CAB" w:rsidRDefault="00216A1C">
      <w:pPr>
        <w:pStyle w:val="normal0"/>
        <w:spacing w:line="240" w:lineRule="auto"/>
        <w:rPr>
          <w:rFonts w:ascii="Calibri" w:eastAsia="Calibri" w:hAnsi="Calibri" w:cs="Calibri"/>
          <w:sz w:val="20"/>
          <w:szCs w:val="20"/>
        </w:rPr>
      </w:pPr>
      <w:r>
        <w:rPr>
          <w:rFonts w:ascii="Calibri" w:eastAsia="Calibri" w:hAnsi="Calibri" w:cs="Calibri"/>
          <w:sz w:val="20"/>
          <w:szCs w:val="20"/>
          <w:highlight w:val="white"/>
        </w:rPr>
        <w:t xml:space="preserve">Van Wees, Hans., </w:t>
      </w:r>
      <w:r>
        <w:rPr>
          <w:rFonts w:ascii="Calibri" w:eastAsia="Calibri" w:hAnsi="Calibri" w:cs="Calibri"/>
          <w:i/>
          <w:sz w:val="20"/>
          <w:szCs w:val="20"/>
          <w:highlight w:val="white"/>
        </w:rPr>
        <w:t>The Homeric way of war: the Iliad and the hoplite phalanx (II). Greece &amp; Rome</w:t>
      </w:r>
      <w:r>
        <w:rPr>
          <w:rFonts w:ascii="Calibri" w:eastAsia="Calibri" w:hAnsi="Calibri" w:cs="Calibri"/>
          <w:sz w:val="20"/>
          <w:szCs w:val="20"/>
          <w:highlight w:val="white"/>
        </w:rPr>
        <w:t>, 41.2 (1994).</w:t>
      </w:r>
    </w:p>
    <w:p w:rsidR="00F50CAB" w:rsidRDefault="00216A1C">
      <w:pPr>
        <w:pStyle w:val="normal0"/>
        <w:spacing w:line="240" w:lineRule="auto"/>
        <w:rPr>
          <w:rFonts w:ascii="Calibri" w:eastAsia="Calibri" w:hAnsi="Calibri" w:cs="Calibri"/>
          <w:sz w:val="20"/>
          <w:szCs w:val="20"/>
        </w:rPr>
      </w:pPr>
      <w:r>
        <w:rPr>
          <w:rFonts w:ascii="Calibri" w:eastAsia="Calibri" w:hAnsi="Calibri" w:cs="Calibri"/>
          <w:sz w:val="20"/>
          <w:szCs w:val="20"/>
        </w:rPr>
        <w:t>Xenophon, Xen. Hell. 2.4.25, Xenophon in Seven Volumes, 1 and 2. Carleton L. Brownson. Harvard University Press, Cambridge, MA; William Heinemann, Ltd., London. vol. 1:1918; vol. 2 (1921).</w:t>
      </w:r>
    </w:p>
    <w:p w:rsidR="00F50CAB" w:rsidRDefault="00F50CAB">
      <w:pPr>
        <w:pStyle w:val="normal0"/>
        <w:rPr>
          <w:rFonts w:ascii="Calibri" w:eastAsia="Calibri" w:hAnsi="Calibri" w:cs="Calibri"/>
        </w:rPr>
      </w:pPr>
    </w:p>
    <w:p w:rsidR="00F50CAB" w:rsidRDefault="00F50CAB">
      <w:pPr>
        <w:pStyle w:val="normal0"/>
        <w:rPr>
          <w:rFonts w:ascii="Calibri" w:eastAsia="Calibri" w:hAnsi="Calibri" w:cs="Calibri"/>
        </w:rPr>
      </w:pPr>
    </w:p>
    <w:p w:rsidR="00F50CAB" w:rsidRDefault="00F50CAB">
      <w:pPr>
        <w:pStyle w:val="normal0"/>
        <w:rPr>
          <w:rFonts w:ascii="Calibri" w:eastAsia="Calibri" w:hAnsi="Calibri" w:cs="Calibri"/>
        </w:rPr>
      </w:pPr>
    </w:p>
    <w:p w:rsidR="00F50CAB" w:rsidRDefault="00F50CAB">
      <w:pPr>
        <w:pStyle w:val="normal0"/>
        <w:rPr>
          <w:rFonts w:ascii="Calibri" w:eastAsia="Calibri" w:hAnsi="Calibri" w:cs="Calibri"/>
        </w:rPr>
      </w:pPr>
    </w:p>
    <w:p w:rsidR="00F50CAB" w:rsidRDefault="00F50CAB">
      <w:pPr>
        <w:pStyle w:val="normal0"/>
        <w:rPr>
          <w:rFonts w:ascii="Calibri" w:eastAsia="Calibri" w:hAnsi="Calibri" w:cs="Calibri"/>
        </w:rPr>
      </w:pPr>
    </w:p>
    <w:p w:rsidR="00F50CAB" w:rsidRDefault="00F50CAB">
      <w:pPr>
        <w:pStyle w:val="normal0"/>
        <w:rPr>
          <w:rFonts w:ascii="Calibri" w:eastAsia="Calibri" w:hAnsi="Calibri" w:cs="Calibri"/>
        </w:rPr>
      </w:pPr>
    </w:p>
    <w:p w:rsidR="00F50CAB" w:rsidRDefault="00F50CAB">
      <w:pPr>
        <w:pStyle w:val="normal0"/>
        <w:rPr>
          <w:rFonts w:ascii="Calibri" w:eastAsia="Calibri" w:hAnsi="Calibri" w:cs="Calibri"/>
        </w:rPr>
      </w:pPr>
    </w:p>
    <w:p w:rsidR="00F50CAB" w:rsidRDefault="00F50CAB">
      <w:pPr>
        <w:pStyle w:val="normal0"/>
        <w:rPr>
          <w:rFonts w:ascii="Calibri" w:eastAsia="Calibri" w:hAnsi="Calibri" w:cs="Calibri"/>
        </w:rPr>
      </w:pPr>
    </w:p>
    <w:p w:rsidR="00F50CAB" w:rsidRDefault="00F50CAB">
      <w:pPr>
        <w:pStyle w:val="normal0"/>
        <w:rPr>
          <w:rFonts w:ascii="Calibri" w:eastAsia="Calibri" w:hAnsi="Calibri" w:cs="Calibri"/>
        </w:rPr>
      </w:pPr>
    </w:p>
    <w:p w:rsidR="00F50CAB" w:rsidRDefault="00F50CAB">
      <w:pPr>
        <w:pStyle w:val="normal0"/>
        <w:rPr>
          <w:rFonts w:ascii="Calibri" w:eastAsia="Calibri" w:hAnsi="Calibri" w:cs="Calibri"/>
        </w:rPr>
      </w:pPr>
    </w:p>
    <w:p w:rsidR="00F50CAB" w:rsidRDefault="00F50CAB">
      <w:pPr>
        <w:pStyle w:val="normal0"/>
        <w:rPr>
          <w:rFonts w:ascii="Calibri" w:eastAsia="Calibri" w:hAnsi="Calibri" w:cs="Calibri"/>
        </w:rPr>
      </w:pPr>
    </w:p>
    <w:p w:rsidR="00F50CAB" w:rsidRDefault="00F50CAB">
      <w:pPr>
        <w:pStyle w:val="normal0"/>
        <w:rPr>
          <w:rFonts w:ascii="Calibri" w:eastAsia="Calibri" w:hAnsi="Calibri" w:cs="Calibri"/>
        </w:rPr>
      </w:pPr>
    </w:p>
    <w:p w:rsidR="00F50CAB" w:rsidRDefault="00F50CAB">
      <w:pPr>
        <w:pStyle w:val="normal0"/>
        <w:rPr>
          <w:rFonts w:ascii="Calibri" w:eastAsia="Calibri" w:hAnsi="Calibri" w:cs="Calibri"/>
        </w:rPr>
      </w:pPr>
    </w:p>
    <w:p w:rsidR="00F50CAB" w:rsidRDefault="00F50CAB">
      <w:pPr>
        <w:pStyle w:val="normal0"/>
        <w:rPr>
          <w:rFonts w:ascii="Calibri" w:eastAsia="Calibri" w:hAnsi="Calibri" w:cs="Calibri"/>
        </w:rPr>
      </w:pPr>
    </w:p>
    <w:p w:rsidR="00F50CAB" w:rsidRDefault="00F50CAB">
      <w:pPr>
        <w:pStyle w:val="normal0"/>
        <w:rPr>
          <w:rFonts w:ascii="Calibri" w:eastAsia="Calibri" w:hAnsi="Calibri" w:cs="Calibri"/>
        </w:rPr>
      </w:pPr>
    </w:p>
    <w:p w:rsidR="00F50CAB" w:rsidRDefault="00F50CAB">
      <w:pPr>
        <w:pStyle w:val="normal0"/>
        <w:rPr>
          <w:rFonts w:ascii="Calibri" w:eastAsia="Calibri" w:hAnsi="Calibri" w:cs="Calibri"/>
        </w:rPr>
      </w:pPr>
    </w:p>
    <w:p w:rsidR="00F50CAB" w:rsidRDefault="00F50CAB">
      <w:pPr>
        <w:pStyle w:val="normal0"/>
        <w:spacing w:line="240" w:lineRule="auto"/>
        <w:rPr>
          <w:rFonts w:ascii="Calibri" w:eastAsia="Calibri" w:hAnsi="Calibri" w:cs="Calibri"/>
          <w:sz w:val="20"/>
          <w:szCs w:val="20"/>
        </w:rPr>
      </w:pPr>
    </w:p>
    <w:p w:rsidR="00F50CAB" w:rsidRDefault="00F50CAB">
      <w:pPr>
        <w:pStyle w:val="normal0"/>
        <w:rPr>
          <w:rFonts w:ascii="Calibri" w:eastAsia="Calibri" w:hAnsi="Calibri" w:cs="Calibri"/>
        </w:rPr>
      </w:pPr>
    </w:p>
    <w:sectPr w:rsidR="00F50CAB" w:rsidSect="00F50CAB">
      <w:pgSz w:w="12240" w:h="15840"/>
      <w:pgMar w:top="1440" w:right="1440" w:bottom="1440" w:left="1440"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4CEA" w:rsidRDefault="00E74CEA" w:rsidP="00F50CAB">
      <w:pPr>
        <w:spacing w:line="240" w:lineRule="auto"/>
      </w:pPr>
      <w:r>
        <w:separator/>
      </w:r>
    </w:p>
  </w:endnote>
  <w:endnote w:type="continuationSeparator" w:id="1">
    <w:p w:rsidR="00E74CEA" w:rsidRDefault="00E74CEA" w:rsidP="00F50CA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4CEA" w:rsidRDefault="00E74CEA" w:rsidP="00F50CAB">
      <w:pPr>
        <w:spacing w:line="240" w:lineRule="auto"/>
      </w:pPr>
      <w:r>
        <w:separator/>
      </w:r>
    </w:p>
  </w:footnote>
  <w:footnote w:type="continuationSeparator" w:id="1">
    <w:p w:rsidR="00E74CEA" w:rsidRDefault="00E74CEA" w:rsidP="00F50CAB">
      <w:pPr>
        <w:spacing w:line="240" w:lineRule="auto"/>
      </w:pPr>
      <w:r>
        <w:continuationSeparator/>
      </w:r>
    </w:p>
  </w:footnote>
  <w:footnote w:id="2">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rPr>
        <w:t xml:space="preserve"> Snodgrass, Anthony M., </w:t>
      </w:r>
      <w:r w:rsidRPr="00C570FC">
        <w:rPr>
          <w:rFonts w:asciiTheme="majorHAnsi" w:eastAsia="Calibri" w:hAnsiTheme="majorHAnsi" w:cstheme="majorHAnsi"/>
          <w:i/>
          <w:sz w:val="20"/>
          <w:szCs w:val="20"/>
        </w:rPr>
        <w:t>Early Greek Armour and Weapons</w:t>
      </w:r>
      <w:r w:rsidRPr="00C570FC">
        <w:rPr>
          <w:rFonts w:asciiTheme="majorHAnsi" w:eastAsia="Calibri" w:hAnsiTheme="majorHAnsi" w:cstheme="majorHAnsi"/>
          <w:sz w:val="20"/>
          <w:szCs w:val="20"/>
        </w:rPr>
        <w:t xml:space="preserve"> (Oxford: University of Oxford, 1962), pp. 110–12.</w:t>
      </w:r>
    </w:p>
  </w:footnote>
  <w:footnote w:id="3">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rPr>
        <w:t xml:space="preserve"> Szubelak, Bronislaw, Greek Hoplite VII-V BC (Warsaw: Inforteditions, 2006), pp. 20-26.</w:t>
      </w:r>
    </w:p>
  </w:footnote>
  <w:footnote w:id="4">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highlight w:val="white"/>
        </w:rPr>
        <w:t xml:space="preserve">Kagan, Donald, and Gregory F. Viggiano., </w:t>
      </w:r>
      <w:r w:rsidRPr="00C570FC">
        <w:rPr>
          <w:rFonts w:asciiTheme="majorHAnsi" w:eastAsia="Calibri" w:hAnsiTheme="majorHAnsi" w:cstheme="majorHAnsi"/>
          <w:i/>
          <w:sz w:val="20"/>
          <w:szCs w:val="20"/>
          <w:highlight w:val="white"/>
        </w:rPr>
        <w:t xml:space="preserve">Men of Bronze. Hoplite Warfare in Ancient Greece </w:t>
      </w:r>
      <w:r w:rsidRPr="00C570FC">
        <w:rPr>
          <w:rFonts w:asciiTheme="majorHAnsi" w:eastAsia="Calibri" w:hAnsiTheme="majorHAnsi" w:cstheme="majorHAnsi"/>
          <w:sz w:val="20"/>
          <w:szCs w:val="20"/>
          <w:highlight w:val="white"/>
        </w:rPr>
        <w:t>(Princeton: 2013), p. 256.</w:t>
      </w:r>
    </w:p>
  </w:footnote>
  <w:footnote w:id="5">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highlight w:val="white"/>
        </w:rPr>
        <w:t xml:space="preserve">Mumford, Lewis, Ruth Nanda Anshen, and Hans Zehrer. </w:t>
      </w:r>
      <w:r w:rsidRPr="00C570FC">
        <w:rPr>
          <w:rFonts w:asciiTheme="majorHAnsi" w:eastAsia="Calibri" w:hAnsiTheme="majorHAnsi" w:cstheme="majorHAnsi"/>
          <w:i/>
          <w:sz w:val="20"/>
          <w:szCs w:val="20"/>
          <w:highlight w:val="white"/>
        </w:rPr>
        <w:t>The transformations of man</w:t>
      </w:r>
      <w:r w:rsidRPr="00C570FC">
        <w:rPr>
          <w:rFonts w:asciiTheme="majorHAnsi" w:eastAsia="Calibri" w:hAnsiTheme="majorHAnsi" w:cstheme="majorHAnsi"/>
          <w:sz w:val="20"/>
          <w:szCs w:val="20"/>
          <w:highlight w:val="white"/>
        </w:rPr>
        <w:t xml:space="preserve"> (1956), p. 46-47.</w:t>
      </w:r>
    </w:p>
  </w:footnote>
  <w:footnote w:id="6">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highlight w:val="white"/>
        </w:rPr>
        <w:t>Plato, Laws 1.626a.</w:t>
      </w:r>
    </w:p>
  </w:footnote>
  <w:footnote w:id="7">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rPr>
        <w:t xml:space="preserve"> </w:t>
      </w:r>
      <w:r w:rsidRPr="00C570FC">
        <w:rPr>
          <w:rFonts w:asciiTheme="majorHAnsi" w:eastAsia="Calibri" w:hAnsiTheme="majorHAnsi" w:cstheme="majorHAnsi"/>
          <w:sz w:val="20"/>
          <w:szCs w:val="20"/>
          <w:highlight w:val="white"/>
        </w:rPr>
        <w:t xml:space="preserve">Echeverría, Fernando., </w:t>
      </w:r>
      <w:r w:rsidRPr="00C570FC">
        <w:rPr>
          <w:rFonts w:asciiTheme="majorHAnsi" w:eastAsia="Calibri" w:hAnsiTheme="majorHAnsi" w:cstheme="majorHAnsi"/>
          <w:i/>
          <w:sz w:val="20"/>
          <w:szCs w:val="20"/>
          <w:highlight w:val="white"/>
        </w:rPr>
        <w:t>Hoplite and phalanx in Archaic and Classical Greece: a reassessment." Classical Philology</w:t>
      </w:r>
      <w:r w:rsidRPr="00C570FC">
        <w:rPr>
          <w:rFonts w:asciiTheme="majorHAnsi" w:eastAsia="Calibri" w:hAnsiTheme="majorHAnsi" w:cstheme="majorHAnsi"/>
          <w:sz w:val="20"/>
          <w:szCs w:val="20"/>
          <w:highlight w:val="white"/>
        </w:rPr>
        <w:t>, 107.4 (2012), p. 293.</w:t>
      </w:r>
    </w:p>
  </w:footnote>
  <w:footnote w:id="8">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rPr>
        <w:t xml:space="preserve"> Diodorus Siculus, </w:t>
      </w:r>
      <w:r w:rsidRPr="00C570FC">
        <w:rPr>
          <w:rFonts w:asciiTheme="majorHAnsi" w:eastAsia="Calibri" w:hAnsiTheme="majorHAnsi" w:cstheme="majorHAnsi"/>
          <w:i/>
          <w:sz w:val="20"/>
          <w:szCs w:val="20"/>
        </w:rPr>
        <w:t>Diodorus of Sicily in Twelve Volumes</w:t>
      </w:r>
      <w:r w:rsidRPr="00C570FC">
        <w:rPr>
          <w:rFonts w:asciiTheme="majorHAnsi" w:eastAsia="Calibri" w:hAnsiTheme="majorHAnsi" w:cstheme="majorHAnsi"/>
          <w:sz w:val="20"/>
          <w:szCs w:val="20"/>
        </w:rPr>
        <w:t>, Vol. 4-8, Trans. by C. H. Oldfather (Cambridge, Mass.: Harvard University Press; London: William Heinemann, Ltd., 1989).</w:t>
      </w:r>
    </w:p>
  </w:footnote>
  <w:footnote w:id="9">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rPr>
        <w:t xml:space="preserve"> </w:t>
      </w:r>
      <w:r w:rsidRPr="00C570FC">
        <w:rPr>
          <w:rFonts w:asciiTheme="majorHAnsi" w:eastAsia="Calibri" w:hAnsiTheme="majorHAnsi" w:cstheme="majorHAnsi"/>
          <w:sz w:val="20"/>
          <w:szCs w:val="20"/>
          <w:highlight w:val="white"/>
        </w:rPr>
        <w:t xml:space="preserve">Echeverría, Fernando., </w:t>
      </w:r>
      <w:r w:rsidRPr="00C570FC">
        <w:rPr>
          <w:rFonts w:asciiTheme="majorHAnsi" w:eastAsia="Calibri" w:hAnsiTheme="majorHAnsi" w:cstheme="majorHAnsi"/>
          <w:i/>
          <w:sz w:val="20"/>
          <w:szCs w:val="20"/>
          <w:highlight w:val="white"/>
        </w:rPr>
        <w:t>Hoplite and phalanx in Archaic and Classical Greece: a reassessment." Classical Philology</w:t>
      </w:r>
      <w:r w:rsidRPr="00C570FC">
        <w:rPr>
          <w:rFonts w:asciiTheme="majorHAnsi" w:eastAsia="Calibri" w:hAnsiTheme="majorHAnsi" w:cstheme="majorHAnsi"/>
          <w:sz w:val="20"/>
          <w:szCs w:val="20"/>
          <w:highlight w:val="white"/>
        </w:rPr>
        <w:t>, 107.4 (2012), p. 293.</w:t>
      </w:r>
    </w:p>
  </w:footnote>
  <w:footnote w:id="10">
    <w:p w:rsidR="00F50CAB" w:rsidRPr="00C570FC" w:rsidRDefault="00216A1C">
      <w:pPr>
        <w:pStyle w:val="Heading1"/>
        <w:shd w:val="clear" w:color="auto" w:fill="FFFFFF"/>
        <w:spacing w:before="0" w:after="0"/>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rPr>
        <w:t xml:space="preserve"> Lazenby, John F., Whitehead David, </w:t>
      </w:r>
      <w:r w:rsidRPr="00C570FC">
        <w:rPr>
          <w:rFonts w:asciiTheme="majorHAnsi" w:eastAsia="Calibri" w:hAnsiTheme="majorHAnsi" w:cstheme="majorHAnsi"/>
          <w:i/>
          <w:sz w:val="20"/>
          <w:szCs w:val="20"/>
        </w:rPr>
        <w:t>The myth of the hoplite's hoplon</w:t>
      </w:r>
      <w:r w:rsidRPr="00C570FC">
        <w:rPr>
          <w:rFonts w:asciiTheme="majorHAnsi" w:eastAsia="Calibri" w:hAnsiTheme="majorHAnsi" w:cstheme="majorHAnsi"/>
          <w:sz w:val="20"/>
          <w:szCs w:val="20"/>
        </w:rPr>
        <w:t>, vol. 46, issue 1 (May 1996) pp. 27-33.</w:t>
      </w:r>
    </w:p>
  </w:footnote>
  <w:footnote w:id="11">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rPr>
        <w:t xml:space="preserve"> </w:t>
      </w:r>
      <w:r w:rsidRPr="00C570FC">
        <w:rPr>
          <w:rFonts w:asciiTheme="majorHAnsi" w:eastAsia="Calibri" w:hAnsiTheme="majorHAnsi" w:cstheme="majorHAnsi"/>
          <w:sz w:val="20"/>
          <w:szCs w:val="20"/>
          <w:highlight w:val="white"/>
        </w:rPr>
        <w:t xml:space="preserve">Echeverría, Fernando., </w:t>
      </w:r>
      <w:r w:rsidRPr="00C570FC">
        <w:rPr>
          <w:rFonts w:asciiTheme="majorHAnsi" w:eastAsia="Calibri" w:hAnsiTheme="majorHAnsi" w:cstheme="majorHAnsi"/>
          <w:i/>
          <w:sz w:val="20"/>
          <w:szCs w:val="20"/>
          <w:highlight w:val="white"/>
        </w:rPr>
        <w:t>Hoplite and phalanx in Archaic and Classical Greece: a reassessment." Classical Philology</w:t>
      </w:r>
      <w:r w:rsidRPr="00C570FC">
        <w:rPr>
          <w:rFonts w:asciiTheme="majorHAnsi" w:eastAsia="Calibri" w:hAnsiTheme="majorHAnsi" w:cstheme="majorHAnsi"/>
          <w:sz w:val="20"/>
          <w:szCs w:val="20"/>
          <w:highlight w:val="white"/>
        </w:rPr>
        <w:t>, 107.4 (2012), pp. 294-295.</w:t>
      </w:r>
    </w:p>
  </w:footnote>
  <w:footnote w:id="12">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rPr>
        <w:t xml:space="preserve"> Lazenby, John F., Whitehead David, </w:t>
      </w:r>
      <w:r w:rsidRPr="00C570FC">
        <w:rPr>
          <w:rFonts w:asciiTheme="majorHAnsi" w:eastAsia="Calibri" w:hAnsiTheme="majorHAnsi" w:cstheme="majorHAnsi"/>
          <w:i/>
          <w:sz w:val="20"/>
          <w:szCs w:val="20"/>
        </w:rPr>
        <w:t>The myth of the hoplite's hoplon</w:t>
      </w:r>
      <w:r w:rsidRPr="00C570FC">
        <w:rPr>
          <w:rFonts w:asciiTheme="majorHAnsi" w:eastAsia="Calibri" w:hAnsiTheme="majorHAnsi" w:cstheme="majorHAnsi"/>
          <w:sz w:val="20"/>
          <w:szCs w:val="20"/>
        </w:rPr>
        <w:t>, vol. 46, issue 1 (May 1996), pp. 27-33.</w:t>
      </w:r>
    </w:p>
  </w:footnote>
  <w:footnote w:id="13">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rPr>
        <w:t xml:space="preserve"> </w:t>
      </w:r>
      <w:r w:rsidRPr="00C570FC">
        <w:rPr>
          <w:rFonts w:asciiTheme="majorHAnsi" w:eastAsia="Calibri" w:hAnsiTheme="majorHAnsi" w:cstheme="majorHAnsi"/>
          <w:sz w:val="20"/>
          <w:szCs w:val="20"/>
          <w:highlight w:val="white"/>
        </w:rPr>
        <w:t xml:space="preserve">Echeverría, Fernando., </w:t>
      </w:r>
      <w:r w:rsidRPr="00C570FC">
        <w:rPr>
          <w:rFonts w:asciiTheme="majorHAnsi" w:eastAsia="Calibri" w:hAnsiTheme="majorHAnsi" w:cstheme="majorHAnsi"/>
          <w:i/>
          <w:sz w:val="20"/>
          <w:szCs w:val="20"/>
          <w:highlight w:val="white"/>
        </w:rPr>
        <w:t>Hoplite and phalanx in Archaic and Classical Greece: a reassessment." Classical Philology</w:t>
      </w:r>
      <w:r w:rsidRPr="00C570FC">
        <w:rPr>
          <w:rFonts w:asciiTheme="majorHAnsi" w:eastAsia="Calibri" w:hAnsiTheme="majorHAnsi" w:cstheme="majorHAnsi"/>
          <w:sz w:val="20"/>
          <w:szCs w:val="20"/>
          <w:highlight w:val="white"/>
        </w:rPr>
        <w:t>, 107.4 (2012), pp. 294.</w:t>
      </w:r>
    </w:p>
  </w:footnote>
  <w:footnote w:id="14">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rPr>
        <w:t xml:space="preserve"> Xenophon, Xen. Hell. 2.4.25, Xenophon in Seven Volumes, 1 and 2. Carleton L. Brownson. Harvard University Press, Cambridge, MA; William Heinemann, Ltd., London. vol. 1:1918; vol. 2: 1921.</w:t>
      </w:r>
    </w:p>
  </w:footnote>
  <w:footnote w:id="15">
    <w:p w:rsidR="00C570FC" w:rsidRPr="00C570FC" w:rsidRDefault="00C570FC" w:rsidP="00C570FC">
      <w:pPr>
        <w:pStyle w:val="FootnoteText"/>
        <w:rPr>
          <w:rFonts w:asciiTheme="majorHAnsi" w:hAnsiTheme="majorHAnsi" w:cstheme="majorHAnsi"/>
        </w:rPr>
      </w:pPr>
      <w:r w:rsidRPr="00C570FC">
        <w:rPr>
          <w:rStyle w:val="FootnoteReference"/>
          <w:rFonts w:asciiTheme="majorHAnsi" w:hAnsiTheme="majorHAnsi" w:cstheme="majorHAnsi"/>
        </w:rPr>
        <w:footnoteRef/>
      </w:r>
      <w:r w:rsidRPr="00C570FC">
        <w:rPr>
          <w:rFonts w:asciiTheme="majorHAnsi" w:hAnsiTheme="majorHAnsi" w:cstheme="majorHAnsi"/>
        </w:rPr>
        <w:t xml:space="preserve"> Pindar, Pin. I.1., </w:t>
      </w:r>
      <w:r w:rsidRPr="00C570FC">
        <w:rPr>
          <w:rFonts w:asciiTheme="majorHAnsi" w:hAnsiTheme="majorHAnsi" w:cstheme="majorHAnsi"/>
          <w:i/>
        </w:rPr>
        <w:t>Isthmian I</w:t>
      </w:r>
      <w:r w:rsidRPr="00C570FC">
        <w:rPr>
          <w:rFonts w:asciiTheme="majorHAnsi" w:hAnsiTheme="majorHAnsi" w:cstheme="majorHAnsi"/>
        </w:rPr>
        <w:t>, Trans. Diane Arnson Svarlien, 1990</w:t>
      </w:r>
    </w:p>
  </w:footnote>
  <w:footnote w:id="16">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highlight w:val="white"/>
        </w:rPr>
        <w:t xml:space="preserve">Lorimer, Hilda L. </w:t>
      </w:r>
      <w:r w:rsidRPr="00C570FC">
        <w:rPr>
          <w:rFonts w:asciiTheme="majorHAnsi" w:eastAsia="Calibri" w:hAnsiTheme="majorHAnsi" w:cstheme="majorHAnsi"/>
          <w:i/>
          <w:sz w:val="20"/>
          <w:szCs w:val="20"/>
          <w:highlight w:val="white"/>
        </w:rPr>
        <w:t>The hoplite phalanx with special reference to the poems of Archilochus and Tyrtaeus. Annual of the British School at Athens</w:t>
      </w:r>
      <w:r w:rsidRPr="00C570FC">
        <w:rPr>
          <w:rFonts w:asciiTheme="majorHAnsi" w:eastAsia="Calibri" w:hAnsiTheme="majorHAnsi" w:cstheme="majorHAnsi"/>
          <w:sz w:val="20"/>
          <w:szCs w:val="20"/>
          <w:highlight w:val="white"/>
        </w:rPr>
        <w:t>, 42 (1947), pp. 76-138.</w:t>
      </w:r>
    </w:p>
  </w:footnote>
  <w:footnote w:id="17">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highlight w:val="white"/>
        </w:rPr>
        <w:t xml:space="preserve">Snodgrass, Anthony M., </w:t>
      </w:r>
      <w:r w:rsidRPr="00C570FC">
        <w:rPr>
          <w:rFonts w:asciiTheme="majorHAnsi" w:eastAsia="Calibri" w:hAnsiTheme="majorHAnsi" w:cstheme="majorHAnsi"/>
          <w:i/>
          <w:sz w:val="20"/>
          <w:szCs w:val="20"/>
          <w:highlight w:val="white"/>
        </w:rPr>
        <w:t>The hoplite reform and history. The journal of Hellenic studies,</w:t>
      </w:r>
      <w:r w:rsidRPr="00C570FC">
        <w:rPr>
          <w:rFonts w:asciiTheme="majorHAnsi" w:eastAsia="Calibri" w:hAnsiTheme="majorHAnsi" w:cstheme="majorHAnsi"/>
          <w:sz w:val="20"/>
          <w:szCs w:val="20"/>
          <w:highlight w:val="white"/>
        </w:rPr>
        <w:t> 85 (1965) pp. 110-122.</w:t>
      </w:r>
    </w:p>
  </w:footnote>
  <w:footnote w:id="18">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highlight w:val="white"/>
        </w:rPr>
        <w:t>Hanson, Victor Davis, ed. </w:t>
      </w:r>
      <w:r w:rsidRPr="00C570FC">
        <w:rPr>
          <w:rFonts w:asciiTheme="majorHAnsi" w:eastAsia="Calibri" w:hAnsiTheme="majorHAnsi" w:cstheme="majorHAnsi"/>
          <w:i/>
          <w:sz w:val="20"/>
          <w:szCs w:val="20"/>
          <w:highlight w:val="white"/>
        </w:rPr>
        <w:t>Hoplites: The classical Greek battle experience</w:t>
      </w:r>
      <w:r w:rsidRPr="00C570FC">
        <w:rPr>
          <w:rFonts w:asciiTheme="majorHAnsi" w:eastAsia="Calibri" w:hAnsiTheme="majorHAnsi" w:cstheme="majorHAnsi"/>
          <w:sz w:val="20"/>
          <w:szCs w:val="20"/>
          <w:highlight w:val="white"/>
        </w:rPr>
        <w:t xml:space="preserve"> (Routledge, 2002), pp. 66-80.</w:t>
      </w:r>
    </w:p>
  </w:footnote>
  <w:footnote w:id="19">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highlight w:val="white"/>
        </w:rPr>
        <w:t>Cartledge, Paul</w:t>
      </w:r>
      <w:r w:rsidRPr="00C570FC">
        <w:rPr>
          <w:rFonts w:asciiTheme="majorHAnsi" w:eastAsia="Calibri" w:hAnsiTheme="majorHAnsi" w:cstheme="majorHAnsi"/>
          <w:i/>
          <w:sz w:val="20"/>
          <w:szCs w:val="20"/>
          <w:highlight w:val="white"/>
        </w:rPr>
        <w:t>., Hoplites and heroes: Sparta's contribution to the technique of ancient warfare, The Journal of Hellenic Studies</w:t>
      </w:r>
      <w:r w:rsidRPr="00C570FC">
        <w:rPr>
          <w:rFonts w:asciiTheme="majorHAnsi" w:eastAsia="Calibri" w:hAnsiTheme="majorHAnsi" w:cstheme="majorHAnsi"/>
          <w:sz w:val="20"/>
          <w:szCs w:val="20"/>
          <w:highlight w:val="white"/>
        </w:rPr>
        <w:t>, 97 (1977), pp. 16-20.</w:t>
      </w:r>
    </w:p>
  </w:footnote>
  <w:footnote w:id="20">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highlight w:val="white"/>
        </w:rPr>
        <w:t>Latacz, Joachim. </w:t>
      </w:r>
      <w:r w:rsidRPr="00C570FC">
        <w:rPr>
          <w:rFonts w:asciiTheme="majorHAnsi" w:eastAsia="Calibri" w:hAnsiTheme="majorHAnsi" w:cstheme="majorHAnsi"/>
          <w:i/>
          <w:sz w:val="20"/>
          <w:szCs w:val="20"/>
          <w:highlight w:val="white"/>
        </w:rPr>
        <w:t>Kampfparänese, Kampfdarstellung und Kampfwirklichkeit in der Ilias, bei Kallinos und Tyrtaios</w:t>
      </w:r>
      <w:r w:rsidRPr="00C570FC">
        <w:rPr>
          <w:rFonts w:asciiTheme="majorHAnsi" w:eastAsia="Calibri" w:hAnsiTheme="majorHAnsi" w:cstheme="majorHAnsi"/>
          <w:sz w:val="20"/>
          <w:szCs w:val="20"/>
          <w:highlight w:val="white"/>
        </w:rPr>
        <w:t>. Vol. 66. (CH Beck, 1977).</w:t>
      </w:r>
    </w:p>
  </w:footnote>
  <w:footnote w:id="21">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highlight w:val="white"/>
        </w:rPr>
        <w:t xml:space="preserve">Van Wees, Hans., </w:t>
      </w:r>
      <w:r w:rsidRPr="00C570FC">
        <w:rPr>
          <w:rFonts w:asciiTheme="majorHAnsi" w:eastAsia="Calibri" w:hAnsiTheme="majorHAnsi" w:cstheme="majorHAnsi"/>
          <w:i/>
          <w:sz w:val="20"/>
          <w:szCs w:val="20"/>
          <w:highlight w:val="white"/>
        </w:rPr>
        <w:t>The Homeric way of war: the Iliad and the hoplite phalanx (II), Greece &amp; Rome</w:t>
      </w:r>
      <w:r w:rsidRPr="00C570FC">
        <w:rPr>
          <w:rFonts w:asciiTheme="majorHAnsi" w:eastAsia="Calibri" w:hAnsiTheme="majorHAnsi" w:cstheme="majorHAnsi"/>
          <w:sz w:val="20"/>
          <w:szCs w:val="20"/>
          <w:highlight w:val="white"/>
        </w:rPr>
        <w:t>, 41.2 (1994), pp. 140-145.</w:t>
      </w:r>
    </w:p>
  </w:footnote>
  <w:footnote w:id="22">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rPr>
        <w:t>Ibid., p. 137.</w:t>
      </w:r>
    </w:p>
  </w:footnote>
  <w:footnote w:id="23">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highlight w:val="white"/>
        </w:rPr>
        <w:t xml:space="preserve">Matthew, Christopher A., </w:t>
      </w:r>
      <w:r w:rsidRPr="00C570FC">
        <w:rPr>
          <w:rFonts w:asciiTheme="majorHAnsi" w:eastAsia="Calibri" w:hAnsiTheme="majorHAnsi" w:cstheme="majorHAnsi"/>
          <w:i/>
          <w:sz w:val="20"/>
          <w:szCs w:val="20"/>
          <w:highlight w:val="white"/>
        </w:rPr>
        <w:t>When Push Comes to Shove: What Was the" Othismos" of Hoplite Combat?, Historia: ZeitschriftfürAlte Geschichte</w:t>
      </w:r>
      <w:r w:rsidRPr="00C570FC">
        <w:rPr>
          <w:rFonts w:asciiTheme="majorHAnsi" w:eastAsia="Calibri" w:hAnsiTheme="majorHAnsi" w:cstheme="majorHAnsi"/>
          <w:sz w:val="20"/>
          <w:szCs w:val="20"/>
          <w:highlight w:val="white"/>
        </w:rPr>
        <w:t> H. 4 (2009), p. 397.</w:t>
      </w:r>
    </w:p>
  </w:footnote>
  <w:footnote w:id="24">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highlight w:val="white"/>
        </w:rPr>
        <w:t xml:space="preserve">Echeverría, Fernando., </w:t>
      </w:r>
      <w:r w:rsidRPr="00C570FC">
        <w:rPr>
          <w:rFonts w:asciiTheme="majorHAnsi" w:eastAsia="Calibri" w:hAnsiTheme="majorHAnsi" w:cstheme="majorHAnsi"/>
          <w:i/>
          <w:sz w:val="20"/>
          <w:szCs w:val="20"/>
          <w:highlight w:val="white"/>
        </w:rPr>
        <w:t>Hoplite and phalanx in Archaic and Classical Greece: a reassessment." Classical Philology</w:t>
      </w:r>
      <w:r w:rsidRPr="00C570FC">
        <w:rPr>
          <w:rFonts w:asciiTheme="majorHAnsi" w:eastAsia="Calibri" w:hAnsiTheme="majorHAnsi" w:cstheme="majorHAnsi"/>
          <w:sz w:val="20"/>
          <w:szCs w:val="20"/>
          <w:highlight w:val="white"/>
        </w:rPr>
        <w:t>, 107.4 (2012), p. 313.</w:t>
      </w:r>
    </w:p>
  </w:footnote>
  <w:footnote w:id="25">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highlight w:val="white"/>
        </w:rPr>
        <w:t>Van Wees, Hans. </w:t>
      </w:r>
      <w:r w:rsidRPr="00C570FC">
        <w:rPr>
          <w:rFonts w:asciiTheme="majorHAnsi" w:eastAsia="Calibri" w:hAnsiTheme="majorHAnsi" w:cstheme="majorHAnsi"/>
          <w:i/>
          <w:sz w:val="20"/>
          <w:szCs w:val="20"/>
          <w:highlight w:val="white"/>
        </w:rPr>
        <w:t>Status warriors: war, violence and society in Homer and history</w:t>
      </w:r>
      <w:r w:rsidRPr="00C570FC">
        <w:rPr>
          <w:rFonts w:asciiTheme="majorHAnsi" w:eastAsia="Calibri" w:hAnsiTheme="majorHAnsi" w:cstheme="majorHAnsi"/>
          <w:sz w:val="20"/>
          <w:szCs w:val="20"/>
          <w:highlight w:val="white"/>
        </w:rPr>
        <w:t>. Vol. 9. (JC Gieben, 1992).</w:t>
      </w:r>
    </w:p>
  </w:footnote>
  <w:footnote w:id="26">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rPr>
        <w:t xml:space="preserve"> </w:t>
      </w:r>
      <w:r w:rsidRPr="00C570FC">
        <w:rPr>
          <w:rFonts w:asciiTheme="majorHAnsi" w:eastAsia="Calibri" w:hAnsiTheme="majorHAnsi" w:cstheme="majorHAnsi"/>
          <w:sz w:val="20"/>
          <w:szCs w:val="20"/>
          <w:highlight w:val="white"/>
        </w:rPr>
        <w:t xml:space="preserve">Echeverría, Fernando. </w:t>
      </w:r>
      <w:r w:rsidRPr="00C570FC">
        <w:rPr>
          <w:rFonts w:asciiTheme="majorHAnsi" w:eastAsia="Calibri" w:hAnsiTheme="majorHAnsi" w:cstheme="majorHAnsi"/>
          <w:i/>
          <w:sz w:val="20"/>
          <w:szCs w:val="20"/>
          <w:highlight w:val="white"/>
        </w:rPr>
        <w:t>Hoplite and phalanx in Archaic and Classical Greece: a reassessment, Classical Philology, </w:t>
      </w:r>
      <w:r w:rsidRPr="00C570FC">
        <w:rPr>
          <w:rFonts w:asciiTheme="majorHAnsi" w:eastAsia="Calibri" w:hAnsiTheme="majorHAnsi" w:cstheme="majorHAnsi"/>
          <w:sz w:val="20"/>
          <w:szCs w:val="20"/>
          <w:highlight w:val="white"/>
        </w:rPr>
        <w:t>107.4 (2012), p. 315.</w:t>
      </w:r>
    </w:p>
  </w:footnote>
  <w:footnote w:id="27">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highlight w:val="white"/>
        </w:rPr>
        <w:t xml:space="preserve">Echeverría, Fernando., </w:t>
      </w:r>
      <w:r w:rsidRPr="00C570FC">
        <w:rPr>
          <w:rFonts w:asciiTheme="majorHAnsi" w:eastAsia="Calibri" w:hAnsiTheme="majorHAnsi" w:cstheme="majorHAnsi"/>
          <w:i/>
          <w:sz w:val="20"/>
          <w:szCs w:val="20"/>
          <w:highlight w:val="white"/>
        </w:rPr>
        <w:t>Hoplite and phalanx in Archaic and Classical Greece: a reassessment. Classical Philology</w:t>
      </w:r>
      <w:r w:rsidRPr="00C570FC">
        <w:rPr>
          <w:rFonts w:asciiTheme="majorHAnsi" w:eastAsia="Calibri" w:hAnsiTheme="majorHAnsi" w:cstheme="majorHAnsi"/>
          <w:sz w:val="20"/>
          <w:szCs w:val="20"/>
          <w:highlight w:val="white"/>
        </w:rPr>
        <w:t>, 107.4 (2012), pp. 299-300.</w:t>
      </w:r>
    </w:p>
  </w:footnote>
  <w:footnote w:id="28">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highlight w:val="white"/>
        </w:rPr>
        <w:t xml:space="preserve">Foxhall, Lin., </w:t>
      </w:r>
      <w:r w:rsidRPr="00C570FC">
        <w:rPr>
          <w:rFonts w:asciiTheme="majorHAnsi" w:eastAsia="Calibri" w:hAnsiTheme="majorHAnsi" w:cstheme="majorHAnsi"/>
          <w:i/>
          <w:sz w:val="20"/>
          <w:szCs w:val="20"/>
          <w:highlight w:val="white"/>
        </w:rPr>
        <w:t>A view from the top: evaluating the Solonian property classes</w:t>
      </w:r>
      <w:r w:rsidRPr="00C570FC">
        <w:rPr>
          <w:rFonts w:asciiTheme="majorHAnsi" w:eastAsia="Calibri" w:hAnsiTheme="majorHAnsi" w:cstheme="majorHAnsi"/>
          <w:sz w:val="20"/>
          <w:szCs w:val="20"/>
          <w:highlight w:val="white"/>
        </w:rPr>
        <w:t xml:space="preserve"> (1997), p. 131.</w:t>
      </w:r>
    </w:p>
  </w:footnote>
  <w:footnote w:id="29">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highlight w:val="white"/>
        </w:rPr>
        <w:t>Theocritus, et al. </w:t>
      </w:r>
      <w:r w:rsidRPr="00C570FC">
        <w:rPr>
          <w:rFonts w:asciiTheme="majorHAnsi" w:eastAsia="Calibri" w:hAnsiTheme="majorHAnsi" w:cstheme="majorHAnsi"/>
          <w:i/>
          <w:sz w:val="20"/>
          <w:szCs w:val="20"/>
          <w:highlight w:val="white"/>
        </w:rPr>
        <w:t>The Idylls of Theocritus, Bion, and Moschus; and the War-songs of Tyrtaeus</w:t>
      </w:r>
      <w:r w:rsidRPr="00C570FC">
        <w:rPr>
          <w:rFonts w:asciiTheme="majorHAnsi" w:eastAsia="Calibri" w:hAnsiTheme="majorHAnsi" w:cstheme="majorHAnsi"/>
          <w:sz w:val="20"/>
          <w:szCs w:val="20"/>
          <w:highlight w:val="white"/>
        </w:rPr>
        <w:t>. Henry G. Bohn, (1853).</w:t>
      </w:r>
    </w:p>
  </w:footnote>
  <w:footnote w:id="30">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highlight w:val="white"/>
        </w:rPr>
        <w:t xml:space="preserve">Christ, Matthew R., </w:t>
      </w:r>
      <w:r w:rsidRPr="00C570FC">
        <w:rPr>
          <w:rFonts w:asciiTheme="majorHAnsi" w:eastAsia="Calibri" w:hAnsiTheme="majorHAnsi" w:cstheme="majorHAnsi"/>
          <w:i/>
          <w:sz w:val="20"/>
          <w:szCs w:val="20"/>
          <w:highlight w:val="white"/>
        </w:rPr>
        <w:t>Draft evasion onstage and offstage in classical Athens. The Classical Quarterly</w:t>
      </w:r>
      <w:r w:rsidRPr="00C570FC">
        <w:rPr>
          <w:rFonts w:asciiTheme="majorHAnsi" w:eastAsia="Calibri" w:hAnsiTheme="majorHAnsi" w:cstheme="majorHAnsi"/>
          <w:sz w:val="20"/>
          <w:szCs w:val="20"/>
          <w:highlight w:val="white"/>
        </w:rPr>
        <w:t>, 54.1 (2004), pp. 33-57.</w:t>
      </w:r>
    </w:p>
  </w:footnote>
  <w:footnote w:id="31">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highlight w:val="white"/>
        </w:rPr>
        <w:t>Latacz, Joachim. </w:t>
      </w:r>
      <w:r w:rsidRPr="00C570FC">
        <w:rPr>
          <w:rFonts w:asciiTheme="majorHAnsi" w:eastAsia="Calibri" w:hAnsiTheme="majorHAnsi" w:cstheme="majorHAnsi"/>
          <w:i/>
          <w:sz w:val="20"/>
          <w:szCs w:val="20"/>
          <w:highlight w:val="white"/>
        </w:rPr>
        <w:t>Kampfparänese, Kampfdarstellung und Kampfwirklichkeit in der Ilias, bei Kallinos und Tyrtaios</w:t>
      </w:r>
      <w:r w:rsidRPr="00C570FC">
        <w:rPr>
          <w:rFonts w:asciiTheme="majorHAnsi" w:eastAsia="Calibri" w:hAnsiTheme="majorHAnsi" w:cstheme="majorHAnsi"/>
          <w:sz w:val="20"/>
          <w:szCs w:val="20"/>
          <w:highlight w:val="white"/>
        </w:rPr>
        <w:t>. Vol. 66. CH Beck (1977).</w:t>
      </w:r>
    </w:p>
  </w:footnote>
  <w:footnote w:id="32">
    <w:p w:rsidR="00F50CAB" w:rsidRPr="00C570FC" w:rsidRDefault="00216A1C">
      <w:pPr>
        <w:pStyle w:val="normal0"/>
        <w:spacing w:line="240" w:lineRule="auto"/>
        <w:rPr>
          <w:rFonts w:asciiTheme="majorHAnsi" w:eastAsia="Calibri" w:hAnsiTheme="majorHAnsi" w:cstheme="majorHAnsi"/>
          <w:sz w:val="20"/>
          <w:szCs w:val="20"/>
        </w:rPr>
      </w:pPr>
      <w:r w:rsidRPr="00C570FC">
        <w:rPr>
          <w:rFonts w:asciiTheme="majorHAnsi" w:hAnsiTheme="majorHAnsi" w:cstheme="majorHAnsi"/>
          <w:sz w:val="20"/>
          <w:szCs w:val="20"/>
          <w:vertAlign w:val="superscript"/>
        </w:rPr>
        <w:footnoteRef/>
      </w:r>
      <w:r w:rsidRPr="00C570FC">
        <w:rPr>
          <w:rFonts w:asciiTheme="majorHAnsi" w:eastAsia="Calibri" w:hAnsiTheme="majorHAnsi" w:cstheme="majorHAnsi"/>
          <w:sz w:val="20"/>
          <w:szCs w:val="20"/>
          <w:highlight w:val="white"/>
        </w:rPr>
        <w:t xml:space="preserve">Van Wees, Hans., </w:t>
      </w:r>
      <w:r w:rsidRPr="00C570FC">
        <w:rPr>
          <w:rFonts w:asciiTheme="majorHAnsi" w:eastAsia="Calibri" w:hAnsiTheme="majorHAnsi" w:cstheme="majorHAnsi"/>
          <w:i/>
          <w:sz w:val="20"/>
          <w:szCs w:val="20"/>
          <w:highlight w:val="white"/>
        </w:rPr>
        <w:t>The Homeric way of war: the Iliad and the hoplite phalanx (II). Greece &amp; Rome</w:t>
      </w:r>
      <w:r w:rsidRPr="00C570FC">
        <w:rPr>
          <w:rFonts w:asciiTheme="majorHAnsi" w:eastAsia="Calibri" w:hAnsiTheme="majorHAnsi" w:cstheme="majorHAnsi"/>
          <w:sz w:val="20"/>
          <w:szCs w:val="20"/>
          <w:highlight w:val="white"/>
        </w:rPr>
        <w:t>, 41.2 (1994), pp. 1-2.</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50CAB"/>
    <w:rsid w:val="00216A1C"/>
    <w:rsid w:val="003C0C43"/>
    <w:rsid w:val="003C20DA"/>
    <w:rsid w:val="00C570FC"/>
    <w:rsid w:val="00C76972"/>
    <w:rsid w:val="00E74CEA"/>
    <w:rsid w:val="00F50CA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2"/>
        <w:szCs w:val="22"/>
        <w:lang w:val="en-GB" w:eastAsia="en-GB"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0DA"/>
  </w:style>
  <w:style w:type="paragraph" w:styleId="Heading1">
    <w:name w:val="heading 1"/>
    <w:basedOn w:val="normal0"/>
    <w:next w:val="normal0"/>
    <w:rsid w:val="00F50CAB"/>
    <w:pPr>
      <w:keepNext/>
      <w:keepLines/>
      <w:spacing w:before="400" w:after="120"/>
      <w:outlineLvl w:val="0"/>
    </w:pPr>
    <w:rPr>
      <w:sz w:val="40"/>
      <w:szCs w:val="40"/>
    </w:rPr>
  </w:style>
  <w:style w:type="paragraph" w:styleId="Heading2">
    <w:name w:val="heading 2"/>
    <w:basedOn w:val="normal0"/>
    <w:next w:val="normal0"/>
    <w:rsid w:val="00F50CAB"/>
    <w:pPr>
      <w:keepNext/>
      <w:keepLines/>
      <w:spacing w:before="360" w:after="120"/>
      <w:outlineLvl w:val="1"/>
    </w:pPr>
    <w:rPr>
      <w:sz w:val="32"/>
      <w:szCs w:val="32"/>
    </w:rPr>
  </w:style>
  <w:style w:type="paragraph" w:styleId="Heading3">
    <w:name w:val="heading 3"/>
    <w:basedOn w:val="normal0"/>
    <w:next w:val="normal0"/>
    <w:rsid w:val="00F50CAB"/>
    <w:pPr>
      <w:keepNext/>
      <w:keepLines/>
      <w:spacing w:before="320" w:after="80"/>
      <w:outlineLvl w:val="2"/>
    </w:pPr>
    <w:rPr>
      <w:color w:val="434343"/>
      <w:sz w:val="28"/>
      <w:szCs w:val="28"/>
    </w:rPr>
  </w:style>
  <w:style w:type="paragraph" w:styleId="Heading4">
    <w:name w:val="heading 4"/>
    <w:basedOn w:val="normal0"/>
    <w:next w:val="normal0"/>
    <w:rsid w:val="00F50CAB"/>
    <w:pPr>
      <w:keepNext/>
      <w:keepLines/>
      <w:spacing w:before="280" w:after="80"/>
      <w:outlineLvl w:val="3"/>
    </w:pPr>
    <w:rPr>
      <w:color w:val="666666"/>
      <w:sz w:val="24"/>
      <w:szCs w:val="24"/>
    </w:rPr>
  </w:style>
  <w:style w:type="paragraph" w:styleId="Heading5">
    <w:name w:val="heading 5"/>
    <w:basedOn w:val="normal0"/>
    <w:next w:val="normal0"/>
    <w:rsid w:val="00F50CAB"/>
    <w:pPr>
      <w:keepNext/>
      <w:keepLines/>
      <w:spacing w:before="240" w:after="80"/>
      <w:outlineLvl w:val="4"/>
    </w:pPr>
    <w:rPr>
      <w:color w:val="666666"/>
    </w:rPr>
  </w:style>
  <w:style w:type="paragraph" w:styleId="Heading6">
    <w:name w:val="heading 6"/>
    <w:basedOn w:val="normal0"/>
    <w:next w:val="normal0"/>
    <w:rsid w:val="00F50CA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F50CAB"/>
  </w:style>
  <w:style w:type="paragraph" w:styleId="Title">
    <w:name w:val="Title"/>
    <w:basedOn w:val="normal0"/>
    <w:next w:val="normal0"/>
    <w:rsid w:val="00F50CAB"/>
    <w:pPr>
      <w:keepNext/>
      <w:keepLines/>
      <w:spacing w:after="60"/>
    </w:pPr>
    <w:rPr>
      <w:sz w:val="52"/>
      <w:szCs w:val="52"/>
    </w:rPr>
  </w:style>
  <w:style w:type="paragraph" w:styleId="Subtitle">
    <w:name w:val="Subtitle"/>
    <w:basedOn w:val="normal0"/>
    <w:next w:val="normal0"/>
    <w:rsid w:val="00F50CAB"/>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C570FC"/>
    <w:pPr>
      <w:spacing w:line="240" w:lineRule="auto"/>
    </w:pPr>
    <w:rPr>
      <w:sz w:val="20"/>
      <w:szCs w:val="20"/>
    </w:rPr>
  </w:style>
  <w:style w:type="character" w:customStyle="1" w:styleId="FootnoteTextChar">
    <w:name w:val="Footnote Text Char"/>
    <w:basedOn w:val="DefaultParagraphFont"/>
    <w:link w:val="FootnoteText"/>
    <w:uiPriority w:val="99"/>
    <w:semiHidden/>
    <w:rsid w:val="00C570FC"/>
    <w:rPr>
      <w:sz w:val="20"/>
      <w:szCs w:val="20"/>
    </w:rPr>
  </w:style>
  <w:style w:type="character" w:styleId="FootnoteReference">
    <w:name w:val="footnote reference"/>
    <w:basedOn w:val="DefaultParagraphFont"/>
    <w:uiPriority w:val="99"/>
    <w:semiHidden/>
    <w:unhideWhenUsed/>
    <w:rsid w:val="00C570FC"/>
    <w:rPr>
      <w:vertAlign w:val="superscrip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2569</Words>
  <Characters>14646</Characters>
  <Application>Microsoft Office Word</Application>
  <DocSecurity>0</DocSecurity>
  <Lines>122</Lines>
  <Paragraphs>34</Paragraphs>
  <ScaleCrop>false</ScaleCrop>
  <Company/>
  <LinksUpToDate>false</LinksUpToDate>
  <CharactersWithSpaces>17181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marcin</cp:lastModifiedBy>
  <cp:revision>4</cp:revision>
  <dcterms:created xsi:type="dcterms:W3CDTF">2018-03-22T23:47:00Z</dcterms:created>
  <dcterms:modified xsi:type="dcterms:W3CDTF">2018-03-22T23:49:00Z</dcterms:modified>
</cp:coreProperties>
</file>