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D6ADC" w:rsidRDefault="00ED6ADC">
      <w:pPr>
        <w:spacing w:line="480" w:lineRule="auto"/>
        <w:jc w:val="both"/>
        <w:rPr>
          <w:rFonts w:ascii="Times New Roman" w:eastAsia="Times New Roman" w:hAnsi="Times New Roman" w:cs="Times New Roman"/>
          <w:sz w:val="24"/>
          <w:szCs w:val="24"/>
        </w:rPr>
      </w:pPr>
    </w:p>
    <w:p w14:paraId="00000002" w14:textId="77777777" w:rsidR="00ED6ADC" w:rsidRDefault="00ED6ADC">
      <w:pPr>
        <w:spacing w:line="480" w:lineRule="auto"/>
        <w:jc w:val="both"/>
        <w:rPr>
          <w:rFonts w:ascii="Times New Roman" w:eastAsia="Times New Roman" w:hAnsi="Times New Roman" w:cs="Times New Roman"/>
          <w:sz w:val="24"/>
          <w:szCs w:val="24"/>
        </w:rPr>
      </w:pPr>
    </w:p>
    <w:p w14:paraId="00000003" w14:textId="77777777" w:rsidR="00ED6ADC" w:rsidRDefault="00ED6ADC">
      <w:pPr>
        <w:spacing w:line="480" w:lineRule="auto"/>
        <w:jc w:val="both"/>
        <w:rPr>
          <w:rFonts w:ascii="Times New Roman" w:eastAsia="Times New Roman" w:hAnsi="Times New Roman" w:cs="Times New Roman"/>
          <w:sz w:val="24"/>
          <w:szCs w:val="24"/>
        </w:rPr>
      </w:pPr>
    </w:p>
    <w:p w14:paraId="00000004" w14:textId="77777777" w:rsidR="00ED6ADC" w:rsidRDefault="00ED6ADC">
      <w:pPr>
        <w:spacing w:line="480" w:lineRule="auto"/>
        <w:jc w:val="both"/>
        <w:rPr>
          <w:rFonts w:ascii="Times New Roman" w:eastAsia="Times New Roman" w:hAnsi="Times New Roman" w:cs="Times New Roman"/>
          <w:sz w:val="24"/>
          <w:szCs w:val="24"/>
        </w:rPr>
      </w:pPr>
    </w:p>
    <w:p w14:paraId="00000005" w14:textId="77777777" w:rsidR="00ED6ADC" w:rsidRDefault="00ED6ADC">
      <w:pPr>
        <w:spacing w:line="480" w:lineRule="auto"/>
        <w:jc w:val="both"/>
        <w:rPr>
          <w:rFonts w:ascii="Times New Roman" w:eastAsia="Times New Roman" w:hAnsi="Times New Roman" w:cs="Times New Roman"/>
          <w:sz w:val="24"/>
          <w:szCs w:val="24"/>
        </w:rPr>
      </w:pPr>
    </w:p>
    <w:p w14:paraId="00000006" w14:textId="77777777" w:rsidR="00ED6ADC" w:rsidRDefault="00ED6ADC">
      <w:pPr>
        <w:spacing w:line="480" w:lineRule="auto"/>
        <w:jc w:val="both"/>
        <w:rPr>
          <w:rFonts w:ascii="Times New Roman" w:eastAsia="Times New Roman" w:hAnsi="Times New Roman" w:cs="Times New Roman"/>
          <w:sz w:val="24"/>
          <w:szCs w:val="24"/>
        </w:rPr>
      </w:pPr>
    </w:p>
    <w:p w14:paraId="00000007" w14:textId="77777777" w:rsidR="00ED6ADC" w:rsidRDefault="00ED6ADC">
      <w:pPr>
        <w:spacing w:line="480" w:lineRule="auto"/>
        <w:jc w:val="both"/>
        <w:rPr>
          <w:rFonts w:ascii="Times New Roman" w:eastAsia="Times New Roman" w:hAnsi="Times New Roman" w:cs="Times New Roman"/>
          <w:sz w:val="24"/>
          <w:szCs w:val="24"/>
        </w:rPr>
      </w:pPr>
    </w:p>
    <w:p w14:paraId="00000008" w14:textId="77777777" w:rsidR="00ED6ADC" w:rsidRDefault="00ED6ADC">
      <w:pPr>
        <w:spacing w:line="480" w:lineRule="auto"/>
        <w:jc w:val="both"/>
        <w:rPr>
          <w:rFonts w:ascii="Times New Roman" w:eastAsia="Times New Roman" w:hAnsi="Times New Roman" w:cs="Times New Roman"/>
          <w:sz w:val="24"/>
          <w:szCs w:val="24"/>
        </w:rPr>
      </w:pPr>
    </w:p>
    <w:p w14:paraId="00000009" w14:textId="77777777" w:rsidR="00ED6ADC" w:rsidRDefault="000D63D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Report</w:t>
      </w:r>
    </w:p>
    <w:p w14:paraId="0000000A" w14:textId="77777777" w:rsidR="00ED6ADC" w:rsidRDefault="00ED6ADC">
      <w:pPr>
        <w:spacing w:line="480" w:lineRule="auto"/>
        <w:jc w:val="both"/>
        <w:rPr>
          <w:rFonts w:ascii="Times New Roman" w:eastAsia="Times New Roman" w:hAnsi="Times New Roman" w:cs="Times New Roman"/>
          <w:sz w:val="24"/>
          <w:szCs w:val="24"/>
        </w:rPr>
      </w:pPr>
    </w:p>
    <w:p w14:paraId="0000000B" w14:textId="77777777" w:rsidR="00ED6ADC" w:rsidRDefault="00ED6ADC">
      <w:pPr>
        <w:spacing w:line="480" w:lineRule="auto"/>
        <w:jc w:val="both"/>
        <w:rPr>
          <w:rFonts w:ascii="Times New Roman" w:eastAsia="Times New Roman" w:hAnsi="Times New Roman" w:cs="Times New Roman"/>
          <w:sz w:val="24"/>
          <w:szCs w:val="24"/>
        </w:rPr>
      </w:pPr>
    </w:p>
    <w:p w14:paraId="0000000C" w14:textId="77777777" w:rsidR="00ED6ADC" w:rsidRDefault="00ED6ADC">
      <w:pPr>
        <w:spacing w:line="480" w:lineRule="auto"/>
        <w:jc w:val="both"/>
        <w:rPr>
          <w:rFonts w:ascii="Times New Roman" w:eastAsia="Times New Roman" w:hAnsi="Times New Roman" w:cs="Times New Roman"/>
          <w:sz w:val="24"/>
          <w:szCs w:val="24"/>
        </w:rPr>
      </w:pPr>
    </w:p>
    <w:p w14:paraId="0000000D" w14:textId="77777777" w:rsidR="00ED6ADC" w:rsidRDefault="00ED6ADC">
      <w:pPr>
        <w:spacing w:line="480" w:lineRule="auto"/>
        <w:jc w:val="both"/>
        <w:rPr>
          <w:rFonts w:ascii="Times New Roman" w:eastAsia="Times New Roman" w:hAnsi="Times New Roman" w:cs="Times New Roman"/>
          <w:sz w:val="24"/>
          <w:szCs w:val="24"/>
        </w:rPr>
      </w:pPr>
    </w:p>
    <w:p w14:paraId="0000000E" w14:textId="77777777" w:rsidR="00ED6ADC" w:rsidRDefault="00ED6ADC">
      <w:pPr>
        <w:spacing w:line="480" w:lineRule="auto"/>
        <w:jc w:val="both"/>
        <w:rPr>
          <w:rFonts w:ascii="Times New Roman" w:eastAsia="Times New Roman" w:hAnsi="Times New Roman" w:cs="Times New Roman"/>
          <w:sz w:val="24"/>
          <w:szCs w:val="24"/>
        </w:rPr>
      </w:pPr>
    </w:p>
    <w:p w14:paraId="0000000F" w14:textId="77777777" w:rsidR="00ED6ADC" w:rsidRDefault="00ED6ADC">
      <w:pPr>
        <w:spacing w:line="480" w:lineRule="auto"/>
        <w:jc w:val="both"/>
        <w:rPr>
          <w:rFonts w:ascii="Times New Roman" w:eastAsia="Times New Roman" w:hAnsi="Times New Roman" w:cs="Times New Roman"/>
          <w:sz w:val="24"/>
          <w:szCs w:val="24"/>
        </w:rPr>
      </w:pPr>
    </w:p>
    <w:p w14:paraId="00000010" w14:textId="77777777" w:rsidR="00ED6ADC" w:rsidRDefault="00ED6ADC">
      <w:pPr>
        <w:spacing w:line="480" w:lineRule="auto"/>
        <w:jc w:val="both"/>
        <w:rPr>
          <w:rFonts w:ascii="Times New Roman" w:eastAsia="Times New Roman" w:hAnsi="Times New Roman" w:cs="Times New Roman"/>
          <w:sz w:val="24"/>
          <w:szCs w:val="24"/>
        </w:rPr>
      </w:pPr>
    </w:p>
    <w:p w14:paraId="00000011" w14:textId="77777777" w:rsidR="00ED6ADC" w:rsidRDefault="00ED6ADC">
      <w:pPr>
        <w:spacing w:line="480" w:lineRule="auto"/>
        <w:jc w:val="both"/>
        <w:rPr>
          <w:rFonts w:ascii="Times New Roman" w:eastAsia="Times New Roman" w:hAnsi="Times New Roman" w:cs="Times New Roman"/>
          <w:sz w:val="24"/>
          <w:szCs w:val="24"/>
        </w:rPr>
      </w:pPr>
    </w:p>
    <w:p w14:paraId="00000012" w14:textId="77777777" w:rsidR="00ED6ADC" w:rsidRDefault="00ED6ADC">
      <w:pPr>
        <w:spacing w:line="480" w:lineRule="auto"/>
        <w:jc w:val="both"/>
        <w:rPr>
          <w:rFonts w:ascii="Times New Roman" w:eastAsia="Times New Roman" w:hAnsi="Times New Roman" w:cs="Times New Roman"/>
          <w:sz w:val="24"/>
          <w:szCs w:val="24"/>
        </w:rPr>
      </w:pPr>
    </w:p>
    <w:p w14:paraId="00000013" w14:textId="77777777" w:rsidR="00ED6ADC" w:rsidRDefault="000D63D0">
      <w:pPr>
        <w:keepNext/>
        <w:keepLines/>
        <w:pBdr>
          <w:top w:val="nil"/>
          <w:left w:val="nil"/>
          <w:bottom w:val="nil"/>
          <w:right w:val="nil"/>
          <w:between w:val="nil"/>
        </w:pBdr>
        <w:spacing w:before="240" w:after="0"/>
        <w:jc w:val="center"/>
        <w:rPr>
          <w:color w:val="2E75B5"/>
          <w:sz w:val="32"/>
          <w:szCs w:val="32"/>
        </w:rPr>
      </w:pPr>
      <w:r>
        <w:rPr>
          <w:color w:val="2E75B5"/>
          <w:sz w:val="32"/>
          <w:szCs w:val="32"/>
        </w:rPr>
        <w:lastRenderedPageBreak/>
        <w:t>Table of Contents</w:t>
      </w:r>
    </w:p>
    <w:sdt>
      <w:sdtPr>
        <w:id w:val="-1971668367"/>
        <w:docPartObj>
          <w:docPartGallery w:val="Table of Contents"/>
          <w:docPartUnique/>
        </w:docPartObj>
      </w:sdtPr>
      <w:sdtContent>
        <w:p w14:paraId="00000014" w14:textId="77777777" w:rsidR="00ED6ADC" w:rsidRDefault="000D63D0">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color w:val="000000"/>
              </w:rPr>
              <w:t>Introduction</w:t>
            </w:r>
          </w:hyperlink>
          <w:hyperlink w:anchor="_gjdgxs">
            <w:r>
              <w:rPr>
                <w:color w:val="000000"/>
              </w:rPr>
              <w:tab/>
              <w:t>2</w:t>
            </w:r>
          </w:hyperlink>
        </w:p>
        <w:p w14:paraId="00000015" w14:textId="77777777" w:rsidR="00ED6ADC" w:rsidRDefault="00000000">
          <w:pPr>
            <w:pBdr>
              <w:top w:val="nil"/>
              <w:left w:val="nil"/>
              <w:bottom w:val="nil"/>
              <w:right w:val="nil"/>
              <w:between w:val="nil"/>
            </w:pBdr>
            <w:tabs>
              <w:tab w:val="right" w:leader="dot" w:pos="9350"/>
            </w:tabs>
            <w:spacing w:after="100"/>
            <w:rPr>
              <w:color w:val="000000"/>
            </w:rPr>
          </w:pPr>
          <w:hyperlink w:anchor="_30j0zll">
            <w:r w:rsidR="000D63D0">
              <w:rPr>
                <w:rFonts w:ascii="Times New Roman" w:eastAsia="Times New Roman" w:hAnsi="Times New Roman" w:cs="Times New Roman"/>
                <w:color w:val="000000"/>
              </w:rPr>
              <w:t>Eric Erickson’s Psychosocial Theory</w:t>
            </w:r>
          </w:hyperlink>
          <w:hyperlink w:anchor="_30j0zll">
            <w:r w:rsidR="000D63D0">
              <w:rPr>
                <w:color w:val="000000"/>
              </w:rPr>
              <w:tab/>
              <w:t>2</w:t>
            </w:r>
          </w:hyperlink>
        </w:p>
        <w:p w14:paraId="00000016" w14:textId="77777777" w:rsidR="00ED6ADC" w:rsidRDefault="00000000">
          <w:pPr>
            <w:pBdr>
              <w:top w:val="nil"/>
              <w:left w:val="nil"/>
              <w:bottom w:val="nil"/>
              <w:right w:val="nil"/>
              <w:between w:val="nil"/>
            </w:pBdr>
            <w:tabs>
              <w:tab w:val="right" w:leader="dot" w:pos="9350"/>
            </w:tabs>
            <w:spacing w:after="100"/>
            <w:ind w:left="220"/>
            <w:rPr>
              <w:color w:val="000000"/>
            </w:rPr>
          </w:pPr>
          <w:hyperlink w:anchor="_1fob9te">
            <w:r w:rsidR="000D63D0">
              <w:rPr>
                <w:rFonts w:ascii="Times New Roman" w:eastAsia="Times New Roman" w:hAnsi="Times New Roman" w:cs="Times New Roman"/>
                <w:color w:val="000000"/>
              </w:rPr>
              <w:t>Strengths of Erickson’s Theory</w:t>
            </w:r>
          </w:hyperlink>
          <w:hyperlink w:anchor="_1fob9te">
            <w:r w:rsidR="000D63D0">
              <w:rPr>
                <w:color w:val="000000"/>
              </w:rPr>
              <w:tab/>
              <w:t>3</w:t>
            </w:r>
          </w:hyperlink>
        </w:p>
        <w:p w14:paraId="00000017" w14:textId="77777777" w:rsidR="00ED6ADC" w:rsidRDefault="00000000">
          <w:pPr>
            <w:pBdr>
              <w:top w:val="nil"/>
              <w:left w:val="nil"/>
              <w:bottom w:val="nil"/>
              <w:right w:val="nil"/>
              <w:between w:val="nil"/>
            </w:pBdr>
            <w:tabs>
              <w:tab w:val="right" w:leader="dot" w:pos="9350"/>
            </w:tabs>
            <w:spacing w:after="100"/>
            <w:ind w:left="220"/>
            <w:rPr>
              <w:color w:val="000000"/>
            </w:rPr>
          </w:pPr>
          <w:hyperlink w:anchor="_3znysh7">
            <w:r w:rsidR="000D63D0">
              <w:rPr>
                <w:rFonts w:ascii="Times New Roman" w:eastAsia="Times New Roman" w:hAnsi="Times New Roman" w:cs="Times New Roman"/>
                <w:color w:val="000000"/>
              </w:rPr>
              <w:t>Limitations of Erickson’s Theory</w:t>
            </w:r>
          </w:hyperlink>
          <w:hyperlink w:anchor="_3znysh7">
            <w:r w:rsidR="000D63D0">
              <w:rPr>
                <w:color w:val="000000"/>
              </w:rPr>
              <w:tab/>
              <w:t>3</w:t>
            </w:r>
          </w:hyperlink>
        </w:p>
        <w:p w14:paraId="00000018" w14:textId="77777777" w:rsidR="00ED6ADC" w:rsidRDefault="00000000">
          <w:pPr>
            <w:pBdr>
              <w:top w:val="nil"/>
              <w:left w:val="nil"/>
              <w:bottom w:val="nil"/>
              <w:right w:val="nil"/>
              <w:between w:val="nil"/>
            </w:pBdr>
            <w:tabs>
              <w:tab w:val="right" w:leader="dot" w:pos="9350"/>
            </w:tabs>
            <w:spacing w:after="100"/>
            <w:rPr>
              <w:color w:val="000000"/>
            </w:rPr>
          </w:pPr>
          <w:hyperlink w:anchor="_2et92p0">
            <w:r w:rsidR="000D63D0">
              <w:rPr>
                <w:rFonts w:ascii="Times New Roman" w:eastAsia="Times New Roman" w:hAnsi="Times New Roman" w:cs="Times New Roman"/>
                <w:color w:val="000000"/>
              </w:rPr>
              <w:t>Social learning Framework</w:t>
            </w:r>
          </w:hyperlink>
          <w:hyperlink w:anchor="_2et92p0">
            <w:r w:rsidR="000D63D0">
              <w:rPr>
                <w:color w:val="000000"/>
              </w:rPr>
              <w:tab/>
              <w:t>3</w:t>
            </w:r>
          </w:hyperlink>
        </w:p>
        <w:p w14:paraId="00000019" w14:textId="77777777" w:rsidR="00ED6ADC" w:rsidRDefault="00000000">
          <w:pPr>
            <w:pBdr>
              <w:top w:val="nil"/>
              <w:left w:val="nil"/>
              <w:bottom w:val="nil"/>
              <w:right w:val="nil"/>
              <w:between w:val="nil"/>
            </w:pBdr>
            <w:tabs>
              <w:tab w:val="right" w:leader="dot" w:pos="9350"/>
            </w:tabs>
            <w:spacing w:after="100"/>
            <w:rPr>
              <w:color w:val="000000"/>
            </w:rPr>
          </w:pPr>
          <w:hyperlink w:anchor="_tyjcwt">
            <w:r w:rsidR="000D63D0">
              <w:rPr>
                <w:rFonts w:ascii="Times New Roman" w:eastAsia="Times New Roman" w:hAnsi="Times New Roman" w:cs="Times New Roman"/>
                <w:color w:val="000000"/>
              </w:rPr>
              <w:t>Application of Social learning Theory in Healthcare</w:t>
            </w:r>
          </w:hyperlink>
          <w:hyperlink w:anchor="_tyjcwt">
            <w:r w:rsidR="000D63D0">
              <w:rPr>
                <w:color w:val="000000"/>
              </w:rPr>
              <w:tab/>
              <w:t>5</w:t>
            </w:r>
          </w:hyperlink>
        </w:p>
        <w:p w14:paraId="0000001A" w14:textId="77777777" w:rsidR="00ED6ADC" w:rsidRDefault="00000000">
          <w:pPr>
            <w:pBdr>
              <w:top w:val="nil"/>
              <w:left w:val="nil"/>
              <w:bottom w:val="nil"/>
              <w:right w:val="nil"/>
              <w:between w:val="nil"/>
            </w:pBdr>
            <w:tabs>
              <w:tab w:val="right" w:leader="dot" w:pos="9350"/>
            </w:tabs>
            <w:spacing w:after="100"/>
            <w:rPr>
              <w:color w:val="000000"/>
            </w:rPr>
          </w:pPr>
          <w:hyperlink w:anchor="_3dy6vkm">
            <w:r w:rsidR="000D63D0">
              <w:rPr>
                <w:rFonts w:ascii="Times New Roman" w:eastAsia="Times New Roman" w:hAnsi="Times New Roman" w:cs="Times New Roman"/>
                <w:color w:val="000000"/>
              </w:rPr>
              <w:t>Conclusion</w:t>
            </w:r>
          </w:hyperlink>
          <w:hyperlink w:anchor="_3dy6vkm">
            <w:r w:rsidR="000D63D0">
              <w:rPr>
                <w:color w:val="000000"/>
              </w:rPr>
              <w:tab/>
              <w:t>6</w:t>
            </w:r>
          </w:hyperlink>
        </w:p>
        <w:p w14:paraId="0000001B" w14:textId="77777777" w:rsidR="00ED6ADC" w:rsidRDefault="00000000">
          <w:pPr>
            <w:pBdr>
              <w:top w:val="nil"/>
              <w:left w:val="nil"/>
              <w:bottom w:val="nil"/>
              <w:right w:val="nil"/>
              <w:between w:val="nil"/>
            </w:pBdr>
            <w:tabs>
              <w:tab w:val="right" w:leader="dot" w:pos="9350"/>
            </w:tabs>
            <w:spacing w:after="100"/>
            <w:rPr>
              <w:color w:val="000000"/>
            </w:rPr>
          </w:pPr>
          <w:hyperlink w:anchor="_1t3h5sf">
            <w:r w:rsidR="000D63D0">
              <w:rPr>
                <w:rFonts w:ascii="Times New Roman" w:eastAsia="Times New Roman" w:hAnsi="Times New Roman" w:cs="Times New Roman"/>
                <w:b/>
                <w:color w:val="000000"/>
              </w:rPr>
              <w:t>References</w:t>
            </w:r>
          </w:hyperlink>
          <w:hyperlink w:anchor="_1t3h5sf">
            <w:r w:rsidR="000D63D0">
              <w:rPr>
                <w:color w:val="000000"/>
              </w:rPr>
              <w:tab/>
              <w:t>6</w:t>
            </w:r>
          </w:hyperlink>
        </w:p>
        <w:p w14:paraId="0000001C" w14:textId="77777777" w:rsidR="00ED6ADC" w:rsidRDefault="000D63D0">
          <w:r>
            <w:fldChar w:fldCharType="end"/>
          </w:r>
        </w:p>
      </w:sdtContent>
    </w:sdt>
    <w:p w14:paraId="0000001D" w14:textId="77777777" w:rsidR="00ED6ADC" w:rsidRDefault="00ED6ADC">
      <w:pPr>
        <w:spacing w:line="480" w:lineRule="auto"/>
        <w:jc w:val="both"/>
        <w:rPr>
          <w:rFonts w:ascii="Times New Roman" w:eastAsia="Times New Roman" w:hAnsi="Times New Roman" w:cs="Times New Roman"/>
          <w:sz w:val="24"/>
          <w:szCs w:val="24"/>
        </w:rPr>
      </w:pPr>
    </w:p>
    <w:p w14:paraId="0000001E" w14:textId="77777777" w:rsidR="00ED6ADC" w:rsidRDefault="00ED6ADC">
      <w:pPr>
        <w:spacing w:line="480" w:lineRule="auto"/>
        <w:jc w:val="both"/>
        <w:rPr>
          <w:rFonts w:ascii="Times New Roman" w:eastAsia="Times New Roman" w:hAnsi="Times New Roman" w:cs="Times New Roman"/>
          <w:sz w:val="24"/>
          <w:szCs w:val="24"/>
        </w:rPr>
      </w:pPr>
    </w:p>
    <w:p w14:paraId="0000001F" w14:textId="77777777" w:rsidR="00ED6ADC" w:rsidRDefault="00ED6ADC">
      <w:pPr>
        <w:spacing w:line="480" w:lineRule="auto"/>
        <w:jc w:val="both"/>
        <w:rPr>
          <w:rFonts w:ascii="Times New Roman" w:eastAsia="Times New Roman" w:hAnsi="Times New Roman" w:cs="Times New Roman"/>
          <w:sz w:val="24"/>
          <w:szCs w:val="24"/>
        </w:rPr>
      </w:pPr>
    </w:p>
    <w:p w14:paraId="00000020" w14:textId="77777777" w:rsidR="00ED6ADC" w:rsidRDefault="00ED6ADC">
      <w:pPr>
        <w:spacing w:line="480" w:lineRule="auto"/>
        <w:jc w:val="both"/>
        <w:rPr>
          <w:rFonts w:ascii="Times New Roman" w:eastAsia="Times New Roman" w:hAnsi="Times New Roman" w:cs="Times New Roman"/>
          <w:sz w:val="24"/>
          <w:szCs w:val="24"/>
        </w:rPr>
      </w:pPr>
    </w:p>
    <w:p w14:paraId="00000021" w14:textId="77777777" w:rsidR="00ED6ADC" w:rsidRDefault="00ED6ADC">
      <w:pPr>
        <w:spacing w:line="480" w:lineRule="auto"/>
        <w:jc w:val="both"/>
        <w:rPr>
          <w:rFonts w:ascii="Times New Roman" w:eastAsia="Times New Roman" w:hAnsi="Times New Roman" w:cs="Times New Roman"/>
          <w:sz w:val="24"/>
          <w:szCs w:val="24"/>
        </w:rPr>
      </w:pPr>
    </w:p>
    <w:p w14:paraId="00000022" w14:textId="77777777" w:rsidR="00ED6ADC" w:rsidRDefault="00ED6ADC">
      <w:pPr>
        <w:spacing w:line="480" w:lineRule="auto"/>
        <w:jc w:val="both"/>
        <w:rPr>
          <w:rFonts w:ascii="Times New Roman" w:eastAsia="Times New Roman" w:hAnsi="Times New Roman" w:cs="Times New Roman"/>
          <w:sz w:val="24"/>
          <w:szCs w:val="24"/>
        </w:rPr>
      </w:pPr>
    </w:p>
    <w:p w14:paraId="00000023" w14:textId="77777777" w:rsidR="00ED6ADC" w:rsidRDefault="00ED6ADC">
      <w:pPr>
        <w:spacing w:line="480" w:lineRule="auto"/>
        <w:jc w:val="both"/>
        <w:rPr>
          <w:rFonts w:ascii="Times New Roman" w:eastAsia="Times New Roman" w:hAnsi="Times New Roman" w:cs="Times New Roman"/>
          <w:sz w:val="24"/>
          <w:szCs w:val="24"/>
        </w:rPr>
      </w:pPr>
    </w:p>
    <w:p w14:paraId="00000024" w14:textId="77777777" w:rsidR="00ED6ADC" w:rsidRDefault="00ED6ADC">
      <w:pPr>
        <w:spacing w:line="480" w:lineRule="auto"/>
        <w:jc w:val="both"/>
        <w:rPr>
          <w:rFonts w:ascii="Times New Roman" w:eastAsia="Times New Roman" w:hAnsi="Times New Roman" w:cs="Times New Roman"/>
          <w:sz w:val="24"/>
          <w:szCs w:val="24"/>
        </w:rPr>
      </w:pPr>
    </w:p>
    <w:p w14:paraId="00000025" w14:textId="77777777" w:rsidR="00ED6ADC" w:rsidRDefault="00ED6ADC">
      <w:pPr>
        <w:spacing w:line="480" w:lineRule="auto"/>
        <w:jc w:val="both"/>
        <w:rPr>
          <w:rFonts w:ascii="Times New Roman" w:eastAsia="Times New Roman" w:hAnsi="Times New Roman" w:cs="Times New Roman"/>
          <w:sz w:val="24"/>
          <w:szCs w:val="24"/>
        </w:rPr>
      </w:pPr>
    </w:p>
    <w:p w14:paraId="00000026" w14:textId="77777777" w:rsidR="00ED6ADC" w:rsidRDefault="00ED6ADC">
      <w:pPr>
        <w:spacing w:line="480" w:lineRule="auto"/>
        <w:jc w:val="both"/>
        <w:rPr>
          <w:rFonts w:ascii="Times New Roman" w:eastAsia="Times New Roman" w:hAnsi="Times New Roman" w:cs="Times New Roman"/>
          <w:sz w:val="24"/>
          <w:szCs w:val="24"/>
        </w:rPr>
      </w:pPr>
    </w:p>
    <w:p w14:paraId="00000027" w14:textId="77777777" w:rsidR="00ED6ADC" w:rsidRDefault="00ED6ADC">
      <w:pPr>
        <w:spacing w:line="480" w:lineRule="auto"/>
        <w:jc w:val="both"/>
        <w:rPr>
          <w:rFonts w:ascii="Times New Roman" w:eastAsia="Times New Roman" w:hAnsi="Times New Roman" w:cs="Times New Roman"/>
          <w:sz w:val="24"/>
          <w:szCs w:val="24"/>
        </w:rPr>
      </w:pPr>
    </w:p>
    <w:p w14:paraId="00000028" w14:textId="77777777" w:rsidR="00ED6ADC" w:rsidRDefault="00ED6ADC">
      <w:pPr>
        <w:spacing w:line="480" w:lineRule="auto"/>
        <w:jc w:val="both"/>
        <w:rPr>
          <w:rFonts w:ascii="Times New Roman" w:eastAsia="Times New Roman" w:hAnsi="Times New Roman" w:cs="Times New Roman"/>
          <w:sz w:val="24"/>
          <w:szCs w:val="24"/>
        </w:rPr>
      </w:pPr>
    </w:p>
    <w:p w14:paraId="00000029" w14:textId="77777777" w:rsidR="00ED6ADC" w:rsidRDefault="00ED6ADC">
      <w:pPr>
        <w:spacing w:line="480" w:lineRule="auto"/>
        <w:jc w:val="both"/>
        <w:rPr>
          <w:rFonts w:ascii="Times New Roman" w:eastAsia="Times New Roman" w:hAnsi="Times New Roman" w:cs="Times New Roman"/>
          <w:sz w:val="24"/>
          <w:szCs w:val="24"/>
        </w:rPr>
      </w:pPr>
    </w:p>
    <w:p w14:paraId="0000002A" w14:textId="77777777" w:rsidR="00ED6ADC" w:rsidRDefault="000D63D0">
      <w:pPr>
        <w:pStyle w:val="Heading1"/>
        <w:spacing w:after="240" w:line="480" w:lineRule="auto"/>
        <w:jc w:val="center"/>
        <w:rPr>
          <w:rFonts w:ascii="Times New Roman" w:eastAsia="Times New Roman" w:hAnsi="Times New Roman" w:cs="Times New Roman"/>
          <w:b/>
          <w:sz w:val="24"/>
          <w:szCs w:val="24"/>
        </w:rPr>
      </w:pPr>
      <w:bookmarkStart w:id="0" w:name="_gjdgxs" w:colFirst="0" w:colLast="0"/>
      <w:bookmarkEnd w:id="0"/>
      <w:r>
        <w:rPr>
          <w:rFonts w:ascii="Times New Roman" w:eastAsia="Times New Roman" w:hAnsi="Times New Roman" w:cs="Times New Roman"/>
          <w:b/>
          <w:sz w:val="24"/>
          <w:szCs w:val="24"/>
        </w:rPr>
        <w:lastRenderedPageBreak/>
        <w:t>Introduction</w:t>
      </w:r>
    </w:p>
    <w:p w14:paraId="0000002B" w14:textId="422A1BC8"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following reflection report, psychological lifespan theory is </w:t>
      </w:r>
      <w:proofErr w:type="gramStart"/>
      <w:r>
        <w:rPr>
          <w:rFonts w:ascii="Times New Roman" w:eastAsia="Times New Roman" w:hAnsi="Times New Roman" w:cs="Times New Roman"/>
          <w:sz w:val="24"/>
          <w:szCs w:val="24"/>
        </w:rPr>
        <w:t>discussed</w:t>
      </w:r>
      <w:proofErr w:type="gramEnd"/>
      <w:r>
        <w:rPr>
          <w:rFonts w:ascii="Times New Roman" w:eastAsia="Times New Roman" w:hAnsi="Times New Roman" w:cs="Times New Roman"/>
          <w:sz w:val="24"/>
          <w:szCs w:val="24"/>
        </w:rPr>
        <w:t xml:space="preserve"> </w:t>
      </w:r>
      <w:r w:rsidR="003E27F9">
        <w:rPr>
          <w:rFonts w:ascii="Times New Roman" w:eastAsia="Times New Roman" w:hAnsi="Times New Roman" w:cs="Times New Roman"/>
          <w:sz w:val="24"/>
          <w:szCs w:val="24"/>
        </w:rPr>
        <w:t>and Erik</w:t>
      </w:r>
      <w:r>
        <w:rPr>
          <w:rFonts w:ascii="Times New Roman" w:eastAsia="Times New Roman" w:hAnsi="Times New Roman" w:cs="Times New Roman"/>
          <w:sz w:val="24"/>
          <w:szCs w:val="24"/>
        </w:rPr>
        <w:t xml:space="preserve"> Erikson’s psychosocial theory is made reference to. The theory of social learning has been fundamental to shaping my life and this is also described in detail in a section of the report on how it has impacted my life. Thereafter, a description of the psychological perspectives which have been learnt in the module are described including application of how they influence my current and future career. </w:t>
      </w:r>
    </w:p>
    <w:p w14:paraId="0000002C" w14:textId="77777777" w:rsidR="00ED6ADC" w:rsidRDefault="000D63D0">
      <w:pPr>
        <w:pStyle w:val="Heading1"/>
        <w:spacing w:after="240" w:line="480" w:lineRule="auto"/>
        <w:jc w:val="center"/>
        <w:rPr>
          <w:rFonts w:ascii="Times New Roman" w:eastAsia="Times New Roman" w:hAnsi="Times New Roman" w:cs="Times New Roman"/>
          <w:b/>
          <w:sz w:val="24"/>
          <w:szCs w:val="24"/>
        </w:rPr>
      </w:pPr>
      <w:bookmarkStart w:id="1" w:name="_30j0zll" w:colFirst="0" w:colLast="0"/>
      <w:bookmarkEnd w:id="1"/>
      <w:r>
        <w:rPr>
          <w:rFonts w:ascii="Times New Roman" w:eastAsia="Times New Roman" w:hAnsi="Times New Roman" w:cs="Times New Roman"/>
          <w:b/>
          <w:sz w:val="24"/>
          <w:szCs w:val="24"/>
        </w:rPr>
        <w:t>Eric Erickson’s Psychosocial Theory</w:t>
      </w:r>
    </w:p>
    <w:p w14:paraId="3BB8A4F1" w14:textId="62B630ED" w:rsidR="00E14799"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Eric Erickson came up with the psychosocial theory of development in the 1950s (Greene, 2017). The theory provides an outline of eight developmental stages that individuals go through across their lifespan along with their own unique social and psychosocial challenges and triumphs. This theory is particularly based on the notion that every developmental stage is characterized by a crisis which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developed so as to achieve healthy development (Steele, 2017). These stages are</w:t>
      </w:r>
      <w:r w:rsidR="00E14799">
        <w:rPr>
          <w:rFonts w:ascii="Times New Roman" w:eastAsia="Times New Roman" w:hAnsi="Times New Roman" w:cs="Times New Roman"/>
          <w:sz w:val="24"/>
          <w:szCs w:val="24"/>
        </w:rPr>
        <w:t xml:space="preserve"> trust versus mistrust from</w:t>
      </w:r>
      <w:r>
        <w:rPr>
          <w:rFonts w:ascii="Times New Roman" w:eastAsia="Times New Roman" w:hAnsi="Times New Roman" w:cs="Times New Roman"/>
          <w:sz w:val="24"/>
          <w:szCs w:val="24"/>
        </w:rPr>
        <w:t xml:space="preserve"> infancy period </w:t>
      </w:r>
      <w:r w:rsidR="00DB688C">
        <w:rPr>
          <w:rFonts w:ascii="Times New Roman" w:eastAsia="Times New Roman" w:hAnsi="Times New Roman" w:cs="Times New Roman"/>
          <w:sz w:val="24"/>
          <w:szCs w:val="24"/>
        </w:rPr>
        <w:t>(</w:t>
      </w:r>
      <w:r w:rsidR="00E14799">
        <w:rPr>
          <w:rFonts w:ascii="Times New Roman" w:eastAsia="Times New Roman" w:hAnsi="Times New Roman" w:cs="Times New Roman"/>
          <w:sz w:val="24"/>
          <w:szCs w:val="24"/>
        </w:rPr>
        <w:t>0-1 years</w:t>
      </w:r>
      <w:r w:rsidR="00DB688C">
        <w:rPr>
          <w:rFonts w:ascii="Times New Roman" w:eastAsia="Times New Roman" w:hAnsi="Times New Roman" w:cs="Times New Roman"/>
          <w:sz w:val="24"/>
          <w:szCs w:val="24"/>
        </w:rPr>
        <w:t xml:space="preserve">) where infants learn to either trust or mistrust the world based on the connections they make with their caregivers. Good connections lead to trust and bad connections lead to mistrust. </w:t>
      </w:r>
    </w:p>
    <w:p w14:paraId="1F86A3FD" w14:textId="3756D967" w:rsidR="00C13D6E" w:rsidRDefault="00DB688C">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stage is the </w:t>
      </w:r>
      <w:r w:rsidR="000D63D0">
        <w:rPr>
          <w:rFonts w:ascii="Times New Roman" w:eastAsia="Times New Roman" w:hAnsi="Times New Roman" w:cs="Times New Roman"/>
          <w:sz w:val="24"/>
          <w:szCs w:val="24"/>
        </w:rPr>
        <w:t xml:space="preserve">shame versus autonomy experienced in toddlerhood </w:t>
      </w:r>
      <w:r>
        <w:rPr>
          <w:rFonts w:ascii="Times New Roman" w:eastAsia="Times New Roman" w:hAnsi="Times New Roman" w:cs="Times New Roman"/>
          <w:sz w:val="24"/>
          <w:szCs w:val="24"/>
        </w:rPr>
        <w:t xml:space="preserve">from the ages of (1-3) years. Here toddlers become too shameful of themselves when </w:t>
      </w:r>
      <w:r w:rsidR="00C13D6E">
        <w:rPr>
          <w:rFonts w:ascii="Times New Roman" w:eastAsia="Times New Roman" w:hAnsi="Times New Roman" w:cs="Times New Roman"/>
          <w:sz w:val="24"/>
          <w:szCs w:val="24"/>
        </w:rPr>
        <w:t>they are overly criticiz</w:t>
      </w:r>
      <w:r>
        <w:rPr>
          <w:rFonts w:ascii="Times New Roman" w:eastAsia="Times New Roman" w:hAnsi="Times New Roman" w:cs="Times New Roman"/>
          <w:sz w:val="24"/>
          <w:szCs w:val="24"/>
        </w:rPr>
        <w:t xml:space="preserve">ed or become autonomous when they are </w:t>
      </w:r>
      <w:r w:rsidR="00C13D6E">
        <w:rPr>
          <w:rFonts w:ascii="Times New Roman" w:eastAsia="Times New Roman" w:hAnsi="Times New Roman" w:cs="Times New Roman"/>
          <w:sz w:val="24"/>
          <w:szCs w:val="24"/>
        </w:rPr>
        <w:t>less controlled about their bodies. The third stage is</w:t>
      </w:r>
      <w:r w:rsidR="000D63D0">
        <w:rPr>
          <w:rFonts w:ascii="Times New Roman" w:eastAsia="Times New Roman" w:hAnsi="Times New Roman" w:cs="Times New Roman"/>
          <w:sz w:val="24"/>
          <w:szCs w:val="24"/>
        </w:rPr>
        <w:t xml:space="preserve"> guilt versus initiative </w:t>
      </w:r>
      <w:r w:rsidR="00C13D6E">
        <w:rPr>
          <w:rFonts w:ascii="Times New Roman" w:eastAsia="Times New Roman" w:hAnsi="Times New Roman" w:cs="Times New Roman"/>
          <w:sz w:val="24"/>
          <w:szCs w:val="24"/>
        </w:rPr>
        <w:t>which is experienced</w:t>
      </w:r>
      <w:r w:rsidR="000D63D0">
        <w:rPr>
          <w:rFonts w:ascii="Times New Roman" w:eastAsia="Times New Roman" w:hAnsi="Times New Roman" w:cs="Times New Roman"/>
          <w:sz w:val="24"/>
          <w:szCs w:val="24"/>
        </w:rPr>
        <w:t xml:space="preserve"> in early childhood </w:t>
      </w:r>
      <w:r w:rsidR="00C13D6E">
        <w:rPr>
          <w:rFonts w:ascii="Times New Roman" w:eastAsia="Times New Roman" w:hAnsi="Times New Roman" w:cs="Times New Roman"/>
          <w:sz w:val="24"/>
          <w:szCs w:val="24"/>
        </w:rPr>
        <w:t>(3-6) years where children develop a sense of initiative and purpose when they are allowed to take on new tasks or guilt when they feel inhibited.</w:t>
      </w:r>
    </w:p>
    <w:p w14:paraId="0000002D" w14:textId="2B046E25" w:rsidR="00ED6ADC" w:rsidRDefault="00C13D6E">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fourth stage is</w:t>
      </w:r>
      <w:r w:rsidR="000D63D0">
        <w:rPr>
          <w:rFonts w:ascii="Times New Roman" w:eastAsia="Times New Roman" w:hAnsi="Times New Roman" w:cs="Times New Roman"/>
          <w:sz w:val="24"/>
          <w:szCs w:val="24"/>
        </w:rPr>
        <w:t xml:space="preserve"> inferiority versus industry experienced in late and middle adulthood</w:t>
      </w:r>
      <w:r w:rsidR="00E1479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(6-11) years </w:t>
      </w:r>
      <w:r w:rsidR="00E14799">
        <w:rPr>
          <w:rFonts w:ascii="Times New Roman" w:eastAsia="Times New Roman" w:hAnsi="Times New Roman" w:cs="Times New Roman"/>
          <w:sz w:val="24"/>
          <w:szCs w:val="24"/>
        </w:rPr>
        <w:t>(</w:t>
      </w:r>
      <w:proofErr w:type="spellStart"/>
      <w:r w:rsidR="00E14799">
        <w:rPr>
          <w:rFonts w:ascii="Times New Roman" w:eastAsia="Times New Roman" w:hAnsi="Times New Roman" w:cs="Times New Roman"/>
          <w:sz w:val="24"/>
          <w:szCs w:val="24"/>
        </w:rPr>
        <w:t>Wickramarathne</w:t>
      </w:r>
      <w:proofErr w:type="spellEnd"/>
      <w:r w:rsidR="00E14799">
        <w:rPr>
          <w:rFonts w:ascii="Times New Roman" w:eastAsia="Times New Roman" w:hAnsi="Times New Roman" w:cs="Times New Roman"/>
          <w:sz w:val="24"/>
          <w:szCs w:val="24"/>
        </w:rPr>
        <w:t xml:space="preserve"> et al., 20</w:t>
      </w:r>
      <w:r>
        <w:rPr>
          <w:rFonts w:ascii="Times New Roman" w:eastAsia="Times New Roman" w:hAnsi="Times New Roman" w:cs="Times New Roman"/>
          <w:sz w:val="24"/>
          <w:szCs w:val="24"/>
        </w:rPr>
        <w:t>20). The fifth stage is experienced during the adolescence and is called</w:t>
      </w:r>
      <w:r w:rsidR="000D63D0">
        <w:rPr>
          <w:rFonts w:ascii="Times New Roman" w:eastAsia="Times New Roman" w:hAnsi="Times New Roman" w:cs="Times New Roman"/>
          <w:sz w:val="24"/>
          <w:szCs w:val="24"/>
        </w:rPr>
        <w:t xml:space="preserve"> role confusion versus identity</w:t>
      </w:r>
      <w:r>
        <w:rPr>
          <w:rFonts w:ascii="Times New Roman" w:eastAsia="Times New Roman" w:hAnsi="Times New Roman" w:cs="Times New Roman"/>
          <w:sz w:val="24"/>
          <w:szCs w:val="24"/>
        </w:rPr>
        <w:t xml:space="preserve"> stage (12-18) years. Here, children could develop a sense of industry when they become responsible or become inferior when they feel inadequate in their activities (Maree, 2021). The sixth stage occurs </w:t>
      </w:r>
      <w:r w:rsidR="000D63D0">
        <w:rPr>
          <w:rFonts w:ascii="Times New Roman" w:eastAsia="Times New Roman" w:hAnsi="Times New Roman" w:cs="Times New Roman"/>
          <w:sz w:val="24"/>
          <w:szCs w:val="24"/>
        </w:rPr>
        <w:t>during young adulthood</w:t>
      </w:r>
      <w:r>
        <w:rPr>
          <w:rFonts w:ascii="Times New Roman" w:eastAsia="Times New Roman" w:hAnsi="Times New Roman" w:cs="Times New Roman"/>
          <w:sz w:val="24"/>
          <w:szCs w:val="24"/>
        </w:rPr>
        <w:t xml:space="preserve"> (19-40) years and</w:t>
      </w:r>
      <w:r w:rsidR="000D63D0">
        <w:rPr>
          <w:rFonts w:ascii="Times New Roman" w:eastAsia="Times New Roman" w:hAnsi="Times New Roman" w:cs="Times New Roman"/>
          <w:sz w:val="24"/>
          <w:szCs w:val="24"/>
        </w:rPr>
        <w:t xml:space="preserve"> is the isolation versus intimacy </w:t>
      </w:r>
      <w:r>
        <w:rPr>
          <w:rFonts w:ascii="Times New Roman" w:eastAsia="Times New Roman" w:hAnsi="Times New Roman" w:cs="Times New Roman"/>
          <w:sz w:val="24"/>
          <w:szCs w:val="24"/>
        </w:rPr>
        <w:t xml:space="preserve">stage where adults develop intimate relationships with others or feel alone and isolated when they do not. The seventh stage is the </w:t>
      </w:r>
      <w:r w:rsidR="000D63D0">
        <w:rPr>
          <w:rFonts w:ascii="Times New Roman" w:eastAsia="Times New Roman" w:hAnsi="Times New Roman" w:cs="Times New Roman"/>
          <w:sz w:val="24"/>
          <w:szCs w:val="24"/>
        </w:rPr>
        <w:t xml:space="preserve">stagnation versus generativity </w:t>
      </w:r>
      <w:r>
        <w:rPr>
          <w:rFonts w:ascii="Times New Roman" w:eastAsia="Times New Roman" w:hAnsi="Times New Roman" w:cs="Times New Roman"/>
          <w:sz w:val="24"/>
          <w:szCs w:val="24"/>
        </w:rPr>
        <w:t xml:space="preserve">stage which occurs </w:t>
      </w:r>
      <w:r w:rsidR="000D63D0">
        <w:rPr>
          <w:rFonts w:ascii="Times New Roman" w:eastAsia="Times New Roman" w:hAnsi="Times New Roman" w:cs="Times New Roman"/>
          <w:sz w:val="24"/>
          <w:szCs w:val="24"/>
        </w:rPr>
        <w:t>during the middle adulthood</w:t>
      </w:r>
      <w:r>
        <w:rPr>
          <w:rFonts w:ascii="Times New Roman" w:eastAsia="Times New Roman" w:hAnsi="Times New Roman" w:cs="Times New Roman"/>
          <w:sz w:val="24"/>
          <w:szCs w:val="24"/>
        </w:rPr>
        <w:t xml:space="preserve"> between ages</w:t>
      </w:r>
      <w:r w:rsidR="000D63D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(40-65) years </w:t>
      </w:r>
      <w:r w:rsidR="000D63D0">
        <w:rPr>
          <w:rFonts w:ascii="Times New Roman" w:eastAsia="Times New Roman" w:hAnsi="Times New Roman" w:cs="Times New Roman"/>
          <w:sz w:val="24"/>
          <w:szCs w:val="24"/>
        </w:rPr>
        <w:t xml:space="preserve">and finally during late adulthood the crisis are either despair or integrity </w:t>
      </w:r>
      <w:r>
        <w:rPr>
          <w:rFonts w:ascii="Times New Roman" w:eastAsia="Times New Roman" w:hAnsi="Times New Roman" w:cs="Times New Roman"/>
          <w:sz w:val="24"/>
          <w:szCs w:val="24"/>
        </w:rPr>
        <w:t xml:space="preserve">depending on how they feel when it comes to their relevance </w:t>
      </w:r>
      <w:proofErr w:type="gramStart"/>
      <w:r>
        <w:rPr>
          <w:rFonts w:ascii="Times New Roman" w:eastAsia="Times New Roman" w:hAnsi="Times New Roman" w:cs="Times New Roman"/>
          <w:sz w:val="24"/>
          <w:szCs w:val="24"/>
        </w:rPr>
        <w:t>and  contribution</w:t>
      </w:r>
      <w:proofErr w:type="gramEnd"/>
      <w:r>
        <w:rPr>
          <w:rFonts w:ascii="Times New Roman" w:eastAsia="Times New Roman" w:hAnsi="Times New Roman" w:cs="Times New Roman"/>
          <w:sz w:val="24"/>
          <w:szCs w:val="24"/>
        </w:rPr>
        <w:t xml:space="preserve"> to the society </w:t>
      </w:r>
      <w:r w:rsidR="000D63D0">
        <w:rPr>
          <w:rFonts w:ascii="Times New Roman" w:eastAsia="Times New Roman" w:hAnsi="Times New Roman" w:cs="Times New Roman"/>
          <w:sz w:val="24"/>
          <w:szCs w:val="24"/>
        </w:rPr>
        <w:t>(</w:t>
      </w:r>
      <w:proofErr w:type="spellStart"/>
      <w:r w:rsidR="000D63D0">
        <w:rPr>
          <w:rFonts w:ascii="Times New Roman" w:eastAsia="Times New Roman" w:hAnsi="Times New Roman" w:cs="Times New Roman"/>
          <w:sz w:val="24"/>
          <w:szCs w:val="24"/>
        </w:rPr>
        <w:t>Bezner</w:t>
      </w:r>
      <w:proofErr w:type="spellEnd"/>
      <w:r w:rsidR="000D63D0">
        <w:rPr>
          <w:rFonts w:ascii="Times New Roman" w:eastAsia="Times New Roman" w:hAnsi="Times New Roman" w:cs="Times New Roman"/>
          <w:sz w:val="24"/>
          <w:szCs w:val="24"/>
        </w:rPr>
        <w:t xml:space="preserve">, 2015). </w:t>
      </w:r>
      <w:r>
        <w:rPr>
          <w:rFonts w:ascii="Times New Roman" w:eastAsia="Times New Roman" w:hAnsi="Times New Roman" w:cs="Times New Roman"/>
          <w:sz w:val="24"/>
          <w:szCs w:val="24"/>
        </w:rPr>
        <w:t xml:space="preserve">The eight stage is the ego integrity versus despair and occurs above the age of 65 where older adults conduct a reflection on their past lives and success is associated with ego integrity and lack of fulfilment by regret or despair (Greene, 2021). </w:t>
      </w:r>
      <w:r w:rsidR="000D63D0">
        <w:rPr>
          <w:rFonts w:ascii="Times New Roman" w:eastAsia="Times New Roman" w:hAnsi="Times New Roman" w:cs="Times New Roman"/>
          <w:sz w:val="24"/>
          <w:szCs w:val="24"/>
        </w:rPr>
        <w:t xml:space="preserve">By successfully completing each stage, one develops a specific strength or virtue and failure to succeed, could result in maladaptive attitudes and behaviours. </w:t>
      </w:r>
    </w:p>
    <w:p w14:paraId="0000002E" w14:textId="77777777" w:rsidR="00ED6ADC" w:rsidRDefault="000D63D0">
      <w:pPr>
        <w:pStyle w:val="Heading2"/>
        <w:spacing w:after="240" w:line="480" w:lineRule="auto"/>
        <w:rPr>
          <w:rFonts w:ascii="Times New Roman" w:eastAsia="Times New Roman" w:hAnsi="Times New Roman" w:cs="Times New Roman"/>
          <w:b/>
          <w:sz w:val="24"/>
          <w:szCs w:val="24"/>
        </w:rPr>
      </w:pPr>
      <w:bookmarkStart w:id="2" w:name="_1fob9te" w:colFirst="0" w:colLast="0"/>
      <w:bookmarkEnd w:id="2"/>
      <w:r>
        <w:rPr>
          <w:rFonts w:ascii="Times New Roman" w:eastAsia="Times New Roman" w:hAnsi="Times New Roman" w:cs="Times New Roman"/>
          <w:b/>
          <w:sz w:val="24"/>
          <w:szCs w:val="24"/>
        </w:rPr>
        <w:t>Strengths of Erickson’s Theory</w:t>
      </w:r>
    </w:p>
    <w:p w14:paraId="0000002F" w14:textId="4A55A11B"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strengths of the Erickson’s theory. First is that the theory is a holistic approach in that it incorporates both the social and psychological aspects of development and both external and internal factors which shape individual development (Maree, 2021). Second, the theory provides a lifespan perspective which cuts across the entire human lifespan from infancy to old age as opposed to other development theories which only run from childhood to adolescence. Thirds, Greene (2021), opines that the theory looks at crisis and resolution at each stage meaning that one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understand which crisis to expect at which developmental stage and how to address them for healthy development. </w:t>
      </w:r>
      <w:r w:rsidR="008F74E3">
        <w:rPr>
          <w:rFonts w:ascii="Times New Roman" w:eastAsia="Times New Roman" w:hAnsi="Times New Roman" w:cs="Times New Roman"/>
          <w:sz w:val="24"/>
          <w:szCs w:val="24"/>
        </w:rPr>
        <w:t>The stages have been provided on the table below.</w:t>
      </w:r>
    </w:p>
    <w:p w14:paraId="55B2E059" w14:textId="6668F1EE" w:rsidR="008F74E3" w:rsidRPr="00245186" w:rsidRDefault="008F74E3">
      <w:pPr>
        <w:spacing w:after="240" w:line="480" w:lineRule="auto"/>
        <w:jc w:val="both"/>
        <w:rPr>
          <w:rFonts w:ascii="Times New Roman" w:eastAsia="Times New Roman" w:hAnsi="Times New Roman" w:cs="Times New Roman"/>
          <w:b/>
          <w:sz w:val="24"/>
          <w:szCs w:val="24"/>
        </w:rPr>
      </w:pPr>
      <w:r w:rsidRPr="00245186">
        <w:rPr>
          <w:rFonts w:ascii="Times New Roman" w:eastAsia="Times New Roman" w:hAnsi="Times New Roman" w:cs="Times New Roman"/>
          <w:b/>
          <w:sz w:val="24"/>
          <w:szCs w:val="24"/>
        </w:rPr>
        <w:lastRenderedPageBreak/>
        <w:t>Table 1: Eric Erickson’s psychosocial Stages of Development</w:t>
      </w:r>
    </w:p>
    <w:tbl>
      <w:tblPr>
        <w:tblStyle w:val="TableGrid"/>
        <w:tblW w:w="0" w:type="auto"/>
        <w:tblLook w:val="04A0" w:firstRow="1" w:lastRow="0" w:firstColumn="1" w:lastColumn="0" w:noHBand="0" w:noVBand="1"/>
      </w:tblPr>
      <w:tblGrid>
        <w:gridCol w:w="792"/>
        <w:gridCol w:w="1483"/>
        <w:gridCol w:w="2789"/>
        <w:gridCol w:w="1976"/>
        <w:gridCol w:w="2310"/>
      </w:tblGrid>
      <w:tr w:rsidR="008F74E3" w14:paraId="2EAA5984" w14:textId="77777777" w:rsidTr="008F74E3">
        <w:tc>
          <w:tcPr>
            <w:tcW w:w="805" w:type="dxa"/>
          </w:tcPr>
          <w:p w14:paraId="2FFAE053" w14:textId="7439F63E"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Stage</w:t>
            </w:r>
          </w:p>
        </w:tc>
        <w:tc>
          <w:tcPr>
            <w:tcW w:w="1620" w:type="dxa"/>
          </w:tcPr>
          <w:p w14:paraId="467CADBD" w14:textId="5516337F"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w:t>
            </w:r>
          </w:p>
        </w:tc>
        <w:tc>
          <w:tcPr>
            <w:tcW w:w="3185" w:type="dxa"/>
          </w:tcPr>
          <w:p w14:paraId="3822007B" w14:textId="6F171DF1"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Crisis</w:t>
            </w:r>
          </w:p>
        </w:tc>
        <w:tc>
          <w:tcPr>
            <w:tcW w:w="1870" w:type="dxa"/>
          </w:tcPr>
          <w:p w14:paraId="0B7939D7" w14:textId="2E0A0379"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Virtue</w:t>
            </w:r>
          </w:p>
        </w:tc>
        <w:tc>
          <w:tcPr>
            <w:tcW w:w="1870" w:type="dxa"/>
          </w:tcPr>
          <w:p w14:paraId="44ACA7B3" w14:textId="4774A195"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Outcome (If failed)</w:t>
            </w:r>
          </w:p>
        </w:tc>
      </w:tr>
      <w:tr w:rsidR="008F74E3" w14:paraId="43FB6032" w14:textId="77777777" w:rsidTr="008F74E3">
        <w:tc>
          <w:tcPr>
            <w:tcW w:w="805" w:type="dxa"/>
          </w:tcPr>
          <w:p w14:paraId="5838EE79" w14:textId="45FCCA49"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20" w:type="dxa"/>
          </w:tcPr>
          <w:p w14:paraId="1B2189C7" w14:textId="073C38CD"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Infancy-1 year</w:t>
            </w:r>
          </w:p>
        </w:tc>
        <w:tc>
          <w:tcPr>
            <w:tcW w:w="3185" w:type="dxa"/>
          </w:tcPr>
          <w:p w14:paraId="70AF4765" w14:textId="593BFFE4"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Trust vs. Mistrust</w:t>
            </w:r>
          </w:p>
        </w:tc>
        <w:tc>
          <w:tcPr>
            <w:tcW w:w="1870" w:type="dxa"/>
          </w:tcPr>
          <w:p w14:paraId="0F52DF10" w14:textId="3C68E075"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Hope</w:t>
            </w:r>
          </w:p>
        </w:tc>
        <w:tc>
          <w:tcPr>
            <w:tcW w:w="1870" w:type="dxa"/>
          </w:tcPr>
          <w:p w14:paraId="7944158B" w14:textId="2C88D9AE"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Fear/Suspicion</w:t>
            </w:r>
          </w:p>
        </w:tc>
      </w:tr>
      <w:tr w:rsidR="008F74E3" w14:paraId="6CBE8A65" w14:textId="77777777" w:rsidTr="008F74E3">
        <w:tc>
          <w:tcPr>
            <w:tcW w:w="805" w:type="dxa"/>
          </w:tcPr>
          <w:p w14:paraId="1DA62AD1" w14:textId="035FF381"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620" w:type="dxa"/>
          </w:tcPr>
          <w:p w14:paraId="0AC566CD" w14:textId="3378BC37"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yr-3 years</w:t>
            </w:r>
          </w:p>
        </w:tc>
        <w:tc>
          <w:tcPr>
            <w:tcW w:w="3185" w:type="dxa"/>
          </w:tcPr>
          <w:p w14:paraId="520575E7" w14:textId="240259DE"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Autonomy vs. Shame/doubt</w:t>
            </w:r>
          </w:p>
        </w:tc>
        <w:tc>
          <w:tcPr>
            <w:tcW w:w="1870" w:type="dxa"/>
          </w:tcPr>
          <w:p w14:paraId="3688F7EF" w14:textId="7067FE2B"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w:t>
            </w:r>
          </w:p>
        </w:tc>
        <w:tc>
          <w:tcPr>
            <w:tcW w:w="1870" w:type="dxa"/>
          </w:tcPr>
          <w:p w14:paraId="3F9C5D92" w14:textId="253C2794"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self-esteem/shame</w:t>
            </w:r>
          </w:p>
        </w:tc>
      </w:tr>
      <w:tr w:rsidR="008F74E3" w14:paraId="4027DE06" w14:textId="77777777" w:rsidTr="008F74E3">
        <w:tc>
          <w:tcPr>
            <w:tcW w:w="805" w:type="dxa"/>
          </w:tcPr>
          <w:p w14:paraId="64D03528" w14:textId="130D5017"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620" w:type="dxa"/>
          </w:tcPr>
          <w:p w14:paraId="22943219" w14:textId="576AB398"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 years</w:t>
            </w:r>
          </w:p>
        </w:tc>
        <w:tc>
          <w:tcPr>
            <w:tcW w:w="3185" w:type="dxa"/>
          </w:tcPr>
          <w:p w14:paraId="2A52B882" w14:textId="436C16AB"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Initiative vs. Guilt</w:t>
            </w:r>
          </w:p>
        </w:tc>
        <w:tc>
          <w:tcPr>
            <w:tcW w:w="1870" w:type="dxa"/>
          </w:tcPr>
          <w:p w14:paraId="427D1B62" w14:textId="5C492154"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Purpose</w:t>
            </w:r>
          </w:p>
        </w:tc>
        <w:tc>
          <w:tcPr>
            <w:tcW w:w="1870" w:type="dxa"/>
          </w:tcPr>
          <w:p w14:paraId="5490555E" w14:textId="65B6EF75"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Guilt/inadequacy</w:t>
            </w:r>
          </w:p>
        </w:tc>
      </w:tr>
      <w:tr w:rsidR="008F74E3" w14:paraId="7D9C6F9B" w14:textId="77777777" w:rsidTr="008F74E3">
        <w:tc>
          <w:tcPr>
            <w:tcW w:w="805" w:type="dxa"/>
          </w:tcPr>
          <w:p w14:paraId="547D7514" w14:textId="00C64CFD"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620" w:type="dxa"/>
          </w:tcPr>
          <w:p w14:paraId="6C01657E" w14:textId="39D95655"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6-12 years</w:t>
            </w:r>
          </w:p>
        </w:tc>
        <w:tc>
          <w:tcPr>
            <w:tcW w:w="3185" w:type="dxa"/>
          </w:tcPr>
          <w:p w14:paraId="0C9F7BD4" w14:textId="091DC83D"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Industry vs. Inferiority</w:t>
            </w:r>
          </w:p>
        </w:tc>
        <w:tc>
          <w:tcPr>
            <w:tcW w:w="1870" w:type="dxa"/>
          </w:tcPr>
          <w:p w14:paraId="5D5E1A9A" w14:textId="4EA88C3C"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Competence/pride</w:t>
            </w:r>
          </w:p>
        </w:tc>
        <w:tc>
          <w:tcPr>
            <w:tcW w:w="1870" w:type="dxa"/>
          </w:tcPr>
          <w:p w14:paraId="7E2F74B0" w14:textId="34A198AF"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Inferiority/doubt</w:t>
            </w:r>
          </w:p>
        </w:tc>
      </w:tr>
      <w:tr w:rsidR="008F74E3" w14:paraId="084AEFFF" w14:textId="77777777" w:rsidTr="008F74E3">
        <w:tc>
          <w:tcPr>
            <w:tcW w:w="805" w:type="dxa"/>
          </w:tcPr>
          <w:p w14:paraId="75728E42" w14:textId="52843617"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620" w:type="dxa"/>
          </w:tcPr>
          <w:p w14:paraId="46C86B0B" w14:textId="4A618270"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12-8 years</w:t>
            </w:r>
          </w:p>
        </w:tc>
        <w:tc>
          <w:tcPr>
            <w:tcW w:w="3185" w:type="dxa"/>
          </w:tcPr>
          <w:p w14:paraId="11BF6296" w14:textId="01268F7C"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Identity vs. Role confusion</w:t>
            </w:r>
          </w:p>
        </w:tc>
        <w:tc>
          <w:tcPr>
            <w:tcW w:w="1870" w:type="dxa"/>
          </w:tcPr>
          <w:p w14:paraId="7635C2F2" w14:textId="247B6695"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Fidelity</w:t>
            </w:r>
          </w:p>
        </w:tc>
        <w:tc>
          <w:tcPr>
            <w:tcW w:w="1870" w:type="dxa"/>
          </w:tcPr>
          <w:p w14:paraId="0784AF6F" w14:textId="26F40AF5"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Rebellion</w:t>
            </w:r>
          </w:p>
        </w:tc>
      </w:tr>
      <w:tr w:rsidR="008F74E3" w14:paraId="4E936318" w14:textId="77777777" w:rsidTr="008F74E3">
        <w:tc>
          <w:tcPr>
            <w:tcW w:w="805" w:type="dxa"/>
          </w:tcPr>
          <w:p w14:paraId="3DE5C5BB" w14:textId="351BE254"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620" w:type="dxa"/>
          </w:tcPr>
          <w:p w14:paraId="32DF6456" w14:textId="19D5DA35"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18-40 years</w:t>
            </w:r>
          </w:p>
        </w:tc>
        <w:tc>
          <w:tcPr>
            <w:tcW w:w="3185" w:type="dxa"/>
          </w:tcPr>
          <w:p w14:paraId="3F190312" w14:textId="3B55BC27"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Intimacy vs. isolation</w:t>
            </w:r>
          </w:p>
        </w:tc>
        <w:tc>
          <w:tcPr>
            <w:tcW w:w="1870" w:type="dxa"/>
          </w:tcPr>
          <w:p w14:paraId="3D979C7C" w14:textId="69B981B6"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Love</w:t>
            </w:r>
          </w:p>
        </w:tc>
        <w:tc>
          <w:tcPr>
            <w:tcW w:w="1870" w:type="dxa"/>
          </w:tcPr>
          <w:p w14:paraId="7C5B1DCE" w14:textId="0A6A89BC"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Isolation/unhappiness</w:t>
            </w:r>
          </w:p>
        </w:tc>
      </w:tr>
      <w:tr w:rsidR="008F74E3" w14:paraId="2EFF09F0" w14:textId="77777777" w:rsidTr="008F74E3">
        <w:tc>
          <w:tcPr>
            <w:tcW w:w="805" w:type="dxa"/>
          </w:tcPr>
          <w:p w14:paraId="074D61EB" w14:textId="09C68AE2"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620" w:type="dxa"/>
          </w:tcPr>
          <w:p w14:paraId="3EB231D0" w14:textId="3C20DCB9"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40-65 years</w:t>
            </w:r>
          </w:p>
        </w:tc>
        <w:tc>
          <w:tcPr>
            <w:tcW w:w="3185" w:type="dxa"/>
          </w:tcPr>
          <w:p w14:paraId="552DD04D" w14:textId="5DD0AAFE"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Generativity vs. S</w:t>
            </w:r>
            <w:r w:rsidR="00245186">
              <w:rPr>
                <w:rFonts w:ascii="Times New Roman" w:eastAsia="Times New Roman" w:hAnsi="Times New Roman" w:cs="Times New Roman"/>
                <w:sz w:val="24"/>
                <w:szCs w:val="24"/>
              </w:rPr>
              <w:t>tagn</w:t>
            </w:r>
            <w:r>
              <w:rPr>
                <w:rFonts w:ascii="Times New Roman" w:eastAsia="Times New Roman" w:hAnsi="Times New Roman" w:cs="Times New Roman"/>
                <w:sz w:val="24"/>
                <w:szCs w:val="24"/>
              </w:rPr>
              <w:t>ation</w:t>
            </w:r>
          </w:p>
        </w:tc>
        <w:tc>
          <w:tcPr>
            <w:tcW w:w="1870" w:type="dxa"/>
          </w:tcPr>
          <w:p w14:paraId="599D0EB6" w14:textId="7EC908FD"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w:t>
            </w:r>
          </w:p>
        </w:tc>
        <w:tc>
          <w:tcPr>
            <w:tcW w:w="1870" w:type="dxa"/>
          </w:tcPr>
          <w:p w14:paraId="794A35CE" w14:textId="68F813EA"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Stagnant/feeling unproductive</w:t>
            </w:r>
          </w:p>
        </w:tc>
      </w:tr>
      <w:tr w:rsidR="008F74E3" w14:paraId="550DDBBB" w14:textId="77777777" w:rsidTr="008F74E3">
        <w:tc>
          <w:tcPr>
            <w:tcW w:w="805" w:type="dxa"/>
          </w:tcPr>
          <w:p w14:paraId="092CF776" w14:textId="20CAB5D4"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620" w:type="dxa"/>
          </w:tcPr>
          <w:p w14:paraId="1D1E10FB" w14:textId="6036B80F" w:rsidR="008F74E3" w:rsidRDefault="008F74E3"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65+ years</w:t>
            </w:r>
          </w:p>
        </w:tc>
        <w:tc>
          <w:tcPr>
            <w:tcW w:w="3185" w:type="dxa"/>
          </w:tcPr>
          <w:p w14:paraId="257E3FFB" w14:textId="5DBCF9B2"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Integrity vs. Despair</w:t>
            </w:r>
          </w:p>
        </w:tc>
        <w:tc>
          <w:tcPr>
            <w:tcW w:w="1870" w:type="dxa"/>
          </w:tcPr>
          <w:p w14:paraId="77694F01" w14:textId="04B3BA7E"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Wisdom</w:t>
            </w:r>
          </w:p>
        </w:tc>
        <w:tc>
          <w:tcPr>
            <w:tcW w:w="1870" w:type="dxa"/>
          </w:tcPr>
          <w:p w14:paraId="1E08DCDD" w14:textId="5EA03D14" w:rsidR="008F74E3" w:rsidRDefault="00245186" w:rsidP="008F74E3">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Despair/unfulfilled</w:t>
            </w:r>
          </w:p>
        </w:tc>
      </w:tr>
    </w:tbl>
    <w:p w14:paraId="3E47A0E3" w14:textId="77777777" w:rsidR="008F74E3" w:rsidRDefault="008F74E3">
      <w:pPr>
        <w:spacing w:after="240" w:line="480" w:lineRule="auto"/>
        <w:jc w:val="both"/>
        <w:rPr>
          <w:rFonts w:ascii="Times New Roman" w:eastAsia="Times New Roman" w:hAnsi="Times New Roman" w:cs="Times New Roman"/>
          <w:sz w:val="24"/>
          <w:szCs w:val="24"/>
        </w:rPr>
      </w:pPr>
    </w:p>
    <w:p w14:paraId="00000030" w14:textId="77777777" w:rsidR="00ED6ADC" w:rsidRDefault="000D63D0">
      <w:pPr>
        <w:pStyle w:val="Heading2"/>
        <w:spacing w:after="240" w:line="480" w:lineRule="auto"/>
        <w:rPr>
          <w:rFonts w:ascii="Times New Roman" w:eastAsia="Times New Roman" w:hAnsi="Times New Roman" w:cs="Times New Roman"/>
          <w:b/>
          <w:sz w:val="24"/>
          <w:szCs w:val="24"/>
        </w:rPr>
      </w:pPr>
      <w:bookmarkStart w:id="3" w:name="_3znysh7" w:colFirst="0" w:colLast="0"/>
      <w:bookmarkEnd w:id="3"/>
      <w:r>
        <w:rPr>
          <w:rFonts w:ascii="Times New Roman" w:eastAsia="Times New Roman" w:hAnsi="Times New Roman" w:cs="Times New Roman"/>
          <w:b/>
          <w:sz w:val="24"/>
          <w:szCs w:val="24"/>
        </w:rPr>
        <w:t>Limitations of Erickson’s Theory</w:t>
      </w:r>
    </w:p>
    <w:p w14:paraId="00000031" w14:textId="77777777"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also various limitation of Erickson’s theory. First, the theory lacks empirical support and evidence to support the existence of the specific stages and crisis (Steele, 2017).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the theory has been critiqued for being too broad and without clear guidelines on how to overcome the specific crisis. </w:t>
      </w:r>
      <w:proofErr w:type="gramStart"/>
      <w:r>
        <w:rPr>
          <w:rFonts w:ascii="Times New Roman" w:eastAsia="Times New Roman" w:hAnsi="Times New Roman" w:cs="Times New Roman"/>
          <w:sz w:val="24"/>
          <w:szCs w:val="24"/>
        </w:rPr>
        <w:t>Greene (2021),</w:t>
      </w:r>
      <w:proofErr w:type="gramEnd"/>
      <w:r>
        <w:rPr>
          <w:rFonts w:ascii="Times New Roman" w:eastAsia="Times New Roman" w:hAnsi="Times New Roman" w:cs="Times New Roman"/>
          <w:sz w:val="24"/>
          <w:szCs w:val="24"/>
        </w:rPr>
        <w:t xml:space="preserve"> also suggests that the theory seems too biased towards the western culture and thus cannot be generalized to other cultures. Also, </w:t>
      </w:r>
      <w:proofErr w:type="spellStart"/>
      <w:r>
        <w:rPr>
          <w:rFonts w:ascii="Times New Roman" w:eastAsia="Times New Roman" w:hAnsi="Times New Roman" w:cs="Times New Roman"/>
          <w:sz w:val="24"/>
          <w:szCs w:val="24"/>
        </w:rPr>
        <w:t>Bezner</w:t>
      </w:r>
      <w:proofErr w:type="spellEnd"/>
      <w:r>
        <w:rPr>
          <w:rFonts w:ascii="Times New Roman" w:eastAsia="Times New Roman" w:hAnsi="Times New Roman" w:cs="Times New Roman"/>
          <w:sz w:val="24"/>
          <w:szCs w:val="24"/>
        </w:rPr>
        <w:t xml:space="preserve"> (2015) attests that the theory lacks biological focus and only looks at the role of the environment and social factors in shaping development which is a neglect that negates the true essence of </w:t>
      </w:r>
      <w:proofErr w:type="gramStart"/>
      <w:r>
        <w:rPr>
          <w:rFonts w:ascii="Times New Roman" w:eastAsia="Times New Roman" w:hAnsi="Times New Roman" w:cs="Times New Roman"/>
          <w:sz w:val="24"/>
          <w:szCs w:val="24"/>
        </w:rPr>
        <w:t>development</w:t>
      </w:r>
      <w:proofErr w:type="gramEnd"/>
      <w:r>
        <w:rPr>
          <w:rFonts w:ascii="Times New Roman" w:eastAsia="Times New Roman" w:hAnsi="Times New Roman" w:cs="Times New Roman"/>
          <w:sz w:val="24"/>
          <w:szCs w:val="24"/>
        </w:rPr>
        <w:t xml:space="preserve"> </w:t>
      </w:r>
    </w:p>
    <w:p w14:paraId="00000032" w14:textId="77777777" w:rsidR="00ED6ADC" w:rsidRDefault="000D63D0">
      <w:pPr>
        <w:pStyle w:val="Heading1"/>
        <w:spacing w:after="240" w:line="480" w:lineRule="auto"/>
        <w:jc w:val="center"/>
        <w:rPr>
          <w:rFonts w:ascii="Times New Roman" w:eastAsia="Times New Roman" w:hAnsi="Times New Roman" w:cs="Times New Roman"/>
          <w:b/>
          <w:sz w:val="24"/>
          <w:szCs w:val="24"/>
        </w:rPr>
      </w:pPr>
      <w:bookmarkStart w:id="4" w:name="_2et92p0" w:colFirst="0" w:colLast="0"/>
      <w:bookmarkEnd w:id="4"/>
      <w:r>
        <w:rPr>
          <w:rFonts w:ascii="Times New Roman" w:eastAsia="Times New Roman" w:hAnsi="Times New Roman" w:cs="Times New Roman"/>
          <w:b/>
          <w:sz w:val="24"/>
          <w:szCs w:val="24"/>
        </w:rPr>
        <w:lastRenderedPageBreak/>
        <w:t>Social learning Framework</w:t>
      </w:r>
    </w:p>
    <w:p w14:paraId="00000033" w14:textId="77777777"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learning theory by Albert Bandura Akers &amp; </w:t>
      </w:r>
      <w:proofErr w:type="spellStart"/>
      <w:r>
        <w:rPr>
          <w:rFonts w:ascii="Times New Roman" w:eastAsia="Times New Roman" w:hAnsi="Times New Roman" w:cs="Times New Roman"/>
          <w:sz w:val="24"/>
          <w:szCs w:val="24"/>
        </w:rPr>
        <w:t>Jenning</w:t>
      </w:r>
      <w:proofErr w:type="spellEnd"/>
      <w:r>
        <w:rPr>
          <w:rFonts w:ascii="Times New Roman" w:eastAsia="Times New Roman" w:hAnsi="Times New Roman" w:cs="Times New Roman"/>
          <w:sz w:val="24"/>
          <w:szCs w:val="24"/>
        </w:rPr>
        <w:t xml:space="preserve"> (2015</w:t>
      </w:r>
      <w:proofErr w:type="gramStart"/>
      <w:r>
        <w:rPr>
          <w:rFonts w:ascii="Times New Roman" w:eastAsia="Times New Roman" w:hAnsi="Times New Roman" w:cs="Times New Roman"/>
          <w:sz w:val="24"/>
          <w:szCs w:val="24"/>
        </w:rPr>
        <w:t>), and</w:t>
      </w:r>
      <w:proofErr w:type="gramEnd"/>
      <w:r>
        <w:rPr>
          <w:rFonts w:ascii="Times New Roman" w:eastAsia="Times New Roman" w:hAnsi="Times New Roman" w:cs="Times New Roman"/>
          <w:sz w:val="24"/>
          <w:szCs w:val="24"/>
        </w:rPr>
        <w:t xml:space="preserve"> seeks to understand how humans learn behaviours. According to Kendall et al (2018), the social learning perspective is an exciting perspective because it provides a dynamic and unique approach to the comprehension of human behaviour. It looks at the vitality of modelling, reinforcement and observation to determine the acquisition and maintenance of attitudes, beliefs and behaviours (</w:t>
      </w:r>
      <w:proofErr w:type="spellStart"/>
      <w:r>
        <w:rPr>
          <w:rFonts w:ascii="Times New Roman" w:eastAsia="Times New Roman" w:hAnsi="Times New Roman" w:cs="Times New Roman"/>
          <w:sz w:val="24"/>
          <w:szCs w:val="24"/>
        </w:rPr>
        <w:t>Mukhalalati</w:t>
      </w:r>
      <w:proofErr w:type="spellEnd"/>
      <w:r>
        <w:rPr>
          <w:rFonts w:ascii="Times New Roman" w:eastAsia="Times New Roman" w:hAnsi="Times New Roman" w:cs="Times New Roman"/>
          <w:sz w:val="24"/>
          <w:szCs w:val="24"/>
        </w:rPr>
        <w:t xml:space="preserve"> &amp; Taylor, 2019). One vital strength of the perspective is that it acknowledges the valuable impact of the environment on individual behaviour (Allan, 2017). This perspective therefore does not consider human beings as passive recipients of influences in their environment but rather as active agents who actively modify their environment instead. Another thing that stands out about the social learning perspective which is also a strength is the fact that the perspective can be applied in various situations and disciplines such as therapy, education and counselling (Maher, 2018). Through comprehension of the different processes that behaviour is learned and maintains the perspective can be used to develop effective strategies for skill acquisition and behaviour change. </w:t>
      </w:r>
    </w:p>
    <w:p w14:paraId="00000034" w14:textId="77777777"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Kendal et al. (2018), the social learning perspective emphasizes that individual behaviours, attitudes, beliefs and general outlook towards life are learnt through observation and modelling. This is also true in my case as I have learnt from my role model in the profession that being a health and social care professional is not as easy as some novice people might think. My own aunt was a nurse and I used to see the long nights she took reading and preparing for her assignments and how that paid off to getting her dream job of nursing. I have also observed her with keen interest to understand how she deals with the stresses of the job and how she always triumphs and ends up filling fulfilled with her accomplishments. From observing and modelling </w:t>
      </w:r>
      <w:r>
        <w:rPr>
          <w:rFonts w:ascii="Times New Roman" w:eastAsia="Times New Roman" w:hAnsi="Times New Roman" w:cs="Times New Roman"/>
          <w:sz w:val="24"/>
          <w:szCs w:val="24"/>
        </w:rPr>
        <w:lastRenderedPageBreak/>
        <w:t xml:space="preserve">her behaviour, I also entered the field of health and social care and since that day, I have never let a downing moment fulfil my career. I have triumphed over challenges and </w:t>
      </w:r>
      <w:proofErr w:type="gramStart"/>
      <w:r>
        <w:rPr>
          <w:rFonts w:ascii="Times New Roman" w:eastAsia="Times New Roman" w:hAnsi="Times New Roman" w:cs="Times New Roman"/>
          <w:sz w:val="24"/>
          <w:szCs w:val="24"/>
        </w:rPr>
        <w:t>still continue</w:t>
      </w:r>
      <w:proofErr w:type="gramEnd"/>
      <w:r>
        <w:rPr>
          <w:rFonts w:ascii="Times New Roman" w:eastAsia="Times New Roman" w:hAnsi="Times New Roman" w:cs="Times New Roman"/>
          <w:sz w:val="24"/>
          <w:szCs w:val="24"/>
        </w:rPr>
        <w:t xml:space="preserve"> overcoming challenges which could have made me resign from my career a while back. Therefore, through modelling other people’s behaviour, one can become a mirror of their role models and therefore, it is essential to pick the right role models with positive impacts on one’s life.</w:t>
      </w:r>
    </w:p>
    <w:p w14:paraId="00000035" w14:textId="77777777" w:rsidR="00ED6ADC" w:rsidRDefault="000D63D0">
      <w:pPr>
        <w:pStyle w:val="Heading1"/>
        <w:spacing w:after="240" w:line="480" w:lineRule="auto"/>
        <w:jc w:val="center"/>
        <w:rPr>
          <w:rFonts w:ascii="Times New Roman" w:eastAsia="Times New Roman" w:hAnsi="Times New Roman" w:cs="Times New Roman"/>
          <w:b/>
          <w:sz w:val="24"/>
          <w:szCs w:val="24"/>
        </w:rPr>
      </w:pPr>
      <w:bookmarkStart w:id="5" w:name="_tyjcwt" w:colFirst="0" w:colLast="0"/>
      <w:bookmarkEnd w:id="5"/>
      <w:r>
        <w:rPr>
          <w:rFonts w:ascii="Times New Roman" w:eastAsia="Times New Roman" w:hAnsi="Times New Roman" w:cs="Times New Roman"/>
          <w:b/>
          <w:sz w:val="24"/>
          <w:szCs w:val="24"/>
        </w:rPr>
        <w:t>Application of Social learning Theory in Healthcare</w:t>
      </w:r>
    </w:p>
    <w:p w14:paraId="00000036" w14:textId="77777777"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social care and healthcare professional, the social learning theory is a useful theory which can be applied in my current and future undertakings as I help patients achieve their goals. According to Maher (2018), social learning theory emphasizes on the fact that an individual should always purpose to learn from their environment. This includes through observation of others, through reinforcement and through modelling (Allan, 2017). Therefore, I can also help my patients learn through various ways. One of these ways is though modelling health behaviours. As a health and social care professional, one can model healthy behaviours to their patients such as trough eating of healthy and balanced diet, regular exercise and effective stress management practices (Akers &amp; Jennings, 2015). If I model these behaviours to my patients, they can easily observe and learn how to adopt healthy behaviours in their own lives to become healthier. By being a good role model, one can easily make their patients understand that it is not just a job to be a </w:t>
      </w:r>
      <w:proofErr w:type="gramStart"/>
      <w:r>
        <w:rPr>
          <w:rFonts w:ascii="Times New Roman" w:eastAsia="Times New Roman" w:hAnsi="Times New Roman" w:cs="Times New Roman"/>
          <w:sz w:val="24"/>
          <w:szCs w:val="24"/>
        </w:rPr>
        <w:t>provider</w:t>
      </w:r>
      <w:proofErr w:type="gramEnd"/>
      <w:r>
        <w:rPr>
          <w:rFonts w:ascii="Times New Roman" w:eastAsia="Times New Roman" w:hAnsi="Times New Roman" w:cs="Times New Roman"/>
          <w:sz w:val="24"/>
          <w:szCs w:val="24"/>
        </w:rPr>
        <w:t xml:space="preserve"> but healthcare professionals actually practice these healthy behaviours because they are actually health promoting. </w:t>
      </w:r>
    </w:p>
    <w:p w14:paraId="00000037" w14:textId="77777777"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in which one can use the social learning theory as a healthcare professional to apply in their practice is through patient education According to </w:t>
      </w:r>
      <w:proofErr w:type="spellStart"/>
      <w:r>
        <w:rPr>
          <w:rFonts w:ascii="Times New Roman" w:eastAsia="Times New Roman" w:hAnsi="Times New Roman" w:cs="Times New Roman"/>
          <w:sz w:val="24"/>
          <w:szCs w:val="24"/>
        </w:rPr>
        <w:t>Mukhalalati</w:t>
      </w:r>
      <w:proofErr w:type="spellEnd"/>
      <w:r>
        <w:rPr>
          <w:rFonts w:ascii="Times New Roman" w:eastAsia="Times New Roman" w:hAnsi="Times New Roman" w:cs="Times New Roman"/>
          <w:sz w:val="24"/>
          <w:szCs w:val="24"/>
        </w:rPr>
        <w:t xml:space="preserve"> and Taylor (2019), social learning works on the concepts of cognitive processes such as memory, attention and decision </w:t>
      </w:r>
      <w:r>
        <w:rPr>
          <w:rFonts w:ascii="Times New Roman" w:eastAsia="Times New Roman" w:hAnsi="Times New Roman" w:cs="Times New Roman"/>
          <w:sz w:val="24"/>
          <w:szCs w:val="24"/>
        </w:rPr>
        <w:lastRenderedPageBreak/>
        <w:t xml:space="preserve">making. Therefore, as a health and social care provider I will apply these concepts and engage in teaching and creating awareness in my patients about health and wellness. Akers and Jennings (2015) affirm that healthcare professionals should provide patient education to their patients which is tailored to the need sad lifestyle of their patients. By offering information that is memorable, engaging and relevant, patients can remember key </w:t>
      </w:r>
      <w:proofErr w:type="gramStart"/>
      <w:r>
        <w:rPr>
          <w:rFonts w:ascii="Times New Roman" w:eastAsia="Times New Roman" w:hAnsi="Times New Roman" w:cs="Times New Roman"/>
          <w:sz w:val="24"/>
          <w:szCs w:val="24"/>
        </w:rPr>
        <w:t>data</w:t>
      </w:r>
      <w:proofErr w:type="gramEnd"/>
      <w:r>
        <w:rPr>
          <w:rFonts w:ascii="Times New Roman" w:eastAsia="Times New Roman" w:hAnsi="Times New Roman" w:cs="Times New Roman"/>
          <w:sz w:val="24"/>
          <w:szCs w:val="24"/>
        </w:rPr>
        <w:t xml:space="preserve"> and this will help them make informed decisions that will assist them to become better in their health choices and lifestyle choices as well (Mahar, 2018). Therefore, I will always make my learning sessions simple and relevant so that my patients can be able to make their own decisions as this also boosts patient-centred healthcare management.  </w:t>
      </w:r>
    </w:p>
    <w:p w14:paraId="00000038" w14:textId="77777777" w:rsidR="00ED6ADC" w:rsidRDefault="000D63D0">
      <w:pPr>
        <w:pStyle w:val="Heading1"/>
        <w:spacing w:after="240" w:line="480" w:lineRule="auto"/>
        <w:jc w:val="center"/>
        <w:rPr>
          <w:rFonts w:ascii="Times New Roman" w:eastAsia="Times New Roman" w:hAnsi="Times New Roman" w:cs="Times New Roman"/>
          <w:b/>
          <w:sz w:val="24"/>
          <w:szCs w:val="24"/>
        </w:rPr>
      </w:pPr>
      <w:bookmarkStart w:id="6" w:name="_3dy6vkm" w:colFirst="0" w:colLast="0"/>
      <w:bookmarkEnd w:id="6"/>
      <w:r>
        <w:rPr>
          <w:rFonts w:ascii="Times New Roman" w:eastAsia="Times New Roman" w:hAnsi="Times New Roman" w:cs="Times New Roman"/>
          <w:b/>
          <w:sz w:val="24"/>
          <w:szCs w:val="24"/>
        </w:rPr>
        <w:t>Conclusion</w:t>
      </w:r>
    </w:p>
    <w:p w14:paraId="00000039" w14:textId="77777777"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lifespan development theories are vital for understanding human life, and how people behave in different circumstances to either boost health and wellness and how individuals learn and adopt behaviours. The social learning theory has been a useful and impactful perspective in my life and surely will fashion my career and work life in future. As a health and social care professional, one could utilize the social learning theory in a myriad of ways to promote health behaviours and boost patient outcomes. Through modelling behaviours and providing patient education,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observational learning and cognitive mastery, health and social care workers can assist their patients to make positive behaviour shifts and acquire better health outcomes. The reflective report has described Erickson’s psychosocial theory and analysed its strengths and weaknesses as well as the social learning perspective, its impact in shaping my life and how to apply the concepts of the perspective to my present and future career in healthcare. </w:t>
      </w:r>
    </w:p>
    <w:p w14:paraId="0000003A" w14:textId="77777777" w:rsidR="00ED6ADC" w:rsidRDefault="00ED6ADC">
      <w:pPr>
        <w:spacing w:after="240" w:line="480" w:lineRule="auto"/>
        <w:jc w:val="both"/>
        <w:rPr>
          <w:rFonts w:ascii="Times New Roman" w:eastAsia="Times New Roman" w:hAnsi="Times New Roman" w:cs="Times New Roman"/>
          <w:sz w:val="24"/>
          <w:szCs w:val="24"/>
        </w:rPr>
      </w:pPr>
    </w:p>
    <w:p w14:paraId="0000003B" w14:textId="77777777" w:rsidR="00ED6ADC" w:rsidRDefault="00ED6ADC">
      <w:pPr>
        <w:spacing w:after="240" w:line="480" w:lineRule="auto"/>
        <w:jc w:val="both"/>
        <w:rPr>
          <w:rFonts w:ascii="Times New Roman" w:eastAsia="Times New Roman" w:hAnsi="Times New Roman" w:cs="Times New Roman"/>
          <w:sz w:val="24"/>
          <w:szCs w:val="24"/>
        </w:rPr>
      </w:pPr>
    </w:p>
    <w:p w14:paraId="0000003C" w14:textId="77777777" w:rsidR="00ED6ADC" w:rsidRDefault="000D63D0">
      <w:pPr>
        <w:pStyle w:val="Heading1"/>
        <w:spacing w:after="240" w:line="480" w:lineRule="auto"/>
        <w:jc w:val="center"/>
        <w:rPr>
          <w:rFonts w:ascii="Times New Roman" w:eastAsia="Times New Roman" w:hAnsi="Times New Roman" w:cs="Times New Roman"/>
          <w:b/>
          <w:sz w:val="24"/>
          <w:szCs w:val="24"/>
        </w:rPr>
      </w:pPr>
      <w:bookmarkStart w:id="7" w:name="_1t3h5sf" w:colFirst="0" w:colLast="0"/>
      <w:bookmarkEnd w:id="7"/>
      <w:r>
        <w:rPr>
          <w:rFonts w:ascii="Times New Roman" w:eastAsia="Times New Roman" w:hAnsi="Times New Roman" w:cs="Times New Roman"/>
          <w:b/>
          <w:sz w:val="24"/>
          <w:szCs w:val="24"/>
        </w:rPr>
        <w:t>References</w:t>
      </w:r>
    </w:p>
    <w:p w14:paraId="0000003D" w14:textId="77777777" w:rsidR="00ED6ADC" w:rsidRDefault="000D63D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Akers, R. L., &amp; Jennings, W. G. (2015). Social learning theory. </w:t>
      </w:r>
      <w:r>
        <w:rPr>
          <w:rFonts w:ascii="Times New Roman" w:eastAsia="Times New Roman" w:hAnsi="Times New Roman" w:cs="Times New Roman"/>
          <w:i/>
          <w:sz w:val="24"/>
          <w:szCs w:val="24"/>
        </w:rPr>
        <w:t>The handbook of criminological theory</w:t>
      </w:r>
      <w:r>
        <w:rPr>
          <w:rFonts w:ascii="Times New Roman" w:eastAsia="Times New Roman" w:hAnsi="Times New Roman" w:cs="Times New Roman"/>
          <w:sz w:val="24"/>
          <w:szCs w:val="24"/>
        </w:rPr>
        <w:t>, 230-240.</w:t>
      </w:r>
    </w:p>
    <w:p w14:paraId="0000003E" w14:textId="77777777" w:rsidR="00ED6ADC" w:rsidRDefault="000D63D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Allan, J. (2017). </w:t>
      </w:r>
      <w:r>
        <w:rPr>
          <w:rFonts w:ascii="Times New Roman" w:eastAsia="Times New Roman" w:hAnsi="Times New Roman" w:cs="Times New Roman"/>
          <w:i/>
          <w:sz w:val="24"/>
          <w:szCs w:val="24"/>
        </w:rPr>
        <w:t>An Analysis of Albert Bandura's Aggression: A Social Learning Analysis</w:t>
      </w:r>
      <w:r>
        <w:rPr>
          <w:rFonts w:ascii="Times New Roman" w:eastAsia="Times New Roman" w:hAnsi="Times New Roman" w:cs="Times New Roman"/>
          <w:sz w:val="24"/>
          <w:szCs w:val="24"/>
        </w:rPr>
        <w:t>. CRC Press.</w:t>
      </w:r>
    </w:p>
    <w:p w14:paraId="0000003F" w14:textId="77777777" w:rsidR="00ED6ADC" w:rsidRDefault="000D63D0">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Bezner</w:t>
      </w:r>
      <w:proofErr w:type="spellEnd"/>
      <w:r>
        <w:rPr>
          <w:rFonts w:ascii="Times New Roman" w:eastAsia="Times New Roman" w:hAnsi="Times New Roman" w:cs="Times New Roman"/>
          <w:sz w:val="24"/>
          <w:szCs w:val="24"/>
        </w:rPr>
        <w:t>, J. R. (2015). Promoting health and wellness: implications for physical therapist practice. </w:t>
      </w:r>
      <w:r>
        <w:rPr>
          <w:rFonts w:ascii="Times New Roman" w:eastAsia="Times New Roman" w:hAnsi="Times New Roman" w:cs="Times New Roman"/>
          <w:i/>
          <w:sz w:val="24"/>
          <w:szCs w:val="24"/>
        </w:rPr>
        <w:t>Physical therapy</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95</w:t>
      </w:r>
      <w:r>
        <w:rPr>
          <w:rFonts w:ascii="Times New Roman" w:eastAsia="Times New Roman" w:hAnsi="Times New Roman" w:cs="Times New Roman"/>
          <w:sz w:val="24"/>
          <w:szCs w:val="24"/>
        </w:rPr>
        <w:t>(10), 1433-1444.</w:t>
      </w:r>
    </w:p>
    <w:p w14:paraId="00000040" w14:textId="77777777" w:rsidR="00ED6ADC" w:rsidRDefault="000D63D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Greene, R. R. (2017). </w:t>
      </w:r>
      <w:proofErr w:type="spellStart"/>
      <w:r>
        <w:rPr>
          <w:rFonts w:ascii="Times New Roman" w:eastAsia="Times New Roman" w:hAnsi="Times New Roman" w:cs="Times New Roman"/>
          <w:sz w:val="24"/>
          <w:szCs w:val="24"/>
        </w:rPr>
        <w:t>Eriksonian</w:t>
      </w:r>
      <w:proofErr w:type="spellEnd"/>
      <w:r>
        <w:rPr>
          <w:rFonts w:ascii="Times New Roman" w:eastAsia="Times New Roman" w:hAnsi="Times New Roman" w:cs="Times New Roman"/>
          <w:sz w:val="24"/>
          <w:szCs w:val="24"/>
        </w:rPr>
        <w:t xml:space="preserve"> theory: A developmental approach to ego mastery. In </w:t>
      </w:r>
      <w:r>
        <w:rPr>
          <w:rFonts w:ascii="Times New Roman" w:eastAsia="Times New Roman" w:hAnsi="Times New Roman" w:cs="Times New Roman"/>
          <w:i/>
          <w:sz w:val="24"/>
          <w:szCs w:val="24"/>
        </w:rPr>
        <w:t xml:space="preserve">Human </w:t>
      </w:r>
      <w:proofErr w:type="spellStart"/>
      <w:r>
        <w:rPr>
          <w:rFonts w:ascii="Times New Roman" w:eastAsia="Times New Roman" w:hAnsi="Times New Roman" w:cs="Times New Roman"/>
          <w:i/>
          <w:sz w:val="24"/>
          <w:szCs w:val="24"/>
        </w:rPr>
        <w:t>Behavior</w:t>
      </w:r>
      <w:proofErr w:type="spellEnd"/>
      <w:r>
        <w:rPr>
          <w:rFonts w:ascii="Times New Roman" w:eastAsia="Times New Roman" w:hAnsi="Times New Roman" w:cs="Times New Roman"/>
          <w:i/>
          <w:sz w:val="24"/>
          <w:szCs w:val="24"/>
        </w:rPr>
        <w:t xml:space="preserve"> Theory&amp; Social Work Practice</w:t>
      </w:r>
      <w:r>
        <w:rPr>
          <w:rFonts w:ascii="Times New Roman" w:eastAsia="Times New Roman" w:hAnsi="Times New Roman" w:cs="Times New Roman"/>
          <w:sz w:val="24"/>
          <w:szCs w:val="24"/>
        </w:rPr>
        <w:t> (pp. 85-112). Routledge.</w:t>
      </w:r>
    </w:p>
    <w:p w14:paraId="00000041" w14:textId="77777777" w:rsidR="00ED6ADC" w:rsidRDefault="000D63D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Greene, R. R. (2021). Erikson’s healthy personality: resilience and development. </w:t>
      </w:r>
      <w:proofErr w:type="spellStart"/>
      <w:r>
        <w:rPr>
          <w:rFonts w:ascii="Times New Roman" w:eastAsia="Times New Roman" w:hAnsi="Times New Roman" w:cs="Times New Roman"/>
          <w:i/>
          <w:sz w:val="24"/>
          <w:szCs w:val="24"/>
        </w:rPr>
        <w:t>Acad</w:t>
      </w:r>
      <w:proofErr w:type="spellEnd"/>
      <w:r>
        <w:rPr>
          <w:rFonts w:ascii="Times New Roman" w:eastAsia="Times New Roman" w:hAnsi="Times New Roman" w:cs="Times New Roman"/>
          <w:i/>
          <w:sz w:val="24"/>
          <w:szCs w:val="24"/>
        </w:rPr>
        <w:t xml:space="preserve"> Lett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 1-5.</w:t>
      </w:r>
    </w:p>
    <w:p w14:paraId="00000042" w14:textId="77777777" w:rsidR="00ED6ADC" w:rsidRDefault="000D63D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Kendal, R. L., </w:t>
      </w:r>
      <w:proofErr w:type="spellStart"/>
      <w:r>
        <w:rPr>
          <w:rFonts w:ascii="Times New Roman" w:eastAsia="Times New Roman" w:hAnsi="Times New Roman" w:cs="Times New Roman"/>
          <w:sz w:val="24"/>
          <w:szCs w:val="24"/>
        </w:rPr>
        <w:t>Boogert</w:t>
      </w:r>
      <w:proofErr w:type="spellEnd"/>
      <w:r>
        <w:rPr>
          <w:rFonts w:ascii="Times New Roman" w:eastAsia="Times New Roman" w:hAnsi="Times New Roman" w:cs="Times New Roman"/>
          <w:sz w:val="24"/>
          <w:szCs w:val="24"/>
        </w:rPr>
        <w:t xml:space="preserve">, N. J., Rendell, L., </w:t>
      </w:r>
      <w:proofErr w:type="spellStart"/>
      <w:r>
        <w:rPr>
          <w:rFonts w:ascii="Times New Roman" w:eastAsia="Times New Roman" w:hAnsi="Times New Roman" w:cs="Times New Roman"/>
          <w:sz w:val="24"/>
          <w:szCs w:val="24"/>
        </w:rPr>
        <w:t>Laland</w:t>
      </w:r>
      <w:proofErr w:type="spellEnd"/>
      <w:r>
        <w:rPr>
          <w:rFonts w:ascii="Times New Roman" w:eastAsia="Times New Roman" w:hAnsi="Times New Roman" w:cs="Times New Roman"/>
          <w:sz w:val="24"/>
          <w:szCs w:val="24"/>
        </w:rPr>
        <w:t>, K. N., Webster, M., &amp; Jones, P. L. (2018). Social learning strategies: Bridge-building between fields. </w:t>
      </w:r>
      <w:r>
        <w:rPr>
          <w:rFonts w:ascii="Times New Roman" w:eastAsia="Times New Roman" w:hAnsi="Times New Roman" w:cs="Times New Roman"/>
          <w:i/>
          <w:sz w:val="24"/>
          <w:szCs w:val="24"/>
        </w:rPr>
        <w:t>Trends in cognitive sciences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(7), 651-665.</w:t>
      </w:r>
    </w:p>
    <w:p w14:paraId="00000043" w14:textId="77777777" w:rsidR="00ED6ADC" w:rsidRDefault="000D63D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Maher, L. P. (2018). </w:t>
      </w:r>
      <w:r>
        <w:rPr>
          <w:rFonts w:ascii="Times New Roman" w:eastAsia="Times New Roman" w:hAnsi="Times New Roman" w:cs="Times New Roman"/>
          <w:i/>
          <w:sz w:val="24"/>
          <w:szCs w:val="24"/>
        </w:rPr>
        <w:t>Learning political will in organizations: A social learning theory perspective</w:t>
      </w:r>
      <w:r>
        <w:rPr>
          <w:rFonts w:ascii="Times New Roman" w:eastAsia="Times New Roman" w:hAnsi="Times New Roman" w:cs="Times New Roman"/>
          <w:sz w:val="24"/>
          <w:szCs w:val="24"/>
        </w:rPr>
        <w:t> (Doctoral dissertation, The Florida State University).</w:t>
      </w:r>
    </w:p>
    <w:p w14:paraId="00000044" w14:textId="77777777" w:rsidR="00ED6ADC" w:rsidRDefault="000D63D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Maree, J. G. (2021). The psychosocial development theory of Erik Erikson: Critical overview. </w:t>
      </w:r>
      <w:r>
        <w:rPr>
          <w:rFonts w:ascii="Times New Roman" w:eastAsia="Times New Roman" w:hAnsi="Times New Roman" w:cs="Times New Roman"/>
          <w:i/>
          <w:sz w:val="24"/>
          <w:szCs w:val="24"/>
        </w:rPr>
        <w:t>Early Child Development and Care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191</w:t>
      </w:r>
      <w:r>
        <w:rPr>
          <w:rFonts w:ascii="Times New Roman" w:eastAsia="Times New Roman" w:hAnsi="Times New Roman" w:cs="Times New Roman"/>
          <w:sz w:val="24"/>
          <w:szCs w:val="24"/>
        </w:rPr>
        <w:t>(7-8), 1107-1121.</w:t>
      </w:r>
    </w:p>
    <w:p w14:paraId="00000045" w14:textId="77777777" w:rsidR="00ED6ADC" w:rsidRDefault="000D63D0">
      <w:pPr>
        <w:spacing w:line="480" w:lineRule="auto"/>
        <w:jc w:val="both"/>
        <w:rPr>
          <w:rFonts w:ascii="Times New Roman" w:eastAsia="Times New Roman" w:hAnsi="Times New Roman" w:cs="Times New Roman"/>
          <w:sz w:val="24"/>
          <w:szCs w:val="24"/>
        </w:rPr>
      </w:pPr>
      <w:bookmarkStart w:id="8" w:name="_4d34og8" w:colFirst="0" w:colLast="0"/>
      <w:bookmarkEnd w:id="8"/>
      <w:proofErr w:type="spellStart"/>
      <w:r>
        <w:rPr>
          <w:rFonts w:ascii="Times New Roman" w:eastAsia="Times New Roman" w:hAnsi="Times New Roman" w:cs="Times New Roman"/>
          <w:sz w:val="24"/>
          <w:szCs w:val="24"/>
        </w:rPr>
        <w:lastRenderedPageBreak/>
        <w:t>Mukhalalati</w:t>
      </w:r>
      <w:proofErr w:type="spellEnd"/>
      <w:r>
        <w:rPr>
          <w:rFonts w:ascii="Times New Roman" w:eastAsia="Times New Roman" w:hAnsi="Times New Roman" w:cs="Times New Roman"/>
          <w:sz w:val="24"/>
          <w:szCs w:val="24"/>
        </w:rPr>
        <w:t>, B. A., &amp; Taylor, A. (2019). Adult learning theories in context: a quick guide for healthcare professional educators. </w:t>
      </w:r>
      <w:r>
        <w:rPr>
          <w:rFonts w:ascii="Times New Roman" w:eastAsia="Times New Roman" w:hAnsi="Times New Roman" w:cs="Times New Roman"/>
          <w:i/>
          <w:sz w:val="24"/>
          <w:szCs w:val="24"/>
        </w:rPr>
        <w:t>Journal of Medical Education and Curricular Development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 2382120519840332.</w:t>
      </w:r>
    </w:p>
    <w:p w14:paraId="00000046" w14:textId="77777777" w:rsidR="00ED6ADC" w:rsidRDefault="000D63D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Steele, W. (2017). A theological dialogue with and evaluation of Erik H. Erikson’s theory of identity development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Pauline Baptismal Theology in Romans and some implications for pastoral care.</w:t>
      </w:r>
    </w:p>
    <w:p w14:paraId="00000047" w14:textId="77777777" w:rsidR="00ED6ADC" w:rsidRDefault="000D63D0">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Wickramarathne</w:t>
      </w:r>
      <w:proofErr w:type="spellEnd"/>
      <w:r>
        <w:rPr>
          <w:rFonts w:ascii="Times New Roman" w:eastAsia="Times New Roman" w:hAnsi="Times New Roman" w:cs="Times New Roman"/>
          <w:sz w:val="24"/>
          <w:szCs w:val="24"/>
        </w:rPr>
        <w:t xml:space="preserve">, P. C., Phuoc, J. C., &amp; </w:t>
      </w:r>
      <w:proofErr w:type="spellStart"/>
      <w:r>
        <w:rPr>
          <w:rFonts w:ascii="Times New Roman" w:eastAsia="Times New Roman" w:hAnsi="Times New Roman" w:cs="Times New Roman"/>
          <w:sz w:val="24"/>
          <w:szCs w:val="24"/>
        </w:rPr>
        <w:t>Albattat</w:t>
      </w:r>
      <w:proofErr w:type="spellEnd"/>
      <w:r>
        <w:rPr>
          <w:rFonts w:ascii="Times New Roman" w:eastAsia="Times New Roman" w:hAnsi="Times New Roman" w:cs="Times New Roman"/>
          <w:sz w:val="24"/>
          <w:szCs w:val="24"/>
        </w:rPr>
        <w:t>, A. R. S. (2020). A review of Wellness Dimension models: For the advancement of the Society. </w:t>
      </w:r>
      <w:r>
        <w:rPr>
          <w:rFonts w:ascii="Times New Roman" w:eastAsia="Times New Roman" w:hAnsi="Times New Roman" w:cs="Times New Roman"/>
          <w:i/>
          <w:sz w:val="24"/>
          <w:szCs w:val="24"/>
        </w:rPr>
        <w:t>European Journal of Social Sciences Studies</w:t>
      </w:r>
      <w:r>
        <w:rPr>
          <w:rFonts w:ascii="Times New Roman" w:eastAsia="Times New Roman" w:hAnsi="Times New Roman" w:cs="Times New Roman"/>
          <w:sz w:val="24"/>
          <w:szCs w:val="24"/>
        </w:rPr>
        <w:t>.</w:t>
      </w:r>
    </w:p>
    <w:sectPr w:rsidR="00ED6ADC">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FF43C" w14:textId="77777777" w:rsidR="00581049" w:rsidRDefault="00581049">
      <w:pPr>
        <w:spacing w:after="0" w:line="240" w:lineRule="auto"/>
      </w:pPr>
      <w:r>
        <w:separator/>
      </w:r>
    </w:p>
  </w:endnote>
  <w:endnote w:type="continuationSeparator" w:id="0">
    <w:p w14:paraId="06FAB4D9" w14:textId="77777777" w:rsidR="00581049" w:rsidRDefault="00581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C1611" w14:textId="77777777" w:rsidR="00581049" w:rsidRDefault="00581049">
      <w:pPr>
        <w:spacing w:after="0" w:line="240" w:lineRule="auto"/>
      </w:pPr>
      <w:r>
        <w:separator/>
      </w:r>
    </w:p>
  </w:footnote>
  <w:footnote w:type="continuationSeparator" w:id="0">
    <w:p w14:paraId="00936933" w14:textId="77777777" w:rsidR="00581049" w:rsidRDefault="005810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02836FC7" w:rsidR="00ED6ADC" w:rsidRDefault="000D63D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61FB7">
      <w:rPr>
        <w:noProof/>
        <w:color w:val="000000"/>
      </w:rPr>
      <w:t>10</w:t>
    </w:r>
    <w:r>
      <w:rPr>
        <w:color w:val="000000"/>
      </w:rPr>
      <w:fldChar w:fldCharType="end"/>
    </w:r>
  </w:p>
  <w:p w14:paraId="00000049" w14:textId="77777777" w:rsidR="00ED6ADC" w:rsidRDefault="00ED6ADC">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ADC"/>
    <w:rsid w:val="00077A4B"/>
    <w:rsid w:val="000D63D0"/>
    <w:rsid w:val="00245186"/>
    <w:rsid w:val="002B4CBE"/>
    <w:rsid w:val="002E668F"/>
    <w:rsid w:val="003E27F9"/>
    <w:rsid w:val="00581049"/>
    <w:rsid w:val="008F74E3"/>
    <w:rsid w:val="00961FB7"/>
    <w:rsid w:val="00C13D6E"/>
    <w:rsid w:val="00DB688C"/>
    <w:rsid w:val="00E14799"/>
    <w:rsid w:val="00ED6A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006FC"/>
  <w15:docId w15:val="{EA9988C5-64CC-4EA0-ADE7-DFED76EEE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8F74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10</Pages>
  <Words>2039</Words>
  <Characters>11624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Ohikuare Irogho (2128365)</cp:lastModifiedBy>
  <cp:revision>3</cp:revision>
  <dcterms:created xsi:type="dcterms:W3CDTF">2023-04-28T20:43:00Z</dcterms:created>
  <dcterms:modified xsi:type="dcterms:W3CDTF">2023-04-29T19:42:00Z</dcterms:modified>
</cp:coreProperties>
</file>