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6146" w:rsidRDefault="00546146" w:rsidP="00546146">
      <w:pPr>
        <w:jc w:val="center"/>
        <w:rPr>
          <w:rFonts w:ascii="Times New Roman" w:hAnsi="Times New Roman" w:cs="Times New Roman"/>
          <w:sz w:val="56"/>
          <w:szCs w:val="56"/>
        </w:rPr>
      </w:pPr>
    </w:p>
    <w:p w:rsidR="00546146" w:rsidRDefault="00546146" w:rsidP="00546146">
      <w:pPr>
        <w:jc w:val="center"/>
        <w:rPr>
          <w:rFonts w:ascii="Times New Roman" w:hAnsi="Times New Roman" w:cs="Times New Roman"/>
          <w:sz w:val="56"/>
          <w:szCs w:val="56"/>
        </w:rPr>
      </w:pPr>
    </w:p>
    <w:p w:rsidR="00546146" w:rsidRDefault="00546146" w:rsidP="00546146">
      <w:pPr>
        <w:jc w:val="center"/>
        <w:rPr>
          <w:rFonts w:ascii="Times New Roman" w:hAnsi="Times New Roman" w:cs="Times New Roman"/>
          <w:sz w:val="56"/>
          <w:szCs w:val="56"/>
        </w:rPr>
      </w:pPr>
    </w:p>
    <w:p w:rsidR="00103104" w:rsidRPr="00546146" w:rsidRDefault="00546146" w:rsidP="00546146">
      <w:pPr>
        <w:jc w:val="center"/>
        <w:rPr>
          <w:rFonts w:ascii="Times New Roman" w:hAnsi="Times New Roman" w:cs="Times New Roman"/>
          <w:sz w:val="72"/>
          <w:szCs w:val="56"/>
        </w:rPr>
      </w:pPr>
      <w:r w:rsidRPr="00546146">
        <w:rPr>
          <w:rFonts w:ascii="Times New Roman" w:hAnsi="Times New Roman" w:cs="Times New Roman"/>
          <w:sz w:val="72"/>
          <w:szCs w:val="56"/>
        </w:rPr>
        <w:t xml:space="preserve">Assessment Ⅱ </w:t>
      </w:r>
    </w:p>
    <w:p w:rsidR="00546146" w:rsidRPr="00546146" w:rsidRDefault="00546146" w:rsidP="00546146">
      <w:pPr>
        <w:jc w:val="center"/>
        <w:rPr>
          <w:rFonts w:ascii="Times New Roman" w:hAnsi="Times New Roman" w:cs="Times New Roman"/>
          <w:sz w:val="72"/>
          <w:szCs w:val="56"/>
        </w:rPr>
      </w:pPr>
      <w:r w:rsidRPr="00546146">
        <w:rPr>
          <w:rFonts w:ascii="Times New Roman" w:hAnsi="Times New Roman" w:cs="Times New Roman"/>
          <w:sz w:val="72"/>
          <w:szCs w:val="56"/>
        </w:rPr>
        <w:t>Accounting Fundamentals</w:t>
      </w:r>
    </w:p>
    <w:p w:rsidR="00546146" w:rsidRDefault="00546146" w:rsidP="00546146">
      <w:pPr>
        <w:jc w:val="center"/>
        <w:rPr>
          <w:rFonts w:ascii="Times New Roman" w:hAnsi="Times New Roman" w:cs="Times New Roman"/>
          <w:sz w:val="56"/>
          <w:szCs w:val="56"/>
        </w:rPr>
      </w:pPr>
    </w:p>
    <w:p w:rsidR="00546146" w:rsidRDefault="00546146" w:rsidP="00546146">
      <w:pPr>
        <w:jc w:val="center"/>
        <w:rPr>
          <w:rFonts w:ascii="Times New Roman" w:hAnsi="Times New Roman" w:cs="Times New Roman"/>
          <w:sz w:val="56"/>
          <w:szCs w:val="56"/>
        </w:rPr>
      </w:pPr>
    </w:p>
    <w:p w:rsidR="00546146" w:rsidRDefault="00546146" w:rsidP="00546146">
      <w:pPr>
        <w:jc w:val="center"/>
        <w:rPr>
          <w:rFonts w:ascii="Times New Roman" w:hAnsi="Times New Roman" w:cs="Times New Roman"/>
          <w:sz w:val="44"/>
          <w:szCs w:val="56"/>
        </w:rPr>
      </w:pPr>
      <w:r w:rsidRPr="00546146">
        <w:rPr>
          <w:rFonts w:ascii="Times New Roman" w:hAnsi="Times New Roman" w:cs="Times New Roman"/>
          <w:b/>
          <w:i/>
          <w:sz w:val="44"/>
          <w:szCs w:val="56"/>
        </w:rPr>
        <w:t>Student</w:t>
      </w:r>
      <w:r w:rsidRPr="00546146">
        <w:rPr>
          <w:rFonts w:ascii="Times New Roman" w:hAnsi="Times New Roman" w:cs="Times New Roman"/>
          <w:sz w:val="44"/>
          <w:szCs w:val="56"/>
        </w:rPr>
        <w:t>: Vasile Silviu Bracau (1919081)</w:t>
      </w:r>
    </w:p>
    <w:p w:rsidR="00546146" w:rsidRDefault="00546146" w:rsidP="00546146">
      <w:pPr>
        <w:jc w:val="center"/>
        <w:rPr>
          <w:rFonts w:ascii="Times New Roman" w:hAnsi="Times New Roman" w:cs="Times New Roman"/>
          <w:sz w:val="44"/>
          <w:szCs w:val="56"/>
        </w:rPr>
      </w:pPr>
      <w:r w:rsidRPr="00546146">
        <w:rPr>
          <w:rFonts w:ascii="Times New Roman" w:hAnsi="Times New Roman" w:cs="Times New Roman"/>
          <w:b/>
          <w:i/>
          <w:sz w:val="44"/>
          <w:szCs w:val="56"/>
        </w:rPr>
        <w:t>Lecturer</w:t>
      </w:r>
      <w:r>
        <w:rPr>
          <w:rFonts w:ascii="Times New Roman" w:hAnsi="Times New Roman" w:cs="Times New Roman"/>
          <w:sz w:val="44"/>
          <w:szCs w:val="56"/>
        </w:rPr>
        <w:t>: Dr. Widin Bongasu Sha’ven</w:t>
      </w:r>
    </w:p>
    <w:p w:rsidR="00546146" w:rsidRDefault="00546146" w:rsidP="00546146">
      <w:pPr>
        <w:jc w:val="center"/>
        <w:rPr>
          <w:rFonts w:ascii="Times New Roman" w:hAnsi="Times New Roman" w:cs="Times New Roman"/>
          <w:sz w:val="44"/>
          <w:szCs w:val="56"/>
        </w:rPr>
      </w:pPr>
    </w:p>
    <w:p w:rsidR="00546146" w:rsidRDefault="00546146">
      <w:pPr>
        <w:rPr>
          <w:rFonts w:ascii="Times New Roman" w:hAnsi="Times New Roman" w:cs="Times New Roman"/>
          <w:sz w:val="44"/>
          <w:szCs w:val="56"/>
        </w:rPr>
      </w:pPr>
      <w:r>
        <w:rPr>
          <w:rFonts w:ascii="Times New Roman" w:hAnsi="Times New Roman" w:cs="Times New Roman"/>
          <w:sz w:val="44"/>
          <w:szCs w:val="56"/>
        </w:rPr>
        <w:br w:type="page"/>
      </w:r>
    </w:p>
    <w:p w:rsidR="00531D2D" w:rsidRDefault="00531D2D" w:rsidP="00531D2D">
      <w:pPr>
        <w:pStyle w:val="Default"/>
      </w:pPr>
    </w:p>
    <w:p w:rsidR="00531D2D" w:rsidRDefault="00531D2D" w:rsidP="00531D2D">
      <w:pPr>
        <w:jc w:val="center"/>
        <w:rPr>
          <w:b/>
          <w:sz w:val="28"/>
        </w:rPr>
      </w:pPr>
    </w:p>
    <w:p w:rsidR="004C536D" w:rsidRPr="00531D2D" w:rsidRDefault="00531D2D" w:rsidP="004C536D">
      <w:pPr>
        <w:jc w:val="center"/>
        <w:rPr>
          <w:rFonts w:ascii="Times New Roman" w:hAnsi="Times New Roman" w:cs="Times New Roman"/>
          <w:b/>
          <w:sz w:val="32"/>
          <w:szCs w:val="24"/>
        </w:rPr>
      </w:pPr>
      <w:r w:rsidRPr="00531D2D">
        <w:rPr>
          <w:b/>
          <w:sz w:val="28"/>
        </w:rPr>
        <w:t xml:space="preserve"> </w:t>
      </w:r>
      <w:r w:rsidR="009D3ACD" w:rsidRPr="00103104">
        <w:rPr>
          <w:b/>
          <w:sz w:val="28"/>
          <w:szCs w:val="23"/>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25pt;height:320.25pt">
            <v:imagedata r:id="rId7" o:title="silviu"/>
          </v:shape>
        </w:pict>
      </w:r>
    </w:p>
    <w:p w:rsidR="00531D2D" w:rsidRDefault="00531D2D" w:rsidP="00531D2D">
      <w:pPr>
        <w:jc w:val="center"/>
        <w:rPr>
          <w:b/>
          <w:sz w:val="28"/>
          <w:szCs w:val="23"/>
        </w:rPr>
      </w:pPr>
    </w:p>
    <w:p w:rsidR="003955E8" w:rsidRPr="00835605" w:rsidRDefault="00531D2D">
      <w:pPr>
        <w:rPr>
          <w:b/>
          <w:sz w:val="32"/>
          <w:szCs w:val="23"/>
        </w:rPr>
      </w:pPr>
      <w:r>
        <w:rPr>
          <w:b/>
          <w:sz w:val="28"/>
          <w:szCs w:val="23"/>
        </w:rPr>
        <w:br w:type="page"/>
      </w:r>
      <w:r w:rsidRPr="00835605">
        <w:rPr>
          <w:b/>
          <w:sz w:val="36"/>
          <w:szCs w:val="23"/>
        </w:rPr>
        <w:lastRenderedPageBreak/>
        <w:t>Question 1</w:t>
      </w:r>
    </w:p>
    <w:tbl>
      <w:tblPr>
        <w:tblW w:w="4486" w:type="dxa"/>
        <w:tblInd w:w="93" w:type="dxa"/>
        <w:tblLook w:val="04A0"/>
      </w:tblPr>
      <w:tblGrid>
        <w:gridCol w:w="2344"/>
        <w:gridCol w:w="2142"/>
      </w:tblGrid>
      <w:tr w:rsidR="004C536D" w:rsidRPr="004C536D" w:rsidTr="005B1801">
        <w:trPr>
          <w:trHeight w:val="646"/>
        </w:trPr>
        <w:tc>
          <w:tcPr>
            <w:tcW w:w="234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C536D" w:rsidRPr="004C536D" w:rsidRDefault="004C536D" w:rsidP="003955E8">
            <w:pPr>
              <w:spacing w:after="480" w:line="240" w:lineRule="auto"/>
              <w:jc w:val="center"/>
              <w:rPr>
                <w:rFonts w:ascii="Calibri" w:eastAsia="Times New Roman" w:hAnsi="Calibri" w:cs="Calibri"/>
                <w:color w:val="000000"/>
                <w:sz w:val="24"/>
              </w:rPr>
            </w:pPr>
            <w:r w:rsidRPr="004C536D">
              <w:rPr>
                <w:rFonts w:ascii="Calibri" w:eastAsia="Times New Roman" w:hAnsi="Calibri" w:cs="Calibri"/>
                <w:color w:val="000000"/>
                <w:sz w:val="24"/>
              </w:rPr>
              <w:t>Direct Labour</w:t>
            </w:r>
          </w:p>
        </w:tc>
        <w:tc>
          <w:tcPr>
            <w:tcW w:w="2142" w:type="dxa"/>
            <w:tcBorders>
              <w:top w:val="single" w:sz="8" w:space="0" w:color="auto"/>
              <w:left w:val="nil"/>
              <w:bottom w:val="nil"/>
              <w:right w:val="single" w:sz="8" w:space="0" w:color="auto"/>
            </w:tcBorders>
            <w:shd w:val="clear" w:color="auto" w:fill="auto"/>
            <w:noWrap/>
            <w:vAlign w:val="bottom"/>
            <w:hideMark/>
          </w:tcPr>
          <w:p w:rsidR="004C536D" w:rsidRPr="004C536D" w:rsidRDefault="004C536D" w:rsidP="003955E8">
            <w:pPr>
              <w:spacing w:after="480" w:line="240" w:lineRule="auto"/>
              <w:jc w:val="center"/>
              <w:rPr>
                <w:rFonts w:ascii="Calibri" w:eastAsia="Times New Roman" w:hAnsi="Calibri" w:cs="Calibri"/>
                <w:color w:val="000000"/>
                <w:sz w:val="24"/>
              </w:rPr>
            </w:pPr>
            <w:r w:rsidRPr="004C536D">
              <w:rPr>
                <w:rFonts w:ascii="Calibri" w:eastAsia="Times New Roman" w:hAnsi="Calibri" w:cs="Calibri"/>
                <w:color w:val="000000"/>
                <w:sz w:val="24"/>
              </w:rPr>
              <w:t>£ 1.35</w:t>
            </w:r>
          </w:p>
        </w:tc>
      </w:tr>
      <w:tr w:rsidR="004C536D" w:rsidRPr="004C536D" w:rsidTr="005B1801">
        <w:trPr>
          <w:trHeight w:val="682"/>
        </w:trPr>
        <w:tc>
          <w:tcPr>
            <w:tcW w:w="2344" w:type="dxa"/>
            <w:tcBorders>
              <w:top w:val="nil"/>
              <w:left w:val="single" w:sz="4" w:space="0" w:color="auto"/>
              <w:bottom w:val="single" w:sz="4" w:space="0" w:color="auto"/>
              <w:right w:val="single" w:sz="4" w:space="0" w:color="auto"/>
            </w:tcBorders>
            <w:shd w:val="clear" w:color="auto" w:fill="auto"/>
            <w:noWrap/>
            <w:vAlign w:val="bottom"/>
            <w:hideMark/>
          </w:tcPr>
          <w:p w:rsidR="004C536D" w:rsidRPr="004C536D" w:rsidRDefault="004C536D" w:rsidP="003955E8">
            <w:pPr>
              <w:spacing w:after="480" w:line="240" w:lineRule="auto"/>
              <w:jc w:val="center"/>
              <w:rPr>
                <w:rFonts w:ascii="Calibri" w:eastAsia="Times New Roman" w:hAnsi="Calibri" w:cs="Calibri"/>
                <w:color w:val="000000"/>
                <w:sz w:val="24"/>
              </w:rPr>
            </w:pPr>
            <w:r w:rsidRPr="004C536D">
              <w:rPr>
                <w:rFonts w:ascii="Calibri" w:eastAsia="Times New Roman" w:hAnsi="Calibri" w:cs="Calibri"/>
                <w:color w:val="000000"/>
                <w:sz w:val="24"/>
              </w:rPr>
              <w:t>Direct Materials</w:t>
            </w:r>
          </w:p>
        </w:tc>
        <w:tc>
          <w:tcPr>
            <w:tcW w:w="2142" w:type="dxa"/>
            <w:tcBorders>
              <w:top w:val="single" w:sz="4" w:space="0" w:color="auto"/>
              <w:left w:val="nil"/>
              <w:bottom w:val="single" w:sz="4" w:space="0" w:color="auto"/>
              <w:right w:val="single" w:sz="4" w:space="0" w:color="auto"/>
            </w:tcBorders>
            <w:shd w:val="clear" w:color="auto" w:fill="auto"/>
            <w:noWrap/>
            <w:vAlign w:val="bottom"/>
            <w:hideMark/>
          </w:tcPr>
          <w:p w:rsidR="004C536D" w:rsidRPr="004C536D" w:rsidRDefault="004C536D" w:rsidP="003955E8">
            <w:pPr>
              <w:spacing w:after="480" w:line="240" w:lineRule="auto"/>
              <w:jc w:val="center"/>
              <w:rPr>
                <w:rFonts w:ascii="Calibri" w:eastAsia="Times New Roman" w:hAnsi="Calibri" w:cs="Calibri"/>
                <w:color w:val="000000"/>
                <w:sz w:val="24"/>
              </w:rPr>
            </w:pPr>
            <w:r w:rsidRPr="004C536D">
              <w:rPr>
                <w:rFonts w:ascii="Calibri" w:eastAsia="Times New Roman" w:hAnsi="Calibri" w:cs="Calibri"/>
                <w:color w:val="000000"/>
                <w:sz w:val="24"/>
              </w:rPr>
              <w:t>£ 1.75</w:t>
            </w:r>
          </w:p>
        </w:tc>
      </w:tr>
      <w:tr w:rsidR="004C536D" w:rsidRPr="004C536D" w:rsidTr="005B1801">
        <w:trPr>
          <w:trHeight w:val="682"/>
        </w:trPr>
        <w:tc>
          <w:tcPr>
            <w:tcW w:w="2344" w:type="dxa"/>
            <w:tcBorders>
              <w:top w:val="nil"/>
              <w:left w:val="single" w:sz="4" w:space="0" w:color="auto"/>
              <w:bottom w:val="single" w:sz="4" w:space="0" w:color="auto"/>
              <w:right w:val="single" w:sz="4" w:space="0" w:color="auto"/>
            </w:tcBorders>
            <w:shd w:val="clear" w:color="auto" w:fill="auto"/>
            <w:noWrap/>
            <w:vAlign w:val="bottom"/>
            <w:hideMark/>
          </w:tcPr>
          <w:p w:rsidR="004C536D" w:rsidRPr="004C536D" w:rsidRDefault="004C536D" w:rsidP="003955E8">
            <w:pPr>
              <w:spacing w:after="480" w:line="240" w:lineRule="auto"/>
              <w:jc w:val="center"/>
              <w:rPr>
                <w:rFonts w:ascii="Calibri" w:eastAsia="Times New Roman" w:hAnsi="Calibri" w:cs="Calibri"/>
                <w:color w:val="000000"/>
                <w:sz w:val="24"/>
              </w:rPr>
            </w:pPr>
            <w:r w:rsidRPr="004C536D">
              <w:rPr>
                <w:rFonts w:ascii="Calibri" w:eastAsia="Times New Roman" w:hAnsi="Calibri" w:cs="Calibri"/>
                <w:color w:val="000000"/>
                <w:sz w:val="24"/>
              </w:rPr>
              <w:t>Other Direct Costs</w:t>
            </w:r>
          </w:p>
        </w:tc>
        <w:tc>
          <w:tcPr>
            <w:tcW w:w="2142" w:type="dxa"/>
            <w:tcBorders>
              <w:top w:val="nil"/>
              <w:left w:val="nil"/>
              <w:bottom w:val="single" w:sz="4" w:space="0" w:color="auto"/>
              <w:right w:val="single" w:sz="4" w:space="0" w:color="auto"/>
            </w:tcBorders>
            <w:shd w:val="clear" w:color="auto" w:fill="auto"/>
            <w:noWrap/>
            <w:vAlign w:val="bottom"/>
            <w:hideMark/>
          </w:tcPr>
          <w:p w:rsidR="004C536D" w:rsidRPr="004C536D" w:rsidRDefault="004C536D" w:rsidP="003955E8">
            <w:pPr>
              <w:spacing w:after="480" w:line="240" w:lineRule="auto"/>
              <w:jc w:val="center"/>
              <w:rPr>
                <w:rFonts w:ascii="Calibri" w:eastAsia="Times New Roman" w:hAnsi="Calibri" w:cs="Calibri"/>
                <w:color w:val="000000"/>
                <w:sz w:val="24"/>
              </w:rPr>
            </w:pPr>
            <w:r w:rsidRPr="004C536D">
              <w:rPr>
                <w:rFonts w:ascii="Calibri" w:eastAsia="Times New Roman" w:hAnsi="Calibri" w:cs="Calibri"/>
                <w:color w:val="000000"/>
                <w:sz w:val="24"/>
              </w:rPr>
              <w:t>£ 0.40</w:t>
            </w:r>
          </w:p>
        </w:tc>
      </w:tr>
    </w:tbl>
    <w:p w:rsidR="004C5D2A" w:rsidRDefault="004C5D2A">
      <w:pPr>
        <w:rPr>
          <w:b/>
          <w:sz w:val="28"/>
          <w:szCs w:val="23"/>
        </w:rPr>
      </w:pPr>
    </w:p>
    <w:p w:rsidR="00015082" w:rsidRDefault="00015082" w:rsidP="002C45E9">
      <w:pPr>
        <w:rPr>
          <w:b/>
          <w:sz w:val="32"/>
        </w:rPr>
      </w:pPr>
    </w:p>
    <w:p w:rsidR="00015082" w:rsidRDefault="00015082" w:rsidP="002C45E9">
      <w:pPr>
        <w:rPr>
          <w:b/>
          <w:sz w:val="32"/>
        </w:rPr>
      </w:pPr>
    </w:p>
    <w:p w:rsidR="00015082" w:rsidRDefault="009D3ACD" w:rsidP="002C45E9">
      <w:pPr>
        <w:rPr>
          <w:b/>
          <w:sz w:val="32"/>
        </w:rPr>
      </w:pPr>
      <w:r w:rsidRPr="00103104">
        <w:rPr>
          <w:b/>
          <w:sz w:val="32"/>
        </w:rPr>
        <w:pict>
          <v:shape id="_x0000_i1026" type="#_x0000_t75" style="width:467.25pt;height:322.5pt">
            <v:imagedata r:id="rId8" o:title="silviu 1"/>
          </v:shape>
        </w:pict>
      </w:r>
    </w:p>
    <w:p w:rsidR="00015082" w:rsidRDefault="00015082" w:rsidP="002C45E9">
      <w:pPr>
        <w:rPr>
          <w:b/>
          <w:sz w:val="32"/>
        </w:rPr>
      </w:pPr>
    </w:p>
    <w:p w:rsidR="00015082" w:rsidRDefault="00015082" w:rsidP="002C45E9">
      <w:pPr>
        <w:rPr>
          <w:b/>
          <w:sz w:val="32"/>
        </w:rPr>
      </w:pPr>
    </w:p>
    <w:p w:rsidR="00015082" w:rsidRDefault="009D3ACD" w:rsidP="002C45E9">
      <w:pPr>
        <w:rPr>
          <w:b/>
          <w:sz w:val="32"/>
        </w:rPr>
      </w:pPr>
      <w:r w:rsidRPr="00103104">
        <w:rPr>
          <w:b/>
          <w:sz w:val="32"/>
        </w:rPr>
        <w:lastRenderedPageBreak/>
        <w:pict>
          <v:shape id="_x0000_i1027" type="#_x0000_t75" style="width:467.25pt;height:324pt">
            <v:imagedata r:id="rId9" o:title="silviu 2"/>
          </v:shape>
        </w:pict>
      </w:r>
    </w:p>
    <w:p w:rsidR="00015082" w:rsidRDefault="00015082" w:rsidP="002C45E9">
      <w:pPr>
        <w:rPr>
          <w:b/>
          <w:sz w:val="32"/>
        </w:rPr>
      </w:pPr>
    </w:p>
    <w:p w:rsidR="00015082" w:rsidRDefault="00015082" w:rsidP="002C45E9">
      <w:pPr>
        <w:rPr>
          <w:b/>
          <w:sz w:val="32"/>
        </w:rPr>
      </w:pPr>
    </w:p>
    <w:p w:rsidR="00015082" w:rsidRDefault="00015082" w:rsidP="002C45E9">
      <w:pPr>
        <w:rPr>
          <w:b/>
          <w:sz w:val="32"/>
        </w:rPr>
      </w:pPr>
    </w:p>
    <w:p w:rsidR="00015082" w:rsidRDefault="00015082" w:rsidP="002C45E9">
      <w:pPr>
        <w:rPr>
          <w:b/>
          <w:sz w:val="32"/>
        </w:rPr>
      </w:pPr>
    </w:p>
    <w:p w:rsidR="00015082" w:rsidRDefault="00015082" w:rsidP="002C45E9">
      <w:pPr>
        <w:rPr>
          <w:b/>
          <w:sz w:val="32"/>
        </w:rPr>
      </w:pPr>
    </w:p>
    <w:p w:rsidR="00015082" w:rsidRDefault="00015082" w:rsidP="002C45E9">
      <w:pPr>
        <w:rPr>
          <w:b/>
          <w:sz w:val="32"/>
        </w:rPr>
      </w:pPr>
    </w:p>
    <w:p w:rsidR="00015082" w:rsidRDefault="00015082" w:rsidP="002C45E9">
      <w:pPr>
        <w:rPr>
          <w:b/>
          <w:sz w:val="32"/>
        </w:rPr>
      </w:pPr>
    </w:p>
    <w:p w:rsidR="00015082" w:rsidRDefault="00015082" w:rsidP="002C45E9">
      <w:pPr>
        <w:rPr>
          <w:b/>
          <w:sz w:val="32"/>
        </w:rPr>
      </w:pPr>
    </w:p>
    <w:p w:rsidR="00015082" w:rsidRDefault="00015082" w:rsidP="002C45E9">
      <w:pPr>
        <w:rPr>
          <w:b/>
          <w:sz w:val="32"/>
        </w:rPr>
      </w:pPr>
    </w:p>
    <w:p w:rsidR="008B4B99" w:rsidRDefault="008B4B99" w:rsidP="00015082">
      <w:pPr>
        <w:rPr>
          <w:rFonts w:cstheme="minorHAnsi"/>
          <w:b/>
          <w:sz w:val="24"/>
        </w:rPr>
      </w:pPr>
    </w:p>
    <w:p w:rsidR="008B4B99" w:rsidRDefault="008B4B99" w:rsidP="008B4B99">
      <w:pPr>
        <w:rPr>
          <w:rFonts w:cstheme="minorHAnsi"/>
          <w:b/>
          <w:sz w:val="24"/>
        </w:rPr>
      </w:pPr>
      <w:r>
        <w:rPr>
          <w:rFonts w:cstheme="minorHAnsi"/>
          <w:b/>
          <w:sz w:val="24"/>
        </w:rPr>
        <w:lastRenderedPageBreak/>
        <w:t xml:space="preserve">D) </w:t>
      </w:r>
    </w:p>
    <w:p w:rsidR="00400A35" w:rsidRDefault="00400A35" w:rsidP="008B4B99">
      <w:pPr>
        <w:rPr>
          <w:rFonts w:cstheme="minorHAnsi"/>
          <w:b/>
          <w:sz w:val="24"/>
        </w:rPr>
      </w:pPr>
      <w:r>
        <w:rPr>
          <w:rFonts w:cstheme="minorHAnsi"/>
          <w:b/>
          <w:sz w:val="24"/>
        </w:rPr>
        <w:t xml:space="preserve">Referring to Atrill(2016) there are some limitations or weaknesses in the process of Break-even analysis(BEA). </w:t>
      </w:r>
    </w:p>
    <w:p w:rsidR="00400A35" w:rsidRDefault="00400A35" w:rsidP="008B4B99">
      <w:pPr>
        <w:rPr>
          <w:rFonts w:cstheme="minorHAnsi"/>
          <w:b/>
          <w:sz w:val="24"/>
        </w:rPr>
      </w:pPr>
      <w:r>
        <w:rPr>
          <w:rFonts w:cstheme="minorHAnsi"/>
          <w:b/>
          <w:sz w:val="24"/>
        </w:rPr>
        <w:t>One of them is non-linear relationship, BEA process</w:t>
      </w:r>
      <w:r w:rsidR="00FA224F">
        <w:rPr>
          <w:rFonts w:cstheme="minorHAnsi"/>
          <w:b/>
          <w:sz w:val="24"/>
        </w:rPr>
        <w:t xml:space="preserve"> undertake that total revenue and total variable cost are perfectly straight putted against output volume. But it’s unlikely in real life this to be the case.</w:t>
      </w:r>
    </w:p>
    <w:p w:rsidR="005635CB" w:rsidRDefault="00400A35" w:rsidP="008B4B99">
      <w:pPr>
        <w:rPr>
          <w:rFonts w:cstheme="minorHAnsi"/>
          <w:b/>
          <w:sz w:val="24"/>
        </w:rPr>
      </w:pPr>
      <w:r>
        <w:rPr>
          <w:rFonts w:cstheme="minorHAnsi"/>
          <w:b/>
          <w:sz w:val="24"/>
        </w:rPr>
        <w:t>Being conducted in advance, the BEA is predicting revenue, future costs and so on, but this can be extremely difficult. Therefore the probably minor variation from linearity are not likely to be significant if they are compared with other forecasting error.</w:t>
      </w:r>
    </w:p>
    <w:p w:rsidR="00400A35" w:rsidRDefault="00FA224F" w:rsidP="008B4B99">
      <w:pPr>
        <w:rPr>
          <w:rFonts w:cstheme="minorHAnsi"/>
          <w:b/>
          <w:sz w:val="24"/>
        </w:rPr>
      </w:pPr>
      <w:r>
        <w:rPr>
          <w:rFonts w:cstheme="minorHAnsi"/>
          <w:b/>
          <w:sz w:val="24"/>
        </w:rPr>
        <w:t>Another weakness is that many businesses offers a wide range of products and services, so for BEA this can be a problem because additional sales of one product may affect another product sales</w:t>
      </w:r>
      <w:r w:rsidR="000F47C1">
        <w:rPr>
          <w:rFonts w:cstheme="minorHAnsi"/>
          <w:b/>
          <w:sz w:val="24"/>
        </w:rPr>
        <w:t xml:space="preserve">. </w:t>
      </w:r>
    </w:p>
    <w:p w:rsidR="000F47C1" w:rsidRDefault="000F47C1" w:rsidP="008B4B99">
      <w:pPr>
        <w:rPr>
          <w:rFonts w:cstheme="minorHAnsi"/>
          <w:b/>
          <w:sz w:val="24"/>
        </w:rPr>
      </w:pPr>
      <w:r>
        <w:rPr>
          <w:rFonts w:cstheme="minorHAnsi"/>
          <w:b/>
          <w:sz w:val="24"/>
        </w:rPr>
        <w:t>Fixed costs can relate to more than one service or product and problems may come up with identifying the fix costs for a particular product.</w:t>
      </w:r>
    </w:p>
    <w:p w:rsidR="000F47C1" w:rsidRDefault="00A842B6" w:rsidP="008B4B99">
      <w:pPr>
        <w:rPr>
          <w:rFonts w:cstheme="minorHAnsi"/>
          <w:b/>
          <w:sz w:val="24"/>
        </w:rPr>
      </w:pPr>
      <w:r>
        <w:rPr>
          <w:rFonts w:cstheme="minorHAnsi"/>
          <w:b/>
          <w:sz w:val="24"/>
        </w:rPr>
        <w:t>Stepped fixed cost, is another weakness for BEA as many activities will have different types of fixed costs. And all of them are likely to have steps on different points e.g administration costs, rent.</w:t>
      </w:r>
    </w:p>
    <w:p w:rsidR="0084124D" w:rsidRDefault="0084124D" w:rsidP="008B4B99">
      <w:pPr>
        <w:rPr>
          <w:rFonts w:cstheme="minorHAnsi"/>
          <w:b/>
          <w:sz w:val="36"/>
        </w:rPr>
      </w:pPr>
      <w:r w:rsidRPr="0084124D">
        <w:rPr>
          <w:rFonts w:cstheme="minorHAnsi"/>
          <w:b/>
          <w:sz w:val="36"/>
        </w:rPr>
        <w:t>Question 2</w:t>
      </w:r>
    </w:p>
    <w:p w:rsidR="0084124D" w:rsidRPr="00BA30D7" w:rsidRDefault="0095739C" w:rsidP="008B4B99">
      <w:pPr>
        <w:rPr>
          <w:rFonts w:cstheme="minorHAnsi"/>
          <w:b/>
          <w:sz w:val="32"/>
        </w:rPr>
      </w:pPr>
      <w:r w:rsidRPr="00BA30D7">
        <w:rPr>
          <w:rFonts w:cstheme="minorHAnsi"/>
          <w:b/>
          <w:sz w:val="32"/>
        </w:rPr>
        <w:t>A.)</w:t>
      </w:r>
    </w:p>
    <w:p w:rsidR="0095739C" w:rsidRDefault="00BA30D7" w:rsidP="008B4B99">
      <w:pPr>
        <w:rPr>
          <w:rFonts w:cstheme="minorHAnsi"/>
          <w:b/>
          <w:sz w:val="24"/>
        </w:rPr>
      </w:pPr>
      <w:r w:rsidRPr="00BA30D7">
        <w:rPr>
          <w:rFonts w:cstheme="minorHAnsi"/>
          <w:b/>
          <w:sz w:val="24"/>
        </w:rPr>
        <w:t xml:space="preserve">Beside financial accounting there is a second part that deals with cost recording and data information processing, data that are converted in reports for internal users as managers and decision makers.  </w:t>
      </w:r>
      <w:r>
        <w:rPr>
          <w:rFonts w:cstheme="minorHAnsi"/>
          <w:b/>
          <w:sz w:val="24"/>
        </w:rPr>
        <w:t>This is sometimes referred as managerial accounting.( Frank Wood, 2011 )</w:t>
      </w:r>
    </w:p>
    <w:p w:rsidR="00BA30D7" w:rsidRDefault="00BA30D7" w:rsidP="008B4B99">
      <w:pPr>
        <w:rPr>
          <w:rFonts w:cstheme="minorHAnsi"/>
          <w:b/>
          <w:sz w:val="24"/>
        </w:rPr>
      </w:pPr>
      <w:r>
        <w:rPr>
          <w:rFonts w:cstheme="minorHAnsi"/>
          <w:b/>
          <w:sz w:val="24"/>
        </w:rPr>
        <w:t>Management accounting it’s all about earning cost information appropriately in order to take good decisions relating to producing and selling goods, offering services.</w:t>
      </w:r>
    </w:p>
    <w:p w:rsidR="00BA30D7" w:rsidRDefault="00BA30D7" w:rsidP="008B4B99">
      <w:pPr>
        <w:rPr>
          <w:rFonts w:cstheme="minorHAnsi"/>
          <w:b/>
          <w:sz w:val="24"/>
        </w:rPr>
      </w:pPr>
      <w:r>
        <w:rPr>
          <w:rFonts w:cstheme="minorHAnsi"/>
          <w:b/>
          <w:sz w:val="24"/>
        </w:rPr>
        <w:t>This offer an advantage for the business because managerial accounting use its information for future purposes while financial accounting use past hystorical data, that has no use for the business being more for the external users while managerial accounting is for internal users , helping decisions makers in future assumptions toward business development.</w:t>
      </w:r>
    </w:p>
    <w:p w:rsidR="00BA30D7" w:rsidRDefault="00BA30D7" w:rsidP="008B4B99">
      <w:pPr>
        <w:rPr>
          <w:rFonts w:cstheme="minorHAnsi"/>
          <w:b/>
          <w:sz w:val="28"/>
        </w:rPr>
      </w:pPr>
    </w:p>
    <w:p w:rsidR="00BA30D7" w:rsidRDefault="00BA30D7" w:rsidP="008B4B99">
      <w:pPr>
        <w:rPr>
          <w:rFonts w:cstheme="minorHAnsi"/>
          <w:b/>
          <w:sz w:val="28"/>
        </w:rPr>
      </w:pPr>
      <w:r w:rsidRPr="00BA30D7">
        <w:rPr>
          <w:rFonts w:cstheme="minorHAnsi"/>
          <w:b/>
          <w:sz w:val="28"/>
        </w:rPr>
        <w:lastRenderedPageBreak/>
        <w:t>B.)</w:t>
      </w:r>
    </w:p>
    <w:p w:rsidR="00BA30D7" w:rsidRDefault="00BA30D7" w:rsidP="008B4B99">
      <w:pPr>
        <w:rPr>
          <w:rFonts w:cstheme="minorHAnsi"/>
          <w:b/>
          <w:sz w:val="24"/>
        </w:rPr>
      </w:pPr>
      <w:r w:rsidRPr="00900874">
        <w:rPr>
          <w:rFonts w:cstheme="minorHAnsi"/>
          <w:b/>
          <w:sz w:val="24"/>
        </w:rPr>
        <w:t>Management technique is reachin</w:t>
      </w:r>
      <w:r w:rsidR="00900874" w:rsidRPr="00900874">
        <w:rPr>
          <w:rFonts w:cstheme="minorHAnsi"/>
          <w:b/>
          <w:sz w:val="24"/>
        </w:rPr>
        <w:t>g objectives as planning, control and decisions making it’s using the cost accounting part that helps the internal users by offering accurate information.</w:t>
      </w:r>
    </w:p>
    <w:p w:rsidR="00900874" w:rsidRPr="00900874" w:rsidRDefault="00900874" w:rsidP="008B4B99">
      <w:pPr>
        <w:rPr>
          <w:rFonts w:cstheme="minorHAnsi"/>
          <w:b/>
          <w:sz w:val="24"/>
        </w:rPr>
      </w:pPr>
      <w:r>
        <w:rPr>
          <w:rFonts w:cstheme="minorHAnsi"/>
          <w:b/>
          <w:sz w:val="24"/>
        </w:rPr>
        <w:t>And relating to the future the management accounting it  provides some assumption that can keep a clear view for the internal users and decision makers.</w:t>
      </w:r>
    </w:p>
    <w:p w:rsidR="00BA30D7" w:rsidRPr="00BA30D7" w:rsidRDefault="00BA30D7" w:rsidP="008B4B99">
      <w:pPr>
        <w:rPr>
          <w:rFonts w:cstheme="minorHAnsi"/>
          <w:b/>
          <w:sz w:val="28"/>
        </w:rPr>
      </w:pPr>
    </w:p>
    <w:p w:rsidR="0084124D" w:rsidRDefault="009D3ACD" w:rsidP="008B4B99">
      <w:pPr>
        <w:rPr>
          <w:rFonts w:ascii="Times New Roman" w:hAnsi="Times New Roman" w:cs="Times New Roman"/>
          <w:b/>
          <w:sz w:val="32"/>
          <w:szCs w:val="24"/>
        </w:rPr>
      </w:pPr>
      <w:r>
        <w:rPr>
          <w:rFonts w:ascii="Times New Roman" w:hAnsi="Times New Roman" w:cs="Times New Roman"/>
          <w:b/>
          <w:sz w:val="32"/>
          <w:szCs w:val="24"/>
        </w:rPr>
        <w:t>References</w:t>
      </w:r>
    </w:p>
    <w:p w:rsidR="009D3ACD" w:rsidRDefault="009D3ACD" w:rsidP="008B4B99">
      <w:pPr>
        <w:rPr>
          <w:rFonts w:ascii="Times New Roman" w:hAnsi="Times New Roman" w:cs="Times New Roman"/>
          <w:b/>
          <w:sz w:val="32"/>
          <w:szCs w:val="24"/>
        </w:rPr>
      </w:pPr>
    </w:p>
    <w:p w:rsidR="009D3ACD" w:rsidRPr="009D3ACD" w:rsidRDefault="009D3ACD" w:rsidP="009D3ACD">
      <w:pPr>
        <w:rPr>
          <w:rFonts w:ascii="Times New Roman" w:hAnsi="Times New Roman" w:cs="Times New Roman"/>
          <w:b/>
          <w:sz w:val="32"/>
          <w:szCs w:val="24"/>
        </w:rPr>
      </w:pPr>
      <w:r w:rsidRPr="009D3ACD">
        <w:rPr>
          <w:rFonts w:ascii="Times New Roman" w:hAnsi="Times New Roman" w:cs="Times New Roman"/>
          <w:b/>
          <w:sz w:val="32"/>
          <w:szCs w:val="24"/>
        </w:rPr>
        <w:t>Atrill, P. and McLaney, E. 2016 2017. Accountig and Finance for Non-Specialists. 10th Ed. Harlow, England: Pearson, pp.271 272</w:t>
      </w:r>
    </w:p>
    <w:p w:rsidR="009D3ACD" w:rsidRPr="009D3ACD" w:rsidRDefault="009D3ACD" w:rsidP="009D3ACD">
      <w:pPr>
        <w:rPr>
          <w:rFonts w:ascii="Times New Roman" w:hAnsi="Times New Roman" w:cs="Times New Roman"/>
          <w:b/>
          <w:sz w:val="32"/>
          <w:szCs w:val="24"/>
        </w:rPr>
      </w:pPr>
    </w:p>
    <w:p w:rsidR="009D3ACD" w:rsidRPr="0084124D" w:rsidRDefault="009D3ACD" w:rsidP="009D3ACD">
      <w:pPr>
        <w:rPr>
          <w:rFonts w:ascii="Times New Roman" w:hAnsi="Times New Roman" w:cs="Times New Roman"/>
          <w:b/>
          <w:sz w:val="32"/>
          <w:szCs w:val="24"/>
        </w:rPr>
      </w:pPr>
      <w:r w:rsidRPr="009D3ACD">
        <w:rPr>
          <w:rFonts w:ascii="Times New Roman" w:hAnsi="Times New Roman" w:cs="Times New Roman"/>
          <w:b/>
          <w:sz w:val="32"/>
          <w:szCs w:val="24"/>
        </w:rPr>
        <w:t>Wood, F. and Sangster, A., 2011. Frank Wood’s Business Accounting 1. 12th  Ed. Financial Times Pretince Hall/Pearson pp.680 685</w:t>
      </w:r>
    </w:p>
    <w:sectPr w:rsidR="009D3ACD" w:rsidRPr="0084124D" w:rsidSect="0010310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80122" w:rsidRDefault="00980122" w:rsidP="00531D2D">
      <w:pPr>
        <w:spacing w:after="0" w:line="240" w:lineRule="auto"/>
      </w:pPr>
      <w:r>
        <w:separator/>
      </w:r>
    </w:p>
  </w:endnote>
  <w:endnote w:type="continuationSeparator" w:id="1">
    <w:p w:rsidR="00980122" w:rsidRDefault="00980122" w:rsidP="00531D2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80122" w:rsidRDefault="00980122" w:rsidP="00531D2D">
      <w:pPr>
        <w:spacing w:after="0" w:line="240" w:lineRule="auto"/>
      </w:pPr>
      <w:r>
        <w:separator/>
      </w:r>
    </w:p>
  </w:footnote>
  <w:footnote w:type="continuationSeparator" w:id="1">
    <w:p w:rsidR="00980122" w:rsidRDefault="00980122" w:rsidP="00531D2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C517B1"/>
    <w:multiLevelType w:val="hybridMultilevel"/>
    <w:tmpl w:val="0FA8EC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546146"/>
    <w:rsid w:val="00015082"/>
    <w:rsid w:val="000F47C1"/>
    <w:rsid w:val="00103104"/>
    <w:rsid w:val="00194866"/>
    <w:rsid w:val="002C45E9"/>
    <w:rsid w:val="003955E8"/>
    <w:rsid w:val="00400A35"/>
    <w:rsid w:val="004C536D"/>
    <w:rsid w:val="004C5D2A"/>
    <w:rsid w:val="00531D2D"/>
    <w:rsid w:val="00546146"/>
    <w:rsid w:val="005635CB"/>
    <w:rsid w:val="005B1801"/>
    <w:rsid w:val="00835605"/>
    <w:rsid w:val="0084124D"/>
    <w:rsid w:val="008B4B99"/>
    <w:rsid w:val="00900874"/>
    <w:rsid w:val="0095739C"/>
    <w:rsid w:val="00980122"/>
    <w:rsid w:val="009D3ACD"/>
    <w:rsid w:val="00A842B6"/>
    <w:rsid w:val="00BA30D7"/>
    <w:rsid w:val="00D35717"/>
    <w:rsid w:val="00FA224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310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31D2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31D2D"/>
  </w:style>
  <w:style w:type="paragraph" w:styleId="Footer">
    <w:name w:val="footer"/>
    <w:basedOn w:val="Normal"/>
    <w:link w:val="FooterChar"/>
    <w:uiPriority w:val="99"/>
    <w:semiHidden/>
    <w:unhideWhenUsed/>
    <w:rsid w:val="00531D2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531D2D"/>
  </w:style>
  <w:style w:type="paragraph" w:customStyle="1" w:styleId="Default">
    <w:name w:val="Default"/>
    <w:rsid w:val="00531D2D"/>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2C45E9"/>
    <w:pPr>
      <w:ind w:left="720"/>
      <w:contextualSpacing/>
    </w:pPr>
  </w:style>
</w:styles>
</file>

<file path=word/webSettings.xml><?xml version="1.0" encoding="utf-8"?>
<w:webSettings xmlns:r="http://schemas.openxmlformats.org/officeDocument/2006/relationships" xmlns:w="http://schemas.openxmlformats.org/wordprocessingml/2006/main">
  <w:divs>
    <w:div w:id="187332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138</TotalTime>
  <Pages>6</Pages>
  <Words>415</Words>
  <Characters>2371</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12</cp:revision>
  <dcterms:created xsi:type="dcterms:W3CDTF">2020-09-06T09:18:00Z</dcterms:created>
  <dcterms:modified xsi:type="dcterms:W3CDTF">2020-09-06T14:50:00Z</dcterms:modified>
</cp:coreProperties>
</file>