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5ED6C" w14:textId="3501175F" w:rsidR="00304CFA" w:rsidRPr="00304CFA" w:rsidRDefault="00304CFA" w:rsidP="00304CFA">
      <w:pPr>
        <w:pStyle w:val="Title"/>
      </w:pPr>
      <w:r w:rsidRPr="00304CFA">
        <w:t>The Struggle for Irish Independence: Key Events and Agreements</w:t>
      </w:r>
    </w:p>
    <w:p w14:paraId="50950DFD" w14:textId="77777777" w:rsidR="00304CFA" w:rsidRDefault="00304CFA" w:rsidP="00304CFA">
      <w:r>
        <w:br w:type="page"/>
      </w:r>
    </w:p>
    <w:sdt>
      <w:sdtPr>
        <w:rPr>
          <w:rFonts w:ascii="Times New Roman" w:eastAsiaTheme="minorHAnsi" w:hAnsi="Times New Roman" w:cstheme="minorBidi"/>
          <w:bCs/>
          <w:color w:val="auto"/>
          <w:sz w:val="22"/>
          <w:szCs w:val="22"/>
        </w:rPr>
        <w:id w:val="-1572726666"/>
        <w:docPartObj>
          <w:docPartGallery w:val="Table of Contents"/>
          <w:docPartUnique/>
        </w:docPartObj>
      </w:sdtPr>
      <w:sdtEndPr>
        <w:rPr>
          <w:b/>
          <w:noProof/>
        </w:rPr>
      </w:sdtEndPr>
      <w:sdtContent>
        <w:p w14:paraId="2BDB9159" w14:textId="7724513F" w:rsidR="00304CFA" w:rsidRPr="00304CFA" w:rsidRDefault="00304CFA" w:rsidP="00304CFA">
          <w:pPr>
            <w:pStyle w:val="TOCHeading"/>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w:t>
          </w:r>
          <w:r w:rsidRPr="00304CFA">
            <w:rPr>
              <w:rFonts w:ascii="Times New Roman" w:hAnsi="Times New Roman" w:cs="Times New Roman"/>
              <w:b/>
              <w:bCs/>
              <w:color w:val="auto"/>
              <w:sz w:val="24"/>
              <w:szCs w:val="24"/>
            </w:rPr>
            <w:t>ontents</w:t>
          </w:r>
        </w:p>
        <w:p w14:paraId="5941EA72" w14:textId="383FD11A" w:rsidR="00304CFA" w:rsidRDefault="00304CFA">
          <w:pPr>
            <w:pStyle w:val="TOC1"/>
            <w:tabs>
              <w:tab w:val="right" w:leader="dot" w:pos="9350"/>
            </w:tabs>
            <w:rPr>
              <w:noProof/>
            </w:rPr>
          </w:pPr>
          <w:r>
            <w:fldChar w:fldCharType="begin"/>
          </w:r>
          <w:r>
            <w:instrText xml:space="preserve"> TOC \o "1-3" \h \z \u </w:instrText>
          </w:r>
          <w:r>
            <w:fldChar w:fldCharType="separate"/>
          </w:r>
          <w:hyperlink w:anchor="_Toc204785977" w:history="1">
            <w:r w:rsidRPr="00D865F6">
              <w:rPr>
                <w:rStyle w:val="Hyperlink"/>
                <w:noProof/>
              </w:rPr>
              <w:t>Introduction</w:t>
            </w:r>
            <w:r>
              <w:rPr>
                <w:noProof/>
                <w:webHidden/>
              </w:rPr>
              <w:tab/>
            </w:r>
            <w:r>
              <w:rPr>
                <w:noProof/>
                <w:webHidden/>
              </w:rPr>
              <w:fldChar w:fldCharType="begin"/>
            </w:r>
            <w:r>
              <w:rPr>
                <w:noProof/>
                <w:webHidden/>
              </w:rPr>
              <w:instrText xml:space="preserve"> PAGEREF _Toc204785977 \h </w:instrText>
            </w:r>
            <w:r>
              <w:rPr>
                <w:noProof/>
                <w:webHidden/>
              </w:rPr>
            </w:r>
            <w:r>
              <w:rPr>
                <w:noProof/>
                <w:webHidden/>
              </w:rPr>
              <w:fldChar w:fldCharType="separate"/>
            </w:r>
            <w:r>
              <w:rPr>
                <w:noProof/>
                <w:webHidden/>
              </w:rPr>
              <w:t>3</w:t>
            </w:r>
            <w:r>
              <w:rPr>
                <w:noProof/>
                <w:webHidden/>
              </w:rPr>
              <w:fldChar w:fldCharType="end"/>
            </w:r>
          </w:hyperlink>
        </w:p>
        <w:p w14:paraId="50CBED6E" w14:textId="1FA50416" w:rsidR="00304CFA" w:rsidRDefault="00304CFA">
          <w:pPr>
            <w:pStyle w:val="TOC1"/>
            <w:tabs>
              <w:tab w:val="right" w:leader="dot" w:pos="9350"/>
            </w:tabs>
            <w:rPr>
              <w:noProof/>
            </w:rPr>
          </w:pPr>
          <w:hyperlink w:anchor="_Toc204785978" w:history="1">
            <w:r w:rsidRPr="00D865F6">
              <w:rPr>
                <w:rStyle w:val="Hyperlink"/>
                <w:noProof/>
              </w:rPr>
              <w:t>The Road to Home Rule (1870–1914)</w:t>
            </w:r>
            <w:r>
              <w:rPr>
                <w:noProof/>
                <w:webHidden/>
              </w:rPr>
              <w:tab/>
            </w:r>
            <w:r>
              <w:rPr>
                <w:noProof/>
                <w:webHidden/>
              </w:rPr>
              <w:fldChar w:fldCharType="begin"/>
            </w:r>
            <w:r>
              <w:rPr>
                <w:noProof/>
                <w:webHidden/>
              </w:rPr>
              <w:instrText xml:space="preserve"> PAGEREF _Toc204785978 \h </w:instrText>
            </w:r>
            <w:r>
              <w:rPr>
                <w:noProof/>
                <w:webHidden/>
              </w:rPr>
            </w:r>
            <w:r>
              <w:rPr>
                <w:noProof/>
                <w:webHidden/>
              </w:rPr>
              <w:fldChar w:fldCharType="separate"/>
            </w:r>
            <w:r>
              <w:rPr>
                <w:noProof/>
                <w:webHidden/>
              </w:rPr>
              <w:t>3</w:t>
            </w:r>
            <w:r>
              <w:rPr>
                <w:noProof/>
                <w:webHidden/>
              </w:rPr>
              <w:fldChar w:fldCharType="end"/>
            </w:r>
          </w:hyperlink>
        </w:p>
        <w:p w14:paraId="3A6082E2" w14:textId="7AF5EC9D" w:rsidR="00304CFA" w:rsidRDefault="00304CFA">
          <w:pPr>
            <w:pStyle w:val="TOC1"/>
            <w:tabs>
              <w:tab w:val="right" w:leader="dot" w:pos="9350"/>
            </w:tabs>
            <w:rPr>
              <w:noProof/>
            </w:rPr>
          </w:pPr>
          <w:hyperlink w:anchor="_Toc204785979" w:history="1">
            <w:r w:rsidRPr="00D865F6">
              <w:rPr>
                <w:rStyle w:val="Hyperlink"/>
                <w:noProof/>
              </w:rPr>
              <w:t>The Easter Rising of 1916: A Turning Point</w:t>
            </w:r>
            <w:r>
              <w:rPr>
                <w:noProof/>
                <w:webHidden/>
              </w:rPr>
              <w:tab/>
            </w:r>
            <w:r>
              <w:rPr>
                <w:noProof/>
                <w:webHidden/>
              </w:rPr>
              <w:fldChar w:fldCharType="begin"/>
            </w:r>
            <w:r>
              <w:rPr>
                <w:noProof/>
                <w:webHidden/>
              </w:rPr>
              <w:instrText xml:space="preserve"> PAGEREF _Toc204785979 \h </w:instrText>
            </w:r>
            <w:r>
              <w:rPr>
                <w:noProof/>
                <w:webHidden/>
              </w:rPr>
            </w:r>
            <w:r>
              <w:rPr>
                <w:noProof/>
                <w:webHidden/>
              </w:rPr>
              <w:fldChar w:fldCharType="separate"/>
            </w:r>
            <w:r>
              <w:rPr>
                <w:noProof/>
                <w:webHidden/>
              </w:rPr>
              <w:t>6</w:t>
            </w:r>
            <w:r>
              <w:rPr>
                <w:noProof/>
                <w:webHidden/>
              </w:rPr>
              <w:fldChar w:fldCharType="end"/>
            </w:r>
          </w:hyperlink>
        </w:p>
        <w:p w14:paraId="2389DD7D" w14:textId="13667983" w:rsidR="00304CFA" w:rsidRDefault="00304CFA">
          <w:pPr>
            <w:pStyle w:val="TOC1"/>
            <w:tabs>
              <w:tab w:val="right" w:leader="dot" w:pos="9350"/>
            </w:tabs>
            <w:rPr>
              <w:noProof/>
            </w:rPr>
          </w:pPr>
          <w:hyperlink w:anchor="_Toc204785980" w:history="1">
            <w:r w:rsidRPr="00D865F6">
              <w:rPr>
                <w:rStyle w:val="Hyperlink"/>
                <w:noProof/>
              </w:rPr>
              <w:t>The Anglo-Irish Agreement (1921): Negotiation and Division</w:t>
            </w:r>
            <w:r>
              <w:rPr>
                <w:noProof/>
                <w:webHidden/>
              </w:rPr>
              <w:tab/>
            </w:r>
            <w:r>
              <w:rPr>
                <w:noProof/>
                <w:webHidden/>
              </w:rPr>
              <w:fldChar w:fldCharType="begin"/>
            </w:r>
            <w:r>
              <w:rPr>
                <w:noProof/>
                <w:webHidden/>
              </w:rPr>
              <w:instrText xml:space="preserve"> PAGEREF _Toc204785980 \h </w:instrText>
            </w:r>
            <w:r>
              <w:rPr>
                <w:noProof/>
                <w:webHidden/>
              </w:rPr>
            </w:r>
            <w:r>
              <w:rPr>
                <w:noProof/>
                <w:webHidden/>
              </w:rPr>
              <w:fldChar w:fldCharType="separate"/>
            </w:r>
            <w:r>
              <w:rPr>
                <w:noProof/>
                <w:webHidden/>
              </w:rPr>
              <w:t>8</w:t>
            </w:r>
            <w:r>
              <w:rPr>
                <w:noProof/>
                <w:webHidden/>
              </w:rPr>
              <w:fldChar w:fldCharType="end"/>
            </w:r>
          </w:hyperlink>
        </w:p>
        <w:p w14:paraId="7B02BF86" w14:textId="6C899C18" w:rsidR="00304CFA" w:rsidRDefault="00304CFA">
          <w:pPr>
            <w:pStyle w:val="TOC1"/>
            <w:tabs>
              <w:tab w:val="right" w:leader="dot" w:pos="9350"/>
            </w:tabs>
            <w:rPr>
              <w:noProof/>
            </w:rPr>
          </w:pPr>
          <w:hyperlink w:anchor="_Toc204785981" w:history="1">
            <w:r w:rsidRPr="00D865F6">
              <w:rPr>
                <w:rStyle w:val="Hyperlink"/>
                <w:noProof/>
              </w:rPr>
              <w:t>Conclusion</w:t>
            </w:r>
            <w:r>
              <w:rPr>
                <w:noProof/>
                <w:webHidden/>
              </w:rPr>
              <w:tab/>
            </w:r>
            <w:r>
              <w:rPr>
                <w:noProof/>
                <w:webHidden/>
              </w:rPr>
              <w:fldChar w:fldCharType="begin"/>
            </w:r>
            <w:r>
              <w:rPr>
                <w:noProof/>
                <w:webHidden/>
              </w:rPr>
              <w:instrText xml:space="preserve"> PAGEREF _Toc204785981 \h </w:instrText>
            </w:r>
            <w:r>
              <w:rPr>
                <w:noProof/>
                <w:webHidden/>
              </w:rPr>
            </w:r>
            <w:r>
              <w:rPr>
                <w:noProof/>
                <w:webHidden/>
              </w:rPr>
              <w:fldChar w:fldCharType="separate"/>
            </w:r>
            <w:r>
              <w:rPr>
                <w:noProof/>
                <w:webHidden/>
              </w:rPr>
              <w:t>9</w:t>
            </w:r>
            <w:r>
              <w:rPr>
                <w:noProof/>
                <w:webHidden/>
              </w:rPr>
              <w:fldChar w:fldCharType="end"/>
            </w:r>
          </w:hyperlink>
        </w:p>
        <w:p w14:paraId="337A83F2" w14:textId="1A440BF7" w:rsidR="00304CFA" w:rsidRDefault="00304CFA">
          <w:pPr>
            <w:pStyle w:val="TOC1"/>
            <w:tabs>
              <w:tab w:val="right" w:leader="dot" w:pos="9350"/>
            </w:tabs>
            <w:rPr>
              <w:noProof/>
            </w:rPr>
          </w:pPr>
          <w:hyperlink w:anchor="_Toc204785982" w:history="1">
            <w:r w:rsidRPr="00D865F6">
              <w:rPr>
                <w:rStyle w:val="Hyperlink"/>
                <w:noProof/>
              </w:rPr>
              <w:t>References</w:t>
            </w:r>
            <w:r>
              <w:rPr>
                <w:noProof/>
                <w:webHidden/>
              </w:rPr>
              <w:tab/>
            </w:r>
            <w:r>
              <w:rPr>
                <w:noProof/>
                <w:webHidden/>
              </w:rPr>
              <w:fldChar w:fldCharType="begin"/>
            </w:r>
            <w:r>
              <w:rPr>
                <w:noProof/>
                <w:webHidden/>
              </w:rPr>
              <w:instrText xml:space="preserve"> PAGEREF _Toc204785982 \h </w:instrText>
            </w:r>
            <w:r>
              <w:rPr>
                <w:noProof/>
                <w:webHidden/>
              </w:rPr>
            </w:r>
            <w:r>
              <w:rPr>
                <w:noProof/>
                <w:webHidden/>
              </w:rPr>
              <w:fldChar w:fldCharType="separate"/>
            </w:r>
            <w:r>
              <w:rPr>
                <w:noProof/>
                <w:webHidden/>
              </w:rPr>
              <w:t>10</w:t>
            </w:r>
            <w:r>
              <w:rPr>
                <w:noProof/>
                <w:webHidden/>
              </w:rPr>
              <w:fldChar w:fldCharType="end"/>
            </w:r>
          </w:hyperlink>
        </w:p>
        <w:p w14:paraId="2163D096" w14:textId="3F8BC318" w:rsidR="00304CFA" w:rsidRDefault="00304CFA">
          <w:r>
            <w:rPr>
              <w:b/>
              <w:noProof/>
            </w:rPr>
            <w:fldChar w:fldCharType="end"/>
          </w:r>
        </w:p>
      </w:sdtContent>
    </w:sdt>
    <w:p w14:paraId="77EC0EFB" w14:textId="77777777" w:rsidR="00304CFA" w:rsidRDefault="00304CFA">
      <w:pPr>
        <w:spacing w:after="160" w:line="259" w:lineRule="auto"/>
        <w:jc w:val="left"/>
        <w:rPr>
          <w:rFonts w:eastAsiaTheme="majorEastAsia" w:cstheme="majorBidi"/>
          <w:b/>
          <w:sz w:val="24"/>
          <w:szCs w:val="32"/>
        </w:rPr>
      </w:pPr>
      <w:r>
        <w:br w:type="page"/>
      </w:r>
    </w:p>
    <w:p w14:paraId="0111FD10" w14:textId="6CCC6282" w:rsidR="00304CFA" w:rsidRDefault="00304CFA" w:rsidP="00304CFA">
      <w:pPr>
        <w:pStyle w:val="Heading1"/>
      </w:pPr>
      <w:bookmarkStart w:id="0" w:name="_Toc204785977"/>
      <w:r w:rsidRPr="00304CFA">
        <w:lastRenderedPageBreak/>
        <w:t>Introduction</w:t>
      </w:r>
      <w:bookmarkEnd w:id="0"/>
    </w:p>
    <w:p w14:paraId="21E49BBF" w14:textId="6A61401A" w:rsidR="00361851" w:rsidRDefault="00361851" w:rsidP="00361851">
      <w:r>
        <w:t>Ireland on its way to independence made an extended and intricate process because there were a lot of milestones that became the causes of the national synergies and antagonisms. The central thread of these radical developments was the struggle of Irish self-determination where the country had to go through a broad range of political, military and social issues. During the 19th and early 20th centuries, the Irish people tried to carve their national identity amid the British imperialism. The earlier desire of independence was evident in the political drive to Home Rule in the late 19th century, which was an attempt on creating a certain level of self-government in Ireland as part of the United Kingdom. Nonetheless, it was not until the 1916 Easter Rising that the Irish freedom movement gained a more radical, revolutionary flair of ideas and demanded a separate Irish Republic altogether. Although the Rising itself failed, it was an influential turning point that altered the further history of Ireland as the country was energized and became much more supportive of independence.</w:t>
      </w:r>
    </w:p>
    <w:p w14:paraId="04BD1EF3" w14:textId="5A37A1A3" w:rsidR="00361851" w:rsidRPr="00361851" w:rsidRDefault="00361851" w:rsidP="00361851">
      <w:r>
        <w:t>This was followed by the Anglo-Irish Agreement of 1921 which was another turning point of the history with the creation of Irish Free State in 1922. These were hour notch, and the key players of the era including leaders in the form of Charles Stewart Parnell, Patrick Pearse, and Michael Collins among others that contributed to deciding the fate of the current Irish politics. It is through these happenings as discussed in this essay, that not only did these events affect, so the political landscape, but also long term effects on the identity of the peoples of Ireland themselves, with the stark divide between the British imperialism and the Irish nationalism, and the concessions that were to have taken place in the endeavor of achieving freedom.</w:t>
      </w:r>
    </w:p>
    <w:p w14:paraId="228D054F" w14:textId="77777777" w:rsidR="00304CFA" w:rsidRDefault="00304CFA" w:rsidP="00304CFA">
      <w:pPr>
        <w:pStyle w:val="Heading1"/>
      </w:pPr>
      <w:bookmarkStart w:id="1" w:name="_Toc204785978"/>
      <w:r w:rsidRPr="00304CFA">
        <w:t>The Road to Home Rule (1870–1914)</w:t>
      </w:r>
      <w:bookmarkEnd w:id="1"/>
    </w:p>
    <w:p w14:paraId="3FAA2967" w14:textId="77777777" w:rsidR="00361851" w:rsidRDefault="00361851" w:rsidP="00361851">
      <w:r>
        <w:t xml:space="preserve">The movement of the Irish Home Rule which sought the right of controlling Ireland within the British Empire was a hallmark of Irish political activities in the late 19 </w:t>
      </w:r>
      <w:proofErr w:type="spellStart"/>
      <w:r>
        <w:t>th</w:t>
      </w:r>
      <w:proofErr w:type="spellEnd"/>
      <w:r>
        <w:t xml:space="preserve"> and early 80 </w:t>
      </w:r>
      <w:proofErr w:type="spellStart"/>
      <w:r>
        <w:t>th</w:t>
      </w:r>
      <w:proofErr w:type="spellEnd"/>
      <w:r>
        <w:t xml:space="preserve"> centuries. Home Rule movement has its roots back in the 1870s when it was started by Isaac Butt, who in his early years wanted to gain minimal self-government of the Irish. However, Butt made his own contributions in being a key figure of the movement to establish Home Rule but his efforts tended to be considered conservative, </w:t>
      </w:r>
      <w:r>
        <w:lastRenderedPageBreak/>
        <w:t>compared to those of the later authorities and others who would become the driving actors in the Irish Home Rule movement, particularly Charles Stewart Parnell, the leader of the movement and by then the movement was the rallying call of the nationalists and land reformers. His political prowess was able to bring these different forces together and form a very broad coalition which was much beyond the political divisions that had always existed in Ireland and it wanted to see the Irish have a separate system with the British Empire.</w:t>
      </w:r>
    </w:p>
    <w:p w14:paraId="2A8F9FFA" w14:textId="08B908F7" w:rsidR="00361851" w:rsidRDefault="00361851" w:rsidP="00361851">
      <w:r>
        <w:t>Land reform was one of the most significant issues that surrounded the Home Rule movement. By the late 19th century, a high percentage of the Irish were tenant farmers who found themselves in an extremely disadvantaged economic position because the British land policies enabled the absentee landlords to hold most agricultural land in Ireland. A lot of Irish tenants were unable to afford excessive rents and enjoyed very weak security of tenure. Parnell and IPP realized that land reform question was closely connected to the Home Rule demand since Irish independence was recognized not as the purely political freedom, but also the solution to the economic position of the Irish peasantry.</w:t>
      </w:r>
      <w:r w:rsidRPr="00361851">
        <w:t xml:space="preserve"> </w:t>
      </w:r>
      <w:r>
        <w:t>The agitation of the land movements during the 1880s under Parnell with some support of Michael Davitt tried to stop landlordism and redistribute the land among the Irish farmers. This campaign, which was also referred to as the Land War united the nationalists with the agrarian reformers and there was an accentuation of the social and economic aspects of Irish nationalism (Hoppen, 2016). Such a twofold emphasis on self-rule and social equality was what gave the Home Rule movement its unrivalled strength, attracting broader layers of Irish people.</w:t>
      </w:r>
    </w:p>
    <w:p w14:paraId="1CC6FE9A" w14:textId="2428A766" w:rsidR="00361851" w:rsidRPr="00361851" w:rsidRDefault="00361851" w:rsidP="00361851">
      <w:r>
        <w:t xml:space="preserve">The Home Rule movement was highest in the building up of the first Home Rule Bill by the British Prime Minister William Gladstone in the year 1886. The proposed bill came up with the idea of giving Ireland its own parliament to take care of domestic affairs but with the British Crown in issues relating to foreign policy and defense. The bill had received a great deal of popular support of Irish nationalists, and been bitterly opposed in the British parliament. Home Rule was hotly opposed by Unionists, especially those in Ulster, the center of Protestant population. They were afraid that Ireland becoming independent would politically and economically exclude them as they stood to lose a lot in their union with Britain. The </w:t>
      </w:r>
      <w:r>
        <w:lastRenderedPageBreak/>
        <w:t>Conservatives, whose main issue was anti-Home Rule and their Unionist leanings into matters, were in the forefront to oppose the bill citing the instability of the British Empire due to Home Rule which would incur sectarian violence in Ireland. There was some support by the Liberal Party members and a powerful effort by the Irish Parliamentary Party led by Parnell in bringing in the first Home Rule Bill in 1886 which was defeated, a huge setback to the aspiration of Irish nationalists.</w:t>
      </w:r>
    </w:p>
    <w:p w14:paraId="75D04E03" w14:textId="77777777" w:rsidR="00361851" w:rsidRDefault="00361851" w:rsidP="00361851">
      <w:r>
        <w:t>In 1893, Gladstone brought in a second Home Rule Bill once more backed by the Irish Parliamentary Party. This bill did not pass because it was not accepted by the House of Lords after having been passed by the House of Commons. The failure of the second bill proved that both the British establishment and the Unionists in Ireland were still opposed to the bill. There was a significant political schism that existed between the Irish who wanted more of its autonomy and the British establishment that was afraid of what would happen when they would give this power to Ireland. This contradiction was an indication of the clashing political ideologies of the Irish nationalists as compared to the ruling British. Whereas Irish Catholics were generally in support of the idea of Home Rule to correct centuries of British rule the Unionists especially in the north of Ireland felt that the Home Rule would relegate their political and economic power to the periphery of an Irish dominated system of governance and helpless among a catholic majority.</w:t>
      </w:r>
    </w:p>
    <w:p w14:paraId="51493FF2" w14:textId="1F25F8A9" w:rsidR="00304CFA" w:rsidRDefault="00361851" w:rsidP="00361851">
      <w:r>
        <w:t xml:space="preserve">The Home Rule movement that did not receive its final destination in life of Parnell, gave the foundation to the next phase of Ireland on the way to its independence. The Home Rule politics that divided the people played a critical role in determining the course of the Irish nationalism in the 20 </w:t>
      </w:r>
      <w:proofErr w:type="spellStart"/>
      <w:r>
        <w:t>th</w:t>
      </w:r>
      <w:proofErr w:type="spellEnd"/>
      <w:r>
        <w:t xml:space="preserve"> century. The further inability of the British government to recognize the demands of the Irish people contributed to an increase in alienation in Irish nationalists, and cemented the opinion that Ireland could never have a chance to have any kind of autonomy under the British Empire. The schism of Irish nationalists and the unionist, especially in the north, paved the way to the future sectarian divisions, which in the future, would become one of the hallmarks of the conflict in Northern Ireland. The increasing disappointment with the Home Rule movement later led to the development of much more radical republican movements especially Sinn F and in which </w:t>
      </w:r>
      <w:r>
        <w:lastRenderedPageBreak/>
        <w:t xml:space="preserve">they intended to shun the idea of merely having limited autonomy in Britain Empire but instead a fully independent Irish Republic </w:t>
      </w:r>
      <w:r w:rsidR="00304CFA" w:rsidRPr="00304CFA">
        <w:t>(Foster, 1989).</w:t>
      </w:r>
    </w:p>
    <w:p w14:paraId="5CD1D0E4" w14:textId="1266A4AA" w:rsidR="00361851" w:rsidRPr="00304CFA" w:rsidRDefault="00361851" w:rsidP="00361851">
      <w:r w:rsidRPr="00361851">
        <w:t>As the 20th century set in, the Irish Parliamentary Party was not going to give up on the Home Rule pressure but as the century reached the turn of the century, things were changing in favor of Irish self-rule. But as international trends were towards independence movements, and as more and more people were becoming impatient with the failure of the Home Rule agitation, the younger nationalists now started to seek more radical remedies. Personalities like James Connolly and Patrick Pearse rose up and started their demand of full Irish freedom and this prelude to the Easter Rising of 1916 which would turn out to be the breakthrough in the Irish independence movement. This uprising would not achieve its short term goals but would change the political rhetoric of Ireland and motivate the Irish people to pursue their independence more aggressively (Lee, 1989).</w:t>
      </w:r>
    </w:p>
    <w:p w14:paraId="72DAE862" w14:textId="578EC010" w:rsidR="00304CFA" w:rsidRPr="00304CFA" w:rsidRDefault="00304CFA" w:rsidP="00304CFA">
      <w:pPr>
        <w:pStyle w:val="Heading1"/>
      </w:pPr>
      <w:bookmarkStart w:id="2" w:name="_Toc204785979"/>
      <w:r w:rsidRPr="00304CFA">
        <w:t>The Easter Rising of 1916: A Turning Point</w:t>
      </w:r>
      <w:bookmarkEnd w:id="2"/>
    </w:p>
    <w:p w14:paraId="07DD7781" w14:textId="77777777" w:rsidR="0007303A" w:rsidRDefault="0007303A" w:rsidP="0007303A">
      <w:r>
        <w:t>The rebellion of the Easter of 1916 changed the character of the Irish fight to be free dramatically. Before this occurred, the nationalist movement in Ireland had been driven relatively much by politics including the Home Rule movement in pursuing its independence in the United Kingdom. The Rising however was a more radical shift of this strategy as it signaled a shift into revolutionary action. A coalition of Irish nationalist organizations, mainly the Irish Republican Brotherhood (IRB) and the Irish Citizen Army (ICA), came together in this event united in a cause that they had in common, the Irish republican ideology, and the urge to be completely free of the British domination. Influenced by the ideas of the French and American revolutions, all of them led by such figures like Patrick Pearse, James Connolly, and Joseph Plunkett, believed that military uprising was required to shack the shackles of British rule forever. This tactical adjustment became the turning point of a new era in the Irish fight against self-determination, which was to be the period of a more direct and violent challenge of the British rule (Keane, 2011).</w:t>
      </w:r>
    </w:p>
    <w:p w14:paraId="598E0395" w14:textId="15A0CCCB" w:rsidR="0007303A" w:rsidRDefault="0007303A" w:rsidP="0007303A">
      <w:r>
        <w:lastRenderedPageBreak/>
        <w:t>On Easter weekend in 1916, the Rising was a model in which areas in Dublin to be controlled strategically by attackers were to be seized and an independent Irish Republic was to be declared. The General Post Office (GPO) was proclaimed the headquarters of the Irish Republic and it was the center of rebellion symbol. Although it was to begin with originally intended as an exceptional movement that would launch a nationwide revolt, the uprising took place only in Dublin, and the absence of mass solidarity led to rebels getting easily suppressed by the British troops. Nevertheless, although the rebellion was swiftly quashed, it would turn out to be much more important than the mere military defeat of the event indicated.</w:t>
      </w:r>
      <w:r w:rsidRPr="0007303A">
        <w:t xml:space="preserve"> </w:t>
      </w:r>
      <w:r>
        <w:t>One factor that immensely contributed to making the rebels martyrs to the cause of Irish independence was the heavy-handed approach by the British military to deal with the Rising by executing its leaders, such as Pearse, Connolly and others. These executions provoked a popular feel throughout Ireland which changed the perception of some people where they had witnessed this as an ill-fated innocent insurrection to a cause to sacrifice, put up resistance against imperial rule by Britain (Foster, 1989).</w:t>
      </w:r>
    </w:p>
    <w:p w14:paraId="1C20CCD1" w14:textId="4B5B0CA9" w:rsidR="00304CFA" w:rsidRDefault="0007303A" w:rsidP="0007303A">
      <w:r>
        <w:t xml:space="preserve">When the Rising came about, many people in Ireland were uncertain in the beginning in regards to the value of an armed revolt. Public opinion was strongly divided, some being of the opinion that a peaceful and political course of action, exemplified by the demand of Home Rule or constitutional transition would better serve the purpose of the Irish gaining self-rule. Nonetheless, the British reaction to the Rising, especially the execution of the rebel leaders, made the rebels martyrs and even more popular amongst Irish people. Consequently, the Rising served in changing the popular opinion towards more radical nationalist groups, especially the Irish Volunteers who would then turn into the Irish Republican Army (IRA). In the devastating British revenge and the ensuing martyrdom of the rebels, the nationalistic Irish crossings that had been mutually exclusive to each other feel a sense of togetherness. It also resulted in the emergence of the Sinn Féin, whose ideology based on its complete followership of the republican ideology of the rebels completely denied the possibility of compromise of any kind with the British-imposed political system. The way Sinn </w:t>
      </w:r>
      <w:proofErr w:type="spellStart"/>
      <w:r>
        <w:t>Fn</w:t>
      </w:r>
      <w:proofErr w:type="spellEnd"/>
      <w:r>
        <w:t xml:space="preserve"> had rejected Home Rule and how it demanded full independence with Britain reduced the root </w:t>
      </w:r>
      <w:r>
        <w:lastRenderedPageBreak/>
        <w:t>of what was growing to be a highly disillusioned population regarding British rule and the inability to gain true independence and power of the Irish people (Keane, 2011).</w:t>
      </w:r>
    </w:p>
    <w:p w14:paraId="05F16236" w14:textId="77777777" w:rsidR="0007303A" w:rsidRDefault="0007303A" w:rsidP="0007303A">
      <w:r>
        <w:t>The Rising also preconditioned the Irish war of independence (1919-1921) an ongoing struggle between the IRA and British army which would eventually lead to the signing of the Irish Free State by 1922. The short term impact of the Rising was to further alienate Ireland and Britain and it provided an environment of escalated tensions which served to push Ireland towards a more polarized politics. It was the start of a more militant period of Irish history in which the goals of Irish independence would not be sought by parliamentary vote but instead by military struggle against British colonial rule. The revolt paved the way towards the greater independence movement that would dominate Irish politics in the coming years setting the stage on the subsequent removal of the British rule in Ireland and the establishment of a new Irish state.</w:t>
      </w:r>
    </w:p>
    <w:p w14:paraId="1142E6FC" w14:textId="185158BC" w:rsidR="0007303A" w:rsidRPr="00304CFA" w:rsidRDefault="0007303A" w:rsidP="0007303A">
      <w:r>
        <w:t>To sum it up, the Easter Rising in 1916 was not a military success at first, but its effects on the further course of the Irish political and social life were enormous. It was a decisive turning point in the Irish fight against independence that saw the movement evolve out of parliamentary and political activity into a movement on revolutionary principles and direct action. Public opinion was galvanized in favor of Irish republicanism not only by the martyrdom of the rebel leaders but also their British response and a generation of new nationalists were inspired to carry on the struggle to free Ireland by the event known as the legacy of the Rising. The Rising as well preconditioned the Irish War of Independence and firmly established a stratification of Ireland and Britain, on the cruises towards Ireland final goal of full independence.</w:t>
      </w:r>
    </w:p>
    <w:p w14:paraId="571D07AB" w14:textId="77777777" w:rsidR="00304CFA" w:rsidRDefault="00304CFA" w:rsidP="00304CFA">
      <w:pPr>
        <w:pStyle w:val="Heading1"/>
      </w:pPr>
      <w:bookmarkStart w:id="3" w:name="_Toc204785980"/>
      <w:r w:rsidRPr="00304CFA">
        <w:t>The Anglo-Irish Agreement (1921): Negotiation and Division</w:t>
      </w:r>
      <w:bookmarkEnd w:id="3"/>
    </w:p>
    <w:p w14:paraId="033F4BC6" w14:textId="77777777" w:rsidR="0007303A" w:rsidRDefault="0007303A" w:rsidP="0007303A">
      <w:r>
        <w:t xml:space="preserve">The years that followed the Easter Rising saw the nationalist side of Ireland beginning to give more attention to winning their freedom through a process of negotiation, rather than the business of rebellion. There was a cost that had to be paid by the IRA since the war against the British soldiers that began in 1919, Irish War of Independence is what it has come to be known as, was costly to both sides. Following the First World War, Britain was all swarmed over by the aftermaths hence, not in a beneficial status to sustain the </w:t>
      </w:r>
      <w:r>
        <w:lastRenderedPageBreak/>
        <w:t>imperialist stake over Ireland long term (Townsend, 1983). The issue was the same in Britain in 1921 as Irish politics attempted to work out a resolution of the problem.</w:t>
      </w:r>
    </w:p>
    <w:p w14:paraId="2E4A9318" w14:textId="34E6220E" w:rsidR="0007303A" w:rsidRDefault="0007303A" w:rsidP="0007303A">
      <w:r>
        <w:t>On 6th of December 1921, the Anglo Irish treaty was signed that settlement was the creation of the Irish Free State that was a self-, domination of the British Commonwealth. This agreement was shocking even though it was a very significant step toward a full independence. The treaty did not reject the British monarch as the head of state, instead a new government was created which would have a partial control and even it was a component of the British Commonwealth. This compromise was quite bitter to a significant proportion of the Republicans who disapproved the treaty on the grounds that it was inadequate with regards to the require of asserting the Irish sovereignty (Lee, 1989) with the Éamon de Valera leading all the Republicans.</w:t>
      </w:r>
    </w:p>
    <w:p w14:paraId="719D7C93" w14:textId="1FCF2494" w:rsidR="0007303A" w:rsidRDefault="0007303A" w:rsidP="0007303A">
      <w:r w:rsidRPr="0007303A">
        <w:t>The treaty signing had created a huge crack in the nationalism movement. Collins then, a big negotiator believed that the treaty was supposed to be the best compromise in the circumstances he was negotiating and that it will provide a platform of more freedom in future. However, to de Valera and his supporters, the treaty was seen as a betrayal to the dream of an imposed on the Irish Republic that was supposed to be completely sovereign (Townsend, 1983). This division led to the Irish Civil War (19221923) a bloodbath in which pro and anti-Treaty men would fight it against each other and this would scar the Irish society into decades.</w:t>
      </w:r>
    </w:p>
    <w:p w14:paraId="564BE0CA" w14:textId="77777777" w:rsidR="00304CFA" w:rsidRPr="00304CFA" w:rsidRDefault="00304CFA" w:rsidP="00304CFA">
      <w:pPr>
        <w:pStyle w:val="Heading1"/>
      </w:pPr>
      <w:bookmarkStart w:id="4" w:name="_Toc204785981"/>
      <w:r w:rsidRPr="00304CFA">
        <w:t>Conclusion</w:t>
      </w:r>
      <w:bookmarkEnd w:id="4"/>
    </w:p>
    <w:p w14:paraId="1958B99F" w14:textId="58E078D5" w:rsidR="00304CFA" w:rsidRDefault="0007303A" w:rsidP="00304CFA">
      <w:r w:rsidRPr="0007303A">
        <w:t xml:space="preserve">Certain historical events marked the process of getting the independence of Ireland and each of them played the role of shaping the Irish nationalism. Some of the milestones which eventually led to the formation of Irish Free State in 1922 included the home rule demand, Easter rising in 1916 and the Anglo Irish agreement of 1921. Even though all these situations were heralded through political division, violence and sacrifice, they were a mark of the immense endeavor on the part of the Irish people to achieve self-determination. The history of the Irish partition and the ensuing civil war proven that it was extremely hard to create a </w:t>
      </w:r>
      <w:r w:rsidRPr="0007303A">
        <w:lastRenderedPageBreak/>
        <w:t>united Irish state. But the struggle of independence and the creation of Irish Free State depicts to whom strong the Irish man was and how much they desired their freedom.</w:t>
      </w:r>
      <w:r w:rsidR="00304CFA">
        <w:br w:type="page"/>
      </w:r>
    </w:p>
    <w:p w14:paraId="65AFB09F" w14:textId="21281274" w:rsidR="00304CFA" w:rsidRPr="00304CFA" w:rsidRDefault="00304CFA" w:rsidP="00304CFA">
      <w:pPr>
        <w:pStyle w:val="Heading1"/>
      </w:pPr>
      <w:bookmarkStart w:id="5" w:name="_Toc204785982"/>
      <w:r w:rsidRPr="00304CFA">
        <w:lastRenderedPageBreak/>
        <w:t>References</w:t>
      </w:r>
      <w:bookmarkEnd w:id="5"/>
    </w:p>
    <w:p w14:paraId="2017A1CD" w14:textId="77777777" w:rsidR="00304CFA" w:rsidRPr="00304CFA" w:rsidRDefault="00304CFA" w:rsidP="00304CFA">
      <w:pPr>
        <w:pStyle w:val="ListParagraph"/>
        <w:numPr>
          <w:ilvl w:val="0"/>
          <w:numId w:val="1"/>
        </w:numPr>
      </w:pPr>
      <w:r w:rsidRPr="00304CFA">
        <w:t xml:space="preserve">Foster, R. F. (1989). </w:t>
      </w:r>
      <w:r w:rsidRPr="00304CFA">
        <w:rPr>
          <w:i/>
          <w:iCs/>
        </w:rPr>
        <w:t>Modern Ireland 1600-1972</w:t>
      </w:r>
      <w:r w:rsidRPr="00304CFA">
        <w:t>. London: Penguin Books.</w:t>
      </w:r>
    </w:p>
    <w:p w14:paraId="45A6E760" w14:textId="77777777" w:rsidR="00304CFA" w:rsidRPr="00304CFA" w:rsidRDefault="00304CFA" w:rsidP="00304CFA">
      <w:pPr>
        <w:pStyle w:val="ListParagraph"/>
        <w:numPr>
          <w:ilvl w:val="0"/>
          <w:numId w:val="1"/>
        </w:numPr>
      </w:pPr>
      <w:r w:rsidRPr="00304CFA">
        <w:t>Keane, F. (2011). The Story of Ireland: The Age of Revolution. BBC Documentary.</w:t>
      </w:r>
    </w:p>
    <w:p w14:paraId="2F0726AB" w14:textId="77777777" w:rsidR="00304CFA" w:rsidRPr="00304CFA" w:rsidRDefault="00304CFA" w:rsidP="00304CFA">
      <w:pPr>
        <w:pStyle w:val="ListParagraph"/>
        <w:numPr>
          <w:ilvl w:val="0"/>
          <w:numId w:val="1"/>
        </w:numPr>
      </w:pPr>
      <w:r w:rsidRPr="00304CFA">
        <w:t>Hoppen, K. T. (2016). Governing Hibernia: British Politics and Ireland 1800-1921. Oxford Scholarship Online.</w:t>
      </w:r>
    </w:p>
    <w:p w14:paraId="40632AF7" w14:textId="77777777" w:rsidR="00304CFA" w:rsidRPr="00304CFA" w:rsidRDefault="00304CFA" w:rsidP="00304CFA">
      <w:pPr>
        <w:pStyle w:val="ListParagraph"/>
        <w:numPr>
          <w:ilvl w:val="0"/>
          <w:numId w:val="1"/>
        </w:numPr>
      </w:pPr>
      <w:r w:rsidRPr="00304CFA">
        <w:t xml:space="preserve">Lee, J. J. (1989). </w:t>
      </w:r>
      <w:r w:rsidRPr="00304CFA">
        <w:rPr>
          <w:i/>
          <w:iCs/>
        </w:rPr>
        <w:t>Ireland: 1912-1985 Politics and Society</w:t>
      </w:r>
      <w:r w:rsidRPr="00304CFA">
        <w:t>. Cambridge University Press.</w:t>
      </w:r>
    </w:p>
    <w:p w14:paraId="37740C17" w14:textId="77777777" w:rsidR="00304CFA" w:rsidRPr="00304CFA" w:rsidRDefault="00304CFA" w:rsidP="00304CFA">
      <w:pPr>
        <w:pStyle w:val="ListParagraph"/>
        <w:numPr>
          <w:ilvl w:val="0"/>
          <w:numId w:val="1"/>
        </w:numPr>
      </w:pPr>
      <w:r w:rsidRPr="00304CFA">
        <w:t>Townsend, C. (1983). Political Violence in Ireland: Government and Resistance since 1848. Oxford: Clarendon Press.</w:t>
      </w:r>
    </w:p>
    <w:p w14:paraId="7A009755" w14:textId="77777777" w:rsidR="00304CFA" w:rsidRPr="00304CFA" w:rsidRDefault="00304CFA" w:rsidP="00304CFA">
      <w:pPr>
        <w:pStyle w:val="ListParagraph"/>
        <w:numPr>
          <w:ilvl w:val="0"/>
          <w:numId w:val="1"/>
        </w:numPr>
      </w:pPr>
      <w:r w:rsidRPr="00304CFA">
        <w:t xml:space="preserve">O’Malley, T. (1990). </w:t>
      </w:r>
      <w:r w:rsidRPr="00304CFA">
        <w:rPr>
          <w:i/>
          <w:iCs/>
        </w:rPr>
        <w:t>The IRA: A History</w:t>
      </w:r>
      <w:r w:rsidRPr="00304CFA">
        <w:t>. Dublin: Gill and Macmillan.</w:t>
      </w:r>
    </w:p>
    <w:p w14:paraId="03BA94F0" w14:textId="77777777" w:rsidR="00304CFA" w:rsidRPr="00304CFA" w:rsidRDefault="00304CFA" w:rsidP="00304CFA">
      <w:pPr>
        <w:pStyle w:val="ListParagraph"/>
        <w:numPr>
          <w:ilvl w:val="0"/>
          <w:numId w:val="1"/>
        </w:numPr>
      </w:pPr>
      <w:r w:rsidRPr="00304CFA">
        <w:t xml:space="preserve">Cronin, S. (1996). </w:t>
      </w:r>
      <w:r w:rsidRPr="00304CFA">
        <w:rPr>
          <w:i/>
          <w:iCs/>
        </w:rPr>
        <w:t>A History of Ireland</w:t>
      </w:r>
      <w:r w:rsidRPr="00304CFA">
        <w:t>. London: Routledge.</w:t>
      </w:r>
    </w:p>
    <w:p w14:paraId="27F074CF" w14:textId="77777777" w:rsidR="00304CFA" w:rsidRPr="00304CFA" w:rsidRDefault="00304CFA" w:rsidP="00304CFA">
      <w:pPr>
        <w:pStyle w:val="ListParagraph"/>
        <w:numPr>
          <w:ilvl w:val="0"/>
          <w:numId w:val="1"/>
        </w:numPr>
      </w:pPr>
      <w:r w:rsidRPr="00304CFA">
        <w:t>McGarry, J. (1997). The Politics of Ethnic Conflict Regulation: The Case of Northern Ireland. London: Routledge.</w:t>
      </w:r>
    </w:p>
    <w:p w14:paraId="72AEC94F" w14:textId="77777777" w:rsidR="00A20B45" w:rsidRDefault="00A20B45" w:rsidP="00304CFA"/>
    <w:sectPr w:rsidR="00A20B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3A4E18"/>
    <w:multiLevelType w:val="multilevel"/>
    <w:tmpl w:val="4F525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6814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CFA"/>
    <w:rsid w:val="00066369"/>
    <w:rsid w:val="0007303A"/>
    <w:rsid w:val="000811C1"/>
    <w:rsid w:val="000E29F4"/>
    <w:rsid w:val="001004FD"/>
    <w:rsid w:val="00104A94"/>
    <w:rsid w:val="00110474"/>
    <w:rsid w:val="00126CD2"/>
    <w:rsid w:val="00134C18"/>
    <w:rsid w:val="00151A0D"/>
    <w:rsid w:val="00175D73"/>
    <w:rsid w:val="001A0643"/>
    <w:rsid w:val="00262BF8"/>
    <w:rsid w:val="002674CF"/>
    <w:rsid w:val="002854E5"/>
    <w:rsid w:val="002B5E80"/>
    <w:rsid w:val="002D3BCE"/>
    <w:rsid w:val="002D4C9E"/>
    <w:rsid w:val="00304CFA"/>
    <w:rsid w:val="00361851"/>
    <w:rsid w:val="003904EF"/>
    <w:rsid w:val="003A710A"/>
    <w:rsid w:val="003D4C7B"/>
    <w:rsid w:val="004533B8"/>
    <w:rsid w:val="00470641"/>
    <w:rsid w:val="004B1A1D"/>
    <w:rsid w:val="00537A8A"/>
    <w:rsid w:val="00627871"/>
    <w:rsid w:val="006543FD"/>
    <w:rsid w:val="00673E2B"/>
    <w:rsid w:val="00695A40"/>
    <w:rsid w:val="00697E3E"/>
    <w:rsid w:val="006C7DDB"/>
    <w:rsid w:val="006E0451"/>
    <w:rsid w:val="006F14E7"/>
    <w:rsid w:val="007726E2"/>
    <w:rsid w:val="00796A57"/>
    <w:rsid w:val="007F3BEB"/>
    <w:rsid w:val="00820E36"/>
    <w:rsid w:val="0082160F"/>
    <w:rsid w:val="00823E93"/>
    <w:rsid w:val="00856D55"/>
    <w:rsid w:val="0087235F"/>
    <w:rsid w:val="008B056C"/>
    <w:rsid w:val="008C1582"/>
    <w:rsid w:val="00A20B45"/>
    <w:rsid w:val="00A402EE"/>
    <w:rsid w:val="00A71E6A"/>
    <w:rsid w:val="00AB2CAB"/>
    <w:rsid w:val="00AF44B5"/>
    <w:rsid w:val="00B114E1"/>
    <w:rsid w:val="00B740EB"/>
    <w:rsid w:val="00BC2F47"/>
    <w:rsid w:val="00C61A76"/>
    <w:rsid w:val="00C748C4"/>
    <w:rsid w:val="00C76495"/>
    <w:rsid w:val="00D22FD5"/>
    <w:rsid w:val="00E0053D"/>
    <w:rsid w:val="00E05394"/>
    <w:rsid w:val="00E5667F"/>
    <w:rsid w:val="00EE3A0B"/>
    <w:rsid w:val="00F671B0"/>
    <w:rsid w:val="00FA2243"/>
    <w:rsid w:val="00FA2624"/>
    <w:rsid w:val="00FC64DC"/>
    <w:rsid w:val="00FF19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43825"/>
  <w15:chartTrackingRefBased/>
  <w15:docId w15:val="{C3852689-C5CD-4656-8B07-8141BA26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FA"/>
    <w:pPr>
      <w:spacing w:after="200" w:line="480" w:lineRule="auto"/>
      <w:jc w:val="both"/>
    </w:pPr>
    <w:rPr>
      <w:rFonts w:ascii="Times New Roman" w:hAnsi="Times New Roman"/>
      <w:bCs/>
      <w:kern w:val="0"/>
      <w14:ligatures w14:val="none"/>
    </w:rPr>
  </w:style>
  <w:style w:type="paragraph" w:styleId="Heading1">
    <w:name w:val="heading 1"/>
    <w:basedOn w:val="Normal"/>
    <w:next w:val="Normal"/>
    <w:link w:val="Heading1Char"/>
    <w:uiPriority w:val="9"/>
    <w:qFormat/>
    <w:rsid w:val="00796A57"/>
    <w:pPr>
      <w:keepNext/>
      <w:keepLines/>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1A0643"/>
    <w:pPr>
      <w:keepNext/>
      <w:keepLines/>
      <w:spacing w:before="40" w:after="0" w:line="360" w:lineRule="auto"/>
      <w:outlineLvl w:val="1"/>
    </w:pPr>
    <w:rPr>
      <w:rFonts w:eastAsiaTheme="majorEastAsia" w:cs="Arial"/>
      <w:b/>
      <w:sz w:val="24"/>
      <w:szCs w:val="24"/>
    </w:rPr>
  </w:style>
  <w:style w:type="paragraph" w:styleId="Heading3">
    <w:name w:val="heading 3"/>
    <w:next w:val="Normal"/>
    <w:link w:val="Heading3Char"/>
    <w:uiPriority w:val="9"/>
    <w:unhideWhenUsed/>
    <w:qFormat/>
    <w:rsid w:val="00FA2243"/>
    <w:pPr>
      <w:keepNext/>
      <w:keepLines/>
      <w:spacing w:after="0"/>
      <w:ind w:left="10" w:hanging="10"/>
      <w:outlineLvl w:val="2"/>
    </w:pPr>
    <w:rPr>
      <w:rFonts w:ascii="Times New Roman" w:eastAsia="Times New Roman" w:hAnsi="Times New Roman" w:cs="Times New Roman"/>
      <w:b/>
      <w:color w:val="000000"/>
      <w:sz w:val="24"/>
    </w:rPr>
  </w:style>
  <w:style w:type="paragraph" w:styleId="Heading4">
    <w:name w:val="heading 4"/>
    <w:basedOn w:val="Normal"/>
    <w:next w:val="Normal"/>
    <w:link w:val="Heading4Char"/>
    <w:uiPriority w:val="9"/>
    <w:semiHidden/>
    <w:unhideWhenUsed/>
    <w:qFormat/>
    <w:rsid w:val="00304CF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4CF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04CF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04CF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04CF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04CF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A57"/>
    <w:rPr>
      <w:rFonts w:ascii="Times New Roman" w:eastAsiaTheme="majorEastAsia" w:hAnsi="Times New Roman" w:cstheme="majorBidi"/>
      <w:b/>
      <w:sz w:val="24"/>
      <w:szCs w:val="32"/>
    </w:rPr>
  </w:style>
  <w:style w:type="character" w:customStyle="1" w:styleId="Heading3Char">
    <w:name w:val="Heading 3 Char"/>
    <w:link w:val="Heading3"/>
    <w:uiPriority w:val="9"/>
    <w:rsid w:val="00FA2243"/>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1A0643"/>
    <w:rPr>
      <w:rFonts w:ascii="Times New Roman" w:eastAsiaTheme="majorEastAsia" w:hAnsi="Times New Roman" w:cs="Arial"/>
      <w:b/>
      <w:sz w:val="24"/>
      <w:szCs w:val="24"/>
      <w:lang w:val="en-GB"/>
    </w:rPr>
  </w:style>
  <w:style w:type="character" w:customStyle="1" w:styleId="Heading4Char">
    <w:name w:val="Heading 4 Char"/>
    <w:basedOn w:val="DefaultParagraphFont"/>
    <w:link w:val="Heading4"/>
    <w:uiPriority w:val="9"/>
    <w:semiHidden/>
    <w:rsid w:val="00304CFA"/>
    <w:rPr>
      <w:rFonts w:eastAsiaTheme="majorEastAsia" w:cstheme="majorBidi"/>
      <w:bCs/>
      <w:i/>
      <w:iCs/>
      <w:color w:val="2F5496" w:themeColor="accent1" w:themeShade="BF"/>
      <w:kern w:val="0"/>
      <w:lang w:val="en-GB"/>
      <w14:ligatures w14:val="none"/>
    </w:rPr>
  </w:style>
  <w:style w:type="character" w:customStyle="1" w:styleId="Heading5Char">
    <w:name w:val="Heading 5 Char"/>
    <w:basedOn w:val="DefaultParagraphFont"/>
    <w:link w:val="Heading5"/>
    <w:uiPriority w:val="9"/>
    <w:semiHidden/>
    <w:rsid w:val="00304CFA"/>
    <w:rPr>
      <w:rFonts w:eastAsiaTheme="majorEastAsia" w:cstheme="majorBidi"/>
      <w:bCs/>
      <w:color w:val="2F5496" w:themeColor="accent1" w:themeShade="BF"/>
      <w:kern w:val="0"/>
      <w:lang w:val="en-GB"/>
      <w14:ligatures w14:val="none"/>
    </w:rPr>
  </w:style>
  <w:style w:type="character" w:customStyle="1" w:styleId="Heading6Char">
    <w:name w:val="Heading 6 Char"/>
    <w:basedOn w:val="DefaultParagraphFont"/>
    <w:link w:val="Heading6"/>
    <w:uiPriority w:val="9"/>
    <w:semiHidden/>
    <w:rsid w:val="00304CFA"/>
    <w:rPr>
      <w:rFonts w:eastAsiaTheme="majorEastAsia" w:cstheme="majorBidi"/>
      <w:bCs/>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304CFA"/>
    <w:rPr>
      <w:rFonts w:eastAsiaTheme="majorEastAsia" w:cstheme="majorBidi"/>
      <w:bCs/>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304CFA"/>
    <w:rPr>
      <w:rFonts w:eastAsiaTheme="majorEastAsia" w:cstheme="majorBidi"/>
      <w:bCs/>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304CFA"/>
    <w:rPr>
      <w:rFonts w:eastAsiaTheme="majorEastAsia" w:cstheme="majorBidi"/>
      <w:bCs/>
      <w:color w:val="272727" w:themeColor="text1" w:themeTint="D8"/>
      <w:kern w:val="0"/>
      <w:lang w:val="en-GB"/>
      <w14:ligatures w14:val="none"/>
    </w:rPr>
  </w:style>
  <w:style w:type="paragraph" w:styleId="Title">
    <w:name w:val="Title"/>
    <w:basedOn w:val="Normal"/>
    <w:next w:val="Normal"/>
    <w:link w:val="TitleChar"/>
    <w:uiPriority w:val="10"/>
    <w:qFormat/>
    <w:rsid w:val="00304CFA"/>
    <w:pPr>
      <w:jc w:val="center"/>
    </w:pPr>
    <w:rPr>
      <w:b/>
    </w:rPr>
  </w:style>
  <w:style w:type="character" w:customStyle="1" w:styleId="TitleChar">
    <w:name w:val="Title Char"/>
    <w:basedOn w:val="DefaultParagraphFont"/>
    <w:link w:val="Title"/>
    <w:uiPriority w:val="10"/>
    <w:rsid w:val="00304CFA"/>
    <w:rPr>
      <w:rFonts w:ascii="Times New Roman" w:hAnsi="Times New Roman"/>
      <w:b/>
      <w:bCs/>
      <w:kern w:val="0"/>
      <w14:ligatures w14:val="none"/>
    </w:rPr>
  </w:style>
  <w:style w:type="paragraph" w:styleId="Subtitle">
    <w:name w:val="Subtitle"/>
    <w:basedOn w:val="Normal"/>
    <w:next w:val="Normal"/>
    <w:link w:val="SubtitleChar"/>
    <w:uiPriority w:val="11"/>
    <w:qFormat/>
    <w:rsid w:val="00304CF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CFA"/>
    <w:rPr>
      <w:rFonts w:eastAsiaTheme="majorEastAsia" w:cstheme="majorBidi"/>
      <w:bCs/>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304C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4CFA"/>
    <w:rPr>
      <w:rFonts w:ascii="Times New Roman" w:hAnsi="Times New Roman"/>
      <w:bCs/>
      <w:i/>
      <w:iCs/>
      <w:color w:val="404040" w:themeColor="text1" w:themeTint="BF"/>
      <w:kern w:val="0"/>
      <w:lang w:val="en-GB"/>
      <w14:ligatures w14:val="none"/>
    </w:rPr>
  </w:style>
  <w:style w:type="paragraph" w:styleId="ListParagraph">
    <w:name w:val="List Paragraph"/>
    <w:basedOn w:val="Normal"/>
    <w:uiPriority w:val="34"/>
    <w:qFormat/>
    <w:rsid w:val="00304CFA"/>
    <w:pPr>
      <w:ind w:left="720"/>
      <w:contextualSpacing/>
    </w:pPr>
  </w:style>
  <w:style w:type="character" w:styleId="IntenseEmphasis">
    <w:name w:val="Intense Emphasis"/>
    <w:basedOn w:val="DefaultParagraphFont"/>
    <w:uiPriority w:val="21"/>
    <w:qFormat/>
    <w:rsid w:val="00304CFA"/>
    <w:rPr>
      <w:i/>
      <w:iCs/>
      <w:color w:val="2F5496" w:themeColor="accent1" w:themeShade="BF"/>
    </w:rPr>
  </w:style>
  <w:style w:type="paragraph" w:styleId="IntenseQuote">
    <w:name w:val="Intense Quote"/>
    <w:basedOn w:val="Normal"/>
    <w:next w:val="Normal"/>
    <w:link w:val="IntenseQuoteChar"/>
    <w:uiPriority w:val="30"/>
    <w:qFormat/>
    <w:rsid w:val="00304C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4CFA"/>
    <w:rPr>
      <w:rFonts w:ascii="Times New Roman" w:hAnsi="Times New Roman"/>
      <w:bCs/>
      <w:i/>
      <w:iCs/>
      <w:color w:val="2F5496" w:themeColor="accent1" w:themeShade="BF"/>
      <w:kern w:val="0"/>
      <w:lang w:val="en-GB"/>
      <w14:ligatures w14:val="none"/>
    </w:rPr>
  </w:style>
  <w:style w:type="character" w:styleId="IntenseReference">
    <w:name w:val="Intense Reference"/>
    <w:basedOn w:val="DefaultParagraphFont"/>
    <w:uiPriority w:val="32"/>
    <w:qFormat/>
    <w:rsid w:val="00304CFA"/>
    <w:rPr>
      <w:b/>
      <w:bCs/>
      <w:smallCaps/>
      <w:color w:val="2F5496" w:themeColor="accent1" w:themeShade="BF"/>
      <w:spacing w:val="5"/>
    </w:rPr>
  </w:style>
  <w:style w:type="paragraph" w:styleId="TOCHeading">
    <w:name w:val="TOC Heading"/>
    <w:basedOn w:val="Heading1"/>
    <w:next w:val="Normal"/>
    <w:uiPriority w:val="39"/>
    <w:unhideWhenUsed/>
    <w:qFormat/>
    <w:rsid w:val="00304CFA"/>
    <w:pPr>
      <w:spacing w:line="259" w:lineRule="auto"/>
      <w:jc w:val="left"/>
      <w:outlineLvl w:val="9"/>
    </w:pPr>
    <w:rPr>
      <w:rFonts w:asciiTheme="majorHAnsi" w:hAnsiTheme="majorHAnsi"/>
      <w:b w:val="0"/>
      <w:bCs w:val="0"/>
      <w:color w:val="2F5496" w:themeColor="accent1" w:themeShade="BF"/>
      <w:sz w:val="32"/>
    </w:rPr>
  </w:style>
  <w:style w:type="paragraph" w:styleId="TOC1">
    <w:name w:val="toc 1"/>
    <w:basedOn w:val="Normal"/>
    <w:next w:val="Normal"/>
    <w:autoRedefine/>
    <w:uiPriority w:val="39"/>
    <w:unhideWhenUsed/>
    <w:rsid w:val="00304CFA"/>
    <w:pPr>
      <w:spacing w:after="100"/>
    </w:pPr>
  </w:style>
  <w:style w:type="character" w:styleId="Hyperlink">
    <w:name w:val="Hyperlink"/>
    <w:basedOn w:val="DefaultParagraphFont"/>
    <w:uiPriority w:val="99"/>
    <w:unhideWhenUsed/>
    <w:rsid w:val="00304C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4449">
      <w:bodyDiv w:val="1"/>
      <w:marLeft w:val="0"/>
      <w:marRight w:val="0"/>
      <w:marTop w:val="0"/>
      <w:marBottom w:val="0"/>
      <w:divBdr>
        <w:top w:val="none" w:sz="0" w:space="0" w:color="auto"/>
        <w:left w:val="none" w:sz="0" w:space="0" w:color="auto"/>
        <w:bottom w:val="none" w:sz="0" w:space="0" w:color="auto"/>
        <w:right w:val="none" w:sz="0" w:space="0" w:color="auto"/>
      </w:divBdr>
      <w:divsChild>
        <w:div w:id="2057045219">
          <w:marLeft w:val="0"/>
          <w:marRight w:val="0"/>
          <w:marTop w:val="0"/>
          <w:marBottom w:val="0"/>
          <w:divBdr>
            <w:top w:val="none" w:sz="0" w:space="0" w:color="auto"/>
            <w:left w:val="none" w:sz="0" w:space="0" w:color="auto"/>
            <w:bottom w:val="none" w:sz="0" w:space="0" w:color="auto"/>
            <w:right w:val="none" w:sz="0" w:space="0" w:color="auto"/>
          </w:divBdr>
          <w:divsChild>
            <w:div w:id="1439596052">
              <w:marLeft w:val="0"/>
              <w:marRight w:val="0"/>
              <w:marTop w:val="0"/>
              <w:marBottom w:val="0"/>
              <w:divBdr>
                <w:top w:val="none" w:sz="0" w:space="0" w:color="auto"/>
                <w:left w:val="none" w:sz="0" w:space="0" w:color="auto"/>
                <w:bottom w:val="none" w:sz="0" w:space="0" w:color="auto"/>
                <w:right w:val="none" w:sz="0" w:space="0" w:color="auto"/>
              </w:divBdr>
              <w:divsChild>
                <w:div w:id="1932423535">
                  <w:marLeft w:val="0"/>
                  <w:marRight w:val="0"/>
                  <w:marTop w:val="0"/>
                  <w:marBottom w:val="0"/>
                  <w:divBdr>
                    <w:top w:val="none" w:sz="0" w:space="0" w:color="auto"/>
                    <w:left w:val="none" w:sz="0" w:space="0" w:color="auto"/>
                    <w:bottom w:val="none" w:sz="0" w:space="0" w:color="auto"/>
                    <w:right w:val="none" w:sz="0" w:space="0" w:color="auto"/>
                  </w:divBdr>
                  <w:divsChild>
                    <w:div w:id="342245330">
                      <w:marLeft w:val="0"/>
                      <w:marRight w:val="0"/>
                      <w:marTop w:val="0"/>
                      <w:marBottom w:val="0"/>
                      <w:divBdr>
                        <w:top w:val="none" w:sz="0" w:space="0" w:color="auto"/>
                        <w:left w:val="none" w:sz="0" w:space="0" w:color="auto"/>
                        <w:bottom w:val="none" w:sz="0" w:space="0" w:color="auto"/>
                        <w:right w:val="none" w:sz="0" w:space="0" w:color="auto"/>
                      </w:divBdr>
                      <w:divsChild>
                        <w:div w:id="2130127879">
                          <w:marLeft w:val="0"/>
                          <w:marRight w:val="0"/>
                          <w:marTop w:val="0"/>
                          <w:marBottom w:val="0"/>
                          <w:divBdr>
                            <w:top w:val="none" w:sz="0" w:space="0" w:color="auto"/>
                            <w:left w:val="none" w:sz="0" w:space="0" w:color="auto"/>
                            <w:bottom w:val="none" w:sz="0" w:space="0" w:color="auto"/>
                            <w:right w:val="none" w:sz="0" w:space="0" w:color="auto"/>
                          </w:divBdr>
                          <w:divsChild>
                            <w:div w:id="9778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17792">
                  <w:marLeft w:val="0"/>
                  <w:marRight w:val="0"/>
                  <w:marTop w:val="0"/>
                  <w:marBottom w:val="0"/>
                  <w:divBdr>
                    <w:top w:val="none" w:sz="0" w:space="0" w:color="auto"/>
                    <w:left w:val="none" w:sz="0" w:space="0" w:color="auto"/>
                    <w:bottom w:val="none" w:sz="0" w:space="0" w:color="auto"/>
                    <w:right w:val="none" w:sz="0" w:space="0" w:color="auto"/>
                  </w:divBdr>
                  <w:divsChild>
                    <w:div w:id="126268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87766">
      <w:bodyDiv w:val="1"/>
      <w:marLeft w:val="0"/>
      <w:marRight w:val="0"/>
      <w:marTop w:val="0"/>
      <w:marBottom w:val="0"/>
      <w:divBdr>
        <w:top w:val="none" w:sz="0" w:space="0" w:color="auto"/>
        <w:left w:val="none" w:sz="0" w:space="0" w:color="auto"/>
        <w:bottom w:val="none" w:sz="0" w:space="0" w:color="auto"/>
        <w:right w:val="none" w:sz="0" w:space="0" w:color="auto"/>
      </w:divBdr>
      <w:divsChild>
        <w:div w:id="1803424110">
          <w:marLeft w:val="0"/>
          <w:marRight w:val="0"/>
          <w:marTop w:val="0"/>
          <w:marBottom w:val="0"/>
          <w:divBdr>
            <w:top w:val="none" w:sz="0" w:space="0" w:color="auto"/>
            <w:left w:val="none" w:sz="0" w:space="0" w:color="auto"/>
            <w:bottom w:val="none" w:sz="0" w:space="0" w:color="auto"/>
            <w:right w:val="none" w:sz="0" w:space="0" w:color="auto"/>
          </w:divBdr>
          <w:divsChild>
            <w:div w:id="2046981785">
              <w:marLeft w:val="0"/>
              <w:marRight w:val="0"/>
              <w:marTop w:val="0"/>
              <w:marBottom w:val="0"/>
              <w:divBdr>
                <w:top w:val="none" w:sz="0" w:space="0" w:color="auto"/>
                <w:left w:val="none" w:sz="0" w:space="0" w:color="auto"/>
                <w:bottom w:val="none" w:sz="0" w:space="0" w:color="auto"/>
                <w:right w:val="none" w:sz="0" w:space="0" w:color="auto"/>
              </w:divBdr>
              <w:divsChild>
                <w:div w:id="1580014888">
                  <w:marLeft w:val="0"/>
                  <w:marRight w:val="0"/>
                  <w:marTop w:val="0"/>
                  <w:marBottom w:val="0"/>
                  <w:divBdr>
                    <w:top w:val="none" w:sz="0" w:space="0" w:color="auto"/>
                    <w:left w:val="none" w:sz="0" w:space="0" w:color="auto"/>
                    <w:bottom w:val="none" w:sz="0" w:space="0" w:color="auto"/>
                    <w:right w:val="none" w:sz="0" w:space="0" w:color="auto"/>
                  </w:divBdr>
                  <w:divsChild>
                    <w:div w:id="174196755">
                      <w:marLeft w:val="0"/>
                      <w:marRight w:val="0"/>
                      <w:marTop w:val="0"/>
                      <w:marBottom w:val="0"/>
                      <w:divBdr>
                        <w:top w:val="none" w:sz="0" w:space="0" w:color="auto"/>
                        <w:left w:val="none" w:sz="0" w:space="0" w:color="auto"/>
                        <w:bottom w:val="none" w:sz="0" w:space="0" w:color="auto"/>
                        <w:right w:val="none" w:sz="0" w:space="0" w:color="auto"/>
                      </w:divBdr>
                      <w:divsChild>
                        <w:div w:id="1448543993">
                          <w:marLeft w:val="0"/>
                          <w:marRight w:val="0"/>
                          <w:marTop w:val="0"/>
                          <w:marBottom w:val="0"/>
                          <w:divBdr>
                            <w:top w:val="none" w:sz="0" w:space="0" w:color="auto"/>
                            <w:left w:val="none" w:sz="0" w:space="0" w:color="auto"/>
                            <w:bottom w:val="none" w:sz="0" w:space="0" w:color="auto"/>
                            <w:right w:val="none" w:sz="0" w:space="0" w:color="auto"/>
                          </w:divBdr>
                          <w:divsChild>
                            <w:div w:id="10217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19651">
                  <w:marLeft w:val="0"/>
                  <w:marRight w:val="0"/>
                  <w:marTop w:val="0"/>
                  <w:marBottom w:val="0"/>
                  <w:divBdr>
                    <w:top w:val="none" w:sz="0" w:space="0" w:color="auto"/>
                    <w:left w:val="none" w:sz="0" w:space="0" w:color="auto"/>
                    <w:bottom w:val="none" w:sz="0" w:space="0" w:color="auto"/>
                    <w:right w:val="none" w:sz="0" w:space="0" w:color="auto"/>
                  </w:divBdr>
                  <w:divsChild>
                    <w:div w:id="29559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770060">
      <w:bodyDiv w:val="1"/>
      <w:marLeft w:val="0"/>
      <w:marRight w:val="0"/>
      <w:marTop w:val="0"/>
      <w:marBottom w:val="0"/>
      <w:divBdr>
        <w:top w:val="none" w:sz="0" w:space="0" w:color="auto"/>
        <w:left w:val="none" w:sz="0" w:space="0" w:color="auto"/>
        <w:bottom w:val="none" w:sz="0" w:space="0" w:color="auto"/>
        <w:right w:val="none" w:sz="0" w:space="0" w:color="auto"/>
      </w:divBdr>
    </w:div>
    <w:div w:id="810831602">
      <w:bodyDiv w:val="1"/>
      <w:marLeft w:val="0"/>
      <w:marRight w:val="0"/>
      <w:marTop w:val="0"/>
      <w:marBottom w:val="0"/>
      <w:divBdr>
        <w:top w:val="none" w:sz="0" w:space="0" w:color="auto"/>
        <w:left w:val="none" w:sz="0" w:space="0" w:color="auto"/>
        <w:bottom w:val="none" w:sz="0" w:space="0" w:color="auto"/>
        <w:right w:val="none" w:sz="0" w:space="0" w:color="auto"/>
      </w:divBdr>
    </w:div>
    <w:div w:id="1073821092">
      <w:bodyDiv w:val="1"/>
      <w:marLeft w:val="0"/>
      <w:marRight w:val="0"/>
      <w:marTop w:val="0"/>
      <w:marBottom w:val="0"/>
      <w:divBdr>
        <w:top w:val="none" w:sz="0" w:space="0" w:color="auto"/>
        <w:left w:val="none" w:sz="0" w:space="0" w:color="auto"/>
        <w:bottom w:val="none" w:sz="0" w:space="0" w:color="auto"/>
        <w:right w:val="none" w:sz="0" w:space="0" w:color="auto"/>
      </w:divBdr>
    </w:div>
    <w:div w:id="1444809146">
      <w:bodyDiv w:val="1"/>
      <w:marLeft w:val="0"/>
      <w:marRight w:val="0"/>
      <w:marTop w:val="0"/>
      <w:marBottom w:val="0"/>
      <w:divBdr>
        <w:top w:val="none" w:sz="0" w:space="0" w:color="auto"/>
        <w:left w:val="none" w:sz="0" w:space="0" w:color="auto"/>
        <w:bottom w:val="none" w:sz="0" w:space="0" w:color="auto"/>
        <w:right w:val="none" w:sz="0" w:space="0" w:color="auto"/>
      </w:divBdr>
    </w:div>
    <w:div w:id="1481538054">
      <w:bodyDiv w:val="1"/>
      <w:marLeft w:val="0"/>
      <w:marRight w:val="0"/>
      <w:marTop w:val="0"/>
      <w:marBottom w:val="0"/>
      <w:divBdr>
        <w:top w:val="none" w:sz="0" w:space="0" w:color="auto"/>
        <w:left w:val="none" w:sz="0" w:space="0" w:color="auto"/>
        <w:bottom w:val="none" w:sz="0" w:space="0" w:color="auto"/>
        <w:right w:val="none" w:sz="0" w:space="0" w:color="auto"/>
      </w:divBdr>
    </w:div>
    <w:div w:id="1537617047">
      <w:bodyDiv w:val="1"/>
      <w:marLeft w:val="0"/>
      <w:marRight w:val="0"/>
      <w:marTop w:val="0"/>
      <w:marBottom w:val="0"/>
      <w:divBdr>
        <w:top w:val="none" w:sz="0" w:space="0" w:color="auto"/>
        <w:left w:val="none" w:sz="0" w:space="0" w:color="auto"/>
        <w:bottom w:val="none" w:sz="0" w:space="0" w:color="auto"/>
        <w:right w:val="none" w:sz="0" w:space="0" w:color="auto"/>
      </w:divBdr>
    </w:div>
    <w:div w:id="1707019435">
      <w:bodyDiv w:val="1"/>
      <w:marLeft w:val="0"/>
      <w:marRight w:val="0"/>
      <w:marTop w:val="0"/>
      <w:marBottom w:val="0"/>
      <w:divBdr>
        <w:top w:val="none" w:sz="0" w:space="0" w:color="auto"/>
        <w:left w:val="none" w:sz="0" w:space="0" w:color="auto"/>
        <w:bottom w:val="none" w:sz="0" w:space="0" w:color="auto"/>
        <w:right w:val="none" w:sz="0" w:space="0" w:color="auto"/>
      </w:divBdr>
    </w:div>
    <w:div w:id="202316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629F2-268E-4F1D-ABE4-11AF6BA09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2742</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Iqbal</dc:creator>
  <cp:keywords/>
  <dc:description/>
  <cp:lastModifiedBy>Ibrahim Mohamed Mohamed Hussein Mohamed (2132801)</cp:lastModifiedBy>
  <cp:revision>2</cp:revision>
  <dcterms:created xsi:type="dcterms:W3CDTF">2025-07-30T19:00:00Z</dcterms:created>
  <dcterms:modified xsi:type="dcterms:W3CDTF">2025-07-30T19:00:00Z</dcterms:modified>
</cp:coreProperties>
</file>