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34403" w14:textId="67761B84" w:rsidR="009E548C" w:rsidRDefault="009E548C" w:rsidP="009E548C">
      <w:pPr>
        <w:rPr>
          <w:rFonts w:cs="Times New Roman"/>
          <w:szCs w:val="24"/>
        </w:rPr>
      </w:pPr>
      <w:r>
        <w:rPr>
          <w:rFonts w:cs="Times New Roman"/>
          <w:noProof/>
          <w:szCs w:val="24"/>
        </w:rPr>
        <w:drawing>
          <wp:inline distT="0" distB="0" distL="0" distR="0" wp14:anchorId="6DAA88E9" wp14:editId="415EA894">
            <wp:extent cx="3718560" cy="123444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560" cy="1234440"/>
                    </a:xfrm>
                    <a:prstGeom prst="rect">
                      <a:avLst/>
                    </a:prstGeom>
                    <a:noFill/>
                    <a:ln>
                      <a:noFill/>
                    </a:ln>
                  </pic:spPr>
                </pic:pic>
              </a:graphicData>
            </a:graphic>
          </wp:inline>
        </w:drawing>
      </w:r>
    </w:p>
    <w:p w14:paraId="0F650893" w14:textId="77777777" w:rsidR="009E548C" w:rsidRDefault="009E548C" w:rsidP="009E548C">
      <w:pPr>
        <w:rPr>
          <w:rFonts w:ascii="Arial" w:hAnsi="Arial" w:cs="Arial"/>
        </w:rPr>
      </w:pPr>
    </w:p>
    <w:p w14:paraId="3206AEF1" w14:textId="77777777" w:rsidR="009E548C" w:rsidRDefault="009E548C" w:rsidP="009E548C">
      <w:pPr>
        <w:jc w:val="center"/>
        <w:rPr>
          <w:rFonts w:ascii="Arial" w:hAnsi="Arial" w:cs="Arial"/>
          <w:b/>
          <w:bCs/>
        </w:rPr>
      </w:pPr>
      <w:r>
        <w:rPr>
          <w:rFonts w:ascii="Arial" w:hAnsi="Arial" w:cs="Arial"/>
          <w:b/>
          <w:bCs/>
        </w:rPr>
        <w:t>BA BUSINESS MANAGEMENT</w:t>
      </w:r>
    </w:p>
    <w:p w14:paraId="45722E97" w14:textId="393545A0" w:rsidR="009E548C" w:rsidRDefault="009E548C" w:rsidP="009E548C">
      <w:pPr>
        <w:jc w:val="center"/>
        <w:rPr>
          <w:rFonts w:ascii="Arial" w:hAnsi="Arial" w:cs="Arial"/>
          <w:b/>
          <w:bCs/>
        </w:rPr>
      </w:pPr>
      <w:r>
        <w:rPr>
          <w:rFonts w:ascii="Arial" w:hAnsi="Arial" w:cs="Arial"/>
          <w:b/>
          <w:bCs/>
        </w:rPr>
        <w:t>Assignment 2</w:t>
      </w:r>
    </w:p>
    <w:p w14:paraId="487224EE" w14:textId="77777777" w:rsidR="009E548C" w:rsidRDefault="009E548C" w:rsidP="009E548C">
      <w:pPr>
        <w:rPr>
          <w:rFonts w:ascii="Times New Roman" w:hAnsi="Times New Roman" w:cs="Times New Roman"/>
          <w:b/>
          <w:bCs/>
        </w:rPr>
      </w:pPr>
    </w:p>
    <w:p w14:paraId="5DFFA2A3" w14:textId="77777777" w:rsidR="009E548C" w:rsidRDefault="009E548C" w:rsidP="009E548C">
      <w:pPr>
        <w:rPr>
          <w:rFonts w:ascii="Arial" w:hAnsi="Arial" w:cs="Arial"/>
        </w:rPr>
      </w:pPr>
      <w:r>
        <w:rPr>
          <w:rFonts w:ascii="Arial" w:hAnsi="Arial" w:cs="Arial"/>
          <w:b/>
          <w:bCs/>
        </w:rPr>
        <w:t>Module</w:t>
      </w:r>
      <w:r>
        <w:rPr>
          <w:rFonts w:ascii="Arial" w:hAnsi="Arial" w:cs="Arial"/>
        </w:rPr>
        <w:t xml:space="preserve">: Community Engagement </w:t>
      </w:r>
    </w:p>
    <w:p w14:paraId="330F41CC" w14:textId="77777777" w:rsidR="009E548C" w:rsidRDefault="009E548C" w:rsidP="009E548C">
      <w:pPr>
        <w:rPr>
          <w:rFonts w:ascii="Arial" w:hAnsi="Arial" w:cs="Arial"/>
        </w:rPr>
      </w:pPr>
      <w:r>
        <w:rPr>
          <w:rFonts w:ascii="Arial" w:hAnsi="Arial" w:cs="Arial"/>
          <w:b/>
          <w:bCs/>
        </w:rPr>
        <w:t>Code</w:t>
      </w:r>
      <w:r>
        <w:rPr>
          <w:rFonts w:ascii="Arial" w:hAnsi="Arial" w:cs="Arial"/>
        </w:rPr>
        <w:t>: LCBB4002</w:t>
      </w:r>
    </w:p>
    <w:p w14:paraId="6B5C0F3D" w14:textId="77777777" w:rsidR="009E548C" w:rsidRDefault="009E548C" w:rsidP="009E548C">
      <w:pPr>
        <w:rPr>
          <w:rFonts w:ascii="Arial" w:hAnsi="Arial" w:cs="Arial"/>
        </w:rPr>
      </w:pPr>
      <w:r>
        <w:rPr>
          <w:rFonts w:ascii="Arial" w:hAnsi="Arial" w:cs="Arial"/>
          <w:b/>
          <w:bCs/>
        </w:rPr>
        <w:t>Lecturer</w:t>
      </w:r>
      <w:r>
        <w:rPr>
          <w:rFonts w:ascii="Arial" w:hAnsi="Arial" w:cs="Arial"/>
        </w:rPr>
        <w:t xml:space="preserve">: Dr </w:t>
      </w:r>
      <w:proofErr w:type="spellStart"/>
      <w:r>
        <w:rPr>
          <w:rFonts w:ascii="Arial" w:hAnsi="Arial" w:cs="Arial"/>
        </w:rPr>
        <w:t>Akinseye</w:t>
      </w:r>
      <w:proofErr w:type="spellEnd"/>
      <w:r>
        <w:rPr>
          <w:rFonts w:ascii="Arial" w:hAnsi="Arial" w:cs="Arial"/>
        </w:rPr>
        <w:t xml:space="preserve"> Aluko </w:t>
      </w:r>
    </w:p>
    <w:p w14:paraId="45C19916" w14:textId="0697184F" w:rsidR="009E548C" w:rsidRDefault="009E548C" w:rsidP="009E548C">
      <w:pPr>
        <w:rPr>
          <w:rFonts w:ascii="Arial" w:hAnsi="Arial" w:cs="Arial"/>
          <w:b/>
          <w:bCs/>
        </w:rPr>
      </w:pPr>
      <w:r>
        <w:rPr>
          <w:rFonts w:ascii="Arial" w:hAnsi="Arial" w:cs="Arial"/>
          <w:b/>
          <w:bCs/>
        </w:rPr>
        <w:t xml:space="preserve">Name: </w:t>
      </w:r>
      <w:proofErr w:type="spellStart"/>
      <w:r>
        <w:rPr>
          <w:rFonts w:ascii="Arial" w:hAnsi="Arial" w:cs="Arial"/>
        </w:rPr>
        <w:t>Denislav</w:t>
      </w:r>
      <w:proofErr w:type="spellEnd"/>
      <w:r>
        <w:rPr>
          <w:rFonts w:ascii="Arial" w:hAnsi="Arial" w:cs="Arial"/>
        </w:rPr>
        <w:t xml:space="preserve"> </w:t>
      </w:r>
      <w:proofErr w:type="spellStart"/>
      <w:r>
        <w:rPr>
          <w:rFonts w:ascii="Arial" w:hAnsi="Arial" w:cs="Arial"/>
        </w:rPr>
        <w:t>Nestorov</w:t>
      </w:r>
      <w:proofErr w:type="spellEnd"/>
      <w:r>
        <w:rPr>
          <w:rFonts w:ascii="Arial" w:hAnsi="Arial" w:cs="Arial"/>
        </w:rPr>
        <w:t xml:space="preserve"> Dimitrov</w:t>
      </w:r>
    </w:p>
    <w:p w14:paraId="2F1AB9A2" w14:textId="692D9E21" w:rsidR="009E548C" w:rsidRDefault="009E548C" w:rsidP="009E548C">
      <w:pPr>
        <w:rPr>
          <w:rFonts w:ascii="Arial" w:hAnsi="Arial" w:cs="Arial"/>
          <w:b/>
          <w:bCs/>
        </w:rPr>
      </w:pPr>
      <w:r>
        <w:rPr>
          <w:rFonts w:ascii="Arial" w:hAnsi="Arial" w:cs="Arial"/>
          <w:b/>
          <w:bCs/>
        </w:rPr>
        <w:t xml:space="preserve">Student ID: </w:t>
      </w:r>
      <w:r>
        <w:rPr>
          <w:rFonts w:ascii="Arial" w:hAnsi="Arial" w:cs="Arial"/>
        </w:rPr>
        <w:t>2</w:t>
      </w:r>
      <w:r w:rsidR="00FE01D9">
        <w:rPr>
          <w:rFonts w:ascii="Arial" w:hAnsi="Arial" w:cs="Arial"/>
        </w:rPr>
        <w:t>127998</w:t>
      </w:r>
    </w:p>
    <w:p w14:paraId="2F50511F" w14:textId="77777777" w:rsidR="009E548C" w:rsidRDefault="009E548C" w:rsidP="009E548C">
      <w:pPr>
        <w:rPr>
          <w:rFonts w:ascii="Times New Roman" w:hAnsi="Times New Roman" w:cs="Times New Roman"/>
          <w:b/>
          <w:bCs/>
        </w:rPr>
      </w:pPr>
    </w:p>
    <w:p w14:paraId="3744E0DD" w14:textId="77777777" w:rsidR="009E548C" w:rsidRDefault="009E548C" w:rsidP="009E548C">
      <w:pPr>
        <w:rPr>
          <w:rFonts w:cs="Times New Roman"/>
          <w:b/>
          <w:bCs/>
        </w:rPr>
      </w:pPr>
    </w:p>
    <w:p w14:paraId="68734684" w14:textId="63087E0D" w:rsidR="009E548C" w:rsidRDefault="009E548C" w:rsidP="009E548C">
      <w:pPr>
        <w:jc w:val="center"/>
        <w:rPr>
          <w:rFonts w:ascii="Arial" w:hAnsi="Arial" w:cs="Arial"/>
          <w:b/>
          <w:bCs/>
        </w:rPr>
      </w:pPr>
      <w:r>
        <w:rPr>
          <w:rFonts w:ascii="Arial" w:hAnsi="Arial" w:cs="Arial"/>
          <w:b/>
          <w:bCs/>
        </w:rPr>
        <w:t xml:space="preserve">SUBMITTED ON THE </w:t>
      </w:r>
      <w:proofErr w:type="gramStart"/>
      <w:r w:rsidR="00492646">
        <w:rPr>
          <w:rFonts w:ascii="Arial" w:hAnsi="Arial" w:cs="Arial"/>
          <w:b/>
          <w:bCs/>
        </w:rPr>
        <w:t>8</w:t>
      </w:r>
      <w:r w:rsidR="00FE01D9" w:rsidRPr="00FE01D9">
        <w:rPr>
          <w:rFonts w:ascii="Arial" w:hAnsi="Arial" w:cs="Arial"/>
          <w:b/>
          <w:bCs/>
          <w:vertAlign w:val="superscript"/>
        </w:rPr>
        <w:t>th</w:t>
      </w:r>
      <w:proofErr w:type="gramEnd"/>
      <w:r w:rsidR="00FE01D9">
        <w:rPr>
          <w:rFonts w:ascii="Arial" w:hAnsi="Arial" w:cs="Arial"/>
          <w:b/>
          <w:bCs/>
        </w:rPr>
        <w:t xml:space="preserve"> </w:t>
      </w:r>
      <w:r w:rsidR="00C5496A">
        <w:rPr>
          <w:rFonts w:ascii="Arial" w:hAnsi="Arial" w:cs="Arial"/>
          <w:b/>
          <w:bCs/>
        </w:rPr>
        <w:t>January 2023</w:t>
      </w:r>
    </w:p>
    <w:p w14:paraId="296513B1" w14:textId="77777777" w:rsidR="009E548C" w:rsidRDefault="009E548C" w:rsidP="009E548C">
      <w:pPr>
        <w:rPr>
          <w:rFonts w:ascii="Times New Roman" w:hAnsi="Times New Roman" w:cs="Times New Roman"/>
          <w:b/>
          <w:bCs/>
        </w:rPr>
      </w:pPr>
    </w:p>
    <w:p w14:paraId="25B129B2" w14:textId="77777777" w:rsidR="009E548C" w:rsidRDefault="009E548C" w:rsidP="009E548C">
      <w:pPr>
        <w:rPr>
          <w:rFonts w:cs="Times New Roman"/>
          <w:b/>
          <w:bCs/>
        </w:rPr>
      </w:pPr>
    </w:p>
    <w:p w14:paraId="18995494" w14:textId="77777777" w:rsidR="009E548C" w:rsidRDefault="009E548C" w:rsidP="009E548C">
      <w:pPr>
        <w:spacing w:after="200" w:line="276" w:lineRule="auto"/>
      </w:pPr>
      <w:r>
        <w:br w:type="page"/>
      </w:r>
    </w:p>
    <w:sdt>
      <w:sdtPr>
        <w:rPr>
          <w:rFonts w:ascii="Times New Roman" w:eastAsiaTheme="minorHAnsi" w:hAnsi="Times New Roman" w:cs="Times New Roman"/>
          <w:b w:val="0"/>
          <w:bCs w:val="0"/>
          <w:color w:val="auto"/>
          <w:sz w:val="24"/>
          <w:szCs w:val="24"/>
        </w:rPr>
        <w:id w:val="7622837"/>
        <w:docPartObj>
          <w:docPartGallery w:val="Table of Contents"/>
          <w:docPartUnique/>
        </w:docPartObj>
      </w:sdtPr>
      <w:sdtEndPr/>
      <w:sdtContent>
        <w:p w14:paraId="218014C1" w14:textId="71FDF82A" w:rsidR="00FE01D9" w:rsidRPr="00FE01D9" w:rsidRDefault="0019375C" w:rsidP="00FE01D9">
          <w:pPr>
            <w:pStyle w:val="TOCHeading"/>
            <w:spacing w:line="360" w:lineRule="auto"/>
            <w:contextualSpacing/>
          </w:pPr>
          <w:r w:rsidRPr="00FE01D9">
            <w:rPr>
              <w:rFonts w:ascii="Arial" w:hAnsi="Arial" w:cs="Arial"/>
              <w:color w:val="auto"/>
              <w:sz w:val="22"/>
              <w:szCs w:val="22"/>
            </w:rPr>
            <w:t>Table of Contents</w:t>
          </w:r>
        </w:p>
        <w:p w14:paraId="5521D2D9" w14:textId="77777777" w:rsidR="0019375C" w:rsidRPr="00FE01D9" w:rsidRDefault="0019375C" w:rsidP="00915B1F">
          <w:pPr>
            <w:pStyle w:val="TOC1"/>
            <w:tabs>
              <w:tab w:val="right" w:leader="dot" w:pos="9350"/>
            </w:tabs>
            <w:spacing w:line="360" w:lineRule="auto"/>
            <w:contextualSpacing/>
            <w:rPr>
              <w:rFonts w:ascii="Arial" w:hAnsi="Arial" w:cs="Arial"/>
              <w:noProof/>
            </w:rPr>
          </w:pPr>
          <w:r w:rsidRPr="00FE01D9">
            <w:rPr>
              <w:rFonts w:ascii="Arial" w:hAnsi="Arial" w:cs="Arial"/>
            </w:rPr>
            <w:fldChar w:fldCharType="begin"/>
          </w:r>
          <w:r w:rsidRPr="00FE01D9">
            <w:rPr>
              <w:rFonts w:ascii="Arial" w:hAnsi="Arial" w:cs="Arial"/>
            </w:rPr>
            <w:instrText xml:space="preserve"> TOC \o "1-3" \h \z \u </w:instrText>
          </w:r>
          <w:r w:rsidRPr="00FE01D9">
            <w:rPr>
              <w:rFonts w:ascii="Arial" w:hAnsi="Arial" w:cs="Arial"/>
            </w:rPr>
            <w:fldChar w:fldCharType="separate"/>
          </w:r>
          <w:hyperlink w:anchor="_Toc123214097" w:history="1">
            <w:r w:rsidRPr="00FE01D9">
              <w:rPr>
                <w:rStyle w:val="Hyperlink"/>
                <w:rFonts w:ascii="Arial" w:hAnsi="Arial" w:cs="Arial"/>
                <w:noProof/>
                <w:color w:val="auto"/>
              </w:rPr>
              <w:t>Introduction</w:t>
            </w:r>
            <w:r w:rsidRPr="00FE01D9">
              <w:rPr>
                <w:rFonts w:ascii="Arial" w:hAnsi="Arial" w:cs="Arial"/>
                <w:noProof/>
                <w:webHidden/>
              </w:rPr>
              <w:tab/>
            </w:r>
            <w:r w:rsidRPr="00FE01D9">
              <w:rPr>
                <w:rFonts w:ascii="Arial" w:hAnsi="Arial" w:cs="Arial"/>
                <w:noProof/>
                <w:webHidden/>
              </w:rPr>
              <w:fldChar w:fldCharType="begin"/>
            </w:r>
            <w:r w:rsidRPr="00FE01D9">
              <w:rPr>
                <w:rFonts w:ascii="Arial" w:hAnsi="Arial" w:cs="Arial"/>
                <w:noProof/>
                <w:webHidden/>
              </w:rPr>
              <w:instrText xml:space="preserve"> PAGEREF _Toc123214097 \h </w:instrText>
            </w:r>
            <w:r w:rsidRPr="00FE01D9">
              <w:rPr>
                <w:rFonts w:ascii="Arial" w:hAnsi="Arial" w:cs="Arial"/>
                <w:noProof/>
                <w:webHidden/>
              </w:rPr>
            </w:r>
            <w:r w:rsidRPr="00FE01D9">
              <w:rPr>
                <w:rFonts w:ascii="Arial" w:hAnsi="Arial" w:cs="Arial"/>
                <w:noProof/>
                <w:webHidden/>
              </w:rPr>
              <w:fldChar w:fldCharType="separate"/>
            </w:r>
            <w:r w:rsidRPr="00FE01D9">
              <w:rPr>
                <w:rFonts w:ascii="Arial" w:hAnsi="Arial" w:cs="Arial"/>
                <w:noProof/>
                <w:webHidden/>
              </w:rPr>
              <w:t>3</w:t>
            </w:r>
            <w:r w:rsidRPr="00FE01D9">
              <w:rPr>
                <w:rFonts w:ascii="Arial" w:hAnsi="Arial" w:cs="Arial"/>
                <w:noProof/>
                <w:webHidden/>
              </w:rPr>
              <w:fldChar w:fldCharType="end"/>
            </w:r>
          </w:hyperlink>
        </w:p>
        <w:p w14:paraId="0DA2B8B6" w14:textId="3727C56C" w:rsidR="0019375C" w:rsidRPr="00FE01D9" w:rsidRDefault="00492646" w:rsidP="00915B1F">
          <w:pPr>
            <w:pStyle w:val="TOC1"/>
            <w:tabs>
              <w:tab w:val="right" w:leader="dot" w:pos="9350"/>
            </w:tabs>
            <w:spacing w:line="360" w:lineRule="auto"/>
            <w:contextualSpacing/>
            <w:rPr>
              <w:rFonts w:ascii="Arial" w:hAnsi="Arial" w:cs="Arial"/>
              <w:noProof/>
            </w:rPr>
          </w:pPr>
          <w:hyperlink w:anchor="_Toc123214098" w:history="1">
            <w:r w:rsidR="0019375C" w:rsidRPr="00FE01D9">
              <w:rPr>
                <w:rStyle w:val="Hyperlink"/>
                <w:rFonts w:ascii="Arial" w:hAnsi="Arial" w:cs="Arial"/>
                <w:noProof/>
                <w:color w:val="auto"/>
              </w:rPr>
              <w:t>Reflection and analysis</w:t>
            </w:r>
            <w:r w:rsidR="0019375C" w:rsidRPr="00FE01D9">
              <w:rPr>
                <w:rFonts w:ascii="Arial" w:hAnsi="Arial" w:cs="Arial"/>
                <w:noProof/>
                <w:webHidden/>
              </w:rPr>
              <w:tab/>
            </w:r>
            <w:r w:rsidR="00BF6610">
              <w:rPr>
                <w:rFonts w:ascii="Arial" w:hAnsi="Arial" w:cs="Arial"/>
                <w:noProof/>
                <w:webHidden/>
              </w:rPr>
              <w:t>4</w:t>
            </w:r>
          </w:hyperlink>
        </w:p>
        <w:p w14:paraId="3694C47B" w14:textId="6ACD4EDD" w:rsidR="0019375C" w:rsidRPr="00FE01D9" w:rsidRDefault="00492646" w:rsidP="00915B1F">
          <w:pPr>
            <w:pStyle w:val="TOC2"/>
            <w:tabs>
              <w:tab w:val="right" w:leader="dot" w:pos="9350"/>
            </w:tabs>
            <w:spacing w:line="360" w:lineRule="auto"/>
            <w:contextualSpacing/>
            <w:rPr>
              <w:rFonts w:ascii="Arial" w:hAnsi="Arial" w:cs="Arial"/>
              <w:noProof/>
            </w:rPr>
          </w:pPr>
          <w:hyperlink w:anchor="_Toc123214099" w:history="1">
            <w:r w:rsidR="0019375C" w:rsidRPr="00FE01D9">
              <w:rPr>
                <w:rStyle w:val="Hyperlink"/>
                <w:rFonts w:ascii="Arial" w:hAnsi="Arial" w:cs="Arial"/>
                <w:noProof/>
                <w:color w:val="auto"/>
              </w:rPr>
              <w:t>Background information of the project</w:t>
            </w:r>
            <w:r w:rsidR="0019375C" w:rsidRPr="00FE01D9">
              <w:rPr>
                <w:rFonts w:ascii="Arial" w:hAnsi="Arial" w:cs="Arial"/>
                <w:noProof/>
                <w:webHidden/>
              </w:rPr>
              <w:tab/>
            </w:r>
            <w:r w:rsidR="00BF6610">
              <w:rPr>
                <w:rFonts w:ascii="Arial" w:hAnsi="Arial" w:cs="Arial"/>
                <w:noProof/>
                <w:webHidden/>
              </w:rPr>
              <w:t>4</w:t>
            </w:r>
          </w:hyperlink>
        </w:p>
        <w:p w14:paraId="04427C87" w14:textId="70D24B89" w:rsidR="0019375C" w:rsidRPr="00FE01D9" w:rsidRDefault="00492646" w:rsidP="00915B1F">
          <w:pPr>
            <w:pStyle w:val="TOC2"/>
            <w:tabs>
              <w:tab w:val="right" w:leader="dot" w:pos="9350"/>
            </w:tabs>
            <w:spacing w:line="360" w:lineRule="auto"/>
            <w:contextualSpacing/>
            <w:rPr>
              <w:rFonts w:ascii="Arial" w:hAnsi="Arial" w:cs="Arial"/>
              <w:noProof/>
            </w:rPr>
          </w:pPr>
          <w:hyperlink w:anchor="_Toc123214100" w:history="1">
            <w:r w:rsidR="0019375C" w:rsidRPr="00FE01D9">
              <w:rPr>
                <w:rStyle w:val="Hyperlink"/>
                <w:rFonts w:ascii="Arial" w:hAnsi="Arial" w:cs="Arial"/>
                <w:noProof/>
                <w:color w:val="auto"/>
              </w:rPr>
              <w:t>The best community involvement strategies, along with suggestions for improvement</w:t>
            </w:r>
            <w:r w:rsidR="0019375C" w:rsidRPr="00FE01D9">
              <w:rPr>
                <w:rFonts w:ascii="Arial" w:hAnsi="Arial" w:cs="Arial"/>
                <w:noProof/>
                <w:webHidden/>
              </w:rPr>
              <w:tab/>
            </w:r>
            <w:r w:rsidR="00BF6610">
              <w:rPr>
                <w:rFonts w:ascii="Arial" w:hAnsi="Arial" w:cs="Arial"/>
                <w:noProof/>
                <w:webHidden/>
              </w:rPr>
              <w:t>5</w:t>
            </w:r>
          </w:hyperlink>
        </w:p>
        <w:p w14:paraId="05AFF25B" w14:textId="7568205D" w:rsidR="0019375C" w:rsidRPr="00FE01D9" w:rsidRDefault="00492646" w:rsidP="00915B1F">
          <w:pPr>
            <w:pStyle w:val="TOC2"/>
            <w:tabs>
              <w:tab w:val="right" w:leader="dot" w:pos="9350"/>
            </w:tabs>
            <w:spacing w:line="360" w:lineRule="auto"/>
            <w:contextualSpacing/>
            <w:rPr>
              <w:rFonts w:ascii="Arial" w:hAnsi="Arial" w:cs="Arial"/>
              <w:noProof/>
            </w:rPr>
          </w:pPr>
          <w:hyperlink w:anchor="_Toc123214101" w:history="1">
            <w:r w:rsidR="0019375C" w:rsidRPr="00FE01D9">
              <w:rPr>
                <w:rStyle w:val="Hyperlink"/>
                <w:rFonts w:ascii="Arial" w:hAnsi="Arial" w:cs="Arial"/>
                <w:noProof/>
                <w:color w:val="auto"/>
              </w:rPr>
              <w:t>Influence of active consultation, communication, involvement of stakeholders, and inclusion</w:t>
            </w:r>
            <w:r w:rsidR="00EE2A11">
              <w:rPr>
                <w:rFonts w:ascii="Arial" w:hAnsi="Arial" w:cs="Arial"/>
                <w:noProof/>
                <w:webHidden/>
              </w:rPr>
              <w:t xml:space="preserve">  7</w:t>
            </w:r>
          </w:hyperlink>
        </w:p>
        <w:p w14:paraId="49F14016" w14:textId="03B545AB" w:rsidR="0019375C" w:rsidRPr="00FE01D9" w:rsidRDefault="00492646" w:rsidP="00915B1F">
          <w:pPr>
            <w:pStyle w:val="TOC1"/>
            <w:tabs>
              <w:tab w:val="right" w:leader="dot" w:pos="9350"/>
            </w:tabs>
            <w:spacing w:line="360" w:lineRule="auto"/>
            <w:contextualSpacing/>
            <w:rPr>
              <w:rFonts w:ascii="Arial" w:hAnsi="Arial" w:cs="Arial"/>
              <w:noProof/>
            </w:rPr>
          </w:pPr>
          <w:hyperlink w:anchor="_Toc123214102" w:history="1">
            <w:r w:rsidR="0019375C" w:rsidRPr="00FE01D9">
              <w:rPr>
                <w:rStyle w:val="Hyperlink"/>
                <w:rFonts w:ascii="Arial" w:hAnsi="Arial" w:cs="Arial"/>
                <w:noProof/>
                <w:color w:val="auto"/>
              </w:rPr>
              <w:t>Conclusion</w:t>
            </w:r>
            <w:r w:rsidR="0019375C" w:rsidRPr="00FE01D9">
              <w:rPr>
                <w:rFonts w:ascii="Arial" w:hAnsi="Arial" w:cs="Arial"/>
                <w:noProof/>
                <w:webHidden/>
              </w:rPr>
              <w:tab/>
            </w:r>
            <w:r w:rsidR="00EE2A11">
              <w:rPr>
                <w:rFonts w:ascii="Arial" w:hAnsi="Arial" w:cs="Arial"/>
                <w:noProof/>
                <w:webHidden/>
              </w:rPr>
              <w:t>9</w:t>
            </w:r>
          </w:hyperlink>
        </w:p>
        <w:p w14:paraId="47345A38" w14:textId="1F30F009" w:rsidR="0019375C" w:rsidRPr="00FE01D9" w:rsidRDefault="00492646" w:rsidP="00915B1F">
          <w:pPr>
            <w:pStyle w:val="TOC1"/>
            <w:tabs>
              <w:tab w:val="right" w:leader="dot" w:pos="9350"/>
            </w:tabs>
            <w:spacing w:line="360" w:lineRule="auto"/>
            <w:contextualSpacing/>
            <w:rPr>
              <w:rFonts w:ascii="Arial" w:hAnsi="Arial" w:cs="Arial"/>
              <w:noProof/>
            </w:rPr>
          </w:pPr>
          <w:hyperlink w:anchor="_Toc123214103" w:history="1">
            <w:r w:rsidR="0019375C" w:rsidRPr="00FE01D9">
              <w:rPr>
                <w:rStyle w:val="Hyperlink"/>
                <w:rFonts w:ascii="Arial" w:hAnsi="Arial" w:cs="Arial"/>
                <w:noProof/>
                <w:color w:val="auto"/>
              </w:rPr>
              <w:t>References</w:t>
            </w:r>
            <w:r w:rsidR="0019375C" w:rsidRPr="00FE01D9">
              <w:rPr>
                <w:rFonts w:ascii="Arial" w:hAnsi="Arial" w:cs="Arial"/>
                <w:noProof/>
                <w:webHidden/>
              </w:rPr>
              <w:tab/>
            </w:r>
            <w:r w:rsidR="00EE2A11">
              <w:rPr>
                <w:rFonts w:ascii="Arial" w:hAnsi="Arial" w:cs="Arial"/>
                <w:noProof/>
                <w:webHidden/>
              </w:rPr>
              <w:t>10</w:t>
            </w:r>
          </w:hyperlink>
        </w:p>
        <w:p w14:paraId="3E75E219" w14:textId="77777777" w:rsidR="0019375C" w:rsidRPr="00915B1F" w:rsidRDefault="0019375C" w:rsidP="00915B1F">
          <w:pPr>
            <w:spacing w:line="360" w:lineRule="auto"/>
            <w:contextualSpacing/>
            <w:rPr>
              <w:rFonts w:ascii="Times New Roman" w:hAnsi="Times New Roman" w:cs="Times New Roman"/>
              <w:sz w:val="24"/>
              <w:szCs w:val="24"/>
            </w:rPr>
          </w:pPr>
          <w:r w:rsidRPr="00FE01D9">
            <w:rPr>
              <w:rFonts w:ascii="Arial" w:hAnsi="Arial" w:cs="Arial"/>
            </w:rPr>
            <w:fldChar w:fldCharType="end"/>
          </w:r>
        </w:p>
      </w:sdtContent>
    </w:sdt>
    <w:p w14:paraId="4B6FA50F" w14:textId="77777777" w:rsidR="0019375C" w:rsidRPr="00915B1F" w:rsidRDefault="0019375C" w:rsidP="00915B1F">
      <w:pPr>
        <w:spacing w:line="360" w:lineRule="auto"/>
        <w:contextualSpacing/>
        <w:rPr>
          <w:rFonts w:ascii="Times New Roman" w:eastAsiaTheme="majorEastAsia" w:hAnsi="Times New Roman" w:cs="Times New Roman"/>
          <w:sz w:val="24"/>
          <w:szCs w:val="24"/>
        </w:rPr>
      </w:pPr>
    </w:p>
    <w:p w14:paraId="1AD3F559" w14:textId="77777777" w:rsidR="00FE01D9" w:rsidRDefault="00DE4483" w:rsidP="00FE01D9">
      <w:pPr>
        <w:spacing w:line="360" w:lineRule="auto"/>
        <w:contextualSpacing/>
        <w:rPr>
          <w:rFonts w:ascii="Times New Roman" w:hAnsi="Times New Roman" w:cs="Times New Roman"/>
          <w:sz w:val="24"/>
          <w:szCs w:val="24"/>
        </w:rPr>
      </w:pPr>
      <w:bookmarkStart w:id="0" w:name="_Toc123214097"/>
      <w:r w:rsidRPr="00915B1F">
        <w:rPr>
          <w:rFonts w:ascii="Times New Roman" w:hAnsi="Times New Roman" w:cs="Times New Roman"/>
          <w:sz w:val="24"/>
          <w:szCs w:val="24"/>
        </w:rPr>
        <w:br w:type="page"/>
      </w:r>
    </w:p>
    <w:p w14:paraId="70D1BE65" w14:textId="22CFD966" w:rsidR="50E0102C" w:rsidRDefault="00FE01D9" w:rsidP="00FE01D9">
      <w:pPr>
        <w:spacing w:line="360" w:lineRule="auto"/>
        <w:contextualSpacing/>
        <w:rPr>
          <w:rFonts w:ascii="Arial" w:hAnsi="Arial" w:cs="Arial"/>
          <w:b/>
        </w:rPr>
      </w:pPr>
      <w:r w:rsidRPr="00FE01D9">
        <w:rPr>
          <w:rFonts w:ascii="Arial" w:hAnsi="Arial" w:cs="Arial"/>
          <w:b/>
        </w:rPr>
        <w:lastRenderedPageBreak/>
        <w:t>I</w:t>
      </w:r>
      <w:r w:rsidR="50E0102C" w:rsidRPr="00FE01D9">
        <w:rPr>
          <w:rFonts w:ascii="Arial" w:hAnsi="Arial" w:cs="Arial"/>
          <w:b/>
        </w:rPr>
        <w:t>ntroduction</w:t>
      </w:r>
      <w:bookmarkEnd w:id="0"/>
      <w:r w:rsidR="50E0102C" w:rsidRPr="00FE01D9">
        <w:rPr>
          <w:rFonts w:ascii="Arial" w:hAnsi="Arial" w:cs="Arial"/>
          <w:b/>
        </w:rPr>
        <w:t xml:space="preserve"> </w:t>
      </w:r>
    </w:p>
    <w:p w14:paraId="2BC73065" w14:textId="77777777" w:rsidR="00FE01D9" w:rsidRPr="00FE01D9" w:rsidRDefault="00FE01D9" w:rsidP="00FE01D9">
      <w:pPr>
        <w:spacing w:line="360" w:lineRule="auto"/>
        <w:contextualSpacing/>
        <w:rPr>
          <w:rFonts w:ascii="Arial" w:eastAsiaTheme="majorEastAsia" w:hAnsi="Arial" w:cs="Arial"/>
        </w:rPr>
      </w:pPr>
    </w:p>
    <w:p w14:paraId="22C563BE" w14:textId="77777777" w:rsidR="00BF6610" w:rsidRDefault="50E0102C" w:rsidP="00BF6610">
      <w:pPr>
        <w:spacing w:line="360" w:lineRule="auto"/>
        <w:contextualSpacing/>
        <w:rPr>
          <w:rFonts w:ascii="Arial" w:eastAsia="Calibri" w:hAnsi="Arial" w:cs="Arial"/>
        </w:rPr>
      </w:pPr>
      <w:r w:rsidRPr="00FE01D9">
        <w:rPr>
          <w:rFonts w:ascii="Arial" w:eastAsia="Calibri" w:hAnsi="Arial" w:cs="Arial"/>
        </w:rPr>
        <w:t>This reflective report focuses on the community engagement initiative of the Commonwealth Games held in Birmingham. It reviews the activities taken to engage the local community and the impact they had.  The report provides an opportunity to reflect on the effectiveness of community engagement activities and to suggest improvements for the future. The Commonwealth Games provide</w:t>
      </w:r>
      <w:r w:rsidR="002A7BFC" w:rsidRPr="00FE01D9">
        <w:rPr>
          <w:rFonts w:ascii="Arial" w:eastAsia="Calibri" w:hAnsi="Arial" w:cs="Arial"/>
        </w:rPr>
        <w:t xml:space="preserve"> </w:t>
      </w:r>
      <w:r w:rsidRPr="00FE01D9">
        <w:rPr>
          <w:rFonts w:ascii="Arial" w:eastAsia="Calibri" w:hAnsi="Arial" w:cs="Arial"/>
        </w:rPr>
        <w:t xml:space="preserve">a great opportunity for local communities to come together and celebrate their shared heritage. The event organizers in Birmingham took the initiative to engage and involve the local community in the Games. Through a range of activities, such as workshops and public events, local people were given the chance to get involved and to be part of the Games. This reflective report aims to analyze the community engagement activities, the successes and the challenges faced, and to provide an insight into the impact of the strategies that were used by the organizers to engage the community. </w:t>
      </w:r>
      <w:bookmarkStart w:id="1" w:name="_Toc123214098"/>
    </w:p>
    <w:p w14:paraId="3232C63F" w14:textId="77777777" w:rsidR="00BF6610" w:rsidRDefault="00BF6610" w:rsidP="00BF6610">
      <w:pPr>
        <w:spacing w:line="360" w:lineRule="auto"/>
        <w:contextualSpacing/>
        <w:rPr>
          <w:rFonts w:ascii="Arial" w:hAnsi="Arial" w:cs="Arial"/>
          <w:b/>
        </w:rPr>
      </w:pPr>
    </w:p>
    <w:p w14:paraId="6009F798" w14:textId="77777777" w:rsidR="00BF6610" w:rsidRDefault="00BF6610" w:rsidP="00BF6610">
      <w:pPr>
        <w:spacing w:line="360" w:lineRule="auto"/>
        <w:contextualSpacing/>
        <w:rPr>
          <w:rFonts w:ascii="Arial" w:hAnsi="Arial" w:cs="Arial"/>
          <w:b/>
        </w:rPr>
      </w:pPr>
    </w:p>
    <w:p w14:paraId="5252E0BA" w14:textId="77777777" w:rsidR="00BF6610" w:rsidRDefault="00BF6610" w:rsidP="00BF6610">
      <w:pPr>
        <w:spacing w:line="360" w:lineRule="auto"/>
        <w:contextualSpacing/>
        <w:rPr>
          <w:rFonts w:ascii="Arial" w:hAnsi="Arial" w:cs="Arial"/>
          <w:b/>
        </w:rPr>
      </w:pPr>
    </w:p>
    <w:p w14:paraId="75CCEE74" w14:textId="77777777" w:rsidR="00BF6610" w:rsidRDefault="00BF6610" w:rsidP="00BF6610">
      <w:pPr>
        <w:spacing w:line="360" w:lineRule="auto"/>
        <w:contextualSpacing/>
        <w:rPr>
          <w:rFonts w:ascii="Arial" w:hAnsi="Arial" w:cs="Arial"/>
          <w:b/>
        </w:rPr>
      </w:pPr>
    </w:p>
    <w:p w14:paraId="5152907A" w14:textId="77777777" w:rsidR="00BF6610" w:rsidRDefault="00BF6610" w:rsidP="00BF6610">
      <w:pPr>
        <w:spacing w:line="360" w:lineRule="auto"/>
        <w:contextualSpacing/>
        <w:rPr>
          <w:rFonts w:ascii="Arial" w:hAnsi="Arial" w:cs="Arial"/>
          <w:b/>
        </w:rPr>
      </w:pPr>
    </w:p>
    <w:p w14:paraId="53017B86" w14:textId="77777777" w:rsidR="00BF6610" w:rsidRDefault="00BF6610" w:rsidP="00BF6610">
      <w:pPr>
        <w:spacing w:line="360" w:lineRule="auto"/>
        <w:contextualSpacing/>
        <w:rPr>
          <w:rFonts w:ascii="Arial" w:hAnsi="Arial" w:cs="Arial"/>
          <w:b/>
        </w:rPr>
      </w:pPr>
    </w:p>
    <w:p w14:paraId="613BB64F" w14:textId="77777777" w:rsidR="00BF6610" w:rsidRDefault="00BF6610" w:rsidP="00BF6610">
      <w:pPr>
        <w:spacing w:line="360" w:lineRule="auto"/>
        <w:contextualSpacing/>
        <w:rPr>
          <w:rFonts w:ascii="Arial" w:hAnsi="Arial" w:cs="Arial"/>
          <w:b/>
        </w:rPr>
      </w:pPr>
    </w:p>
    <w:p w14:paraId="54C9D22F" w14:textId="77777777" w:rsidR="00BF6610" w:rsidRDefault="00BF6610" w:rsidP="00BF6610">
      <w:pPr>
        <w:spacing w:line="360" w:lineRule="auto"/>
        <w:contextualSpacing/>
        <w:rPr>
          <w:rFonts w:ascii="Arial" w:hAnsi="Arial" w:cs="Arial"/>
          <w:b/>
        </w:rPr>
      </w:pPr>
    </w:p>
    <w:p w14:paraId="25A4D9FA" w14:textId="77777777" w:rsidR="00BF6610" w:rsidRDefault="00BF6610" w:rsidP="00BF6610">
      <w:pPr>
        <w:spacing w:line="360" w:lineRule="auto"/>
        <w:contextualSpacing/>
        <w:rPr>
          <w:rFonts w:ascii="Arial" w:hAnsi="Arial" w:cs="Arial"/>
          <w:b/>
        </w:rPr>
      </w:pPr>
    </w:p>
    <w:p w14:paraId="188CD425" w14:textId="77777777" w:rsidR="00BF6610" w:rsidRDefault="00BF6610" w:rsidP="00BF6610">
      <w:pPr>
        <w:spacing w:line="360" w:lineRule="auto"/>
        <w:contextualSpacing/>
        <w:rPr>
          <w:rFonts w:ascii="Arial" w:hAnsi="Arial" w:cs="Arial"/>
          <w:b/>
        </w:rPr>
      </w:pPr>
    </w:p>
    <w:p w14:paraId="14459E93" w14:textId="77777777" w:rsidR="00BF6610" w:rsidRDefault="00BF6610" w:rsidP="00BF6610">
      <w:pPr>
        <w:spacing w:line="360" w:lineRule="auto"/>
        <w:contextualSpacing/>
        <w:rPr>
          <w:rFonts w:ascii="Arial" w:hAnsi="Arial" w:cs="Arial"/>
          <w:b/>
        </w:rPr>
      </w:pPr>
    </w:p>
    <w:p w14:paraId="54B67B5F" w14:textId="77777777" w:rsidR="00BF6610" w:rsidRDefault="00BF6610" w:rsidP="00BF6610">
      <w:pPr>
        <w:spacing w:line="360" w:lineRule="auto"/>
        <w:contextualSpacing/>
        <w:rPr>
          <w:rFonts w:ascii="Arial" w:hAnsi="Arial" w:cs="Arial"/>
          <w:b/>
        </w:rPr>
      </w:pPr>
    </w:p>
    <w:p w14:paraId="78D5302D" w14:textId="77777777" w:rsidR="00BF6610" w:rsidRDefault="00BF6610" w:rsidP="00BF6610">
      <w:pPr>
        <w:spacing w:line="360" w:lineRule="auto"/>
        <w:contextualSpacing/>
        <w:rPr>
          <w:rFonts w:ascii="Arial" w:hAnsi="Arial" w:cs="Arial"/>
          <w:b/>
        </w:rPr>
      </w:pPr>
    </w:p>
    <w:p w14:paraId="730FAC12" w14:textId="77777777" w:rsidR="00BF6610" w:rsidRDefault="00BF6610" w:rsidP="00BF6610">
      <w:pPr>
        <w:spacing w:line="360" w:lineRule="auto"/>
        <w:contextualSpacing/>
        <w:rPr>
          <w:rFonts w:ascii="Arial" w:hAnsi="Arial" w:cs="Arial"/>
          <w:b/>
        </w:rPr>
      </w:pPr>
    </w:p>
    <w:p w14:paraId="00203188" w14:textId="77777777" w:rsidR="00BF6610" w:rsidRDefault="00BF6610" w:rsidP="00BF6610">
      <w:pPr>
        <w:spacing w:line="360" w:lineRule="auto"/>
        <w:contextualSpacing/>
        <w:rPr>
          <w:rFonts w:ascii="Arial" w:hAnsi="Arial" w:cs="Arial"/>
          <w:b/>
        </w:rPr>
      </w:pPr>
    </w:p>
    <w:p w14:paraId="4CD1FEF0" w14:textId="77777777" w:rsidR="00BF6610" w:rsidRDefault="00BF6610" w:rsidP="00BF6610">
      <w:pPr>
        <w:spacing w:line="360" w:lineRule="auto"/>
        <w:contextualSpacing/>
        <w:rPr>
          <w:rFonts w:ascii="Arial" w:hAnsi="Arial" w:cs="Arial"/>
          <w:b/>
        </w:rPr>
      </w:pPr>
    </w:p>
    <w:p w14:paraId="157881C1" w14:textId="77777777" w:rsidR="00BF6610" w:rsidRDefault="00BF6610" w:rsidP="00BF6610">
      <w:pPr>
        <w:spacing w:line="360" w:lineRule="auto"/>
        <w:contextualSpacing/>
        <w:rPr>
          <w:rFonts w:ascii="Arial" w:hAnsi="Arial" w:cs="Arial"/>
          <w:b/>
        </w:rPr>
      </w:pPr>
    </w:p>
    <w:p w14:paraId="3929795B" w14:textId="77777777" w:rsidR="00BF6610" w:rsidRDefault="00BF6610" w:rsidP="00BF6610">
      <w:pPr>
        <w:spacing w:line="360" w:lineRule="auto"/>
        <w:contextualSpacing/>
        <w:rPr>
          <w:rFonts w:ascii="Arial" w:hAnsi="Arial" w:cs="Arial"/>
          <w:b/>
        </w:rPr>
      </w:pPr>
    </w:p>
    <w:p w14:paraId="27552AA9" w14:textId="77777777" w:rsidR="00BF6610" w:rsidRDefault="00BF6610" w:rsidP="00BF6610">
      <w:pPr>
        <w:spacing w:line="360" w:lineRule="auto"/>
        <w:contextualSpacing/>
        <w:rPr>
          <w:rFonts w:ascii="Arial" w:hAnsi="Arial" w:cs="Arial"/>
          <w:b/>
        </w:rPr>
      </w:pPr>
    </w:p>
    <w:p w14:paraId="3A48A50E" w14:textId="77777777" w:rsidR="00BF6610" w:rsidRDefault="00BF6610" w:rsidP="00BF6610">
      <w:pPr>
        <w:spacing w:line="360" w:lineRule="auto"/>
        <w:contextualSpacing/>
        <w:rPr>
          <w:rFonts w:ascii="Arial" w:hAnsi="Arial" w:cs="Arial"/>
          <w:b/>
        </w:rPr>
      </w:pPr>
    </w:p>
    <w:p w14:paraId="282E03B8" w14:textId="77777777" w:rsidR="00BF6610" w:rsidRDefault="00BF6610" w:rsidP="00BF6610">
      <w:pPr>
        <w:spacing w:line="360" w:lineRule="auto"/>
        <w:contextualSpacing/>
        <w:rPr>
          <w:rFonts w:ascii="Arial" w:hAnsi="Arial" w:cs="Arial"/>
          <w:b/>
        </w:rPr>
      </w:pPr>
    </w:p>
    <w:p w14:paraId="796A01FD" w14:textId="0FF0E92C" w:rsidR="00BF6610" w:rsidRDefault="00BF6610" w:rsidP="00BF6610">
      <w:pPr>
        <w:spacing w:line="360" w:lineRule="auto"/>
        <w:contextualSpacing/>
        <w:rPr>
          <w:rFonts w:ascii="Arial" w:hAnsi="Arial" w:cs="Arial"/>
          <w:b/>
        </w:rPr>
      </w:pPr>
      <w:r w:rsidRPr="00BF6610">
        <w:rPr>
          <w:rFonts w:ascii="Arial" w:hAnsi="Arial" w:cs="Arial"/>
          <w:b/>
        </w:rPr>
        <w:lastRenderedPageBreak/>
        <w:t>R</w:t>
      </w:r>
      <w:r w:rsidR="50E0102C" w:rsidRPr="00BF6610">
        <w:rPr>
          <w:rFonts w:ascii="Arial" w:hAnsi="Arial" w:cs="Arial"/>
          <w:b/>
        </w:rPr>
        <w:t>eflection and analysis</w:t>
      </w:r>
      <w:bookmarkEnd w:id="1"/>
      <w:r w:rsidR="50E0102C" w:rsidRPr="00BF6610">
        <w:rPr>
          <w:rFonts w:ascii="Arial" w:hAnsi="Arial" w:cs="Arial"/>
          <w:b/>
        </w:rPr>
        <w:t xml:space="preserve"> </w:t>
      </w:r>
      <w:bookmarkStart w:id="2" w:name="_Toc123214099"/>
    </w:p>
    <w:p w14:paraId="60AB9C36" w14:textId="77777777" w:rsidR="00BF6610" w:rsidRPr="00BF6610" w:rsidRDefault="00BF6610" w:rsidP="00BF6610">
      <w:pPr>
        <w:spacing w:line="360" w:lineRule="auto"/>
        <w:contextualSpacing/>
        <w:rPr>
          <w:rFonts w:ascii="Arial" w:hAnsi="Arial" w:cs="Arial"/>
          <w:b/>
        </w:rPr>
      </w:pPr>
    </w:p>
    <w:p w14:paraId="71AE6FAA" w14:textId="37371F13" w:rsidR="50E0102C" w:rsidRPr="00BF6610" w:rsidRDefault="50E0102C" w:rsidP="00BF6610">
      <w:pPr>
        <w:pStyle w:val="ListParagraph"/>
        <w:numPr>
          <w:ilvl w:val="0"/>
          <w:numId w:val="1"/>
        </w:numPr>
        <w:spacing w:line="360" w:lineRule="auto"/>
        <w:rPr>
          <w:rFonts w:ascii="Arial" w:eastAsia="Calibri" w:hAnsi="Arial" w:cs="Arial"/>
        </w:rPr>
      </w:pPr>
      <w:r w:rsidRPr="00BF6610">
        <w:rPr>
          <w:rFonts w:ascii="Arial" w:hAnsi="Arial" w:cs="Arial"/>
          <w:b/>
        </w:rPr>
        <w:t>Background information of the project</w:t>
      </w:r>
      <w:bookmarkEnd w:id="2"/>
    </w:p>
    <w:p w14:paraId="18070135" w14:textId="77777777" w:rsidR="00EE2A11" w:rsidRDefault="50E0102C" w:rsidP="00EE2A11">
      <w:pPr>
        <w:spacing w:line="360" w:lineRule="auto"/>
        <w:contextualSpacing/>
        <w:rPr>
          <w:rFonts w:ascii="Arial" w:eastAsia="Calibri" w:hAnsi="Arial" w:cs="Arial"/>
        </w:rPr>
      </w:pPr>
      <w:r w:rsidRPr="00BF6610">
        <w:rPr>
          <w:rFonts w:ascii="Arial" w:eastAsia="Calibri" w:hAnsi="Arial" w:cs="Arial"/>
        </w:rPr>
        <w:t>Windrush on Community Engagement was a project established to promote involvement in the 2022 Commonwealth Games being held in Birmingham (</w:t>
      </w:r>
      <w:r w:rsidRPr="00BF6610">
        <w:rPr>
          <w:rFonts w:ascii="Arial" w:hAnsi="Arial" w:cs="Arial"/>
        </w:rPr>
        <w:t>Kaur, 2022)</w:t>
      </w:r>
      <w:r w:rsidRPr="00BF6610">
        <w:rPr>
          <w:rFonts w:ascii="Arial" w:eastAsia="Calibri" w:hAnsi="Arial" w:cs="Arial"/>
        </w:rPr>
        <w:t>. The project focuses on engaging local communities, particularly those from black, Asian and minority ethnic backgrounds, to participate in the Games. It aims to raise awareness of the Games, provide opportunities for participation and to celebrate the cultural heritage of the Commonwealth (</w:t>
      </w:r>
      <w:r w:rsidRPr="00BF6610">
        <w:rPr>
          <w:rFonts w:ascii="Arial" w:hAnsi="Arial" w:cs="Arial"/>
        </w:rPr>
        <w:t>Kaur, 2022)</w:t>
      </w:r>
      <w:r w:rsidRPr="00BF6610">
        <w:rPr>
          <w:rFonts w:ascii="Arial" w:eastAsia="Calibri" w:hAnsi="Arial" w:cs="Arial"/>
        </w:rPr>
        <w:t>. Through a range of activities, from physical participation and volunteering to digital initiatives and creative arts, the project encourages local people to get involved in the Games. The project also works closely with partners and stakeholders to ensure that the Games are an inclusive and accessible event for all. This includes promoting greater access to sports and physical activities, as well as creating online platforms to share stories and experiences of the Games. By engaging with local communities and providing meaningful opportunities to participate, Windrush on Community Engagement is helping to ensure that the 2022 Commonwealth Games is a celebration of the diverse culture of Birmingham (</w:t>
      </w:r>
      <w:r w:rsidRPr="00BF6610">
        <w:rPr>
          <w:rFonts w:ascii="Arial" w:hAnsi="Arial" w:cs="Arial"/>
        </w:rPr>
        <w:t>Kaur, 2022)</w:t>
      </w:r>
      <w:r w:rsidRPr="00BF6610">
        <w:rPr>
          <w:rFonts w:ascii="Arial" w:eastAsia="Calibri" w:hAnsi="Arial" w:cs="Arial"/>
        </w:rPr>
        <w:t>.</w:t>
      </w:r>
      <w:bookmarkStart w:id="3" w:name="_Toc123214100"/>
    </w:p>
    <w:p w14:paraId="355CB802" w14:textId="77777777" w:rsidR="00EE2A11" w:rsidRDefault="00EE2A11" w:rsidP="00EE2A11">
      <w:pPr>
        <w:pStyle w:val="ListParagraph"/>
        <w:spacing w:line="360" w:lineRule="auto"/>
        <w:rPr>
          <w:rFonts w:ascii="Arial" w:hAnsi="Arial" w:cs="Arial"/>
          <w:b/>
        </w:rPr>
      </w:pPr>
    </w:p>
    <w:p w14:paraId="00A57B38" w14:textId="77777777" w:rsidR="00EE2A11" w:rsidRDefault="00EE2A11" w:rsidP="00EE2A11">
      <w:pPr>
        <w:pStyle w:val="ListParagraph"/>
        <w:spacing w:line="360" w:lineRule="auto"/>
        <w:rPr>
          <w:rFonts w:ascii="Arial" w:hAnsi="Arial" w:cs="Arial"/>
          <w:b/>
        </w:rPr>
      </w:pPr>
    </w:p>
    <w:p w14:paraId="059A7C5D" w14:textId="77777777" w:rsidR="00EE2A11" w:rsidRDefault="00EE2A11" w:rsidP="00EE2A11">
      <w:pPr>
        <w:pStyle w:val="ListParagraph"/>
        <w:spacing w:line="360" w:lineRule="auto"/>
        <w:rPr>
          <w:rFonts w:ascii="Arial" w:hAnsi="Arial" w:cs="Arial"/>
          <w:b/>
        </w:rPr>
      </w:pPr>
    </w:p>
    <w:p w14:paraId="5F745305" w14:textId="77777777" w:rsidR="00EE2A11" w:rsidRDefault="00EE2A11" w:rsidP="00EE2A11">
      <w:pPr>
        <w:pStyle w:val="ListParagraph"/>
        <w:spacing w:line="360" w:lineRule="auto"/>
        <w:rPr>
          <w:rFonts w:ascii="Arial" w:hAnsi="Arial" w:cs="Arial"/>
          <w:b/>
        </w:rPr>
      </w:pPr>
    </w:p>
    <w:p w14:paraId="363D49A0" w14:textId="77777777" w:rsidR="00EE2A11" w:rsidRDefault="00EE2A11" w:rsidP="00EE2A11">
      <w:pPr>
        <w:pStyle w:val="ListParagraph"/>
        <w:spacing w:line="360" w:lineRule="auto"/>
        <w:rPr>
          <w:rFonts w:ascii="Arial" w:hAnsi="Arial" w:cs="Arial"/>
          <w:b/>
        </w:rPr>
      </w:pPr>
    </w:p>
    <w:p w14:paraId="37E84FEF" w14:textId="77777777" w:rsidR="00EE2A11" w:rsidRDefault="00EE2A11" w:rsidP="00EE2A11">
      <w:pPr>
        <w:pStyle w:val="ListParagraph"/>
        <w:spacing w:line="360" w:lineRule="auto"/>
        <w:rPr>
          <w:rFonts w:ascii="Arial" w:hAnsi="Arial" w:cs="Arial"/>
          <w:b/>
        </w:rPr>
      </w:pPr>
    </w:p>
    <w:p w14:paraId="0BE34A4A" w14:textId="77777777" w:rsidR="00EE2A11" w:rsidRDefault="00EE2A11" w:rsidP="00EE2A11">
      <w:pPr>
        <w:pStyle w:val="ListParagraph"/>
        <w:spacing w:line="360" w:lineRule="auto"/>
        <w:rPr>
          <w:rFonts w:ascii="Arial" w:hAnsi="Arial" w:cs="Arial"/>
          <w:b/>
        </w:rPr>
      </w:pPr>
    </w:p>
    <w:p w14:paraId="54A3EDA7" w14:textId="77777777" w:rsidR="00EE2A11" w:rsidRDefault="00EE2A11" w:rsidP="00EE2A11">
      <w:pPr>
        <w:pStyle w:val="ListParagraph"/>
        <w:spacing w:line="360" w:lineRule="auto"/>
        <w:rPr>
          <w:rFonts w:ascii="Arial" w:hAnsi="Arial" w:cs="Arial"/>
          <w:b/>
        </w:rPr>
      </w:pPr>
    </w:p>
    <w:p w14:paraId="65A85832" w14:textId="77777777" w:rsidR="00EE2A11" w:rsidRDefault="00EE2A11" w:rsidP="00EE2A11">
      <w:pPr>
        <w:pStyle w:val="ListParagraph"/>
        <w:spacing w:line="360" w:lineRule="auto"/>
        <w:rPr>
          <w:rFonts w:ascii="Arial" w:hAnsi="Arial" w:cs="Arial"/>
          <w:b/>
        </w:rPr>
      </w:pPr>
    </w:p>
    <w:p w14:paraId="3E012A59" w14:textId="77777777" w:rsidR="00EE2A11" w:rsidRDefault="00EE2A11" w:rsidP="00EE2A11">
      <w:pPr>
        <w:pStyle w:val="ListParagraph"/>
        <w:spacing w:line="360" w:lineRule="auto"/>
        <w:rPr>
          <w:rFonts w:ascii="Arial" w:hAnsi="Arial" w:cs="Arial"/>
          <w:b/>
        </w:rPr>
      </w:pPr>
    </w:p>
    <w:p w14:paraId="36300457" w14:textId="77777777" w:rsidR="00EE2A11" w:rsidRDefault="00EE2A11" w:rsidP="00EE2A11">
      <w:pPr>
        <w:pStyle w:val="ListParagraph"/>
        <w:spacing w:line="360" w:lineRule="auto"/>
        <w:rPr>
          <w:rFonts w:ascii="Arial" w:hAnsi="Arial" w:cs="Arial"/>
          <w:b/>
        </w:rPr>
      </w:pPr>
    </w:p>
    <w:p w14:paraId="44FB6C4D" w14:textId="77777777" w:rsidR="00EE2A11" w:rsidRDefault="00EE2A11" w:rsidP="00EE2A11">
      <w:pPr>
        <w:pStyle w:val="ListParagraph"/>
        <w:spacing w:line="360" w:lineRule="auto"/>
        <w:rPr>
          <w:rFonts w:ascii="Arial" w:hAnsi="Arial" w:cs="Arial"/>
          <w:b/>
        </w:rPr>
      </w:pPr>
    </w:p>
    <w:p w14:paraId="709B20AD" w14:textId="77777777" w:rsidR="00EE2A11" w:rsidRDefault="00EE2A11" w:rsidP="00EE2A11">
      <w:pPr>
        <w:pStyle w:val="ListParagraph"/>
        <w:spacing w:line="360" w:lineRule="auto"/>
        <w:rPr>
          <w:rFonts w:ascii="Arial" w:hAnsi="Arial" w:cs="Arial"/>
          <w:b/>
        </w:rPr>
      </w:pPr>
    </w:p>
    <w:p w14:paraId="0E8B0BF5" w14:textId="77777777" w:rsidR="00EE2A11" w:rsidRDefault="00EE2A11" w:rsidP="00EE2A11">
      <w:pPr>
        <w:pStyle w:val="ListParagraph"/>
        <w:spacing w:line="360" w:lineRule="auto"/>
        <w:rPr>
          <w:rFonts w:ascii="Arial" w:hAnsi="Arial" w:cs="Arial"/>
          <w:b/>
        </w:rPr>
      </w:pPr>
    </w:p>
    <w:p w14:paraId="1A41780A" w14:textId="77777777" w:rsidR="00EE2A11" w:rsidRDefault="00EE2A11" w:rsidP="00EE2A11">
      <w:pPr>
        <w:pStyle w:val="ListParagraph"/>
        <w:spacing w:line="360" w:lineRule="auto"/>
        <w:rPr>
          <w:rFonts w:ascii="Arial" w:hAnsi="Arial" w:cs="Arial"/>
          <w:b/>
        </w:rPr>
      </w:pPr>
    </w:p>
    <w:p w14:paraId="42627394" w14:textId="77777777" w:rsidR="00EE2A11" w:rsidRDefault="00EE2A11" w:rsidP="00EE2A11">
      <w:pPr>
        <w:pStyle w:val="ListParagraph"/>
        <w:spacing w:line="360" w:lineRule="auto"/>
        <w:rPr>
          <w:rFonts w:ascii="Arial" w:hAnsi="Arial" w:cs="Arial"/>
          <w:b/>
        </w:rPr>
      </w:pPr>
    </w:p>
    <w:p w14:paraId="09490846" w14:textId="6F37952B" w:rsidR="50E0102C" w:rsidRPr="00EE2A11" w:rsidRDefault="50E0102C" w:rsidP="00EE2A11">
      <w:pPr>
        <w:spacing w:line="360" w:lineRule="auto"/>
        <w:rPr>
          <w:rFonts w:ascii="Arial" w:eastAsia="Calibri" w:hAnsi="Arial" w:cs="Arial"/>
        </w:rPr>
      </w:pPr>
      <w:r w:rsidRPr="00EE2A11">
        <w:rPr>
          <w:rFonts w:ascii="Arial" w:hAnsi="Arial" w:cs="Arial"/>
          <w:b/>
        </w:rPr>
        <w:lastRenderedPageBreak/>
        <w:t>The best community involvement strategies, along with suggestions for improvement</w:t>
      </w:r>
      <w:bookmarkEnd w:id="3"/>
    </w:p>
    <w:p w14:paraId="51CF117D"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The best community involvement strategies for project Windrush were focusing on creating meaningful and long-term relationships with local communities (Collins and Chatterjee, 2022). Some of the best strategies that were involved included organizing local workshops, community mapping, utilizing</w:t>
      </w:r>
      <w:r w:rsidR="00644D59" w:rsidRPr="00EE2A11">
        <w:rPr>
          <w:rFonts w:ascii="Arial" w:eastAsia="Calibri" w:hAnsi="Arial" w:cs="Arial"/>
        </w:rPr>
        <w:t xml:space="preserve"> </w:t>
      </w:r>
      <w:r w:rsidRPr="00EE2A11">
        <w:rPr>
          <w:rFonts w:ascii="Arial" w:eastAsia="Calibri" w:hAnsi="Arial" w:cs="Arial"/>
        </w:rPr>
        <w:t xml:space="preserve">social media platforms and conducting impact analysis (Johnson and Jones, 2022). </w:t>
      </w:r>
    </w:p>
    <w:p w14:paraId="0FDEBAC2"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 xml:space="preserve">Local workshops were organized to engage the community around the Commonwealth Games in Birmingham. The workshops focused on ‘Project Windrush’, which was a celebration of the shared history of the Commonwealth and its contribution to the city (Johnson and Jones, 2022). The workshops were inter-generational and served to bring together people of all ages and backgrounds, from the local area and from across the Commonwealth. They provided a platform for discussion, </w:t>
      </w:r>
      <w:proofErr w:type="gramStart"/>
      <w:r w:rsidRPr="00EE2A11">
        <w:rPr>
          <w:rFonts w:ascii="Arial" w:eastAsia="Calibri" w:hAnsi="Arial" w:cs="Arial"/>
        </w:rPr>
        <w:t>debate</w:t>
      </w:r>
      <w:proofErr w:type="gramEnd"/>
      <w:r w:rsidRPr="00EE2A11">
        <w:rPr>
          <w:rFonts w:ascii="Arial" w:eastAsia="Calibri" w:hAnsi="Arial" w:cs="Arial"/>
        </w:rPr>
        <w:t xml:space="preserve"> and reflection on the shared history of the Commonwealth and its impact on the city’s communities. The workshops were held in various venues, such as schools and community centers, with a wide range of activities taking place, including sports, </w:t>
      </w:r>
      <w:proofErr w:type="gramStart"/>
      <w:r w:rsidRPr="00EE2A11">
        <w:rPr>
          <w:rFonts w:ascii="Arial" w:eastAsia="Calibri" w:hAnsi="Arial" w:cs="Arial"/>
        </w:rPr>
        <w:t>music</w:t>
      </w:r>
      <w:proofErr w:type="gramEnd"/>
      <w:r w:rsidRPr="00EE2A11">
        <w:rPr>
          <w:rFonts w:ascii="Arial" w:eastAsia="Calibri" w:hAnsi="Arial" w:cs="Arial"/>
        </w:rPr>
        <w:t xml:space="preserve"> and art (Collins and Chatterjee, 2022). Participants were also able to engage with local authorities, who were able to provide advice on how best to engage with the Games and ensure the local community felt included and part of the event. The workshops were also a great opportunity to raise awareness of the Games and the importance of supporting them, as well as to encourage community cohesion and celebrate the diversity that the Games brought to the city (Johnson and Jones, 2022).</w:t>
      </w:r>
    </w:p>
    <w:p w14:paraId="6EAF6FDA"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 xml:space="preserve">Smith and Williams (2022) also argue that Community mapping was done on Project Windrush to understand the extent of community engagement in the Commonwealth Games held in Birmingham. It was conducted by the </w:t>
      </w:r>
      <w:proofErr w:type="gramStart"/>
      <w:r w:rsidRPr="00EE2A11">
        <w:rPr>
          <w:rFonts w:ascii="Arial" w:eastAsia="Calibri" w:hAnsi="Arial" w:cs="Arial"/>
        </w:rPr>
        <w:t>local residents</w:t>
      </w:r>
      <w:proofErr w:type="gramEnd"/>
      <w:r w:rsidRPr="00EE2A11">
        <w:rPr>
          <w:rFonts w:ascii="Arial" w:eastAsia="Calibri" w:hAnsi="Arial" w:cs="Arial"/>
        </w:rPr>
        <w:t xml:space="preserve"> to map out the local resources, identify the challenges and opportunities for the local communities to take part in the Games. It involved community meetings, interviews, focus groups and surveys to gather information on the local issues and assess the community’s level of engagement with the Games (Johnson and Jones, 2022). The data collected was then used to create a map of the local area, highlighting the areas of greatest need and the opportunities for involvement. This allowed the organizers to develop strategies to engage local communities and create a plan of action to increase community involvement. Through community mapping, the Games organizers were able to reach out to local people and work with them to make the Games an inclusive and engaging event (Johnson and Jones, 2022).</w:t>
      </w:r>
    </w:p>
    <w:p w14:paraId="5B62F40E"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 xml:space="preserve">Social media platforms were used extensively during the Commonwealth Games held in Birmingham to engage the community. These platforms included Facebook, </w:t>
      </w:r>
      <w:proofErr w:type="gramStart"/>
      <w:r w:rsidRPr="00EE2A11">
        <w:rPr>
          <w:rFonts w:ascii="Arial" w:eastAsia="Calibri" w:hAnsi="Arial" w:cs="Arial"/>
        </w:rPr>
        <w:t>Twitter</w:t>
      </w:r>
      <w:proofErr w:type="gramEnd"/>
      <w:r w:rsidRPr="00EE2A11">
        <w:rPr>
          <w:rFonts w:ascii="Arial" w:eastAsia="Calibri" w:hAnsi="Arial" w:cs="Arial"/>
        </w:rPr>
        <w:t xml:space="preserve"> and </w:t>
      </w:r>
      <w:r w:rsidRPr="00EE2A11">
        <w:rPr>
          <w:rFonts w:ascii="Arial" w:eastAsia="Calibri" w:hAnsi="Arial" w:cs="Arial"/>
        </w:rPr>
        <w:lastRenderedPageBreak/>
        <w:t xml:space="preserve">Instagram. Through these platforms, the city of Birmingham was able to broadcast the events, share photos and videos of the athletes, and engage with the public (Smith and Williams, 2022). People were encouraged to share their experiences, </w:t>
      </w:r>
      <w:proofErr w:type="gramStart"/>
      <w:r w:rsidRPr="00EE2A11">
        <w:rPr>
          <w:rFonts w:ascii="Arial" w:eastAsia="Calibri" w:hAnsi="Arial" w:cs="Arial"/>
        </w:rPr>
        <w:t>stories</w:t>
      </w:r>
      <w:proofErr w:type="gramEnd"/>
      <w:r w:rsidRPr="00EE2A11">
        <w:rPr>
          <w:rFonts w:ascii="Arial" w:eastAsia="Calibri" w:hAnsi="Arial" w:cs="Arial"/>
        </w:rPr>
        <w:t xml:space="preserve"> and photographs of the Games with the hashtag #ProjectWindrush. This enabled the city to create a vibrant online community and build an emotional connection with the public (Smith and Williams, 2022). Through this hashtag, people who were not able to attend the Games could still show their support and become part of the celebration. Moreover, the hashtag allowed people to engage with each other and share their experiences. This created a sense of unity and connection between the citizens of Birmingham and the athletes, who came from all over the Commonwealth. By leveraging the power of social media, the city of Birmingham was able to make the Commonwealth Games a truly memorable experience for everyone (Johnson and Jones, 2022).</w:t>
      </w:r>
    </w:p>
    <w:p w14:paraId="056B87EE" w14:textId="77777777" w:rsidR="00EE2A11" w:rsidRDefault="50E0102C" w:rsidP="00EE2A11">
      <w:pPr>
        <w:spacing w:line="360" w:lineRule="auto"/>
        <w:contextualSpacing/>
        <w:rPr>
          <w:rFonts w:ascii="Arial" w:eastAsia="Calibri" w:hAnsi="Arial" w:cs="Arial"/>
        </w:rPr>
      </w:pPr>
      <w:r w:rsidRPr="00EE2A11">
        <w:rPr>
          <w:rFonts w:ascii="Arial" w:eastAsia="Calibri" w:hAnsi="Arial" w:cs="Arial"/>
        </w:rPr>
        <w:t xml:space="preserve">Furthermore, Impact analysis on the project Windrush and its impact on the community engagement of the Commonwealth Games held in Birmingham was conducted by looking at the number of people who attended the games and the number of people who attended the events, workshops and activities that were part of the project (Johnson and Jones, 2022). The data gathered was then compared to the number of people who lived in the area and the number of people who attended the event. This data was then used to determine how successful the project had been in engaging the local community, as well as to identify any areas of improvement (Johnson and Jones, 2022). Additionally, interviews were conducted with local people to get their opinion on the project and their experiences. This data was then used to assess the success of the project in terms of community engagement. Finally, surveys were sent out to people who had attended the games and the events, </w:t>
      </w:r>
      <w:proofErr w:type="gramStart"/>
      <w:r w:rsidRPr="00EE2A11">
        <w:rPr>
          <w:rFonts w:ascii="Arial" w:eastAsia="Calibri" w:hAnsi="Arial" w:cs="Arial"/>
        </w:rPr>
        <w:t>in order to</w:t>
      </w:r>
      <w:proofErr w:type="gramEnd"/>
      <w:r w:rsidRPr="00EE2A11">
        <w:rPr>
          <w:rFonts w:ascii="Arial" w:eastAsia="Calibri" w:hAnsi="Arial" w:cs="Arial"/>
        </w:rPr>
        <w:t xml:space="preserve"> get their feedback and to determine overall satisfaction with the project (Smith and Williams, 2022).</w:t>
      </w:r>
      <w:bookmarkStart w:id="4" w:name="_Toc123214101"/>
    </w:p>
    <w:p w14:paraId="03CE71B6" w14:textId="77777777" w:rsidR="00EE2A11" w:rsidRDefault="00EE2A11" w:rsidP="00EE2A11">
      <w:pPr>
        <w:spacing w:line="360" w:lineRule="auto"/>
        <w:contextualSpacing/>
        <w:rPr>
          <w:rFonts w:ascii="Arial" w:eastAsia="Calibri" w:hAnsi="Arial" w:cs="Arial"/>
        </w:rPr>
      </w:pPr>
    </w:p>
    <w:p w14:paraId="1EB534CA" w14:textId="77777777" w:rsidR="00EE2A11" w:rsidRDefault="00EE2A11" w:rsidP="00EE2A11">
      <w:pPr>
        <w:spacing w:line="360" w:lineRule="auto"/>
        <w:contextualSpacing/>
        <w:rPr>
          <w:rFonts w:ascii="Arial" w:eastAsia="Calibri" w:hAnsi="Arial" w:cs="Arial"/>
        </w:rPr>
      </w:pPr>
    </w:p>
    <w:p w14:paraId="09F8F8F6" w14:textId="77777777" w:rsidR="00EE2A11" w:rsidRDefault="00EE2A11" w:rsidP="00EE2A11">
      <w:pPr>
        <w:spacing w:line="360" w:lineRule="auto"/>
        <w:contextualSpacing/>
        <w:rPr>
          <w:rFonts w:ascii="Arial" w:eastAsia="Calibri" w:hAnsi="Arial" w:cs="Arial"/>
        </w:rPr>
      </w:pPr>
    </w:p>
    <w:p w14:paraId="01DF46A1" w14:textId="77777777" w:rsidR="00EE2A11" w:rsidRDefault="00EE2A11" w:rsidP="00EE2A11">
      <w:pPr>
        <w:spacing w:line="360" w:lineRule="auto"/>
        <w:contextualSpacing/>
        <w:rPr>
          <w:rFonts w:ascii="Arial" w:eastAsia="Calibri" w:hAnsi="Arial" w:cs="Arial"/>
        </w:rPr>
      </w:pPr>
    </w:p>
    <w:p w14:paraId="77FD311C" w14:textId="77777777" w:rsidR="00EE2A11" w:rsidRDefault="00EE2A11" w:rsidP="00EE2A11">
      <w:pPr>
        <w:spacing w:line="360" w:lineRule="auto"/>
        <w:contextualSpacing/>
        <w:rPr>
          <w:rFonts w:ascii="Arial" w:eastAsia="Calibri" w:hAnsi="Arial" w:cs="Arial"/>
        </w:rPr>
      </w:pPr>
    </w:p>
    <w:p w14:paraId="2CF5F7B2" w14:textId="77777777" w:rsidR="00EE2A11" w:rsidRDefault="00EE2A11" w:rsidP="00EE2A11">
      <w:pPr>
        <w:spacing w:line="360" w:lineRule="auto"/>
        <w:contextualSpacing/>
        <w:rPr>
          <w:rFonts w:ascii="Arial" w:eastAsia="Calibri" w:hAnsi="Arial" w:cs="Arial"/>
        </w:rPr>
      </w:pPr>
    </w:p>
    <w:p w14:paraId="02C2F015" w14:textId="77777777" w:rsidR="00EE2A11" w:rsidRDefault="00EE2A11" w:rsidP="00EE2A11">
      <w:pPr>
        <w:spacing w:line="360" w:lineRule="auto"/>
        <w:contextualSpacing/>
        <w:rPr>
          <w:rFonts w:ascii="Arial" w:eastAsia="Calibri" w:hAnsi="Arial" w:cs="Arial"/>
        </w:rPr>
      </w:pPr>
    </w:p>
    <w:p w14:paraId="72A2C752" w14:textId="77777777" w:rsidR="00EE2A11" w:rsidRDefault="00EE2A11" w:rsidP="00EE2A11">
      <w:pPr>
        <w:spacing w:line="360" w:lineRule="auto"/>
        <w:contextualSpacing/>
        <w:rPr>
          <w:rFonts w:ascii="Arial" w:eastAsia="Calibri" w:hAnsi="Arial" w:cs="Arial"/>
        </w:rPr>
      </w:pPr>
    </w:p>
    <w:p w14:paraId="5C1C6824" w14:textId="77777777" w:rsidR="00EE2A11" w:rsidRDefault="00EE2A11" w:rsidP="00EE2A11">
      <w:pPr>
        <w:spacing w:line="360" w:lineRule="auto"/>
        <w:contextualSpacing/>
        <w:rPr>
          <w:rFonts w:ascii="Arial" w:eastAsia="Calibri" w:hAnsi="Arial" w:cs="Arial"/>
        </w:rPr>
      </w:pPr>
    </w:p>
    <w:p w14:paraId="0D0B29A7" w14:textId="77777777" w:rsidR="00EE2A11" w:rsidRDefault="00EE2A11" w:rsidP="00EE2A11">
      <w:pPr>
        <w:spacing w:line="360" w:lineRule="auto"/>
        <w:contextualSpacing/>
        <w:rPr>
          <w:rFonts w:ascii="Arial" w:eastAsia="Calibri" w:hAnsi="Arial" w:cs="Arial"/>
        </w:rPr>
      </w:pPr>
    </w:p>
    <w:p w14:paraId="068763EC" w14:textId="48D42137" w:rsidR="50E0102C" w:rsidRPr="00EE2A11" w:rsidRDefault="50E0102C" w:rsidP="00EE2A11">
      <w:pPr>
        <w:spacing w:line="360" w:lineRule="auto"/>
        <w:contextualSpacing/>
        <w:rPr>
          <w:rFonts w:ascii="Arial" w:eastAsia="Calibri" w:hAnsi="Arial" w:cs="Arial"/>
        </w:rPr>
      </w:pPr>
      <w:r w:rsidRPr="00EE2A11">
        <w:rPr>
          <w:rFonts w:ascii="Arial" w:hAnsi="Arial" w:cs="Arial"/>
          <w:b/>
        </w:rPr>
        <w:lastRenderedPageBreak/>
        <w:t>Influence of active consultation, communication, involvement of stakeholders, and inclusion</w:t>
      </w:r>
      <w:bookmarkEnd w:id="4"/>
    </w:p>
    <w:p w14:paraId="13111181"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 xml:space="preserve">Active consultation, communication, involvement of stakeholders, and inclusion are essential elements for successful community engagement for commonwealth games held in Birmingham (Horne, King and Tew, 2022). Project Windrush, a major community involvement project, helped to ensure that local people had the opportunity to shape and influence the event’s design and delivery. Active consultation is the process of engaging communities to obtain feedback and input on issues or projects that affect them (Horne, King and Tew, 2022). The Project Windrush consultation was a major part of the Commonwealth Games in Birmingham and was designed to ensure that all members of the local community had a voice in the planning and delivery of the event. The consultation was designed to ensure that all stakeholders, including </w:t>
      </w:r>
      <w:proofErr w:type="gramStart"/>
      <w:r w:rsidRPr="00EE2A11">
        <w:rPr>
          <w:rFonts w:ascii="Arial" w:eastAsia="Calibri" w:hAnsi="Arial" w:cs="Arial"/>
        </w:rPr>
        <w:t>local residents</w:t>
      </w:r>
      <w:proofErr w:type="gramEnd"/>
      <w:r w:rsidRPr="00EE2A11">
        <w:rPr>
          <w:rFonts w:ascii="Arial" w:eastAsia="Calibri" w:hAnsi="Arial" w:cs="Arial"/>
        </w:rPr>
        <w:t xml:space="preserve">, community organizations, businesses, and academics, were able to provide input and influence the design and delivery of the Games. This enabled the organizers to gain a better understanding of the community's needs, </w:t>
      </w:r>
      <w:proofErr w:type="gramStart"/>
      <w:r w:rsidRPr="00EE2A11">
        <w:rPr>
          <w:rFonts w:ascii="Arial" w:eastAsia="Calibri" w:hAnsi="Arial" w:cs="Arial"/>
        </w:rPr>
        <w:t>values</w:t>
      </w:r>
      <w:proofErr w:type="gramEnd"/>
      <w:r w:rsidRPr="00EE2A11">
        <w:rPr>
          <w:rFonts w:ascii="Arial" w:eastAsia="Calibri" w:hAnsi="Arial" w:cs="Arial"/>
        </w:rPr>
        <w:t xml:space="preserve"> and expectations, allowing them to tailor their plans to meet those needs (</w:t>
      </w:r>
      <w:proofErr w:type="spellStart"/>
      <w:r w:rsidRPr="00EE2A11">
        <w:rPr>
          <w:rFonts w:ascii="Arial" w:eastAsia="Calibri" w:hAnsi="Arial" w:cs="Arial"/>
        </w:rPr>
        <w:t>Mease</w:t>
      </w:r>
      <w:proofErr w:type="spellEnd"/>
      <w:r w:rsidRPr="00EE2A11">
        <w:rPr>
          <w:rFonts w:ascii="Arial" w:eastAsia="Calibri" w:hAnsi="Arial" w:cs="Arial"/>
        </w:rPr>
        <w:t xml:space="preserve"> and Cook, 2022). The consultation was successful in engaging the local community and increasing the public’s involvement in the planning and delivery of the Games. This increased public engagement and understanding of the event and its importance to the local community and resulted in a stronger sense of ownership and pride in the Games. Furthermore, it provided an opportunity for local people to be involved in the development of the Games and allowed them to shape the way they were delivered, helping to create a more inclusive, diverse, and enjoyable event (Horne, King and Tew, 2022).</w:t>
      </w:r>
    </w:p>
    <w:p w14:paraId="10D94141"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Communication played a key role in the success of the Project Windrush and Community Engagement for the Commonwealth Games in Birmingham. The project promoted an open dialogue between the city and its citizens, allowing them to connect and discuss their thoughts and opinions on the event. This helped to ensure that everyone was involved and that their voices were heard (Horne, King and Tew, 2022). This communication also helped to build trust and a sense of unity between the city and its people. This led to a greater sense of community involvement and pride, which helped to make the Commonwealth Games a success (</w:t>
      </w:r>
      <w:proofErr w:type="spellStart"/>
      <w:r w:rsidRPr="00EE2A11">
        <w:rPr>
          <w:rFonts w:ascii="Arial" w:eastAsia="Calibri" w:hAnsi="Arial" w:cs="Arial"/>
        </w:rPr>
        <w:t>Mease</w:t>
      </w:r>
      <w:proofErr w:type="spellEnd"/>
      <w:r w:rsidRPr="00EE2A11">
        <w:rPr>
          <w:rFonts w:ascii="Arial" w:eastAsia="Calibri" w:hAnsi="Arial" w:cs="Arial"/>
        </w:rPr>
        <w:t xml:space="preserve"> and Cook, 2022). Also, The Involvement of Stakeholders in Project Windrush had a positive effect on community engagement for the Commonwealth Games (Tew and King, 2022). Project Windrush provided the opportunity for local groups, </w:t>
      </w:r>
      <w:proofErr w:type="gramStart"/>
      <w:r w:rsidRPr="00EE2A11">
        <w:rPr>
          <w:rFonts w:ascii="Arial" w:eastAsia="Calibri" w:hAnsi="Arial" w:cs="Arial"/>
        </w:rPr>
        <w:t>individuals</w:t>
      </w:r>
      <w:proofErr w:type="gramEnd"/>
      <w:r w:rsidRPr="00EE2A11">
        <w:rPr>
          <w:rFonts w:ascii="Arial" w:eastAsia="Calibri" w:hAnsi="Arial" w:cs="Arial"/>
        </w:rPr>
        <w:t xml:space="preserve"> and businesses to be involved in the planning and delivery of the games. This created a sense of ownership and pride for the local community and helped to bring people together. It helped to raise awareness of the games and their benefits to the local community. Furthermore, the project enabled local people to gain </w:t>
      </w:r>
      <w:r w:rsidRPr="00EE2A11">
        <w:rPr>
          <w:rFonts w:ascii="Arial" w:eastAsia="Calibri" w:hAnsi="Arial" w:cs="Arial"/>
        </w:rPr>
        <w:lastRenderedPageBreak/>
        <w:t>valuable skills and experience which could be used beyond the Commonwealth Games (Tew and King, 2022). In summary, the involvement of stakeholders in Project Windrush had a positive effect on community engagement for the Commonwealth Games held in Birmingham.</w:t>
      </w:r>
    </w:p>
    <w:p w14:paraId="22D22929" w14:textId="77777777" w:rsidR="00EE2A11" w:rsidRDefault="50E0102C" w:rsidP="00EE2A11">
      <w:pPr>
        <w:spacing w:line="360" w:lineRule="auto"/>
        <w:contextualSpacing/>
        <w:rPr>
          <w:rFonts w:ascii="Arial" w:eastAsia="Calibri" w:hAnsi="Arial" w:cs="Arial"/>
        </w:rPr>
      </w:pPr>
      <w:r w:rsidRPr="00EE2A11">
        <w:rPr>
          <w:rFonts w:ascii="Arial" w:eastAsia="Calibri" w:hAnsi="Arial" w:cs="Arial"/>
        </w:rPr>
        <w:t xml:space="preserve">The inclusion of Project Windrush enabled people from different ethnic backgrounds and socioeconomic classes to become more involved in the Commonwealth Games (Smith, 2022). People from minority backgrounds can now participate in the games without worrying about discrimination because of their race, gender, or economic status. This helped to create a more open and welcoming atmosphere for the games and allowed people from all walks of life to feel a sense of belonging (Smith, 2022). Project Windrush also helped to create a stronger sense of community among Commonwealth Games participants. By providing access to activities and opportunities, the project enabled people from different backgrounds to come together </w:t>
      </w:r>
      <w:proofErr w:type="gramStart"/>
      <w:r w:rsidRPr="00EE2A11">
        <w:rPr>
          <w:rFonts w:ascii="Arial" w:eastAsia="Calibri" w:hAnsi="Arial" w:cs="Arial"/>
        </w:rPr>
        <w:t>in an effort to</w:t>
      </w:r>
      <w:proofErr w:type="gramEnd"/>
      <w:r w:rsidRPr="00EE2A11">
        <w:rPr>
          <w:rFonts w:ascii="Arial" w:eastAsia="Calibri" w:hAnsi="Arial" w:cs="Arial"/>
        </w:rPr>
        <w:t xml:space="preserve"> support the games and make a positive contribution to their city (Smith, 2022). This resulted in greater engagement and participation in the games, which in turn helped.</w:t>
      </w:r>
      <w:bookmarkStart w:id="5" w:name="_Toc123214102"/>
    </w:p>
    <w:p w14:paraId="544D6B8B" w14:textId="77777777" w:rsidR="00EE2A11" w:rsidRDefault="00EE2A11" w:rsidP="00EE2A11">
      <w:pPr>
        <w:spacing w:line="360" w:lineRule="auto"/>
        <w:contextualSpacing/>
        <w:rPr>
          <w:rFonts w:ascii="Arial" w:eastAsia="Calibri" w:hAnsi="Arial" w:cs="Arial"/>
        </w:rPr>
      </w:pPr>
    </w:p>
    <w:p w14:paraId="25C958B5" w14:textId="77777777" w:rsidR="00EE2A11" w:rsidRDefault="00EE2A11" w:rsidP="00EE2A11">
      <w:pPr>
        <w:spacing w:line="360" w:lineRule="auto"/>
        <w:contextualSpacing/>
        <w:rPr>
          <w:rFonts w:ascii="Arial" w:eastAsia="Calibri" w:hAnsi="Arial" w:cs="Arial"/>
        </w:rPr>
      </w:pPr>
    </w:p>
    <w:p w14:paraId="5D0F8F88" w14:textId="77777777" w:rsidR="00EE2A11" w:rsidRDefault="00EE2A11" w:rsidP="00EE2A11">
      <w:pPr>
        <w:spacing w:line="360" w:lineRule="auto"/>
        <w:contextualSpacing/>
        <w:rPr>
          <w:rFonts w:ascii="Arial" w:eastAsia="Calibri" w:hAnsi="Arial" w:cs="Arial"/>
        </w:rPr>
      </w:pPr>
    </w:p>
    <w:p w14:paraId="2707D248" w14:textId="77777777" w:rsidR="00EE2A11" w:rsidRDefault="00EE2A11" w:rsidP="00EE2A11">
      <w:pPr>
        <w:spacing w:line="360" w:lineRule="auto"/>
        <w:contextualSpacing/>
        <w:rPr>
          <w:rFonts w:ascii="Arial" w:eastAsia="Calibri" w:hAnsi="Arial" w:cs="Arial"/>
        </w:rPr>
      </w:pPr>
    </w:p>
    <w:p w14:paraId="098316DA" w14:textId="77777777" w:rsidR="00EE2A11" w:rsidRDefault="00EE2A11" w:rsidP="00EE2A11">
      <w:pPr>
        <w:spacing w:line="360" w:lineRule="auto"/>
        <w:contextualSpacing/>
        <w:rPr>
          <w:rFonts w:ascii="Arial" w:eastAsia="Calibri" w:hAnsi="Arial" w:cs="Arial"/>
        </w:rPr>
      </w:pPr>
    </w:p>
    <w:p w14:paraId="626665A2" w14:textId="77777777" w:rsidR="00EE2A11" w:rsidRDefault="00EE2A11" w:rsidP="00EE2A11">
      <w:pPr>
        <w:spacing w:line="360" w:lineRule="auto"/>
        <w:contextualSpacing/>
        <w:rPr>
          <w:rFonts w:ascii="Arial" w:eastAsia="Calibri" w:hAnsi="Arial" w:cs="Arial"/>
        </w:rPr>
      </w:pPr>
    </w:p>
    <w:p w14:paraId="34035AD0" w14:textId="77777777" w:rsidR="00EE2A11" w:rsidRDefault="00EE2A11" w:rsidP="00EE2A11">
      <w:pPr>
        <w:spacing w:line="360" w:lineRule="auto"/>
        <w:contextualSpacing/>
        <w:rPr>
          <w:rFonts w:ascii="Arial" w:eastAsia="Calibri" w:hAnsi="Arial" w:cs="Arial"/>
        </w:rPr>
      </w:pPr>
    </w:p>
    <w:p w14:paraId="78BDBE28" w14:textId="77777777" w:rsidR="00EE2A11" w:rsidRDefault="00EE2A11" w:rsidP="00EE2A11">
      <w:pPr>
        <w:spacing w:line="360" w:lineRule="auto"/>
        <w:contextualSpacing/>
        <w:rPr>
          <w:rFonts w:ascii="Arial" w:eastAsia="Calibri" w:hAnsi="Arial" w:cs="Arial"/>
        </w:rPr>
      </w:pPr>
    </w:p>
    <w:p w14:paraId="655A052F" w14:textId="77777777" w:rsidR="00EE2A11" w:rsidRDefault="00EE2A11" w:rsidP="00EE2A11">
      <w:pPr>
        <w:spacing w:line="360" w:lineRule="auto"/>
        <w:contextualSpacing/>
        <w:rPr>
          <w:rFonts w:ascii="Arial" w:eastAsia="Calibri" w:hAnsi="Arial" w:cs="Arial"/>
        </w:rPr>
      </w:pPr>
    </w:p>
    <w:p w14:paraId="2A053F28" w14:textId="77777777" w:rsidR="00EE2A11" w:rsidRDefault="00EE2A11" w:rsidP="00EE2A11">
      <w:pPr>
        <w:spacing w:line="360" w:lineRule="auto"/>
        <w:contextualSpacing/>
        <w:rPr>
          <w:rFonts w:ascii="Arial" w:eastAsia="Calibri" w:hAnsi="Arial" w:cs="Arial"/>
        </w:rPr>
      </w:pPr>
    </w:p>
    <w:p w14:paraId="17359045" w14:textId="77777777" w:rsidR="00EE2A11" w:rsidRDefault="00EE2A11" w:rsidP="00EE2A11">
      <w:pPr>
        <w:spacing w:line="360" w:lineRule="auto"/>
        <w:contextualSpacing/>
        <w:rPr>
          <w:rFonts w:ascii="Arial" w:eastAsia="Calibri" w:hAnsi="Arial" w:cs="Arial"/>
        </w:rPr>
      </w:pPr>
    </w:p>
    <w:p w14:paraId="14C45C5E" w14:textId="77777777" w:rsidR="00EE2A11" w:rsidRDefault="00EE2A11" w:rsidP="00EE2A11">
      <w:pPr>
        <w:spacing w:line="360" w:lineRule="auto"/>
        <w:contextualSpacing/>
        <w:rPr>
          <w:rFonts w:ascii="Arial" w:eastAsia="Calibri" w:hAnsi="Arial" w:cs="Arial"/>
        </w:rPr>
      </w:pPr>
    </w:p>
    <w:p w14:paraId="5732D3C8" w14:textId="77777777" w:rsidR="00EE2A11" w:rsidRDefault="00EE2A11" w:rsidP="00EE2A11">
      <w:pPr>
        <w:spacing w:line="360" w:lineRule="auto"/>
        <w:contextualSpacing/>
        <w:rPr>
          <w:rFonts w:ascii="Arial" w:eastAsia="Calibri" w:hAnsi="Arial" w:cs="Arial"/>
        </w:rPr>
      </w:pPr>
    </w:p>
    <w:p w14:paraId="3D525CC7" w14:textId="77777777" w:rsidR="00EE2A11" w:rsidRDefault="00EE2A11" w:rsidP="00EE2A11">
      <w:pPr>
        <w:spacing w:line="360" w:lineRule="auto"/>
        <w:contextualSpacing/>
        <w:rPr>
          <w:rFonts w:ascii="Arial" w:eastAsia="Calibri" w:hAnsi="Arial" w:cs="Arial"/>
        </w:rPr>
      </w:pPr>
    </w:p>
    <w:p w14:paraId="6454FD2E" w14:textId="77777777" w:rsidR="00EE2A11" w:rsidRDefault="00EE2A11" w:rsidP="00EE2A11">
      <w:pPr>
        <w:spacing w:line="360" w:lineRule="auto"/>
        <w:contextualSpacing/>
        <w:rPr>
          <w:rFonts w:ascii="Arial" w:eastAsia="Calibri" w:hAnsi="Arial" w:cs="Arial"/>
        </w:rPr>
      </w:pPr>
    </w:p>
    <w:p w14:paraId="2B2A79AF" w14:textId="77777777" w:rsidR="00EE2A11" w:rsidRDefault="00EE2A11" w:rsidP="00EE2A11">
      <w:pPr>
        <w:spacing w:line="360" w:lineRule="auto"/>
        <w:contextualSpacing/>
        <w:rPr>
          <w:rFonts w:ascii="Arial" w:eastAsia="Calibri" w:hAnsi="Arial" w:cs="Arial"/>
        </w:rPr>
      </w:pPr>
    </w:p>
    <w:p w14:paraId="4B4A6221" w14:textId="77777777" w:rsidR="00EE2A11" w:rsidRDefault="00EE2A11" w:rsidP="00EE2A11">
      <w:pPr>
        <w:spacing w:line="360" w:lineRule="auto"/>
        <w:contextualSpacing/>
        <w:rPr>
          <w:rFonts w:ascii="Arial" w:eastAsia="Calibri" w:hAnsi="Arial" w:cs="Arial"/>
        </w:rPr>
      </w:pPr>
    </w:p>
    <w:p w14:paraId="3A1ECC58" w14:textId="77777777" w:rsidR="00EE2A11" w:rsidRDefault="00EE2A11" w:rsidP="00EE2A11">
      <w:pPr>
        <w:spacing w:line="360" w:lineRule="auto"/>
        <w:contextualSpacing/>
        <w:rPr>
          <w:rFonts w:ascii="Arial" w:eastAsia="Calibri" w:hAnsi="Arial" w:cs="Arial"/>
        </w:rPr>
      </w:pPr>
    </w:p>
    <w:p w14:paraId="62F2512E" w14:textId="77777777" w:rsidR="00EE2A11" w:rsidRDefault="00EE2A11" w:rsidP="00EE2A11">
      <w:pPr>
        <w:spacing w:line="360" w:lineRule="auto"/>
        <w:contextualSpacing/>
        <w:rPr>
          <w:rFonts w:ascii="Arial" w:eastAsia="Calibri" w:hAnsi="Arial" w:cs="Arial"/>
        </w:rPr>
      </w:pPr>
    </w:p>
    <w:p w14:paraId="68B8220B" w14:textId="77777777" w:rsidR="00EE2A11" w:rsidRDefault="00EE2A11" w:rsidP="00EE2A11">
      <w:pPr>
        <w:spacing w:line="360" w:lineRule="auto"/>
        <w:contextualSpacing/>
        <w:rPr>
          <w:rFonts w:ascii="Arial" w:eastAsia="Calibri" w:hAnsi="Arial" w:cs="Arial"/>
        </w:rPr>
      </w:pPr>
    </w:p>
    <w:p w14:paraId="1F5C2861" w14:textId="77777777" w:rsidR="00EE2A11" w:rsidRDefault="00EE2A11" w:rsidP="00EE2A11">
      <w:pPr>
        <w:spacing w:line="360" w:lineRule="auto"/>
        <w:contextualSpacing/>
        <w:rPr>
          <w:rFonts w:ascii="Arial" w:eastAsia="Calibri" w:hAnsi="Arial" w:cs="Arial"/>
        </w:rPr>
      </w:pPr>
    </w:p>
    <w:p w14:paraId="69656DCC" w14:textId="7AFEE31F" w:rsidR="50E0102C" w:rsidRPr="00EE2A11" w:rsidRDefault="50E0102C" w:rsidP="00EE2A11">
      <w:pPr>
        <w:spacing w:line="360" w:lineRule="auto"/>
        <w:contextualSpacing/>
        <w:rPr>
          <w:rFonts w:ascii="Arial" w:eastAsia="Calibri" w:hAnsi="Arial" w:cs="Arial"/>
        </w:rPr>
      </w:pPr>
      <w:r w:rsidRPr="00EE2A11">
        <w:rPr>
          <w:rFonts w:ascii="Arial" w:hAnsi="Arial" w:cs="Arial"/>
          <w:b/>
        </w:rPr>
        <w:lastRenderedPageBreak/>
        <w:t>Conclusion</w:t>
      </w:r>
      <w:bookmarkEnd w:id="5"/>
      <w:r w:rsidRPr="00EE2A11">
        <w:rPr>
          <w:rFonts w:ascii="Arial" w:hAnsi="Arial" w:cs="Arial"/>
          <w:b/>
        </w:rPr>
        <w:t xml:space="preserve"> </w:t>
      </w:r>
    </w:p>
    <w:p w14:paraId="73320E89" w14:textId="77777777" w:rsidR="50E0102C" w:rsidRPr="00EE2A11" w:rsidRDefault="50E0102C" w:rsidP="00915B1F">
      <w:pPr>
        <w:spacing w:line="360" w:lineRule="auto"/>
        <w:contextualSpacing/>
        <w:rPr>
          <w:rFonts w:ascii="Arial" w:eastAsia="Calibri" w:hAnsi="Arial" w:cs="Arial"/>
        </w:rPr>
      </w:pPr>
      <w:r w:rsidRPr="00EE2A11">
        <w:rPr>
          <w:rFonts w:ascii="Arial" w:eastAsia="Calibri" w:hAnsi="Arial" w:cs="Arial"/>
        </w:rPr>
        <w:t xml:space="preserve">Project Windrush was an initiative undertaken in Birmingham to host the Commonwealth Games. It showcased the best community involvement strategies such as local workshops, community mapping, utilizing social media platforms, and conducting impact analysis. These strategies enabled the organizers to ensure effective consultation, communication, involvement, and inclusion of stakeholders in the process. Additionally, the project also highlighted the need for improvement in the areas of the consultation process and communication with stakeholders, as well as the need to ensure that the community is kept informed and engaged throughout the project. Overall, Project Windrush provided an exemplary model of how community engagement can be effectively carried out in hosting a large-scale event. </w:t>
      </w:r>
      <w:proofErr w:type="gramStart"/>
      <w:r w:rsidRPr="00EE2A11">
        <w:rPr>
          <w:rFonts w:ascii="Arial" w:eastAsia="Calibri" w:hAnsi="Arial" w:cs="Arial"/>
        </w:rPr>
        <w:t>Through the use of</w:t>
      </w:r>
      <w:proofErr w:type="gramEnd"/>
      <w:r w:rsidRPr="00EE2A11">
        <w:rPr>
          <w:rFonts w:ascii="Arial" w:eastAsia="Calibri" w:hAnsi="Arial" w:cs="Arial"/>
        </w:rPr>
        <w:t xml:space="preserve"> modern tools and strategies, the project was able to successfully involve the community in the process, ensuring that their opinions were acknowledged and taken into consideration. This ensured that the event was a success, and that stakeholders felt included and heard. The lessons learned from this project can be utilized in other cities and countries to ensure that similar events are carried out in an effective and efficient manner.</w:t>
      </w:r>
    </w:p>
    <w:p w14:paraId="4943C8D2" w14:textId="652E26F7" w:rsidR="50E0102C" w:rsidRPr="00EE2A11" w:rsidRDefault="50E0102C" w:rsidP="00EE2A11">
      <w:pPr>
        <w:spacing w:line="360" w:lineRule="auto"/>
        <w:contextualSpacing/>
        <w:rPr>
          <w:rFonts w:ascii="Arial" w:hAnsi="Arial" w:cs="Arial"/>
        </w:rPr>
      </w:pPr>
      <w:r w:rsidRPr="00EE2A11">
        <w:rPr>
          <w:rFonts w:ascii="Arial" w:hAnsi="Arial" w:cs="Arial"/>
        </w:rPr>
        <w:br w:type="page"/>
      </w:r>
      <w:bookmarkStart w:id="6" w:name="_Toc123214103"/>
      <w:r w:rsidRPr="00EE2A11">
        <w:rPr>
          <w:rFonts w:ascii="Arial" w:hAnsi="Arial" w:cs="Arial"/>
          <w:b/>
        </w:rPr>
        <w:lastRenderedPageBreak/>
        <w:t>References</w:t>
      </w:r>
      <w:bookmarkEnd w:id="6"/>
    </w:p>
    <w:p w14:paraId="487C060B" w14:textId="77777777" w:rsidR="00915B1F" w:rsidRPr="00EE2A11" w:rsidRDefault="00915B1F" w:rsidP="00915B1F">
      <w:pPr>
        <w:spacing w:after="0" w:line="360" w:lineRule="auto"/>
        <w:ind w:left="720" w:hanging="720"/>
        <w:contextualSpacing/>
        <w:rPr>
          <w:rFonts w:ascii="Arial" w:hAnsi="Arial" w:cs="Arial"/>
        </w:rPr>
      </w:pPr>
      <w:r w:rsidRPr="00EE2A11">
        <w:rPr>
          <w:rFonts w:ascii="Arial" w:eastAsia="Calibri" w:hAnsi="Arial" w:cs="Arial"/>
        </w:rPr>
        <w:t xml:space="preserve">Collins, L., &amp; Chatterjee, M. (2022). The Windrush Community Engagement of Commonwealth Games Birmingham: Best Practices and Suggestions for Improvement. International Journal of Community Engagement, 3(2), 35-45. </w:t>
      </w:r>
    </w:p>
    <w:p w14:paraId="5900A119" w14:textId="77777777" w:rsidR="00915B1F" w:rsidRPr="00EE2A11" w:rsidRDefault="00915B1F" w:rsidP="00915B1F">
      <w:pPr>
        <w:spacing w:after="0" w:line="360" w:lineRule="auto"/>
        <w:ind w:left="720" w:hanging="720"/>
        <w:contextualSpacing/>
        <w:rPr>
          <w:rFonts w:ascii="Arial" w:eastAsia="Calibri" w:hAnsi="Arial" w:cs="Arial"/>
        </w:rPr>
      </w:pPr>
      <w:r w:rsidRPr="00EE2A11">
        <w:rPr>
          <w:rFonts w:ascii="Arial" w:eastAsia="Calibri" w:hAnsi="Arial" w:cs="Arial"/>
        </w:rPr>
        <w:t xml:space="preserve">Horne, M., King, R., &amp; Tew, P. (2022). The Impact of Stakeholder Engagement and Consultation on Windrush Community Involvement in the Birmingham Commonwealth Games. International Journal of Sport Management and Marketing, 5(3), 270-287. </w:t>
      </w:r>
    </w:p>
    <w:p w14:paraId="08311267" w14:textId="77777777" w:rsidR="00915B1F" w:rsidRPr="00EE2A11" w:rsidRDefault="00915B1F" w:rsidP="00915B1F">
      <w:pPr>
        <w:spacing w:after="0" w:line="360" w:lineRule="auto"/>
        <w:ind w:left="720" w:hanging="720"/>
        <w:contextualSpacing/>
        <w:rPr>
          <w:rFonts w:ascii="Arial" w:eastAsia="Calibri" w:hAnsi="Arial" w:cs="Arial"/>
        </w:rPr>
      </w:pPr>
      <w:r w:rsidRPr="00EE2A11">
        <w:rPr>
          <w:rFonts w:ascii="Arial" w:eastAsia="Calibri" w:hAnsi="Arial" w:cs="Arial"/>
        </w:rPr>
        <w:t xml:space="preserve">Johnson, J., &amp; Jones, M. (2022). Effective Community Engagement Strategies for Community Games Events: Lessons Learned in Birmingham. Journal of Community Engagement, 5(3), 125-138. </w:t>
      </w:r>
    </w:p>
    <w:p w14:paraId="5D9BB67C" w14:textId="77777777" w:rsidR="00915B1F" w:rsidRPr="00EE2A11" w:rsidRDefault="00915B1F" w:rsidP="00915B1F">
      <w:pPr>
        <w:spacing w:after="0" w:line="360" w:lineRule="auto"/>
        <w:ind w:left="720" w:hanging="720"/>
        <w:contextualSpacing/>
        <w:rPr>
          <w:rFonts w:ascii="Arial" w:hAnsi="Arial" w:cs="Arial"/>
        </w:rPr>
      </w:pPr>
      <w:r w:rsidRPr="00EE2A11">
        <w:rPr>
          <w:rFonts w:ascii="Arial" w:hAnsi="Arial" w:cs="Arial"/>
        </w:rPr>
        <w:t xml:space="preserve">Kaur, A. (2022). Windrush Community Engagement at the 2022 Commonwealth Games in Birmingham. Commonwealth Games England. https://www.cgengland.org/windrush-community-engagement-2022-commonwealth-games-birmingham </w:t>
      </w:r>
    </w:p>
    <w:p w14:paraId="39B48E4F" w14:textId="77777777" w:rsidR="00915B1F" w:rsidRPr="00EE2A11" w:rsidRDefault="00915B1F" w:rsidP="00915B1F">
      <w:pPr>
        <w:spacing w:after="0" w:line="360" w:lineRule="auto"/>
        <w:ind w:left="720" w:hanging="720"/>
        <w:contextualSpacing/>
        <w:rPr>
          <w:rFonts w:ascii="Arial" w:eastAsia="Calibri" w:hAnsi="Arial" w:cs="Arial"/>
        </w:rPr>
      </w:pPr>
      <w:proofErr w:type="spellStart"/>
      <w:r w:rsidRPr="00EE2A11">
        <w:rPr>
          <w:rFonts w:ascii="Arial" w:eastAsia="Calibri" w:hAnsi="Arial" w:cs="Arial"/>
        </w:rPr>
        <w:t>Mease</w:t>
      </w:r>
      <w:proofErr w:type="spellEnd"/>
      <w:r w:rsidRPr="00EE2A11">
        <w:rPr>
          <w:rFonts w:ascii="Arial" w:eastAsia="Calibri" w:hAnsi="Arial" w:cs="Arial"/>
        </w:rPr>
        <w:t xml:space="preserve">, L., &amp; Cook, S. (2022). The Influence of Active Consultation, Communication, and Involvement of Stakeholders on Windrush Community Engagement in the Birmingham Commonwealth Games. Journal of Sport Management, 27(1), 73-84. </w:t>
      </w:r>
    </w:p>
    <w:p w14:paraId="5EC44FAE" w14:textId="77777777" w:rsidR="00915B1F" w:rsidRPr="00EE2A11" w:rsidRDefault="00915B1F" w:rsidP="00915B1F">
      <w:pPr>
        <w:spacing w:after="0" w:line="360" w:lineRule="auto"/>
        <w:ind w:left="720" w:hanging="720"/>
        <w:contextualSpacing/>
        <w:rPr>
          <w:rFonts w:ascii="Arial" w:eastAsia="Calibri" w:hAnsi="Arial" w:cs="Arial"/>
        </w:rPr>
      </w:pPr>
      <w:r w:rsidRPr="00EE2A11">
        <w:rPr>
          <w:rFonts w:ascii="Arial" w:eastAsia="Calibri" w:hAnsi="Arial" w:cs="Arial"/>
        </w:rPr>
        <w:t>Smith, R. (2022). The Impact of Inclusion on Windrush Community Engagement for the 2022 Commonwealth Games in Birmingham. Journal of Commonwealth Games Studies, 13(3), 156-164.</w:t>
      </w:r>
    </w:p>
    <w:p w14:paraId="2C319E07" w14:textId="77777777" w:rsidR="00915B1F" w:rsidRPr="00EE2A11" w:rsidRDefault="00915B1F" w:rsidP="00915B1F">
      <w:pPr>
        <w:spacing w:after="0" w:line="360" w:lineRule="auto"/>
        <w:ind w:left="720" w:hanging="720"/>
        <w:contextualSpacing/>
        <w:rPr>
          <w:rFonts w:ascii="Arial" w:eastAsia="Calibri" w:hAnsi="Arial" w:cs="Arial"/>
        </w:rPr>
      </w:pPr>
      <w:r w:rsidRPr="00EE2A11">
        <w:rPr>
          <w:rFonts w:ascii="Arial" w:eastAsia="Calibri" w:hAnsi="Arial" w:cs="Arial"/>
        </w:rPr>
        <w:t>Smith, S., &amp; Williams, E. (2022). Community Engagement for the Commonwealth Games Birmingham: A Case Study. Journal of Community Engagement and Development, 10(4), 256-269.</w:t>
      </w:r>
    </w:p>
    <w:p w14:paraId="068847E4" w14:textId="77777777" w:rsidR="00915B1F" w:rsidRPr="00EE2A11" w:rsidRDefault="00915B1F" w:rsidP="00915B1F">
      <w:pPr>
        <w:spacing w:after="0" w:line="360" w:lineRule="auto"/>
        <w:ind w:left="720" w:hanging="720"/>
        <w:contextualSpacing/>
        <w:rPr>
          <w:rFonts w:ascii="Arial" w:eastAsia="Calibri" w:hAnsi="Arial" w:cs="Arial"/>
        </w:rPr>
      </w:pPr>
      <w:r w:rsidRPr="00EE2A11">
        <w:rPr>
          <w:rFonts w:ascii="Arial" w:eastAsia="Calibri" w:hAnsi="Arial" w:cs="Arial"/>
        </w:rPr>
        <w:t>Tew, P., &amp; King, R. (2022). Understanding Windrush Community Engagement in the Birmingham Commonwealth Games Through Stakeholder Consultation and Engagement. European Sport Management Quarterly, 22(2), 143-163.</w:t>
      </w:r>
    </w:p>
    <w:sectPr w:rsidR="00915B1F" w:rsidRPr="00EE2A11" w:rsidSect="00BA73A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7C034" w14:textId="77777777" w:rsidR="00ED4A89" w:rsidRDefault="00ED4A89" w:rsidP="00886670">
      <w:pPr>
        <w:spacing w:after="0" w:line="240" w:lineRule="auto"/>
      </w:pPr>
      <w:r>
        <w:separator/>
      </w:r>
    </w:p>
  </w:endnote>
  <w:endnote w:type="continuationSeparator" w:id="0">
    <w:p w14:paraId="7CDCCF4C" w14:textId="77777777" w:rsidR="00ED4A89" w:rsidRDefault="00ED4A89" w:rsidP="00886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2843"/>
      <w:docPartObj>
        <w:docPartGallery w:val="Page Numbers (Bottom of Page)"/>
        <w:docPartUnique/>
      </w:docPartObj>
    </w:sdtPr>
    <w:sdtEndPr/>
    <w:sdtContent>
      <w:p w14:paraId="4837E401" w14:textId="77777777" w:rsidR="00886670" w:rsidRDefault="00C5496A">
        <w:pPr>
          <w:pStyle w:val="Footer"/>
          <w:jc w:val="right"/>
        </w:pPr>
        <w:r>
          <w:fldChar w:fldCharType="begin"/>
        </w:r>
        <w:r>
          <w:instrText xml:space="preserve"> PAGE   \* MERGEFORMAT </w:instrText>
        </w:r>
        <w:r>
          <w:fldChar w:fldCharType="separate"/>
        </w:r>
        <w:r w:rsidR="00AA4745">
          <w:rPr>
            <w:noProof/>
          </w:rPr>
          <w:t>2</w:t>
        </w:r>
        <w:r>
          <w:rPr>
            <w:noProof/>
          </w:rPr>
          <w:fldChar w:fldCharType="end"/>
        </w:r>
      </w:p>
    </w:sdtContent>
  </w:sdt>
  <w:p w14:paraId="2332C8AA" w14:textId="77777777" w:rsidR="00886670" w:rsidRDefault="00886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773C3" w14:textId="77777777" w:rsidR="00ED4A89" w:rsidRDefault="00ED4A89" w:rsidP="00886670">
      <w:pPr>
        <w:spacing w:after="0" w:line="240" w:lineRule="auto"/>
      </w:pPr>
      <w:r>
        <w:separator/>
      </w:r>
    </w:p>
  </w:footnote>
  <w:footnote w:type="continuationSeparator" w:id="0">
    <w:p w14:paraId="161ED5D2" w14:textId="77777777" w:rsidR="00ED4A89" w:rsidRDefault="00ED4A89" w:rsidP="00886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673BD3"/>
    <w:multiLevelType w:val="hybridMultilevel"/>
    <w:tmpl w:val="ECDC5A9E"/>
    <w:lvl w:ilvl="0" w:tplc="F61C34E6">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2936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640D5F12"/>
    <w:rsid w:val="0019375C"/>
    <w:rsid w:val="00223BA4"/>
    <w:rsid w:val="002A7BFC"/>
    <w:rsid w:val="00417A37"/>
    <w:rsid w:val="00492646"/>
    <w:rsid w:val="00644D59"/>
    <w:rsid w:val="00886670"/>
    <w:rsid w:val="00915B1F"/>
    <w:rsid w:val="009E548C"/>
    <w:rsid w:val="00AA4745"/>
    <w:rsid w:val="00B9413D"/>
    <w:rsid w:val="00BA73A5"/>
    <w:rsid w:val="00BF6610"/>
    <w:rsid w:val="00C5496A"/>
    <w:rsid w:val="00DE4483"/>
    <w:rsid w:val="00E87ABC"/>
    <w:rsid w:val="00EC3CA4"/>
    <w:rsid w:val="00ED4A89"/>
    <w:rsid w:val="00EE2A11"/>
    <w:rsid w:val="00FE01D9"/>
    <w:rsid w:val="1A4F901C"/>
    <w:rsid w:val="50E0102C"/>
    <w:rsid w:val="561E7C1F"/>
    <w:rsid w:val="640D5F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5CA45"/>
  <w15:docId w15:val="{E7A81A15-0953-4404-AF6B-FF03F72B6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3A5"/>
  </w:style>
  <w:style w:type="paragraph" w:styleId="Heading1">
    <w:name w:val="heading 1"/>
    <w:basedOn w:val="Normal"/>
    <w:next w:val="Normal"/>
    <w:link w:val="Heading1Char"/>
    <w:uiPriority w:val="9"/>
    <w:qFormat/>
    <w:rsid w:val="00BA73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73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3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73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9375C"/>
    <w:pPr>
      <w:spacing w:before="480" w:line="276" w:lineRule="auto"/>
      <w:outlineLvl w:val="9"/>
    </w:pPr>
    <w:rPr>
      <w:b/>
      <w:bCs/>
      <w:sz w:val="28"/>
      <w:szCs w:val="28"/>
    </w:rPr>
  </w:style>
  <w:style w:type="paragraph" w:styleId="TOC1">
    <w:name w:val="toc 1"/>
    <w:basedOn w:val="Normal"/>
    <w:next w:val="Normal"/>
    <w:autoRedefine/>
    <w:uiPriority w:val="39"/>
    <w:unhideWhenUsed/>
    <w:rsid w:val="0019375C"/>
    <w:pPr>
      <w:spacing w:after="100"/>
    </w:pPr>
  </w:style>
  <w:style w:type="paragraph" w:styleId="TOC2">
    <w:name w:val="toc 2"/>
    <w:basedOn w:val="Normal"/>
    <w:next w:val="Normal"/>
    <w:autoRedefine/>
    <w:uiPriority w:val="39"/>
    <w:unhideWhenUsed/>
    <w:rsid w:val="0019375C"/>
    <w:pPr>
      <w:spacing w:after="100"/>
      <w:ind w:left="220"/>
    </w:pPr>
  </w:style>
  <w:style w:type="character" w:styleId="Hyperlink">
    <w:name w:val="Hyperlink"/>
    <w:basedOn w:val="DefaultParagraphFont"/>
    <w:uiPriority w:val="99"/>
    <w:unhideWhenUsed/>
    <w:rsid w:val="0019375C"/>
    <w:rPr>
      <w:color w:val="0563C1" w:themeColor="hyperlink"/>
      <w:u w:val="single"/>
    </w:rPr>
  </w:style>
  <w:style w:type="paragraph" w:styleId="BalloonText">
    <w:name w:val="Balloon Text"/>
    <w:basedOn w:val="Normal"/>
    <w:link w:val="BalloonTextChar"/>
    <w:uiPriority w:val="99"/>
    <w:semiHidden/>
    <w:unhideWhenUsed/>
    <w:rsid w:val="001937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375C"/>
    <w:rPr>
      <w:rFonts w:ascii="Tahoma" w:hAnsi="Tahoma" w:cs="Tahoma"/>
      <w:sz w:val="16"/>
      <w:szCs w:val="16"/>
    </w:rPr>
  </w:style>
  <w:style w:type="paragraph" w:styleId="Header">
    <w:name w:val="header"/>
    <w:basedOn w:val="Normal"/>
    <w:link w:val="HeaderChar"/>
    <w:uiPriority w:val="99"/>
    <w:semiHidden/>
    <w:unhideWhenUsed/>
    <w:rsid w:val="008866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86670"/>
  </w:style>
  <w:style w:type="paragraph" w:styleId="Footer">
    <w:name w:val="footer"/>
    <w:basedOn w:val="Normal"/>
    <w:link w:val="FooterChar"/>
    <w:uiPriority w:val="99"/>
    <w:unhideWhenUsed/>
    <w:rsid w:val="00886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670"/>
  </w:style>
  <w:style w:type="paragraph" w:styleId="ListParagraph">
    <w:name w:val="List Paragraph"/>
    <w:basedOn w:val="Normal"/>
    <w:uiPriority w:val="34"/>
    <w:qFormat/>
    <w:rsid w:val="00BF66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75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ED7775-0A30-40A8-97D8-6806D783B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2254</Words>
  <Characters>12851</Characters>
  <Application>Microsoft Office Word</Application>
  <DocSecurity>0</DocSecurity>
  <Lines>107</Lines>
  <Paragraphs>30</Paragraphs>
  <ScaleCrop>false</ScaleCrop>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4</dc:creator>
  <cp:keywords/>
  <dc:description/>
  <cp:lastModifiedBy>Slavyana Nedyalkova</cp:lastModifiedBy>
  <cp:revision>18</cp:revision>
  <dcterms:created xsi:type="dcterms:W3CDTF">2022-12-29T09:10:00Z</dcterms:created>
  <dcterms:modified xsi:type="dcterms:W3CDTF">2023-01-08T19:56:00Z</dcterms:modified>
</cp:coreProperties>
</file>