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2601F" w14:textId="77777777" w:rsidR="00371F6E" w:rsidRDefault="00371F6E" w:rsidP="00371F6E">
      <w:pPr>
        <w:spacing w:line="600" w:lineRule="auto"/>
        <w:jc w:val="center"/>
        <w:rPr>
          <w:sz w:val="32"/>
          <w:szCs w:val="32"/>
        </w:rPr>
      </w:pPr>
      <w:bookmarkStart w:id="0" w:name="_Toc224414357"/>
      <w:r w:rsidRPr="00A406E5">
        <w:rPr>
          <w:rFonts w:ascii="Arial" w:hAnsi="Arial" w:cs="Arial"/>
          <w:noProof/>
        </w:rPr>
        <w:drawing>
          <wp:anchor distT="0" distB="0" distL="114300" distR="114300" simplePos="0" relativeHeight="251659264" behindDoc="0" locked="0" layoutInCell="1" allowOverlap="1" wp14:anchorId="098030AC" wp14:editId="15D7E2FF">
            <wp:simplePos x="0" y="0"/>
            <wp:positionH relativeFrom="column">
              <wp:posOffset>-347472</wp:posOffset>
            </wp:positionH>
            <wp:positionV relativeFrom="paragraph">
              <wp:posOffset>381</wp:posOffset>
            </wp:positionV>
            <wp:extent cx="2267712" cy="870204"/>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79984" cy="8749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BE76A1" w14:textId="77777777" w:rsidR="00371F6E" w:rsidRDefault="00371F6E" w:rsidP="00371F6E">
      <w:pPr>
        <w:spacing w:line="600" w:lineRule="auto"/>
        <w:jc w:val="center"/>
        <w:rPr>
          <w:sz w:val="32"/>
          <w:szCs w:val="32"/>
        </w:rPr>
      </w:pPr>
    </w:p>
    <w:p w14:paraId="7ED9D195" w14:textId="77777777" w:rsidR="00371F6E" w:rsidRDefault="00371F6E" w:rsidP="00371F6E">
      <w:pPr>
        <w:spacing w:line="600" w:lineRule="auto"/>
        <w:jc w:val="center"/>
        <w:rPr>
          <w:sz w:val="32"/>
          <w:szCs w:val="32"/>
        </w:rPr>
      </w:pPr>
    </w:p>
    <w:p w14:paraId="054A2BD5" w14:textId="1D35DA8D" w:rsidR="00371F6E" w:rsidRDefault="00371F6E" w:rsidP="00371F6E">
      <w:pPr>
        <w:spacing w:line="600" w:lineRule="auto"/>
        <w:jc w:val="center"/>
        <w:rPr>
          <w:sz w:val="32"/>
          <w:szCs w:val="32"/>
        </w:rPr>
      </w:pPr>
      <w:r w:rsidRPr="00CE6708">
        <w:rPr>
          <w:b/>
          <w:bCs/>
          <w:sz w:val="32"/>
          <w:szCs w:val="32"/>
        </w:rPr>
        <w:t>Student</w:t>
      </w:r>
      <w:r w:rsidRPr="00CE6708">
        <w:rPr>
          <w:sz w:val="32"/>
          <w:szCs w:val="32"/>
        </w:rPr>
        <w:t xml:space="preserve"> </w:t>
      </w:r>
      <w:r w:rsidRPr="00CE6708">
        <w:rPr>
          <w:b/>
          <w:bCs/>
          <w:sz w:val="32"/>
          <w:szCs w:val="32"/>
        </w:rPr>
        <w:t>Name</w:t>
      </w:r>
      <w:r w:rsidRPr="00CE6708">
        <w:rPr>
          <w:sz w:val="32"/>
          <w:szCs w:val="32"/>
        </w:rPr>
        <w:t xml:space="preserve">: Daniel </w:t>
      </w:r>
      <w:proofErr w:type="spellStart"/>
      <w:r w:rsidRPr="00CE6708">
        <w:rPr>
          <w:sz w:val="32"/>
          <w:szCs w:val="32"/>
        </w:rPr>
        <w:t>Petcu</w:t>
      </w:r>
      <w:proofErr w:type="spellEnd"/>
    </w:p>
    <w:p w14:paraId="360E0D38" w14:textId="06254D42" w:rsidR="00371F6E" w:rsidRPr="00CE6708" w:rsidRDefault="00371F6E" w:rsidP="00371F6E">
      <w:pPr>
        <w:spacing w:line="600" w:lineRule="auto"/>
        <w:jc w:val="center"/>
        <w:rPr>
          <w:sz w:val="32"/>
          <w:szCs w:val="32"/>
        </w:rPr>
      </w:pPr>
      <w:r>
        <w:rPr>
          <w:sz w:val="32"/>
          <w:szCs w:val="32"/>
        </w:rPr>
        <w:t xml:space="preserve">Module: </w:t>
      </w:r>
      <w:r w:rsidRPr="00371F6E">
        <w:rPr>
          <w:b/>
          <w:bCs/>
          <w:sz w:val="32"/>
          <w:szCs w:val="32"/>
        </w:rPr>
        <w:t>LCLM5005 Organisational Culture</w:t>
      </w:r>
    </w:p>
    <w:p w14:paraId="0E8AC5C9" w14:textId="77777777" w:rsidR="00371F6E" w:rsidRPr="00371F6E" w:rsidRDefault="00371F6E" w:rsidP="00371F6E">
      <w:pPr>
        <w:spacing w:before="100" w:beforeAutospacing="1" w:after="100" w:afterAutospacing="1" w:line="240" w:lineRule="auto"/>
        <w:outlineLvl w:val="0"/>
        <w:rPr>
          <w:rFonts w:ascii="Aptos" w:eastAsia="Times New Roman" w:hAnsi="Aptos" w:cs="Times New Roman"/>
          <w:b/>
          <w:bCs/>
          <w:color w:val="000000"/>
          <w:kern w:val="36"/>
          <w:sz w:val="32"/>
          <w:szCs w:val="32"/>
          <w14:ligatures w14:val="none"/>
        </w:rPr>
      </w:pPr>
    </w:p>
    <w:p w14:paraId="62C9F53C" w14:textId="087F1665" w:rsidR="008B7606" w:rsidRPr="00371F6E" w:rsidRDefault="008B7606" w:rsidP="00371F6E">
      <w:pPr>
        <w:spacing w:before="100" w:beforeAutospacing="1" w:after="100" w:afterAutospacing="1" w:line="240" w:lineRule="auto"/>
        <w:jc w:val="center"/>
        <w:outlineLvl w:val="0"/>
        <w:rPr>
          <w:rFonts w:ascii="Aptos" w:eastAsia="Times New Roman" w:hAnsi="Aptos" w:cs="Times New Roman"/>
          <w:b/>
          <w:bCs/>
          <w:i/>
          <w:iCs/>
          <w:color w:val="000000"/>
          <w:kern w:val="36"/>
          <w:sz w:val="32"/>
          <w:szCs w:val="32"/>
          <w14:ligatures w14:val="none"/>
        </w:rPr>
      </w:pPr>
      <w:r w:rsidRPr="00371F6E">
        <w:rPr>
          <w:rFonts w:ascii="Aptos" w:eastAsia="Times New Roman" w:hAnsi="Aptos" w:cs="Times New Roman"/>
          <w:b/>
          <w:bCs/>
          <w:i/>
          <w:iCs/>
          <w:color w:val="000000"/>
          <w:kern w:val="36"/>
          <w:sz w:val="32"/>
          <w:szCs w:val="32"/>
          <w14:ligatures w14:val="none"/>
        </w:rPr>
        <w:t>Organisational Culture Report</w:t>
      </w:r>
      <w:bookmarkEnd w:id="0"/>
    </w:p>
    <w:p w14:paraId="78D1D722" w14:textId="77777777" w:rsidR="008B7606" w:rsidRPr="00371F6E" w:rsidRDefault="008B7606" w:rsidP="00371F6E">
      <w:pPr>
        <w:spacing w:before="100" w:beforeAutospacing="1" w:after="100" w:afterAutospacing="1" w:line="240" w:lineRule="auto"/>
        <w:jc w:val="center"/>
        <w:outlineLvl w:val="1"/>
        <w:rPr>
          <w:rFonts w:ascii="Aptos" w:eastAsia="Times New Roman" w:hAnsi="Aptos" w:cs="Times New Roman"/>
          <w:b/>
          <w:bCs/>
          <w:i/>
          <w:iCs/>
          <w:color w:val="000000"/>
          <w:kern w:val="0"/>
          <w:sz w:val="32"/>
          <w:szCs w:val="32"/>
          <w14:ligatures w14:val="none"/>
        </w:rPr>
      </w:pPr>
      <w:bookmarkStart w:id="1" w:name="_Toc224414358"/>
      <w:r w:rsidRPr="00371F6E">
        <w:rPr>
          <w:rFonts w:ascii="Aptos" w:eastAsia="Times New Roman" w:hAnsi="Aptos" w:cs="Times New Roman"/>
          <w:b/>
          <w:bCs/>
          <w:i/>
          <w:iCs/>
          <w:color w:val="000000"/>
          <w:kern w:val="0"/>
          <w:sz w:val="32"/>
          <w:szCs w:val="32"/>
          <w14:ligatures w14:val="none"/>
        </w:rPr>
        <w:t>Case Study: John Lewis Partnership</w:t>
      </w:r>
      <w:bookmarkEnd w:id="1"/>
    </w:p>
    <w:p w14:paraId="2537397A" w14:textId="32C22F40" w:rsidR="008B7606" w:rsidRDefault="008B7606" w:rsidP="008B7606">
      <w:pPr>
        <w:spacing w:after="0" w:line="240" w:lineRule="auto"/>
        <w:rPr>
          <w:rFonts w:ascii="Times New Roman" w:eastAsia="Times New Roman" w:hAnsi="Times New Roman" w:cs="Times New Roman"/>
          <w:kern w:val="0"/>
          <w14:ligatures w14:val="none"/>
        </w:rPr>
      </w:pPr>
    </w:p>
    <w:p w14:paraId="5E9B7EC4" w14:textId="0E5B2136" w:rsidR="00062869" w:rsidRDefault="00062869" w:rsidP="008B7606">
      <w:pPr>
        <w:spacing w:after="0" w:line="240" w:lineRule="auto"/>
        <w:rPr>
          <w:rFonts w:ascii="Times New Roman" w:eastAsia="Times New Roman" w:hAnsi="Times New Roman" w:cs="Times New Roman"/>
          <w:kern w:val="0"/>
          <w14:ligatures w14:val="none"/>
        </w:rPr>
      </w:pPr>
    </w:p>
    <w:p w14:paraId="5915DFB2" w14:textId="373389A7" w:rsidR="00062869" w:rsidRDefault="00062869" w:rsidP="008B7606">
      <w:pPr>
        <w:spacing w:after="0" w:line="240" w:lineRule="auto"/>
        <w:rPr>
          <w:rFonts w:ascii="Times New Roman" w:eastAsia="Times New Roman" w:hAnsi="Times New Roman" w:cs="Times New Roman"/>
          <w:kern w:val="0"/>
          <w14:ligatures w14:val="none"/>
        </w:rPr>
      </w:pPr>
    </w:p>
    <w:p w14:paraId="4F34AB47" w14:textId="329B93F1" w:rsidR="00062869" w:rsidRDefault="00062869" w:rsidP="008B7606">
      <w:pPr>
        <w:spacing w:after="0" w:line="240" w:lineRule="auto"/>
        <w:rPr>
          <w:rFonts w:ascii="Times New Roman" w:eastAsia="Times New Roman" w:hAnsi="Times New Roman" w:cs="Times New Roman"/>
          <w:kern w:val="0"/>
          <w14:ligatures w14:val="none"/>
        </w:rPr>
      </w:pPr>
    </w:p>
    <w:p w14:paraId="15875387" w14:textId="60119DB7" w:rsidR="00062869" w:rsidRDefault="00062869" w:rsidP="008B7606">
      <w:pPr>
        <w:spacing w:after="0" w:line="240" w:lineRule="auto"/>
        <w:rPr>
          <w:rFonts w:ascii="Times New Roman" w:eastAsia="Times New Roman" w:hAnsi="Times New Roman" w:cs="Times New Roman"/>
          <w:kern w:val="0"/>
          <w14:ligatures w14:val="none"/>
        </w:rPr>
      </w:pPr>
    </w:p>
    <w:p w14:paraId="1EDC4CED" w14:textId="047FD29A" w:rsidR="00371F6E" w:rsidRDefault="00371F6E" w:rsidP="008B7606">
      <w:pPr>
        <w:spacing w:after="0" w:line="240" w:lineRule="auto"/>
        <w:rPr>
          <w:rFonts w:ascii="Times New Roman" w:eastAsia="Times New Roman" w:hAnsi="Times New Roman" w:cs="Times New Roman"/>
          <w:kern w:val="0"/>
          <w14:ligatures w14:val="none"/>
        </w:rPr>
      </w:pPr>
    </w:p>
    <w:p w14:paraId="36BF21C2" w14:textId="5D7ED1B6" w:rsidR="00371F6E" w:rsidRDefault="00371F6E" w:rsidP="008B7606">
      <w:pPr>
        <w:spacing w:after="0" w:line="240" w:lineRule="auto"/>
        <w:rPr>
          <w:rFonts w:ascii="Times New Roman" w:eastAsia="Times New Roman" w:hAnsi="Times New Roman" w:cs="Times New Roman"/>
          <w:kern w:val="0"/>
          <w14:ligatures w14:val="none"/>
        </w:rPr>
      </w:pPr>
    </w:p>
    <w:p w14:paraId="654022D5" w14:textId="68853EE9" w:rsidR="00371F6E" w:rsidRDefault="00371F6E" w:rsidP="008B7606">
      <w:pPr>
        <w:spacing w:after="0" w:line="240" w:lineRule="auto"/>
        <w:rPr>
          <w:rFonts w:ascii="Times New Roman" w:eastAsia="Times New Roman" w:hAnsi="Times New Roman" w:cs="Times New Roman"/>
          <w:kern w:val="0"/>
          <w14:ligatures w14:val="none"/>
        </w:rPr>
      </w:pPr>
    </w:p>
    <w:p w14:paraId="5ACB624F" w14:textId="47875F98" w:rsidR="00371F6E" w:rsidRDefault="00371F6E" w:rsidP="008B7606">
      <w:pPr>
        <w:spacing w:after="0" w:line="240" w:lineRule="auto"/>
        <w:rPr>
          <w:rFonts w:ascii="Times New Roman" w:eastAsia="Times New Roman" w:hAnsi="Times New Roman" w:cs="Times New Roman"/>
          <w:kern w:val="0"/>
          <w14:ligatures w14:val="none"/>
        </w:rPr>
      </w:pPr>
    </w:p>
    <w:p w14:paraId="2F6B1D77" w14:textId="3B563081" w:rsidR="00371F6E" w:rsidRDefault="00371F6E" w:rsidP="008B7606">
      <w:pPr>
        <w:spacing w:after="0" w:line="240" w:lineRule="auto"/>
        <w:rPr>
          <w:rFonts w:ascii="Times New Roman" w:eastAsia="Times New Roman" w:hAnsi="Times New Roman" w:cs="Times New Roman"/>
          <w:kern w:val="0"/>
          <w14:ligatures w14:val="none"/>
        </w:rPr>
      </w:pPr>
    </w:p>
    <w:p w14:paraId="748F8945" w14:textId="77777777" w:rsidR="00371F6E" w:rsidRDefault="00371F6E" w:rsidP="008B7606">
      <w:pPr>
        <w:spacing w:after="0" w:line="240" w:lineRule="auto"/>
        <w:rPr>
          <w:rFonts w:ascii="Times New Roman" w:eastAsia="Times New Roman" w:hAnsi="Times New Roman" w:cs="Times New Roman"/>
          <w:kern w:val="0"/>
          <w14:ligatures w14:val="none"/>
        </w:rPr>
      </w:pPr>
    </w:p>
    <w:p w14:paraId="1887833F" w14:textId="21C2C628" w:rsidR="00062869" w:rsidRDefault="00062869" w:rsidP="008B7606">
      <w:pPr>
        <w:spacing w:after="0" w:line="240" w:lineRule="auto"/>
        <w:rPr>
          <w:rFonts w:ascii="Times New Roman" w:eastAsia="Times New Roman" w:hAnsi="Times New Roman" w:cs="Times New Roman"/>
          <w:kern w:val="0"/>
          <w14:ligatures w14:val="none"/>
        </w:rPr>
      </w:pPr>
    </w:p>
    <w:p w14:paraId="48389DD5" w14:textId="3F0BE226" w:rsidR="00062869" w:rsidRDefault="00062869" w:rsidP="008B7606">
      <w:pPr>
        <w:spacing w:after="0" w:line="240" w:lineRule="auto"/>
        <w:rPr>
          <w:rFonts w:ascii="Times New Roman" w:eastAsia="Times New Roman" w:hAnsi="Times New Roman" w:cs="Times New Roman"/>
          <w:kern w:val="0"/>
          <w14:ligatures w14:val="none"/>
        </w:rPr>
      </w:pPr>
    </w:p>
    <w:p w14:paraId="45EFA99D" w14:textId="164AD5C3" w:rsidR="00062869" w:rsidRDefault="00062869" w:rsidP="008B7606">
      <w:pPr>
        <w:spacing w:after="0" w:line="240" w:lineRule="auto"/>
        <w:rPr>
          <w:rFonts w:ascii="Times New Roman" w:eastAsia="Times New Roman" w:hAnsi="Times New Roman" w:cs="Times New Roman"/>
          <w:kern w:val="0"/>
          <w14:ligatures w14:val="none"/>
        </w:rPr>
      </w:pPr>
    </w:p>
    <w:p w14:paraId="4FF758A1" w14:textId="5F0FFA91" w:rsidR="00062869" w:rsidRDefault="00062869" w:rsidP="008B7606">
      <w:pPr>
        <w:spacing w:after="0" w:line="240" w:lineRule="auto"/>
        <w:rPr>
          <w:rFonts w:ascii="Times New Roman" w:eastAsia="Times New Roman" w:hAnsi="Times New Roman" w:cs="Times New Roman"/>
          <w:kern w:val="0"/>
          <w14:ligatures w14:val="none"/>
        </w:rPr>
      </w:pPr>
    </w:p>
    <w:p w14:paraId="030C83F7" w14:textId="122F54CE" w:rsidR="00062869" w:rsidRDefault="00062869" w:rsidP="008B7606">
      <w:pPr>
        <w:spacing w:after="0" w:line="240" w:lineRule="auto"/>
        <w:rPr>
          <w:rFonts w:ascii="Times New Roman" w:eastAsia="Times New Roman" w:hAnsi="Times New Roman" w:cs="Times New Roman"/>
          <w:kern w:val="0"/>
          <w14:ligatures w14:val="none"/>
        </w:rPr>
      </w:pPr>
    </w:p>
    <w:p w14:paraId="3CD50D8C" w14:textId="547592DE" w:rsidR="00062869" w:rsidRDefault="00062869" w:rsidP="008B7606">
      <w:pPr>
        <w:spacing w:after="0" w:line="240" w:lineRule="auto"/>
        <w:rPr>
          <w:rFonts w:ascii="Times New Roman" w:eastAsia="Times New Roman" w:hAnsi="Times New Roman" w:cs="Times New Roman"/>
          <w:kern w:val="0"/>
          <w14:ligatures w14:val="none"/>
        </w:rPr>
      </w:pPr>
    </w:p>
    <w:p w14:paraId="3D9034C7" w14:textId="60457FDF" w:rsidR="00062869" w:rsidRDefault="00062869" w:rsidP="008B7606">
      <w:pPr>
        <w:spacing w:after="0" w:line="240" w:lineRule="auto"/>
        <w:rPr>
          <w:rFonts w:ascii="Times New Roman" w:eastAsia="Times New Roman" w:hAnsi="Times New Roman" w:cs="Times New Roman"/>
          <w:kern w:val="0"/>
          <w14:ligatures w14:val="none"/>
        </w:rPr>
      </w:pPr>
    </w:p>
    <w:p w14:paraId="65477616" w14:textId="018A0F4D" w:rsidR="00062869" w:rsidRDefault="00062869" w:rsidP="008B7606">
      <w:pPr>
        <w:spacing w:after="0" w:line="240" w:lineRule="auto"/>
        <w:rPr>
          <w:rFonts w:ascii="Times New Roman" w:eastAsia="Times New Roman" w:hAnsi="Times New Roman" w:cs="Times New Roman"/>
          <w:kern w:val="0"/>
          <w14:ligatures w14:val="none"/>
        </w:rPr>
      </w:pPr>
    </w:p>
    <w:sdt>
      <w:sdtPr>
        <w:id w:val="-245035483"/>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5CC0DE86" w14:textId="7FF1C22C" w:rsidR="00062869" w:rsidRDefault="00062869">
          <w:pPr>
            <w:pStyle w:val="TOCHeading"/>
          </w:pPr>
          <w:r>
            <w:t>Table of Contents</w:t>
          </w:r>
        </w:p>
        <w:p w14:paraId="398DDE67" w14:textId="00AF3177" w:rsidR="00062869" w:rsidRDefault="00062869" w:rsidP="00371F6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p>
        <w:p w14:paraId="1299DE07" w14:textId="610A3F8F" w:rsidR="00062869" w:rsidRDefault="00062869">
          <w:pPr>
            <w:pStyle w:val="TOC1"/>
            <w:tabs>
              <w:tab w:val="right" w:leader="dot" w:pos="9016"/>
            </w:tabs>
            <w:rPr>
              <w:noProof/>
            </w:rPr>
          </w:pPr>
          <w:hyperlink w:anchor="_Toc224414359" w:history="1">
            <w:r w:rsidRPr="00655F75">
              <w:rPr>
                <w:rStyle w:val="Hyperlink"/>
                <w:rFonts w:ascii="Times New Roman" w:eastAsia="Times New Roman" w:hAnsi="Times New Roman" w:cs="Times New Roman"/>
                <w:noProof/>
                <w:kern w:val="36"/>
              </w:rPr>
              <w:t>1. Introduction</w:t>
            </w:r>
            <w:r>
              <w:rPr>
                <w:noProof/>
                <w:webHidden/>
              </w:rPr>
              <w:tab/>
            </w:r>
            <w:r>
              <w:rPr>
                <w:noProof/>
                <w:webHidden/>
              </w:rPr>
              <w:fldChar w:fldCharType="begin"/>
            </w:r>
            <w:r>
              <w:rPr>
                <w:noProof/>
                <w:webHidden/>
              </w:rPr>
              <w:instrText xml:space="preserve"> PAGEREF _Toc224414359 \h </w:instrText>
            </w:r>
            <w:r>
              <w:rPr>
                <w:noProof/>
                <w:webHidden/>
              </w:rPr>
            </w:r>
            <w:r>
              <w:rPr>
                <w:noProof/>
                <w:webHidden/>
              </w:rPr>
              <w:fldChar w:fldCharType="separate"/>
            </w:r>
            <w:r>
              <w:rPr>
                <w:noProof/>
                <w:webHidden/>
              </w:rPr>
              <w:t>1</w:t>
            </w:r>
            <w:r>
              <w:rPr>
                <w:noProof/>
                <w:webHidden/>
              </w:rPr>
              <w:fldChar w:fldCharType="end"/>
            </w:r>
          </w:hyperlink>
        </w:p>
        <w:p w14:paraId="33E76665" w14:textId="68C0D99A" w:rsidR="00062869" w:rsidRDefault="00062869">
          <w:pPr>
            <w:pStyle w:val="TOC1"/>
            <w:tabs>
              <w:tab w:val="right" w:leader="dot" w:pos="9016"/>
            </w:tabs>
            <w:rPr>
              <w:noProof/>
            </w:rPr>
          </w:pPr>
          <w:hyperlink w:anchor="_Toc224414360" w:history="1">
            <w:r w:rsidRPr="00655F75">
              <w:rPr>
                <w:rStyle w:val="Hyperlink"/>
                <w:rFonts w:ascii="Times New Roman" w:eastAsia="Times New Roman" w:hAnsi="Times New Roman" w:cs="Times New Roman"/>
                <w:noProof/>
                <w:kern w:val="36"/>
              </w:rPr>
              <w:t>2. Influence of Organisational Culture on Structure and Decision-Making</w:t>
            </w:r>
            <w:r>
              <w:rPr>
                <w:noProof/>
                <w:webHidden/>
              </w:rPr>
              <w:tab/>
            </w:r>
            <w:r>
              <w:rPr>
                <w:noProof/>
                <w:webHidden/>
              </w:rPr>
              <w:fldChar w:fldCharType="begin"/>
            </w:r>
            <w:r>
              <w:rPr>
                <w:noProof/>
                <w:webHidden/>
              </w:rPr>
              <w:instrText xml:space="preserve"> PAGEREF _Toc224414360 \h </w:instrText>
            </w:r>
            <w:r>
              <w:rPr>
                <w:noProof/>
                <w:webHidden/>
              </w:rPr>
            </w:r>
            <w:r>
              <w:rPr>
                <w:noProof/>
                <w:webHidden/>
              </w:rPr>
              <w:fldChar w:fldCharType="separate"/>
            </w:r>
            <w:r>
              <w:rPr>
                <w:noProof/>
                <w:webHidden/>
              </w:rPr>
              <w:t>2</w:t>
            </w:r>
            <w:r>
              <w:rPr>
                <w:noProof/>
                <w:webHidden/>
              </w:rPr>
              <w:fldChar w:fldCharType="end"/>
            </w:r>
          </w:hyperlink>
        </w:p>
        <w:p w14:paraId="4F4FFED7" w14:textId="26E8592E" w:rsidR="00062869" w:rsidRDefault="00062869">
          <w:pPr>
            <w:pStyle w:val="TOC2"/>
            <w:tabs>
              <w:tab w:val="right" w:leader="dot" w:pos="9016"/>
            </w:tabs>
            <w:rPr>
              <w:noProof/>
            </w:rPr>
          </w:pPr>
          <w:hyperlink w:anchor="_Toc224414361" w:history="1">
            <w:r w:rsidRPr="00655F75">
              <w:rPr>
                <w:rStyle w:val="Hyperlink"/>
                <w:rFonts w:ascii="Times New Roman" w:eastAsia="Times New Roman" w:hAnsi="Times New Roman" w:cs="Times New Roman"/>
                <w:noProof/>
              </w:rPr>
              <w:t>3. Identifying Organisational Culture Using Theoretical Models</w:t>
            </w:r>
            <w:r>
              <w:rPr>
                <w:noProof/>
                <w:webHidden/>
              </w:rPr>
              <w:tab/>
            </w:r>
            <w:r>
              <w:rPr>
                <w:noProof/>
                <w:webHidden/>
              </w:rPr>
              <w:fldChar w:fldCharType="begin"/>
            </w:r>
            <w:r>
              <w:rPr>
                <w:noProof/>
                <w:webHidden/>
              </w:rPr>
              <w:instrText xml:space="preserve"> PAGEREF _Toc224414361 \h </w:instrText>
            </w:r>
            <w:r>
              <w:rPr>
                <w:noProof/>
                <w:webHidden/>
              </w:rPr>
            </w:r>
            <w:r>
              <w:rPr>
                <w:noProof/>
                <w:webHidden/>
              </w:rPr>
              <w:fldChar w:fldCharType="separate"/>
            </w:r>
            <w:r>
              <w:rPr>
                <w:noProof/>
                <w:webHidden/>
              </w:rPr>
              <w:t>2</w:t>
            </w:r>
            <w:r>
              <w:rPr>
                <w:noProof/>
                <w:webHidden/>
              </w:rPr>
              <w:fldChar w:fldCharType="end"/>
            </w:r>
          </w:hyperlink>
        </w:p>
        <w:p w14:paraId="4AF06941" w14:textId="6F0A1F61" w:rsidR="00062869" w:rsidRDefault="00062869">
          <w:pPr>
            <w:pStyle w:val="TOC2"/>
            <w:tabs>
              <w:tab w:val="right" w:leader="dot" w:pos="9016"/>
            </w:tabs>
            <w:rPr>
              <w:noProof/>
            </w:rPr>
          </w:pPr>
          <w:hyperlink w:anchor="_Toc224414362" w:history="1">
            <w:r w:rsidRPr="00655F75">
              <w:rPr>
                <w:rStyle w:val="Hyperlink"/>
                <w:rFonts w:ascii="Times New Roman" w:eastAsia="Times New Roman" w:hAnsi="Times New Roman" w:cs="Times New Roman"/>
                <w:noProof/>
              </w:rPr>
              <w:t>3.1 Schein’s Model of Organisational Culture</w:t>
            </w:r>
            <w:r>
              <w:rPr>
                <w:noProof/>
                <w:webHidden/>
              </w:rPr>
              <w:tab/>
            </w:r>
            <w:r>
              <w:rPr>
                <w:noProof/>
                <w:webHidden/>
              </w:rPr>
              <w:fldChar w:fldCharType="begin"/>
            </w:r>
            <w:r>
              <w:rPr>
                <w:noProof/>
                <w:webHidden/>
              </w:rPr>
              <w:instrText xml:space="preserve"> PAGEREF _Toc224414362 \h </w:instrText>
            </w:r>
            <w:r>
              <w:rPr>
                <w:noProof/>
                <w:webHidden/>
              </w:rPr>
            </w:r>
            <w:r>
              <w:rPr>
                <w:noProof/>
                <w:webHidden/>
              </w:rPr>
              <w:fldChar w:fldCharType="separate"/>
            </w:r>
            <w:r>
              <w:rPr>
                <w:noProof/>
                <w:webHidden/>
              </w:rPr>
              <w:t>3</w:t>
            </w:r>
            <w:r>
              <w:rPr>
                <w:noProof/>
                <w:webHidden/>
              </w:rPr>
              <w:fldChar w:fldCharType="end"/>
            </w:r>
          </w:hyperlink>
        </w:p>
        <w:p w14:paraId="0402B2B7" w14:textId="0D781C9F" w:rsidR="00062869" w:rsidRDefault="00062869">
          <w:pPr>
            <w:pStyle w:val="TOC3"/>
            <w:tabs>
              <w:tab w:val="right" w:leader="dot" w:pos="9016"/>
            </w:tabs>
            <w:rPr>
              <w:noProof/>
            </w:rPr>
          </w:pPr>
          <w:hyperlink w:anchor="_Toc224414363" w:history="1">
            <w:r w:rsidRPr="00655F75">
              <w:rPr>
                <w:rStyle w:val="Hyperlink"/>
                <w:rFonts w:ascii="Times New Roman" w:eastAsia="Times New Roman" w:hAnsi="Times New Roman" w:cs="Times New Roman"/>
                <w:b/>
                <w:bCs/>
                <w:noProof/>
              </w:rPr>
              <w:t>Artifacts</w:t>
            </w:r>
            <w:r>
              <w:rPr>
                <w:noProof/>
                <w:webHidden/>
              </w:rPr>
              <w:tab/>
            </w:r>
            <w:r>
              <w:rPr>
                <w:noProof/>
                <w:webHidden/>
              </w:rPr>
              <w:fldChar w:fldCharType="begin"/>
            </w:r>
            <w:r>
              <w:rPr>
                <w:noProof/>
                <w:webHidden/>
              </w:rPr>
              <w:instrText xml:space="preserve"> PAGEREF _Toc224414363 \h </w:instrText>
            </w:r>
            <w:r>
              <w:rPr>
                <w:noProof/>
                <w:webHidden/>
              </w:rPr>
            </w:r>
            <w:r>
              <w:rPr>
                <w:noProof/>
                <w:webHidden/>
              </w:rPr>
              <w:fldChar w:fldCharType="separate"/>
            </w:r>
            <w:r>
              <w:rPr>
                <w:noProof/>
                <w:webHidden/>
              </w:rPr>
              <w:t>3</w:t>
            </w:r>
            <w:r>
              <w:rPr>
                <w:noProof/>
                <w:webHidden/>
              </w:rPr>
              <w:fldChar w:fldCharType="end"/>
            </w:r>
          </w:hyperlink>
        </w:p>
        <w:p w14:paraId="768ED09F" w14:textId="28EB53A3" w:rsidR="00062869" w:rsidRDefault="00062869">
          <w:pPr>
            <w:pStyle w:val="TOC3"/>
            <w:tabs>
              <w:tab w:val="right" w:leader="dot" w:pos="9016"/>
            </w:tabs>
            <w:rPr>
              <w:noProof/>
            </w:rPr>
          </w:pPr>
          <w:hyperlink w:anchor="_Toc224414364" w:history="1">
            <w:r w:rsidRPr="00655F75">
              <w:rPr>
                <w:rStyle w:val="Hyperlink"/>
                <w:rFonts w:ascii="Times New Roman" w:eastAsia="Times New Roman" w:hAnsi="Times New Roman" w:cs="Times New Roman"/>
                <w:b/>
                <w:bCs/>
                <w:noProof/>
              </w:rPr>
              <w:t>Espoused Values</w:t>
            </w:r>
            <w:r>
              <w:rPr>
                <w:noProof/>
                <w:webHidden/>
              </w:rPr>
              <w:tab/>
            </w:r>
            <w:r>
              <w:rPr>
                <w:noProof/>
                <w:webHidden/>
              </w:rPr>
              <w:fldChar w:fldCharType="begin"/>
            </w:r>
            <w:r>
              <w:rPr>
                <w:noProof/>
                <w:webHidden/>
              </w:rPr>
              <w:instrText xml:space="preserve"> PAGEREF _Toc224414364 \h </w:instrText>
            </w:r>
            <w:r>
              <w:rPr>
                <w:noProof/>
                <w:webHidden/>
              </w:rPr>
            </w:r>
            <w:r>
              <w:rPr>
                <w:noProof/>
                <w:webHidden/>
              </w:rPr>
              <w:fldChar w:fldCharType="separate"/>
            </w:r>
            <w:r>
              <w:rPr>
                <w:noProof/>
                <w:webHidden/>
              </w:rPr>
              <w:t>3</w:t>
            </w:r>
            <w:r>
              <w:rPr>
                <w:noProof/>
                <w:webHidden/>
              </w:rPr>
              <w:fldChar w:fldCharType="end"/>
            </w:r>
          </w:hyperlink>
        </w:p>
        <w:p w14:paraId="5FE6622A" w14:textId="461A15EC" w:rsidR="00062869" w:rsidRDefault="00062869">
          <w:pPr>
            <w:pStyle w:val="TOC3"/>
            <w:tabs>
              <w:tab w:val="right" w:leader="dot" w:pos="9016"/>
            </w:tabs>
            <w:rPr>
              <w:noProof/>
            </w:rPr>
          </w:pPr>
          <w:hyperlink w:anchor="_Toc224414365" w:history="1">
            <w:r w:rsidRPr="00655F75">
              <w:rPr>
                <w:rStyle w:val="Hyperlink"/>
                <w:rFonts w:ascii="Times New Roman" w:eastAsia="Times New Roman" w:hAnsi="Times New Roman" w:cs="Times New Roman"/>
                <w:b/>
                <w:bCs/>
                <w:noProof/>
              </w:rPr>
              <w:t>Basic Underlying Assumptions</w:t>
            </w:r>
            <w:r>
              <w:rPr>
                <w:noProof/>
                <w:webHidden/>
              </w:rPr>
              <w:tab/>
            </w:r>
            <w:r>
              <w:rPr>
                <w:noProof/>
                <w:webHidden/>
              </w:rPr>
              <w:fldChar w:fldCharType="begin"/>
            </w:r>
            <w:r>
              <w:rPr>
                <w:noProof/>
                <w:webHidden/>
              </w:rPr>
              <w:instrText xml:space="preserve"> PAGEREF _Toc224414365 \h </w:instrText>
            </w:r>
            <w:r>
              <w:rPr>
                <w:noProof/>
                <w:webHidden/>
              </w:rPr>
            </w:r>
            <w:r>
              <w:rPr>
                <w:noProof/>
                <w:webHidden/>
              </w:rPr>
              <w:fldChar w:fldCharType="separate"/>
            </w:r>
            <w:r>
              <w:rPr>
                <w:noProof/>
                <w:webHidden/>
              </w:rPr>
              <w:t>4</w:t>
            </w:r>
            <w:r>
              <w:rPr>
                <w:noProof/>
                <w:webHidden/>
              </w:rPr>
              <w:fldChar w:fldCharType="end"/>
            </w:r>
          </w:hyperlink>
        </w:p>
        <w:p w14:paraId="2450CF95" w14:textId="760F0110" w:rsidR="00062869" w:rsidRDefault="00062869">
          <w:pPr>
            <w:pStyle w:val="TOC2"/>
            <w:tabs>
              <w:tab w:val="right" w:leader="dot" w:pos="9016"/>
            </w:tabs>
            <w:rPr>
              <w:noProof/>
            </w:rPr>
          </w:pPr>
          <w:hyperlink w:anchor="_Toc224414366" w:history="1">
            <w:r w:rsidRPr="00655F75">
              <w:rPr>
                <w:rStyle w:val="Hyperlink"/>
                <w:rFonts w:ascii="Times New Roman" w:eastAsia="Times New Roman" w:hAnsi="Times New Roman" w:cs="Times New Roman"/>
                <w:noProof/>
              </w:rPr>
              <w:t>3.2 Handy’s Cultural Types</w:t>
            </w:r>
            <w:r>
              <w:rPr>
                <w:noProof/>
                <w:webHidden/>
              </w:rPr>
              <w:tab/>
            </w:r>
            <w:r>
              <w:rPr>
                <w:noProof/>
                <w:webHidden/>
              </w:rPr>
              <w:fldChar w:fldCharType="begin"/>
            </w:r>
            <w:r>
              <w:rPr>
                <w:noProof/>
                <w:webHidden/>
              </w:rPr>
              <w:instrText xml:space="preserve"> PAGEREF _Toc224414366 \h </w:instrText>
            </w:r>
            <w:r>
              <w:rPr>
                <w:noProof/>
                <w:webHidden/>
              </w:rPr>
            </w:r>
            <w:r>
              <w:rPr>
                <w:noProof/>
                <w:webHidden/>
              </w:rPr>
              <w:fldChar w:fldCharType="separate"/>
            </w:r>
            <w:r>
              <w:rPr>
                <w:noProof/>
                <w:webHidden/>
              </w:rPr>
              <w:t>4</w:t>
            </w:r>
            <w:r>
              <w:rPr>
                <w:noProof/>
                <w:webHidden/>
              </w:rPr>
              <w:fldChar w:fldCharType="end"/>
            </w:r>
          </w:hyperlink>
        </w:p>
        <w:p w14:paraId="4B38574D" w14:textId="7E77FE04" w:rsidR="00062869" w:rsidRDefault="00062869">
          <w:pPr>
            <w:pStyle w:val="TOC2"/>
            <w:tabs>
              <w:tab w:val="right" w:leader="dot" w:pos="9016"/>
            </w:tabs>
            <w:rPr>
              <w:noProof/>
            </w:rPr>
          </w:pPr>
          <w:hyperlink w:anchor="_Toc224414367" w:history="1">
            <w:r w:rsidRPr="00655F75">
              <w:rPr>
                <w:rStyle w:val="Hyperlink"/>
                <w:rFonts w:ascii="Times New Roman" w:eastAsia="Times New Roman" w:hAnsi="Times New Roman" w:cs="Times New Roman"/>
                <w:noProof/>
              </w:rPr>
              <w:t>3.3 Hofstede’s Cultural Dimensions</w:t>
            </w:r>
            <w:r>
              <w:rPr>
                <w:noProof/>
                <w:webHidden/>
              </w:rPr>
              <w:tab/>
            </w:r>
            <w:r>
              <w:rPr>
                <w:noProof/>
                <w:webHidden/>
              </w:rPr>
              <w:fldChar w:fldCharType="begin"/>
            </w:r>
            <w:r>
              <w:rPr>
                <w:noProof/>
                <w:webHidden/>
              </w:rPr>
              <w:instrText xml:space="preserve"> PAGEREF _Toc224414367 \h </w:instrText>
            </w:r>
            <w:r>
              <w:rPr>
                <w:noProof/>
                <w:webHidden/>
              </w:rPr>
            </w:r>
            <w:r>
              <w:rPr>
                <w:noProof/>
                <w:webHidden/>
              </w:rPr>
              <w:fldChar w:fldCharType="separate"/>
            </w:r>
            <w:r>
              <w:rPr>
                <w:noProof/>
                <w:webHidden/>
              </w:rPr>
              <w:t>5</w:t>
            </w:r>
            <w:r>
              <w:rPr>
                <w:noProof/>
                <w:webHidden/>
              </w:rPr>
              <w:fldChar w:fldCharType="end"/>
            </w:r>
          </w:hyperlink>
        </w:p>
        <w:p w14:paraId="4B7A0C73" w14:textId="29A3953D" w:rsidR="00062869" w:rsidRDefault="00062869">
          <w:pPr>
            <w:pStyle w:val="TOC1"/>
            <w:tabs>
              <w:tab w:val="right" w:leader="dot" w:pos="9016"/>
            </w:tabs>
            <w:rPr>
              <w:noProof/>
            </w:rPr>
          </w:pPr>
          <w:hyperlink w:anchor="_Toc224414368" w:history="1">
            <w:r w:rsidRPr="00655F75">
              <w:rPr>
                <w:rStyle w:val="Hyperlink"/>
                <w:rFonts w:ascii="Times New Roman" w:eastAsia="Times New Roman" w:hAnsi="Times New Roman" w:cs="Times New Roman"/>
                <w:noProof/>
                <w:kern w:val="36"/>
              </w:rPr>
              <w:t>4. Organisational Culture and Adaptation to External Environment</w:t>
            </w:r>
            <w:r>
              <w:rPr>
                <w:noProof/>
                <w:webHidden/>
              </w:rPr>
              <w:tab/>
            </w:r>
            <w:r>
              <w:rPr>
                <w:noProof/>
                <w:webHidden/>
              </w:rPr>
              <w:fldChar w:fldCharType="begin"/>
            </w:r>
            <w:r>
              <w:rPr>
                <w:noProof/>
                <w:webHidden/>
              </w:rPr>
              <w:instrText xml:space="preserve"> PAGEREF _Toc224414368 \h </w:instrText>
            </w:r>
            <w:r>
              <w:rPr>
                <w:noProof/>
                <w:webHidden/>
              </w:rPr>
            </w:r>
            <w:r>
              <w:rPr>
                <w:noProof/>
                <w:webHidden/>
              </w:rPr>
              <w:fldChar w:fldCharType="separate"/>
            </w:r>
            <w:r>
              <w:rPr>
                <w:noProof/>
                <w:webHidden/>
              </w:rPr>
              <w:t>6</w:t>
            </w:r>
            <w:r>
              <w:rPr>
                <w:noProof/>
                <w:webHidden/>
              </w:rPr>
              <w:fldChar w:fldCharType="end"/>
            </w:r>
          </w:hyperlink>
        </w:p>
        <w:p w14:paraId="243C6BB3" w14:textId="0E8C165C" w:rsidR="00062869" w:rsidRDefault="00062869">
          <w:pPr>
            <w:pStyle w:val="TOC1"/>
            <w:tabs>
              <w:tab w:val="right" w:leader="dot" w:pos="9016"/>
            </w:tabs>
            <w:rPr>
              <w:noProof/>
            </w:rPr>
          </w:pPr>
          <w:hyperlink w:anchor="_Toc224414369" w:history="1">
            <w:r w:rsidRPr="00655F75">
              <w:rPr>
                <w:rStyle w:val="Hyperlink"/>
                <w:rFonts w:ascii="Times New Roman" w:eastAsia="Times New Roman" w:hAnsi="Times New Roman" w:cs="Times New Roman"/>
                <w:noProof/>
                <w:kern w:val="36"/>
              </w:rPr>
              <w:t>5. Organisational Culture as a Barrier or Enabler</w:t>
            </w:r>
            <w:r>
              <w:rPr>
                <w:noProof/>
                <w:webHidden/>
              </w:rPr>
              <w:tab/>
            </w:r>
            <w:r>
              <w:rPr>
                <w:noProof/>
                <w:webHidden/>
              </w:rPr>
              <w:fldChar w:fldCharType="begin"/>
            </w:r>
            <w:r>
              <w:rPr>
                <w:noProof/>
                <w:webHidden/>
              </w:rPr>
              <w:instrText xml:space="preserve"> PAGEREF _Toc224414369 \h </w:instrText>
            </w:r>
            <w:r>
              <w:rPr>
                <w:noProof/>
                <w:webHidden/>
              </w:rPr>
            </w:r>
            <w:r>
              <w:rPr>
                <w:noProof/>
                <w:webHidden/>
              </w:rPr>
              <w:fldChar w:fldCharType="separate"/>
            </w:r>
            <w:r>
              <w:rPr>
                <w:noProof/>
                <w:webHidden/>
              </w:rPr>
              <w:t>7</w:t>
            </w:r>
            <w:r>
              <w:rPr>
                <w:noProof/>
                <w:webHidden/>
              </w:rPr>
              <w:fldChar w:fldCharType="end"/>
            </w:r>
          </w:hyperlink>
        </w:p>
        <w:p w14:paraId="3CFC764A" w14:textId="282A787F" w:rsidR="00062869" w:rsidRDefault="00062869">
          <w:pPr>
            <w:pStyle w:val="TOC1"/>
            <w:tabs>
              <w:tab w:val="right" w:leader="dot" w:pos="9016"/>
            </w:tabs>
            <w:rPr>
              <w:noProof/>
            </w:rPr>
          </w:pPr>
          <w:hyperlink w:anchor="_Toc224414370" w:history="1">
            <w:r w:rsidRPr="00655F75">
              <w:rPr>
                <w:rStyle w:val="Hyperlink"/>
                <w:rFonts w:ascii="Times New Roman" w:eastAsia="Times New Roman" w:hAnsi="Times New Roman" w:cs="Times New Roman"/>
                <w:noProof/>
                <w:kern w:val="36"/>
              </w:rPr>
              <w:t>6. Impact of Organisational Culture on Performance</w:t>
            </w:r>
            <w:r>
              <w:rPr>
                <w:noProof/>
                <w:webHidden/>
              </w:rPr>
              <w:tab/>
            </w:r>
            <w:r>
              <w:rPr>
                <w:noProof/>
                <w:webHidden/>
              </w:rPr>
              <w:fldChar w:fldCharType="begin"/>
            </w:r>
            <w:r>
              <w:rPr>
                <w:noProof/>
                <w:webHidden/>
              </w:rPr>
              <w:instrText xml:space="preserve"> PAGEREF _Toc224414370 \h </w:instrText>
            </w:r>
            <w:r>
              <w:rPr>
                <w:noProof/>
                <w:webHidden/>
              </w:rPr>
            </w:r>
            <w:r>
              <w:rPr>
                <w:noProof/>
                <w:webHidden/>
              </w:rPr>
              <w:fldChar w:fldCharType="separate"/>
            </w:r>
            <w:r>
              <w:rPr>
                <w:noProof/>
                <w:webHidden/>
              </w:rPr>
              <w:t>8</w:t>
            </w:r>
            <w:r>
              <w:rPr>
                <w:noProof/>
                <w:webHidden/>
              </w:rPr>
              <w:fldChar w:fldCharType="end"/>
            </w:r>
          </w:hyperlink>
        </w:p>
        <w:p w14:paraId="3C52BA91" w14:textId="6B45851E" w:rsidR="00062869" w:rsidRDefault="00062869">
          <w:pPr>
            <w:pStyle w:val="TOC1"/>
            <w:tabs>
              <w:tab w:val="right" w:leader="dot" w:pos="9016"/>
            </w:tabs>
            <w:rPr>
              <w:noProof/>
            </w:rPr>
          </w:pPr>
          <w:hyperlink w:anchor="_Toc224414371" w:history="1">
            <w:r w:rsidRPr="00655F75">
              <w:rPr>
                <w:rStyle w:val="Hyperlink"/>
                <w:rFonts w:ascii="Times New Roman" w:eastAsia="Times New Roman" w:hAnsi="Times New Roman" w:cs="Times New Roman"/>
                <w:noProof/>
                <w:kern w:val="36"/>
              </w:rPr>
              <w:t>7. Recommendations</w:t>
            </w:r>
            <w:r>
              <w:rPr>
                <w:noProof/>
                <w:webHidden/>
              </w:rPr>
              <w:tab/>
            </w:r>
            <w:r>
              <w:rPr>
                <w:noProof/>
                <w:webHidden/>
              </w:rPr>
              <w:fldChar w:fldCharType="begin"/>
            </w:r>
            <w:r>
              <w:rPr>
                <w:noProof/>
                <w:webHidden/>
              </w:rPr>
              <w:instrText xml:space="preserve"> PAGEREF _Toc224414371 \h </w:instrText>
            </w:r>
            <w:r>
              <w:rPr>
                <w:noProof/>
                <w:webHidden/>
              </w:rPr>
            </w:r>
            <w:r>
              <w:rPr>
                <w:noProof/>
                <w:webHidden/>
              </w:rPr>
              <w:fldChar w:fldCharType="separate"/>
            </w:r>
            <w:r>
              <w:rPr>
                <w:noProof/>
                <w:webHidden/>
              </w:rPr>
              <w:t>8</w:t>
            </w:r>
            <w:r>
              <w:rPr>
                <w:noProof/>
                <w:webHidden/>
              </w:rPr>
              <w:fldChar w:fldCharType="end"/>
            </w:r>
          </w:hyperlink>
        </w:p>
        <w:p w14:paraId="4CCC23AB" w14:textId="249C4B4B" w:rsidR="00062869" w:rsidRDefault="00062869">
          <w:pPr>
            <w:pStyle w:val="TOC1"/>
            <w:tabs>
              <w:tab w:val="right" w:leader="dot" w:pos="9016"/>
            </w:tabs>
            <w:rPr>
              <w:noProof/>
            </w:rPr>
          </w:pPr>
          <w:hyperlink w:anchor="_Toc224414372" w:history="1">
            <w:r w:rsidRPr="00655F75">
              <w:rPr>
                <w:rStyle w:val="Hyperlink"/>
                <w:rFonts w:ascii="Times New Roman" w:eastAsia="Times New Roman" w:hAnsi="Times New Roman" w:cs="Times New Roman"/>
                <w:noProof/>
                <w:kern w:val="36"/>
              </w:rPr>
              <w:t>8. Conclusion</w:t>
            </w:r>
            <w:r>
              <w:rPr>
                <w:noProof/>
                <w:webHidden/>
              </w:rPr>
              <w:tab/>
            </w:r>
            <w:r>
              <w:rPr>
                <w:noProof/>
                <w:webHidden/>
              </w:rPr>
              <w:fldChar w:fldCharType="begin"/>
            </w:r>
            <w:r>
              <w:rPr>
                <w:noProof/>
                <w:webHidden/>
              </w:rPr>
              <w:instrText xml:space="preserve"> PAGEREF _Toc224414372 \h </w:instrText>
            </w:r>
            <w:r>
              <w:rPr>
                <w:noProof/>
                <w:webHidden/>
              </w:rPr>
            </w:r>
            <w:r>
              <w:rPr>
                <w:noProof/>
                <w:webHidden/>
              </w:rPr>
              <w:fldChar w:fldCharType="separate"/>
            </w:r>
            <w:r>
              <w:rPr>
                <w:noProof/>
                <w:webHidden/>
              </w:rPr>
              <w:t>8</w:t>
            </w:r>
            <w:r>
              <w:rPr>
                <w:noProof/>
                <w:webHidden/>
              </w:rPr>
              <w:fldChar w:fldCharType="end"/>
            </w:r>
          </w:hyperlink>
        </w:p>
        <w:p w14:paraId="6E25B2A3" w14:textId="6FB14D5C" w:rsidR="00062869" w:rsidRDefault="00062869">
          <w:r>
            <w:rPr>
              <w:b/>
              <w:bCs/>
              <w:noProof/>
            </w:rPr>
            <w:fldChar w:fldCharType="end"/>
          </w:r>
        </w:p>
      </w:sdtContent>
    </w:sdt>
    <w:p w14:paraId="2879A044" w14:textId="4192160D" w:rsidR="00062869" w:rsidRDefault="00062869" w:rsidP="008B7606">
      <w:pPr>
        <w:spacing w:after="0" w:line="240" w:lineRule="auto"/>
        <w:rPr>
          <w:rFonts w:ascii="Times New Roman" w:eastAsia="Times New Roman" w:hAnsi="Times New Roman" w:cs="Times New Roman"/>
          <w:kern w:val="0"/>
          <w14:ligatures w14:val="none"/>
        </w:rPr>
      </w:pPr>
    </w:p>
    <w:p w14:paraId="1C64BF7A" w14:textId="60125B1F" w:rsidR="00371F6E" w:rsidRDefault="00371F6E" w:rsidP="008B7606">
      <w:pPr>
        <w:spacing w:after="0" w:line="240" w:lineRule="auto"/>
        <w:rPr>
          <w:rFonts w:ascii="Times New Roman" w:eastAsia="Times New Roman" w:hAnsi="Times New Roman" w:cs="Times New Roman"/>
          <w:kern w:val="0"/>
          <w14:ligatures w14:val="none"/>
        </w:rPr>
      </w:pPr>
    </w:p>
    <w:p w14:paraId="3B3EB01E" w14:textId="0E2E8E3E" w:rsidR="00371F6E" w:rsidRDefault="00371F6E" w:rsidP="008B7606">
      <w:pPr>
        <w:spacing w:after="0" w:line="240" w:lineRule="auto"/>
        <w:rPr>
          <w:rFonts w:ascii="Times New Roman" w:eastAsia="Times New Roman" w:hAnsi="Times New Roman" w:cs="Times New Roman"/>
          <w:kern w:val="0"/>
          <w14:ligatures w14:val="none"/>
        </w:rPr>
      </w:pPr>
    </w:p>
    <w:p w14:paraId="2B139952" w14:textId="5F595DFF" w:rsidR="00371F6E" w:rsidRDefault="00371F6E" w:rsidP="008B7606">
      <w:pPr>
        <w:spacing w:after="0" w:line="240" w:lineRule="auto"/>
        <w:rPr>
          <w:rFonts w:ascii="Times New Roman" w:eastAsia="Times New Roman" w:hAnsi="Times New Roman" w:cs="Times New Roman"/>
          <w:kern w:val="0"/>
          <w14:ligatures w14:val="none"/>
        </w:rPr>
      </w:pPr>
    </w:p>
    <w:p w14:paraId="0277DDE7" w14:textId="5C094752" w:rsidR="00371F6E" w:rsidRDefault="00371F6E" w:rsidP="008B7606">
      <w:pPr>
        <w:spacing w:after="0" w:line="240" w:lineRule="auto"/>
        <w:rPr>
          <w:rFonts w:ascii="Times New Roman" w:eastAsia="Times New Roman" w:hAnsi="Times New Roman" w:cs="Times New Roman"/>
          <w:kern w:val="0"/>
          <w14:ligatures w14:val="none"/>
        </w:rPr>
      </w:pPr>
    </w:p>
    <w:p w14:paraId="6B01EB41" w14:textId="43AB1972" w:rsidR="00371F6E" w:rsidRDefault="00371F6E" w:rsidP="008B7606">
      <w:pPr>
        <w:spacing w:after="0" w:line="240" w:lineRule="auto"/>
        <w:rPr>
          <w:rFonts w:ascii="Times New Roman" w:eastAsia="Times New Roman" w:hAnsi="Times New Roman" w:cs="Times New Roman"/>
          <w:kern w:val="0"/>
          <w14:ligatures w14:val="none"/>
        </w:rPr>
      </w:pPr>
    </w:p>
    <w:p w14:paraId="15FBF592" w14:textId="7E089CA1" w:rsidR="00371F6E" w:rsidRDefault="00371F6E" w:rsidP="008B7606">
      <w:pPr>
        <w:spacing w:after="0" w:line="240" w:lineRule="auto"/>
        <w:rPr>
          <w:rFonts w:ascii="Times New Roman" w:eastAsia="Times New Roman" w:hAnsi="Times New Roman" w:cs="Times New Roman"/>
          <w:kern w:val="0"/>
          <w14:ligatures w14:val="none"/>
        </w:rPr>
      </w:pPr>
    </w:p>
    <w:p w14:paraId="2B6DCE57" w14:textId="2E91B134" w:rsidR="00371F6E" w:rsidRDefault="00371F6E" w:rsidP="008B7606">
      <w:pPr>
        <w:spacing w:after="0" w:line="240" w:lineRule="auto"/>
        <w:rPr>
          <w:rFonts w:ascii="Times New Roman" w:eastAsia="Times New Roman" w:hAnsi="Times New Roman" w:cs="Times New Roman"/>
          <w:kern w:val="0"/>
          <w14:ligatures w14:val="none"/>
        </w:rPr>
      </w:pPr>
    </w:p>
    <w:p w14:paraId="2647EA50" w14:textId="2FF4D169" w:rsidR="00371F6E" w:rsidRDefault="00371F6E" w:rsidP="008B7606">
      <w:pPr>
        <w:spacing w:after="0" w:line="240" w:lineRule="auto"/>
        <w:rPr>
          <w:rFonts w:ascii="Times New Roman" w:eastAsia="Times New Roman" w:hAnsi="Times New Roman" w:cs="Times New Roman"/>
          <w:kern w:val="0"/>
          <w14:ligatures w14:val="none"/>
        </w:rPr>
      </w:pPr>
    </w:p>
    <w:p w14:paraId="5E127485" w14:textId="050D082F" w:rsidR="00371F6E" w:rsidRDefault="00371F6E" w:rsidP="008B7606">
      <w:pPr>
        <w:spacing w:after="0" w:line="240" w:lineRule="auto"/>
        <w:rPr>
          <w:rFonts w:ascii="Times New Roman" w:eastAsia="Times New Roman" w:hAnsi="Times New Roman" w:cs="Times New Roman"/>
          <w:kern w:val="0"/>
          <w14:ligatures w14:val="none"/>
        </w:rPr>
      </w:pPr>
    </w:p>
    <w:p w14:paraId="5FFF9BD5" w14:textId="6C0A3363" w:rsidR="00371F6E" w:rsidRDefault="00371F6E" w:rsidP="008B7606">
      <w:pPr>
        <w:spacing w:after="0" w:line="240" w:lineRule="auto"/>
        <w:rPr>
          <w:rFonts w:ascii="Times New Roman" w:eastAsia="Times New Roman" w:hAnsi="Times New Roman" w:cs="Times New Roman"/>
          <w:kern w:val="0"/>
          <w14:ligatures w14:val="none"/>
        </w:rPr>
      </w:pPr>
    </w:p>
    <w:p w14:paraId="5E624437" w14:textId="77777777" w:rsidR="00371F6E" w:rsidRDefault="00371F6E" w:rsidP="008B7606">
      <w:pPr>
        <w:spacing w:after="0" w:line="240" w:lineRule="auto"/>
        <w:rPr>
          <w:rFonts w:ascii="Times New Roman" w:eastAsia="Times New Roman" w:hAnsi="Times New Roman" w:cs="Times New Roman"/>
          <w:kern w:val="0"/>
          <w14:ligatures w14:val="none"/>
        </w:rPr>
      </w:pPr>
    </w:p>
    <w:p w14:paraId="43710C5E" w14:textId="1060CB29" w:rsidR="00371F6E" w:rsidRDefault="00371F6E" w:rsidP="008B7606">
      <w:pPr>
        <w:spacing w:after="0" w:line="240" w:lineRule="auto"/>
        <w:rPr>
          <w:rFonts w:ascii="Times New Roman" w:eastAsia="Times New Roman" w:hAnsi="Times New Roman" w:cs="Times New Roman"/>
          <w:kern w:val="0"/>
          <w14:ligatures w14:val="none"/>
        </w:rPr>
      </w:pPr>
    </w:p>
    <w:p w14:paraId="6C5EAC7F" w14:textId="33A5C1A3" w:rsidR="00371F6E" w:rsidRDefault="00371F6E" w:rsidP="008B7606">
      <w:pPr>
        <w:spacing w:after="0" w:line="240" w:lineRule="auto"/>
        <w:rPr>
          <w:rFonts w:ascii="Times New Roman" w:eastAsia="Times New Roman" w:hAnsi="Times New Roman" w:cs="Times New Roman"/>
          <w:kern w:val="0"/>
          <w14:ligatures w14:val="none"/>
        </w:rPr>
      </w:pPr>
    </w:p>
    <w:p w14:paraId="79025A4F" w14:textId="042D6585" w:rsidR="00371F6E" w:rsidRDefault="00371F6E" w:rsidP="008B7606">
      <w:pPr>
        <w:spacing w:after="0" w:line="240" w:lineRule="auto"/>
        <w:rPr>
          <w:rFonts w:ascii="Times New Roman" w:eastAsia="Times New Roman" w:hAnsi="Times New Roman" w:cs="Times New Roman"/>
          <w:kern w:val="0"/>
          <w14:ligatures w14:val="none"/>
        </w:rPr>
      </w:pPr>
    </w:p>
    <w:p w14:paraId="5C9C4228" w14:textId="2B0CE4A1" w:rsidR="00371F6E" w:rsidRDefault="00371F6E" w:rsidP="008B7606">
      <w:pPr>
        <w:spacing w:after="0" w:line="240" w:lineRule="auto"/>
        <w:rPr>
          <w:rFonts w:ascii="Times New Roman" w:eastAsia="Times New Roman" w:hAnsi="Times New Roman" w:cs="Times New Roman"/>
          <w:kern w:val="0"/>
          <w14:ligatures w14:val="none"/>
        </w:rPr>
      </w:pPr>
    </w:p>
    <w:p w14:paraId="28ABAF62" w14:textId="07D87F81" w:rsidR="00371F6E" w:rsidRDefault="00371F6E" w:rsidP="008B7606">
      <w:pPr>
        <w:spacing w:after="0" w:line="240" w:lineRule="auto"/>
        <w:rPr>
          <w:rFonts w:ascii="Times New Roman" w:eastAsia="Times New Roman" w:hAnsi="Times New Roman" w:cs="Times New Roman"/>
          <w:kern w:val="0"/>
          <w14:ligatures w14:val="none"/>
        </w:rPr>
      </w:pPr>
    </w:p>
    <w:p w14:paraId="17A019E2" w14:textId="3A6A0D0E" w:rsidR="00371F6E" w:rsidRDefault="00371F6E" w:rsidP="008B7606">
      <w:pPr>
        <w:spacing w:after="0" w:line="240" w:lineRule="auto"/>
        <w:rPr>
          <w:rFonts w:ascii="Times New Roman" w:eastAsia="Times New Roman" w:hAnsi="Times New Roman" w:cs="Times New Roman"/>
          <w:kern w:val="0"/>
          <w14:ligatures w14:val="none"/>
        </w:rPr>
      </w:pPr>
    </w:p>
    <w:p w14:paraId="1183ACC1" w14:textId="77777777" w:rsidR="00371F6E" w:rsidRPr="008B7606" w:rsidRDefault="00371F6E" w:rsidP="008B7606">
      <w:pPr>
        <w:spacing w:after="0" w:line="240" w:lineRule="auto"/>
        <w:rPr>
          <w:rFonts w:ascii="Times New Roman" w:eastAsia="Times New Roman" w:hAnsi="Times New Roman" w:cs="Times New Roman"/>
          <w:kern w:val="0"/>
          <w14:ligatures w14:val="none"/>
        </w:rPr>
      </w:pPr>
    </w:p>
    <w:p w14:paraId="52A4B60A" w14:textId="77777777" w:rsidR="008B7606" w:rsidRPr="008B7606" w:rsidRDefault="008B7606" w:rsidP="00062869">
      <w:pPr>
        <w:pStyle w:val="Heading1"/>
        <w:rPr>
          <w:rFonts w:eastAsia="Times New Roman"/>
        </w:rPr>
      </w:pPr>
      <w:bookmarkStart w:id="2" w:name="_Toc224414359"/>
      <w:r w:rsidRPr="008B7606">
        <w:rPr>
          <w:rFonts w:eastAsia="Times New Roman"/>
        </w:rPr>
        <w:lastRenderedPageBreak/>
        <w:t>1. Introduction</w:t>
      </w:r>
      <w:bookmarkEnd w:id="2"/>
    </w:p>
    <w:p w14:paraId="13E88ABB"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Organisational culture represents the shared values, beliefs, and behavioural norms that influence how employees interact and how work is conducted within an organisation (Schein, 2010). Mullins and Christy (2016) emphasise that culture shapes organisational processes including decision-making, structure, employee motivation, and management control. In increasingly globalised business environments, organisations must manage diverse workforces while maintaining a coherent organisational culture.</w:t>
      </w:r>
    </w:p>
    <w:p w14:paraId="5B1EED64"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This report critically evaluates the role of organisational culture within John Lewis Partnership (JLP), a well-known British retail organisation operating department stores and supermarkets under the Waitrose brand. The company is distinctive due to its </w:t>
      </w:r>
      <w:r w:rsidRPr="008B7606">
        <w:rPr>
          <w:rFonts w:ascii="Times New Roman" w:hAnsi="Times New Roman" w:cs="Times New Roman"/>
          <w:b/>
          <w:bCs/>
          <w:color w:val="000000"/>
          <w:kern w:val="0"/>
          <w14:ligatures w14:val="none"/>
        </w:rPr>
        <w:t>employee-owned partnership structure</w:t>
      </w:r>
      <w:r w:rsidRPr="008B7606">
        <w:rPr>
          <w:rFonts w:ascii="Times New Roman" w:hAnsi="Times New Roman" w:cs="Times New Roman"/>
          <w:color w:val="000000"/>
          <w:kern w:val="0"/>
          <w14:ligatures w14:val="none"/>
        </w:rPr>
        <w:t>, where employees are referred to as “partners” and share in organisational profits.</w:t>
      </w:r>
    </w:p>
    <w:p w14:paraId="4C85FDC7"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The report analyses how organisational culture influences the company’s structure and decision-making processes. It further applies theoretical frameworks including </w:t>
      </w:r>
      <w:r w:rsidRPr="001575EE">
        <w:rPr>
          <w:rFonts w:ascii="Times New Roman" w:hAnsi="Times New Roman" w:cs="Times New Roman"/>
          <w:color w:val="000000"/>
          <w:kern w:val="0"/>
          <w14:ligatures w14:val="none"/>
        </w:rPr>
        <w:t>Schein’s Model of Organisational Culture, Hofstede’s Cultural Dimensions, and </w:t>
      </w:r>
      <w:proofErr w:type="spellStart"/>
      <w:r w:rsidRPr="001575EE">
        <w:rPr>
          <w:rFonts w:ascii="Times New Roman" w:hAnsi="Times New Roman" w:cs="Times New Roman"/>
          <w:color w:val="000000"/>
          <w:kern w:val="0"/>
          <w14:ligatures w14:val="none"/>
        </w:rPr>
        <w:t>Handy’s</w:t>
      </w:r>
      <w:proofErr w:type="spellEnd"/>
      <w:r w:rsidRPr="001575EE">
        <w:rPr>
          <w:rFonts w:ascii="Times New Roman" w:hAnsi="Times New Roman" w:cs="Times New Roman"/>
          <w:color w:val="000000"/>
          <w:kern w:val="0"/>
          <w14:ligatures w14:val="none"/>
        </w:rPr>
        <w:t xml:space="preserve"> Cultural Types</w:t>
      </w:r>
      <w:r w:rsidRPr="008B7606">
        <w:rPr>
          <w:rFonts w:ascii="Times New Roman" w:hAnsi="Times New Roman" w:cs="Times New Roman"/>
          <w:color w:val="000000"/>
          <w:kern w:val="0"/>
          <w14:ligatures w14:val="none"/>
        </w:rPr>
        <w:t> to identify the prevailing culture within the organisation. Additionally, the report examines how John Lewis leverages its culture to adapt to external environmental pressures. Finally, the analysis evaluates whether organisational culture functions as a barrier or enabler to organisational effectiveness and assesses its impact on company performance, concluding with evidence-based recommendations.</w:t>
      </w:r>
    </w:p>
    <w:p w14:paraId="4B659D13" w14:textId="052E2E3C" w:rsidR="008B7606" w:rsidRPr="008B7606" w:rsidRDefault="008B7606" w:rsidP="00062869">
      <w:pPr>
        <w:spacing w:after="0" w:line="360" w:lineRule="auto"/>
        <w:jc w:val="both"/>
        <w:rPr>
          <w:rFonts w:ascii="Times New Roman" w:eastAsia="Times New Roman" w:hAnsi="Times New Roman" w:cs="Times New Roman"/>
          <w:kern w:val="0"/>
          <w14:ligatures w14:val="none"/>
        </w:rPr>
      </w:pPr>
    </w:p>
    <w:p w14:paraId="1447BD51" w14:textId="77777777" w:rsidR="008B7606" w:rsidRPr="008B7606" w:rsidRDefault="008B7606" w:rsidP="00062869">
      <w:pPr>
        <w:pStyle w:val="Heading1"/>
        <w:rPr>
          <w:rFonts w:eastAsia="Times New Roman"/>
        </w:rPr>
      </w:pPr>
      <w:bookmarkStart w:id="3" w:name="_Toc224414360"/>
      <w:r w:rsidRPr="008B7606">
        <w:rPr>
          <w:rFonts w:eastAsia="Times New Roman"/>
        </w:rPr>
        <w:t>2. Influence of Organisational Culture on Structure and Decision-Making</w:t>
      </w:r>
      <w:bookmarkEnd w:id="3"/>
    </w:p>
    <w:p w14:paraId="1F3696FB"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Organisational culture plays a significant role in shaping how organisations are structured and how decisions are made. According to Robbins and Judge (2017), organisational culture provides employees with behavioural guidelines that influence everyday decision-making.</w:t>
      </w:r>
    </w:p>
    <w:p w14:paraId="0C4AEAC3"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At John Lewis Partnership, the culture is strongly shaped by its </w:t>
      </w:r>
      <w:r w:rsidRPr="001575EE">
        <w:rPr>
          <w:rFonts w:ascii="Times New Roman" w:hAnsi="Times New Roman" w:cs="Times New Roman"/>
          <w:color w:val="000000"/>
          <w:kern w:val="0"/>
          <w14:ligatures w14:val="none"/>
        </w:rPr>
        <w:t>partnership model,</w:t>
      </w:r>
      <w:r w:rsidRPr="008B7606">
        <w:rPr>
          <w:rFonts w:ascii="Times New Roman" w:hAnsi="Times New Roman" w:cs="Times New Roman"/>
          <w:color w:val="000000"/>
          <w:kern w:val="0"/>
          <w14:ligatures w14:val="none"/>
        </w:rPr>
        <w:t xml:space="preserve"> where employees are co-owners of the business. This structure promotes </w:t>
      </w:r>
      <w:r w:rsidRPr="001575EE">
        <w:rPr>
          <w:rFonts w:ascii="Times New Roman" w:hAnsi="Times New Roman" w:cs="Times New Roman"/>
          <w:color w:val="000000"/>
          <w:kern w:val="0"/>
          <w14:ligatures w14:val="none"/>
        </w:rPr>
        <w:t>participative decision-making,</w:t>
      </w:r>
      <w:r w:rsidRPr="008B7606">
        <w:rPr>
          <w:rFonts w:ascii="Times New Roman" w:hAnsi="Times New Roman" w:cs="Times New Roman"/>
          <w:color w:val="000000"/>
          <w:kern w:val="0"/>
          <w14:ligatures w14:val="none"/>
        </w:rPr>
        <w:t xml:space="preserve"> collaboration, and transparency.</w:t>
      </w:r>
    </w:p>
    <w:p w14:paraId="311CEA92"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lastRenderedPageBreak/>
        <w:t>One key feature of the company’s structure is the </w:t>
      </w:r>
      <w:r w:rsidRPr="001575EE">
        <w:rPr>
          <w:rFonts w:ascii="Times New Roman" w:hAnsi="Times New Roman" w:cs="Times New Roman"/>
          <w:color w:val="000000"/>
          <w:kern w:val="0"/>
          <w14:ligatures w14:val="none"/>
        </w:rPr>
        <w:t>democratic governance system</w:t>
      </w:r>
      <w:r w:rsidRPr="008B7606">
        <w:rPr>
          <w:rFonts w:ascii="Times New Roman" w:hAnsi="Times New Roman" w:cs="Times New Roman"/>
          <w:color w:val="000000"/>
          <w:kern w:val="0"/>
          <w14:ligatures w14:val="none"/>
        </w:rPr>
        <w:t>. Employees elect representatives to the </w:t>
      </w:r>
      <w:r w:rsidRPr="001575EE">
        <w:rPr>
          <w:rFonts w:ascii="Times New Roman" w:hAnsi="Times New Roman" w:cs="Times New Roman"/>
          <w:color w:val="000000"/>
          <w:kern w:val="0"/>
          <w14:ligatures w14:val="none"/>
        </w:rPr>
        <w:t>Partnership Council</w:t>
      </w:r>
      <w:r w:rsidRPr="008B7606">
        <w:rPr>
          <w:rFonts w:ascii="Times New Roman" w:hAnsi="Times New Roman" w:cs="Times New Roman"/>
          <w:color w:val="000000"/>
          <w:kern w:val="0"/>
          <w14:ligatures w14:val="none"/>
        </w:rPr>
        <w:t>, which provides a mechanism for partners to influence organisational decisions and hold management accountable (John Lewis Partnership, 2023). This governance system reflects a culture that values </w:t>
      </w:r>
      <w:r w:rsidRPr="001575EE">
        <w:rPr>
          <w:rFonts w:ascii="Times New Roman" w:hAnsi="Times New Roman" w:cs="Times New Roman"/>
          <w:color w:val="000000"/>
          <w:kern w:val="0"/>
          <w14:ligatures w14:val="none"/>
        </w:rPr>
        <w:t>employee voice and participation</w:t>
      </w:r>
      <w:r w:rsidRPr="008B7606">
        <w:rPr>
          <w:rFonts w:ascii="Times New Roman" w:hAnsi="Times New Roman" w:cs="Times New Roman"/>
          <w:color w:val="000000"/>
          <w:kern w:val="0"/>
          <w14:ligatures w14:val="none"/>
        </w:rPr>
        <w:t>, contrasting with traditional hierarchical corporate structures.</w:t>
      </w:r>
    </w:p>
    <w:p w14:paraId="3D5FB190"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Furthermore, decision-making within the organisation tends to emphasise </w:t>
      </w:r>
      <w:r w:rsidRPr="001575EE">
        <w:rPr>
          <w:rFonts w:ascii="Times New Roman" w:hAnsi="Times New Roman" w:cs="Times New Roman"/>
          <w:color w:val="000000"/>
          <w:kern w:val="0"/>
          <w14:ligatures w14:val="none"/>
        </w:rPr>
        <w:t>long-term sustainability rather than short-term profit maximisation.</w:t>
      </w:r>
      <w:r w:rsidRPr="008B7606">
        <w:rPr>
          <w:rFonts w:ascii="Times New Roman" w:hAnsi="Times New Roman" w:cs="Times New Roman"/>
          <w:color w:val="000000"/>
          <w:kern w:val="0"/>
          <w14:ligatures w14:val="none"/>
        </w:rPr>
        <w:t xml:space="preserve"> Because employees share profits, organisational decisions often prioritise employee welfare, customer satisfaction, and brand reputation.</w:t>
      </w:r>
    </w:p>
    <w:p w14:paraId="1B2BC8F1"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However, while participative structures can enhance engagement and commitment, they may also slow decision-making processes. In highly competitive retail environments where rapid responses to market trends are required, extensive consultation may create organisational inertia (Burnes, 2017).</w:t>
      </w:r>
    </w:p>
    <w:p w14:paraId="79C8810A" w14:textId="77777777" w:rsid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Therefore, organisational culture within John Lewis simultaneously promotes democratic governance and employee empowerment while potentially creating challenges related to decision-making efficiency.</w:t>
      </w:r>
    </w:p>
    <w:p w14:paraId="277A31E2" w14:textId="77777777" w:rsidR="00BD3EA5" w:rsidRPr="00BD3EA5" w:rsidRDefault="00BD3EA5" w:rsidP="00062869">
      <w:pPr>
        <w:pStyle w:val="Heading1"/>
        <w:rPr>
          <w:rFonts w:eastAsia="Times New Roman"/>
        </w:rPr>
      </w:pPr>
      <w:bookmarkStart w:id="4" w:name="_Toc224414361"/>
      <w:r w:rsidRPr="00BD3EA5">
        <w:rPr>
          <w:rFonts w:eastAsia="Times New Roman"/>
        </w:rPr>
        <w:t>3. Identifying Organisational Culture Using Theoretical Models</w:t>
      </w:r>
      <w:bookmarkEnd w:id="4"/>
    </w:p>
    <w:p w14:paraId="2CB63724" w14:textId="7A527157" w:rsidR="00BD3EA5" w:rsidRPr="00062869"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Understanding organisational culture requires the application of conceptual frameworks that enable researchers to interpret how shared values, norms, and behaviours develop within organisations and influence employee behaviour. Organisational culture is not always directly observable; rather, it operates through visible practices, formal structures, and deeper assumptions that guide how individuals perceive and respond to organisational challenges (Schein, 2010). Consequently, the use of established theoretical models provides a structured approach to analysing the underlying cultural characteristics of organisations. In the context of John Lewis Partnership, several cultural frameworks can be applied to identify how its distinctive partnership model shapes employee behaviour, governance structures, and organisational priorities. This section critically examines the company’s organisational culture using </w:t>
      </w:r>
      <w:r w:rsidRPr="003606FE">
        <w:rPr>
          <w:rFonts w:ascii="Times New Roman" w:hAnsi="Times New Roman" w:cs="Times New Roman"/>
          <w:color w:val="000000"/>
          <w:kern w:val="0"/>
          <w14:ligatures w14:val="none"/>
        </w:rPr>
        <w:t>Schein’s Model of Organisational Culture, </w:t>
      </w:r>
      <w:proofErr w:type="spellStart"/>
      <w:r w:rsidRPr="003606FE">
        <w:rPr>
          <w:rFonts w:ascii="Times New Roman" w:hAnsi="Times New Roman" w:cs="Times New Roman"/>
          <w:color w:val="000000"/>
          <w:kern w:val="0"/>
          <w14:ligatures w14:val="none"/>
        </w:rPr>
        <w:t>Handy’s</w:t>
      </w:r>
      <w:proofErr w:type="spellEnd"/>
      <w:r w:rsidRPr="003606FE">
        <w:rPr>
          <w:rFonts w:ascii="Times New Roman" w:hAnsi="Times New Roman" w:cs="Times New Roman"/>
          <w:color w:val="000000"/>
          <w:kern w:val="0"/>
          <w14:ligatures w14:val="none"/>
        </w:rPr>
        <w:t xml:space="preserve"> Cultural Types, and Hofstede’s </w:t>
      </w:r>
      <w:r w:rsidRPr="003606FE">
        <w:rPr>
          <w:rFonts w:ascii="Times New Roman" w:hAnsi="Times New Roman" w:cs="Times New Roman"/>
          <w:color w:val="000000"/>
          <w:kern w:val="0"/>
          <w14:ligatures w14:val="none"/>
        </w:rPr>
        <w:lastRenderedPageBreak/>
        <w:t xml:space="preserve">Cultural Dimensions, </w:t>
      </w:r>
      <w:r w:rsidRPr="00BD3EA5">
        <w:rPr>
          <w:rFonts w:ascii="Times New Roman" w:hAnsi="Times New Roman" w:cs="Times New Roman"/>
          <w:color w:val="000000"/>
          <w:kern w:val="0"/>
          <w14:ligatures w14:val="none"/>
        </w:rPr>
        <w:t>providing insight into the prevailing cultural dynamics within the organisation.</w:t>
      </w:r>
    </w:p>
    <w:p w14:paraId="656E27EF" w14:textId="77777777" w:rsidR="00BD3EA5" w:rsidRPr="00BD3EA5" w:rsidRDefault="00BD3EA5" w:rsidP="00062869">
      <w:pPr>
        <w:pStyle w:val="Heading2"/>
        <w:rPr>
          <w:rFonts w:eastAsia="Times New Roman"/>
        </w:rPr>
      </w:pPr>
      <w:bookmarkStart w:id="5" w:name="_Toc224414362"/>
      <w:r w:rsidRPr="00BD3EA5">
        <w:rPr>
          <w:rFonts w:eastAsia="Times New Roman"/>
        </w:rPr>
        <w:t>3.1 Schein’s Model of Organisational Culture</w:t>
      </w:r>
      <w:bookmarkEnd w:id="5"/>
    </w:p>
    <w:p w14:paraId="4DFEDD15"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Schein (2010) conceptualises organisational culture as existing across three interconnected levels: </w:t>
      </w:r>
      <w:r w:rsidRPr="003606FE">
        <w:rPr>
          <w:rFonts w:ascii="Times New Roman" w:hAnsi="Times New Roman" w:cs="Times New Roman"/>
          <w:color w:val="000000"/>
          <w:kern w:val="0"/>
          <w14:ligatures w14:val="none"/>
        </w:rPr>
        <w:t>artifacts, espoused values, a</w:t>
      </w:r>
      <w:r w:rsidRPr="00BD3EA5">
        <w:rPr>
          <w:rFonts w:ascii="Times New Roman" w:hAnsi="Times New Roman" w:cs="Times New Roman"/>
          <w:color w:val="000000"/>
          <w:kern w:val="0"/>
          <w14:ligatures w14:val="none"/>
        </w:rPr>
        <w:t>nd </w:t>
      </w:r>
      <w:r w:rsidRPr="00BD3EA5">
        <w:rPr>
          <w:rFonts w:ascii="Times New Roman" w:hAnsi="Times New Roman" w:cs="Times New Roman"/>
          <w:b/>
          <w:bCs/>
          <w:color w:val="000000"/>
          <w:kern w:val="0"/>
          <w14:ligatures w14:val="none"/>
        </w:rPr>
        <w:t xml:space="preserve">basic </w:t>
      </w:r>
      <w:r w:rsidRPr="003606FE">
        <w:rPr>
          <w:rFonts w:ascii="Times New Roman" w:hAnsi="Times New Roman" w:cs="Times New Roman"/>
          <w:color w:val="000000"/>
          <w:kern w:val="0"/>
          <w14:ligatures w14:val="none"/>
        </w:rPr>
        <w:t>underlying assumptions.</w:t>
      </w:r>
      <w:r w:rsidRPr="00BD3EA5">
        <w:rPr>
          <w:rFonts w:ascii="Times New Roman" w:hAnsi="Times New Roman" w:cs="Times New Roman"/>
          <w:color w:val="000000"/>
          <w:kern w:val="0"/>
          <w14:ligatures w14:val="none"/>
        </w:rPr>
        <w:t xml:space="preserve"> This model is widely regarded as one of the most comprehensive frameworks for analysing organisational culture because it recognises that visible behaviours often reflect deeper underlying beliefs and assumptions that shape organisational practices.</w:t>
      </w:r>
    </w:p>
    <w:p w14:paraId="45743FA0" w14:textId="77777777" w:rsidR="00BD3EA5" w:rsidRPr="00BD3EA5" w:rsidRDefault="00BD3EA5" w:rsidP="00062869">
      <w:pPr>
        <w:spacing w:before="100" w:beforeAutospacing="1" w:after="100" w:afterAutospacing="1" w:line="360" w:lineRule="auto"/>
        <w:jc w:val="both"/>
        <w:outlineLvl w:val="2"/>
        <w:rPr>
          <w:rFonts w:ascii="Times New Roman" w:eastAsia="Times New Roman" w:hAnsi="Times New Roman" w:cs="Times New Roman"/>
          <w:b/>
          <w:bCs/>
          <w:color w:val="000000"/>
          <w:kern w:val="0"/>
          <w:sz w:val="27"/>
          <w:szCs w:val="27"/>
          <w14:ligatures w14:val="none"/>
        </w:rPr>
      </w:pPr>
      <w:bookmarkStart w:id="6" w:name="_Toc224414363"/>
      <w:r w:rsidRPr="00BD3EA5">
        <w:rPr>
          <w:rFonts w:ascii="Times New Roman" w:eastAsia="Times New Roman" w:hAnsi="Times New Roman" w:cs="Times New Roman"/>
          <w:b/>
          <w:bCs/>
          <w:color w:val="000000"/>
          <w:kern w:val="0"/>
          <w:sz w:val="27"/>
          <w:szCs w:val="27"/>
          <w14:ligatures w14:val="none"/>
        </w:rPr>
        <w:t>Artifacts</w:t>
      </w:r>
      <w:bookmarkEnd w:id="6"/>
    </w:p>
    <w:p w14:paraId="17B9C487"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Artifacts represent the most visible manifestations of organisational culture, including physical symbols, organisational structures, policies, and observable behaviours (Schein, 2010). Although artifacts are easily observable, they can be difficult to interpret without understanding the underlying values that drive them.</w:t>
      </w:r>
    </w:p>
    <w:p w14:paraId="4CB53BFE"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Within John Lewis Partnership, several artifacts clearly reflect the organisation’s distinctive partnership culture. One prominent example is the terminology used within the organisation, where employees are referred to as </w:t>
      </w:r>
      <w:r w:rsidRPr="00BD3EA5">
        <w:rPr>
          <w:rFonts w:ascii="Times New Roman" w:hAnsi="Times New Roman" w:cs="Times New Roman"/>
          <w:b/>
          <w:bCs/>
          <w:color w:val="000000"/>
          <w:kern w:val="0"/>
          <w14:ligatures w14:val="none"/>
        </w:rPr>
        <w:t>“</w:t>
      </w:r>
      <w:r w:rsidRPr="003606FE">
        <w:rPr>
          <w:rFonts w:ascii="Times New Roman" w:hAnsi="Times New Roman" w:cs="Times New Roman"/>
          <w:color w:val="000000"/>
          <w:kern w:val="0"/>
          <w14:ligatures w14:val="none"/>
        </w:rPr>
        <w:t>partners</w:t>
      </w:r>
      <w:r w:rsidRPr="00BD3EA5">
        <w:rPr>
          <w:rFonts w:ascii="Times New Roman" w:hAnsi="Times New Roman" w:cs="Times New Roman"/>
          <w:b/>
          <w:bCs/>
          <w:color w:val="000000"/>
          <w:kern w:val="0"/>
          <w14:ligatures w14:val="none"/>
        </w:rPr>
        <w:t>”</w:t>
      </w:r>
      <w:r w:rsidRPr="00BD3EA5">
        <w:rPr>
          <w:rFonts w:ascii="Times New Roman" w:hAnsi="Times New Roman" w:cs="Times New Roman"/>
          <w:color w:val="000000"/>
          <w:kern w:val="0"/>
          <w14:ligatures w14:val="none"/>
        </w:rPr>
        <w:t> rather than staff members. This linguistic choice reinforces the organisation’s identity as an employee-owned enterprise and symbolically emphasises shared responsibility and collective ownership.</w:t>
      </w:r>
    </w:p>
    <w:p w14:paraId="5FCB6E04"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Another important artifact is the organisation’s </w:t>
      </w:r>
      <w:r w:rsidRPr="003606FE">
        <w:rPr>
          <w:rFonts w:ascii="Times New Roman" w:hAnsi="Times New Roman" w:cs="Times New Roman"/>
          <w:color w:val="000000"/>
          <w:kern w:val="0"/>
          <w14:ligatures w14:val="none"/>
        </w:rPr>
        <w:t xml:space="preserve">profit-sharing scheme, </w:t>
      </w:r>
      <w:r w:rsidRPr="00BD3EA5">
        <w:rPr>
          <w:rFonts w:ascii="Times New Roman" w:hAnsi="Times New Roman" w:cs="Times New Roman"/>
          <w:color w:val="000000"/>
          <w:kern w:val="0"/>
          <w14:ligatures w14:val="none"/>
        </w:rPr>
        <w:t>through which partners receive an annual bonus based on the company’s financial performance. This practice reinforces the principle that employees are directly connected to organisational outcomes and encourages a sense of shared accountability for business success.</w:t>
      </w:r>
    </w:p>
    <w:p w14:paraId="1A487B21"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Additionally, John Lewis has established </w:t>
      </w:r>
      <w:r w:rsidRPr="003606FE">
        <w:rPr>
          <w:rFonts w:ascii="Times New Roman" w:hAnsi="Times New Roman" w:cs="Times New Roman"/>
          <w:color w:val="000000"/>
          <w:kern w:val="0"/>
          <w14:ligatures w14:val="none"/>
        </w:rPr>
        <w:t>democratic governance structures, such as the Partnership Council and various internal forums, which allow partners to expre</w:t>
      </w:r>
      <w:r w:rsidRPr="00BD3EA5">
        <w:rPr>
          <w:rFonts w:ascii="Times New Roman" w:hAnsi="Times New Roman" w:cs="Times New Roman"/>
          <w:color w:val="000000"/>
          <w:kern w:val="0"/>
          <w14:ligatures w14:val="none"/>
        </w:rPr>
        <w:t>ss opinions on organisational decisions and hold leadership accountable. These structures reflect an organisational commitment to transparency and employee voice.</w:t>
      </w:r>
    </w:p>
    <w:p w14:paraId="69A85523"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lastRenderedPageBreak/>
        <w:t>The organisation’s strong emphasis on </w:t>
      </w:r>
      <w:r w:rsidRPr="003606FE">
        <w:rPr>
          <w:rFonts w:ascii="Times New Roman" w:hAnsi="Times New Roman" w:cs="Times New Roman"/>
          <w:color w:val="000000"/>
          <w:kern w:val="0"/>
          <w14:ligatures w14:val="none"/>
        </w:rPr>
        <w:t>customer service excellence</w:t>
      </w:r>
      <w:r w:rsidRPr="00BD3EA5">
        <w:rPr>
          <w:rFonts w:ascii="Times New Roman" w:hAnsi="Times New Roman" w:cs="Times New Roman"/>
          <w:color w:val="000000"/>
          <w:kern w:val="0"/>
          <w14:ligatures w14:val="none"/>
        </w:rPr>
        <w:t> also functions as a visible cultural artifact. The brand has historically positioned itself around high-quality service and trust, which is reinforced through employee training and operational practices.</w:t>
      </w:r>
    </w:p>
    <w:p w14:paraId="79D709BC"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However, it is important to recognise that artifacts alone do not fully explain organisational culture. As Schein (2010) argues, observable practices must be interpreted in relation to the deeper values and assumptions that sustain them.</w:t>
      </w:r>
    </w:p>
    <w:p w14:paraId="499D7253" w14:textId="2DC73BA6" w:rsidR="00BD3EA5" w:rsidRPr="00BD3EA5" w:rsidRDefault="00BD3EA5" w:rsidP="00062869">
      <w:pPr>
        <w:spacing w:after="0" w:line="360" w:lineRule="auto"/>
        <w:jc w:val="both"/>
        <w:rPr>
          <w:rFonts w:ascii="Times New Roman" w:eastAsia="Times New Roman" w:hAnsi="Times New Roman" w:cs="Times New Roman"/>
          <w:kern w:val="0"/>
          <w14:ligatures w14:val="none"/>
        </w:rPr>
      </w:pPr>
    </w:p>
    <w:p w14:paraId="3837ABC0" w14:textId="77777777" w:rsidR="00BD3EA5" w:rsidRPr="00BD3EA5" w:rsidRDefault="00BD3EA5" w:rsidP="00062869">
      <w:pPr>
        <w:spacing w:before="100" w:beforeAutospacing="1" w:after="100" w:afterAutospacing="1" w:line="360" w:lineRule="auto"/>
        <w:jc w:val="both"/>
        <w:outlineLvl w:val="2"/>
        <w:rPr>
          <w:rFonts w:ascii="Times New Roman" w:eastAsia="Times New Roman" w:hAnsi="Times New Roman" w:cs="Times New Roman"/>
          <w:b/>
          <w:bCs/>
          <w:color w:val="000000"/>
          <w:kern w:val="0"/>
          <w:sz w:val="27"/>
          <w:szCs w:val="27"/>
          <w14:ligatures w14:val="none"/>
        </w:rPr>
      </w:pPr>
      <w:bookmarkStart w:id="7" w:name="_Toc224414364"/>
      <w:r w:rsidRPr="00BD3EA5">
        <w:rPr>
          <w:rFonts w:ascii="Times New Roman" w:eastAsia="Times New Roman" w:hAnsi="Times New Roman" w:cs="Times New Roman"/>
          <w:b/>
          <w:bCs/>
          <w:color w:val="000000"/>
          <w:kern w:val="0"/>
          <w:sz w:val="27"/>
          <w:szCs w:val="27"/>
          <w14:ligatures w14:val="none"/>
        </w:rPr>
        <w:t>Espoused Values</w:t>
      </w:r>
      <w:bookmarkEnd w:id="7"/>
    </w:p>
    <w:p w14:paraId="4AC4B72C"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The second level of Schein’s model focuses on </w:t>
      </w:r>
      <w:r w:rsidRPr="003606FE">
        <w:rPr>
          <w:rFonts w:ascii="Times New Roman" w:hAnsi="Times New Roman" w:cs="Times New Roman"/>
          <w:color w:val="000000"/>
          <w:kern w:val="0"/>
          <w14:ligatures w14:val="none"/>
        </w:rPr>
        <w:t>espoused values, w</w:t>
      </w:r>
      <w:r w:rsidRPr="00BD3EA5">
        <w:rPr>
          <w:rFonts w:ascii="Times New Roman" w:hAnsi="Times New Roman" w:cs="Times New Roman"/>
          <w:color w:val="000000"/>
          <w:kern w:val="0"/>
          <w14:ligatures w14:val="none"/>
        </w:rPr>
        <w:t>hich refer to the stated strategies, goals, and philosophies that organisations claim to prioritise. These values are often communicated through mission statements, corporate policies, and leadership narratives.</w:t>
      </w:r>
    </w:p>
    <w:p w14:paraId="77B3E554"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Within John Lewis Partnership, several core values are explicitly emphasised, including </w:t>
      </w:r>
      <w:r w:rsidRPr="003606FE">
        <w:rPr>
          <w:rFonts w:ascii="Times New Roman" w:hAnsi="Times New Roman" w:cs="Times New Roman"/>
          <w:color w:val="000000"/>
          <w:kern w:val="0"/>
          <w14:ligatures w14:val="none"/>
        </w:rPr>
        <w:t xml:space="preserve">fairness, mutual respect, long-term sustainability, and customer trust. </w:t>
      </w:r>
      <w:r w:rsidRPr="00BD3EA5">
        <w:rPr>
          <w:rFonts w:ascii="Times New Roman" w:hAnsi="Times New Roman" w:cs="Times New Roman"/>
          <w:color w:val="000000"/>
          <w:kern w:val="0"/>
          <w14:ligatures w14:val="none"/>
        </w:rPr>
        <w:t>These values are embedded within the organisation’s </w:t>
      </w:r>
      <w:r w:rsidRPr="003606FE">
        <w:rPr>
          <w:rFonts w:ascii="Times New Roman" w:hAnsi="Times New Roman" w:cs="Times New Roman"/>
          <w:color w:val="000000"/>
          <w:kern w:val="0"/>
          <w14:ligatures w14:val="none"/>
        </w:rPr>
        <w:t>Partnership Constitution,</w:t>
      </w:r>
      <w:r w:rsidRPr="00BD3EA5">
        <w:rPr>
          <w:rFonts w:ascii="Times New Roman" w:hAnsi="Times New Roman" w:cs="Times New Roman"/>
          <w:color w:val="000000"/>
          <w:kern w:val="0"/>
          <w14:ligatures w14:val="none"/>
        </w:rPr>
        <w:t xml:space="preserve"> a foundational document that outlines the guiding principles of the partnership model and establishes the rights and responsibilities of partners.</w:t>
      </w:r>
    </w:p>
    <w:p w14:paraId="4B71B942"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The constitution emphasises that the organisation exists to create </w:t>
      </w:r>
      <w:r w:rsidRPr="00BD3EA5">
        <w:rPr>
          <w:rFonts w:ascii="Times New Roman" w:hAnsi="Times New Roman" w:cs="Times New Roman"/>
          <w:b/>
          <w:bCs/>
          <w:color w:val="000000"/>
          <w:kern w:val="0"/>
          <w14:ligatures w14:val="none"/>
        </w:rPr>
        <w:t>“</w:t>
      </w:r>
      <w:r w:rsidRPr="003606FE">
        <w:rPr>
          <w:rFonts w:ascii="Times New Roman" w:hAnsi="Times New Roman" w:cs="Times New Roman"/>
          <w:color w:val="000000"/>
          <w:kern w:val="0"/>
          <w14:ligatures w14:val="none"/>
        </w:rPr>
        <w:t>the happiness of its members through worthwhile and satisfying employment in a successful business.” </w:t>
      </w:r>
      <w:r w:rsidRPr="00BD3EA5">
        <w:rPr>
          <w:rFonts w:ascii="Times New Roman" w:hAnsi="Times New Roman" w:cs="Times New Roman"/>
          <w:color w:val="000000"/>
          <w:kern w:val="0"/>
          <w14:ligatures w14:val="none"/>
        </w:rPr>
        <w:t>This principle highlights the organisation’s commitment to balancing commercial success with employee well-being.</w:t>
      </w:r>
    </w:p>
    <w:p w14:paraId="64DCE879"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 xml:space="preserve">From a critical perspective, espoused values may not always perfectly align with organisational practices. Scholars have argued that organisations sometimes use value statements as symbolic tools to enhance corporate legitimacy rather than as genuine behavioural guidelines (Alvesson and </w:t>
      </w:r>
      <w:proofErr w:type="spellStart"/>
      <w:r w:rsidRPr="00BD3EA5">
        <w:rPr>
          <w:rFonts w:ascii="Times New Roman" w:hAnsi="Times New Roman" w:cs="Times New Roman"/>
          <w:color w:val="000000"/>
          <w:kern w:val="0"/>
          <w14:ligatures w14:val="none"/>
        </w:rPr>
        <w:t>Sveningsson</w:t>
      </w:r>
      <w:proofErr w:type="spellEnd"/>
      <w:r w:rsidRPr="00BD3EA5">
        <w:rPr>
          <w:rFonts w:ascii="Times New Roman" w:hAnsi="Times New Roman" w:cs="Times New Roman"/>
          <w:color w:val="000000"/>
          <w:kern w:val="0"/>
          <w14:ligatures w14:val="none"/>
        </w:rPr>
        <w:t>, 2016). In the case of John Lewis, however, the alignment between espoused values and operational practices appears relatively strong due to the institutionalised partnership model and profit-sharing arrangements.</w:t>
      </w:r>
    </w:p>
    <w:p w14:paraId="09CF5F73"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 xml:space="preserve">Nevertheless, maintaining this alignment can become increasingly challenging in highly competitive retail markets where financial pressures may force organisations to prioritise </w:t>
      </w:r>
      <w:r w:rsidRPr="00BD3EA5">
        <w:rPr>
          <w:rFonts w:ascii="Times New Roman" w:hAnsi="Times New Roman" w:cs="Times New Roman"/>
          <w:color w:val="000000"/>
          <w:kern w:val="0"/>
          <w14:ligatures w14:val="none"/>
        </w:rPr>
        <w:lastRenderedPageBreak/>
        <w:t>efficiency and cost reduction. Consequently, sustaining the organisation’s espoused values requires ongoing commitment from leadership and continuous reinforcement through organisational practices.</w:t>
      </w:r>
    </w:p>
    <w:p w14:paraId="738D6B0F" w14:textId="622885B5" w:rsidR="00BD3EA5" w:rsidRPr="00BD3EA5" w:rsidRDefault="00BD3EA5" w:rsidP="00062869">
      <w:pPr>
        <w:spacing w:after="0" w:line="360" w:lineRule="auto"/>
        <w:jc w:val="both"/>
        <w:rPr>
          <w:rFonts w:ascii="Times New Roman" w:eastAsia="Times New Roman" w:hAnsi="Times New Roman" w:cs="Times New Roman"/>
          <w:kern w:val="0"/>
          <w14:ligatures w14:val="none"/>
        </w:rPr>
      </w:pPr>
    </w:p>
    <w:p w14:paraId="135105B4" w14:textId="77777777" w:rsidR="00BD3EA5" w:rsidRPr="00BD3EA5" w:rsidRDefault="00BD3EA5" w:rsidP="00062869">
      <w:pPr>
        <w:spacing w:before="100" w:beforeAutospacing="1" w:after="100" w:afterAutospacing="1" w:line="360" w:lineRule="auto"/>
        <w:jc w:val="both"/>
        <w:outlineLvl w:val="2"/>
        <w:rPr>
          <w:rFonts w:ascii="Times New Roman" w:eastAsia="Times New Roman" w:hAnsi="Times New Roman" w:cs="Times New Roman"/>
          <w:b/>
          <w:bCs/>
          <w:color w:val="000000"/>
          <w:kern w:val="0"/>
          <w:sz w:val="27"/>
          <w:szCs w:val="27"/>
          <w14:ligatures w14:val="none"/>
        </w:rPr>
      </w:pPr>
      <w:bookmarkStart w:id="8" w:name="_Toc224414365"/>
      <w:r w:rsidRPr="00BD3EA5">
        <w:rPr>
          <w:rFonts w:ascii="Times New Roman" w:eastAsia="Times New Roman" w:hAnsi="Times New Roman" w:cs="Times New Roman"/>
          <w:b/>
          <w:bCs/>
          <w:color w:val="000000"/>
          <w:kern w:val="0"/>
          <w:sz w:val="27"/>
          <w:szCs w:val="27"/>
          <w14:ligatures w14:val="none"/>
        </w:rPr>
        <w:t>Basic Underlying Assumptions</w:t>
      </w:r>
      <w:bookmarkEnd w:id="8"/>
    </w:p>
    <w:p w14:paraId="26548968"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The deepest level of Schein’s model consists of </w:t>
      </w:r>
      <w:r w:rsidRPr="003606FE">
        <w:rPr>
          <w:rFonts w:ascii="Times New Roman" w:hAnsi="Times New Roman" w:cs="Times New Roman"/>
          <w:color w:val="000000"/>
          <w:kern w:val="0"/>
          <w14:ligatures w14:val="none"/>
        </w:rPr>
        <w:t xml:space="preserve">basic underlying assumptions, </w:t>
      </w:r>
      <w:r w:rsidRPr="00BD3EA5">
        <w:rPr>
          <w:rFonts w:ascii="Times New Roman" w:hAnsi="Times New Roman" w:cs="Times New Roman"/>
          <w:color w:val="000000"/>
          <w:kern w:val="0"/>
          <w14:ligatures w14:val="none"/>
        </w:rPr>
        <w:t>which represent the unconscious beliefs and perceptions that organisational members take for granted. These assumptions shape how individuals interpret organisational realities and influence decision-making processes (Schein, 2010).</w:t>
      </w:r>
    </w:p>
    <w:p w14:paraId="14282B68"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Within John Lewis Partnership, a central underlying assumption is that </w:t>
      </w:r>
      <w:r w:rsidRPr="003606FE">
        <w:rPr>
          <w:rFonts w:ascii="Times New Roman" w:hAnsi="Times New Roman" w:cs="Times New Roman"/>
          <w:color w:val="000000"/>
          <w:kern w:val="0"/>
          <w14:ligatures w14:val="none"/>
        </w:rPr>
        <w:t>employee ownership enhances organisational commitment and improves business performance</w:t>
      </w:r>
      <w:r w:rsidRPr="00BD3EA5">
        <w:rPr>
          <w:rFonts w:ascii="Times New Roman" w:hAnsi="Times New Roman" w:cs="Times New Roman"/>
          <w:color w:val="000000"/>
          <w:kern w:val="0"/>
          <w14:ligatures w14:val="none"/>
        </w:rPr>
        <w:t>. This belief forms the foundation of the partnership structure and shapes the organisation’s governance model, reward systems, and decision-making processes.</w:t>
      </w:r>
    </w:p>
    <w:p w14:paraId="6415F957"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Another implicit assumption within the organisation is that </w:t>
      </w:r>
      <w:r w:rsidRPr="003606FE">
        <w:rPr>
          <w:rFonts w:ascii="Times New Roman" w:hAnsi="Times New Roman" w:cs="Times New Roman"/>
          <w:color w:val="000000"/>
          <w:kern w:val="0"/>
          <w14:ligatures w14:val="none"/>
        </w:rPr>
        <w:t xml:space="preserve">employee engagement leads to superior customer service. </w:t>
      </w:r>
      <w:r w:rsidRPr="00BD3EA5">
        <w:rPr>
          <w:rFonts w:ascii="Times New Roman" w:hAnsi="Times New Roman" w:cs="Times New Roman"/>
          <w:color w:val="000000"/>
          <w:kern w:val="0"/>
          <w14:ligatures w14:val="none"/>
        </w:rPr>
        <w:t>By treating employees as partners with a financial stake in the organisation, the company assumes that partners will demonstrate higher levels of motivation, accountability, and dedication to delivering high-quality customer experiences.</w:t>
      </w:r>
    </w:p>
    <w:p w14:paraId="3A0B602A"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From a critical perspective, these assumptions reflect a normative belief in the benefits of participative management and employee ownership. While empirical research suggests that employee ownership can improve motivation and organisational commitment (Blasi, Freeman and Kruse, 2018), the effectiveness of such models may vary depending on external market conditions and organisational leadership practices.</w:t>
      </w:r>
    </w:p>
    <w:p w14:paraId="6174F1C3"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In the context of the retail sector, where organisations face intense competition and rapidly changing consumer behaviour, maintaining a partnership model may require balancing democratic governance with the need for strategic agility. Therefore, while the underlying assumptions of the John Lewis model provide strong cultural cohesion, they may also create tensions when rapid organisational change is required.</w:t>
      </w:r>
    </w:p>
    <w:p w14:paraId="5E6BC31E" w14:textId="012C8956" w:rsidR="00BD3EA5" w:rsidRPr="00BD3EA5" w:rsidRDefault="00BD3EA5" w:rsidP="00062869">
      <w:pPr>
        <w:spacing w:after="0" w:line="360" w:lineRule="auto"/>
        <w:jc w:val="both"/>
        <w:rPr>
          <w:rFonts w:ascii="Times New Roman" w:eastAsia="Times New Roman" w:hAnsi="Times New Roman" w:cs="Times New Roman"/>
          <w:kern w:val="0"/>
          <w14:ligatures w14:val="none"/>
        </w:rPr>
      </w:pPr>
    </w:p>
    <w:p w14:paraId="67294AB6" w14:textId="77777777" w:rsidR="00BD3EA5" w:rsidRPr="00BD3EA5" w:rsidRDefault="00BD3EA5" w:rsidP="00062869">
      <w:pPr>
        <w:pStyle w:val="Heading2"/>
        <w:rPr>
          <w:rFonts w:eastAsia="Times New Roman"/>
        </w:rPr>
      </w:pPr>
      <w:bookmarkStart w:id="9" w:name="_Toc224414366"/>
      <w:r w:rsidRPr="00BD3EA5">
        <w:rPr>
          <w:rFonts w:eastAsia="Times New Roman"/>
        </w:rPr>
        <w:lastRenderedPageBreak/>
        <w:t xml:space="preserve">3.2 </w:t>
      </w:r>
      <w:proofErr w:type="spellStart"/>
      <w:r w:rsidRPr="00BD3EA5">
        <w:rPr>
          <w:rFonts w:eastAsia="Times New Roman"/>
        </w:rPr>
        <w:t>Handy’s</w:t>
      </w:r>
      <w:proofErr w:type="spellEnd"/>
      <w:r w:rsidRPr="00BD3EA5">
        <w:rPr>
          <w:rFonts w:eastAsia="Times New Roman"/>
        </w:rPr>
        <w:t xml:space="preserve"> Cultural Types</w:t>
      </w:r>
      <w:bookmarkEnd w:id="9"/>
    </w:p>
    <w:p w14:paraId="362408C7"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Handy (1993) proposed a typology of organisational culture consisting of four primary cultural types: </w:t>
      </w:r>
      <w:r w:rsidRPr="00BD3EA5">
        <w:rPr>
          <w:rFonts w:ascii="Times New Roman" w:hAnsi="Times New Roman" w:cs="Times New Roman"/>
          <w:b/>
          <w:bCs/>
          <w:color w:val="000000"/>
          <w:kern w:val="0"/>
          <w14:ligatures w14:val="none"/>
        </w:rPr>
        <w:t>po</w:t>
      </w:r>
      <w:r w:rsidRPr="003606FE">
        <w:rPr>
          <w:rFonts w:ascii="Times New Roman" w:hAnsi="Times New Roman" w:cs="Times New Roman"/>
          <w:color w:val="000000"/>
          <w:kern w:val="0"/>
          <w14:ligatures w14:val="none"/>
        </w:rPr>
        <w:t>wer culture, role culture, task culture, and person culture.</w:t>
      </w:r>
      <w:r w:rsidRPr="00BD3EA5">
        <w:rPr>
          <w:rFonts w:ascii="Times New Roman" w:hAnsi="Times New Roman" w:cs="Times New Roman"/>
          <w:color w:val="000000"/>
          <w:kern w:val="0"/>
          <w14:ligatures w14:val="none"/>
        </w:rPr>
        <w:t xml:space="preserve"> Each type reflects different organisational structures and management approaches.</w:t>
      </w:r>
    </w:p>
    <w:p w14:paraId="1F7179E9"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Within John Lewis Partnership, elements of both </w:t>
      </w:r>
      <w:r w:rsidRPr="003606FE">
        <w:rPr>
          <w:rFonts w:ascii="Times New Roman" w:hAnsi="Times New Roman" w:cs="Times New Roman"/>
          <w:color w:val="000000"/>
          <w:kern w:val="0"/>
          <w14:ligatures w14:val="none"/>
        </w:rPr>
        <w:t>task culture and role culture </w:t>
      </w:r>
      <w:r w:rsidRPr="00BD3EA5">
        <w:rPr>
          <w:rFonts w:ascii="Times New Roman" w:hAnsi="Times New Roman" w:cs="Times New Roman"/>
          <w:color w:val="000000"/>
          <w:kern w:val="0"/>
          <w14:ligatures w14:val="none"/>
        </w:rPr>
        <w:t>are evident.</w:t>
      </w:r>
    </w:p>
    <w:p w14:paraId="5F5E9B49"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Task culture emphasises teamwork, collaboration, and the flexible allocation of resources to achieve organisational objectives. Organisations characterised by task culture typically prioritise problem-solving and innovation through cross-functional collaboration (Handy, 1993).</w:t>
      </w:r>
    </w:p>
    <w:p w14:paraId="4B782FD6"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In the case of John Lewis, task culture is evident in the organisation’s emphasis on collective responsibility and teamwork in delivering high-quality customer experiences. Retail operations require close collaboration between departments such as merchandising, logistics, customer service, and store management. The partnership structure further reinforces this collaborative environment by encouraging employees to view organisational success as a shared objective.</w:t>
      </w:r>
    </w:p>
    <w:p w14:paraId="5CD0094B"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However, the organisation also demonstrates characteristics of </w:t>
      </w:r>
      <w:r w:rsidRPr="003606FE">
        <w:rPr>
          <w:rFonts w:ascii="Times New Roman" w:hAnsi="Times New Roman" w:cs="Times New Roman"/>
          <w:color w:val="000000"/>
          <w:kern w:val="0"/>
          <w14:ligatures w14:val="none"/>
        </w:rPr>
        <w:t xml:space="preserve">role culture, </w:t>
      </w:r>
      <w:r w:rsidRPr="00BD3EA5">
        <w:rPr>
          <w:rFonts w:ascii="Times New Roman" w:hAnsi="Times New Roman" w:cs="Times New Roman"/>
          <w:color w:val="000000"/>
          <w:kern w:val="0"/>
          <w14:ligatures w14:val="none"/>
        </w:rPr>
        <w:t>which is typically associated with bureaucratic structures, clearly defined responsibilities, and formal procedures. Retail operations require standardised processes for inventory management, store operations, and customer service delivery, which necessitate clearly defined roles and hierarchical coordination.</w:t>
      </w:r>
    </w:p>
    <w:p w14:paraId="3401794F"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The coexistence of task and role cultures creates a hybrid organisational structure that combines operational stability with collaborative engagement. While role culture provides organisational efficiency and clarity of responsibility, task culture fosters teamwork and adaptability.</w:t>
      </w:r>
    </w:p>
    <w:p w14:paraId="3797973A"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Critically, maintaining this balance can be challenging. Excessive reliance on bureaucratic procedures may limit organisational flexibility, while overly informal collaboration may reduce operational efficiency. Consequently, the effectiveness of this cultural combination depends largely on leadership practices and the organisation’s ability to adapt its management approach in response to environmental changes.</w:t>
      </w:r>
    </w:p>
    <w:p w14:paraId="4D916981" w14:textId="2FD1AEDF" w:rsidR="00BD3EA5" w:rsidRPr="00BD3EA5" w:rsidRDefault="00BD3EA5" w:rsidP="00062869">
      <w:pPr>
        <w:spacing w:after="0" w:line="360" w:lineRule="auto"/>
        <w:jc w:val="both"/>
        <w:rPr>
          <w:rFonts w:ascii="Times New Roman" w:eastAsia="Times New Roman" w:hAnsi="Times New Roman" w:cs="Times New Roman"/>
          <w:kern w:val="0"/>
          <w14:ligatures w14:val="none"/>
        </w:rPr>
      </w:pPr>
    </w:p>
    <w:p w14:paraId="5E89671B" w14:textId="77777777" w:rsidR="00BD3EA5" w:rsidRPr="00BD3EA5" w:rsidRDefault="00BD3EA5" w:rsidP="00062869">
      <w:pPr>
        <w:pStyle w:val="Heading2"/>
        <w:rPr>
          <w:rFonts w:eastAsia="Times New Roman"/>
        </w:rPr>
      </w:pPr>
      <w:bookmarkStart w:id="10" w:name="_Toc224414367"/>
      <w:r w:rsidRPr="00BD3EA5">
        <w:rPr>
          <w:rFonts w:eastAsia="Times New Roman"/>
        </w:rPr>
        <w:lastRenderedPageBreak/>
        <w:t>3.3 Hofstede’s Cultural Dimensions</w:t>
      </w:r>
      <w:bookmarkEnd w:id="10"/>
    </w:p>
    <w:p w14:paraId="58457091"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Hofstede’s Cultural Dimensions framework is traditionally applied to analyse differences in </w:t>
      </w:r>
      <w:r w:rsidRPr="00BD3EA5">
        <w:rPr>
          <w:rFonts w:ascii="Times New Roman" w:hAnsi="Times New Roman" w:cs="Times New Roman"/>
          <w:b/>
          <w:bCs/>
          <w:color w:val="000000"/>
          <w:kern w:val="0"/>
          <w14:ligatures w14:val="none"/>
        </w:rPr>
        <w:t>national cultures</w:t>
      </w:r>
      <w:r w:rsidRPr="00BD3EA5">
        <w:rPr>
          <w:rFonts w:ascii="Times New Roman" w:hAnsi="Times New Roman" w:cs="Times New Roman"/>
          <w:color w:val="000000"/>
          <w:kern w:val="0"/>
          <w14:ligatures w14:val="none"/>
        </w:rPr>
        <w:t xml:space="preserve">, but it can also provide insights into organisational values and management practices (Hofstede, Hofstede and </w:t>
      </w:r>
      <w:proofErr w:type="spellStart"/>
      <w:r w:rsidRPr="00BD3EA5">
        <w:rPr>
          <w:rFonts w:ascii="Times New Roman" w:hAnsi="Times New Roman" w:cs="Times New Roman"/>
          <w:color w:val="000000"/>
          <w:kern w:val="0"/>
          <w14:ligatures w14:val="none"/>
        </w:rPr>
        <w:t>Minkov</w:t>
      </w:r>
      <w:proofErr w:type="spellEnd"/>
      <w:r w:rsidRPr="00BD3EA5">
        <w:rPr>
          <w:rFonts w:ascii="Times New Roman" w:hAnsi="Times New Roman" w:cs="Times New Roman"/>
          <w:color w:val="000000"/>
          <w:kern w:val="0"/>
          <w14:ligatures w14:val="none"/>
        </w:rPr>
        <w:t>, 2010). Several of Hofstede’s dimensions are particularly relevant when analysing the organisational culture of John Lewis Partnership.</w:t>
      </w:r>
    </w:p>
    <w:p w14:paraId="7AFC4AE1"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One key dimension is </w:t>
      </w:r>
      <w:r w:rsidRPr="00BD3EA5">
        <w:rPr>
          <w:rFonts w:ascii="Times New Roman" w:hAnsi="Times New Roman" w:cs="Times New Roman"/>
          <w:b/>
          <w:bCs/>
          <w:color w:val="000000"/>
          <w:kern w:val="0"/>
          <w14:ligatures w14:val="none"/>
        </w:rPr>
        <w:t>power distance</w:t>
      </w:r>
      <w:r w:rsidRPr="00BD3EA5">
        <w:rPr>
          <w:rFonts w:ascii="Times New Roman" w:hAnsi="Times New Roman" w:cs="Times New Roman"/>
          <w:color w:val="000000"/>
          <w:kern w:val="0"/>
          <w14:ligatures w14:val="none"/>
        </w:rPr>
        <w:t>, which refers to the extent to which hierarchical inequalities are accepted within an organisation. John Lewis demonstrates characteristics of </w:t>
      </w:r>
      <w:r w:rsidRPr="00BD3EA5">
        <w:rPr>
          <w:rFonts w:ascii="Times New Roman" w:hAnsi="Times New Roman" w:cs="Times New Roman"/>
          <w:b/>
          <w:bCs/>
          <w:color w:val="000000"/>
          <w:kern w:val="0"/>
          <w14:ligatures w14:val="none"/>
        </w:rPr>
        <w:t>low power distance</w:t>
      </w:r>
      <w:r w:rsidRPr="00BD3EA5">
        <w:rPr>
          <w:rFonts w:ascii="Times New Roman" w:hAnsi="Times New Roman" w:cs="Times New Roman"/>
          <w:color w:val="000000"/>
          <w:kern w:val="0"/>
          <w14:ligatures w14:val="none"/>
        </w:rPr>
        <w:t>, as the partnership model reduces hierarchical barriers between management and employees. The existence of democratic forums and elected partner representatives encourages open communication and employee participation in organisational governance.</w:t>
      </w:r>
    </w:p>
    <w:p w14:paraId="3BD1A2A2"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Another relevant dimension is </w:t>
      </w:r>
      <w:r w:rsidRPr="00BD3EA5">
        <w:rPr>
          <w:rFonts w:ascii="Times New Roman" w:hAnsi="Times New Roman" w:cs="Times New Roman"/>
          <w:b/>
          <w:bCs/>
          <w:color w:val="000000"/>
          <w:kern w:val="0"/>
          <w14:ligatures w14:val="none"/>
        </w:rPr>
        <w:t>collectivism versus individualism</w:t>
      </w:r>
      <w:r w:rsidRPr="00BD3EA5">
        <w:rPr>
          <w:rFonts w:ascii="Times New Roman" w:hAnsi="Times New Roman" w:cs="Times New Roman"/>
          <w:color w:val="000000"/>
          <w:kern w:val="0"/>
          <w14:ligatures w14:val="none"/>
        </w:rPr>
        <w:t>. The organisational culture of John Lewis reflects strong </w:t>
      </w:r>
      <w:r w:rsidRPr="00BD3EA5">
        <w:rPr>
          <w:rFonts w:ascii="Times New Roman" w:hAnsi="Times New Roman" w:cs="Times New Roman"/>
          <w:b/>
          <w:bCs/>
          <w:color w:val="000000"/>
          <w:kern w:val="0"/>
          <w14:ligatures w14:val="none"/>
        </w:rPr>
        <w:t>collectivist values</w:t>
      </w:r>
      <w:r w:rsidRPr="00BD3EA5">
        <w:rPr>
          <w:rFonts w:ascii="Times New Roman" w:hAnsi="Times New Roman" w:cs="Times New Roman"/>
          <w:color w:val="000000"/>
          <w:kern w:val="0"/>
          <w14:ligatures w14:val="none"/>
        </w:rPr>
        <w:t>, as employees operate as partners working toward shared organisational goals. Profit-sharing arrangements reinforce collective responsibility for organisational outcomes and encourage collaboration rather than individual competition.</w:t>
      </w:r>
    </w:p>
    <w:p w14:paraId="7458F54B"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The organisation also demonstrates characteristics of </w:t>
      </w:r>
      <w:r w:rsidRPr="00BD3EA5">
        <w:rPr>
          <w:rFonts w:ascii="Times New Roman" w:hAnsi="Times New Roman" w:cs="Times New Roman"/>
          <w:b/>
          <w:bCs/>
          <w:color w:val="000000"/>
          <w:kern w:val="0"/>
          <w14:ligatures w14:val="none"/>
        </w:rPr>
        <w:t>long-term orientation</w:t>
      </w:r>
      <w:r w:rsidRPr="00BD3EA5">
        <w:rPr>
          <w:rFonts w:ascii="Times New Roman" w:hAnsi="Times New Roman" w:cs="Times New Roman"/>
          <w:color w:val="000000"/>
          <w:kern w:val="0"/>
          <w14:ligatures w14:val="none"/>
        </w:rPr>
        <w:t>, which reflects a focus on sustainability, perseverance, and future rewards. Strategic decisions within the partnership often prioritise long-term organisational stability and brand reputation rather than short-term financial gains. This approach is consistent with the organisation’s emphasis on customer trust and sustainable business practices.</w:t>
      </w:r>
    </w:p>
    <w:p w14:paraId="13C73349" w14:textId="77777777" w:rsidR="00BD3EA5"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t>While Hofstede’s framework provides useful insights, it is important to acknowledge its limitations. Critics argue that the model may oversimplify cultural complexity and fail to capture the dynamic nature of organisational culture (McSweeney, 2002). Additionally, organisational culture may evolve over time in response to leadership changes and market pressures.</w:t>
      </w:r>
    </w:p>
    <w:p w14:paraId="1C0B6561" w14:textId="6D47EA60" w:rsidR="008B7606" w:rsidRPr="00BD3EA5" w:rsidRDefault="00BD3EA5" w:rsidP="00062869">
      <w:pPr>
        <w:spacing w:before="100" w:beforeAutospacing="1" w:after="100" w:afterAutospacing="1" w:line="360" w:lineRule="auto"/>
        <w:jc w:val="both"/>
        <w:rPr>
          <w:rFonts w:ascii="Times New Roman" w:hAnsi="Times New Roman" w:cs="Times New Roman"/>
          <w:color w:val="000000"/>
          <w:kern w:val="0"/>
          <w14:ligatures w14:val="none"/>
        </w:rPr>
      </w:pPr>
      <w:r w:rsidRPr="00BD3EA5">
        <w:rPr>
          <w:rFonts w:ascii="Times New Roman" w:hAnsi="Times New Roman" w:cs="Times New Roman"/>
          <w:color w:val="000000"/>
          <w:kern w:val="0"/>
          <w14:ligatures w14:val="none"/>
        </w:rPr>
        <w:lastRenderedPageBreak/>
        <w:t>Nevertheless, applying Hofstede’s dimensions helps highlight how the partnership model at John Lewis promotes relatively egalitarian organisational relationships, collective responsibility, and a long-term strategic orientation</w:t>
      </w:r>
      <w:r>
        <w:rPr>
          <w:rFonts w:ascii="Times New Roman" w:hAnsi="Times New Roman" w:cs="Times New Roman"/>
          <w:color w:val="000000"/>
          <w:kern w:val="0"/>
          <w14:ligatures w14:val="none"/>
        </w:rPr>
        <w:t>.</w:t>
      </w:r>
    </w:p>
    <w:p w14:paraId="302FDDD7" w14:textId="0997175A" w:rsidR="008B7606" w:rsidRPr="008B7606" w:rsidRDefault="008B7606" w:rsidP="00062869">
      <w:pPr>
        <w:spacing w:after="0" w:line="360" w:lineRule="auto"/>
        <w:jc w:val="both"/>
        <w:rPr>
          <w:rFonts w:ascii="Times New Roman" w:eastAsia="Times New Roman" w:hAnsi="Times New Roman" w:cs="Times New Roman"/>
          <w:kern w:val="0"/>
          <w14:ligatures w14:val="none"/>
        </w:rPr>
      </w:pPr>
    </w:p>
    <w:p w14:paraId="375E45AA" w14:textId="77777777" w:rsidR="008B7606" w:rsidRPr="008B7606" w:rsidRDefault="008B7606" w:rsidP="00062869">
      <w:pPr>
        <w:pStyle w:val="Heading1"/>
        <w:rPr>
          <w:rFonts w:eastAsia="Times New Roman"/>
        </w:rPr>
      </w:pPr>
      <w:bookmarkStart w:id="11" w:name="_Toc224414368"/>
      <w:r w:rsidRPr="008B7606">
        <w:rPr>
          <w:rFonts w:eastAsia="Times New Roman"/>
        </w:rPr>
        <w:t>4. Organisational Culture and Adaptation to External Environment</w:t>
      </w:r>
      <w:bookmarkEnd w:id="11"/>
    </w:p>
    <w:p w14:paraId="36A36C51"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Organisations must continuously adapt to external environmental influences such as technological change, economic pressures, and evolving consumer expectations.</w:t>
      </w:r>
    </w:p>
    <w:p w14:paraId="367F25EF"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John Lewis has leveraged its organisational culture to respond to significant challenges in the retail sector, including the growth of e-commerce and increased competition from online retailers.</w:t>
      </w:r>
    </w:p>
    <w:p w14:paraId="46DF18BE"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The partnership culture supports adaptation in several ways.</w:t>
      </w:r>
    </w:p>
    <w:p w14:paraId="77C4FF78"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Firstly, high levels of employee engagement encourage innovation and continuous improvement. Engaged employees are more likely to contribute ideas that improve operational efficiency and customer experience.</w:t>
      </w:r>
    </w:p>
    <w:p w14:paraId="5B89A59D"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Secondly, the company’s emphasis on customer trust and service quality has helped maintain strong brand loyalty despite increasing competition.</w:t>
      </w:r>
    </w:p>
    <w:p w14:paraId="4AA35E03"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However, adapting to digital transformation has presented challenges for the organisation. The partnership model, while beneficial for employee engagement, can make strategic change more complex due to the need for consultation and consensus among stakeholders (Burnes, 2017).</w:t>
      </w:r>
    </w:p>
    <w:p w14:paraId="785A7B18"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Despite these challenges, John Lewis has implemented significant digital transformation initiatives including investments in online retail platforms and omnichannel shopping experiences.</w:t>
      </w:r>
    </w:p>
    <w:p w14:paraId="42313809" w14:textId="7962626D" w:rsidR="008B7606" w:rsidRPr="008B7606" w:rsidRDefault="008B7606" w:rsidP="00062869">
      <w:pPr>
        <w:spacing w:after="0" w:line="360" w:lineRule="auto"/>
        <w:jc w:val="both"/>
        <w:rPr>
          <w:rFonts w:ascii="Times New Roman" w:eastAsia="Times New Roman" w:hAnsi="Times New Roman" w:cs="Times New Roman"/>
          <w:kern w:val="0"/>
          <w14:ligatures w14:val="none"/>
        </w:rPr>
      </w:pPr>
    </w:p>
    <w:p w14:paraId="55A2B545" w14:textId="5A839BF1" w:rsidR="00C603E1" w:rsidRPr="00C603E1" w:rsidRDefault="008B7606" w:rsidP="00062869">
      <w:pPr>
        <w:pStyle w:val="Heading1"/>
        <w:rPr>
          <w:rFonts w:eastAsia="Times New Roman"/>
        </w:rPr>
      </w:pPr>
      <w:bookmarkStart w:id="12" w:name="_Toc224414369"/>
      <w:r w:rsidRPr="008B7606">
        <w:rPr>
          <w:rFonts w:eastAsia="Times New Roman"/>
        </w:rPr>
        <w:lastRenderedPageBreak/>
        <w:t>5. Organisational Culture as a Barrier or Enabler</w:t>
      </w:r>
      <w:bookmarkEnd w:id="12"/>
    </w:p>
    <w:p w14:paraId="5E11060F" w14:textId="77777777" w:rsidR="00C603E1" w:rsidRPr="00C603E1" w:rsidRDefault="00C603E1" w:rsidP="00062869">
      <w:pPr>
        <w:spacing w:before="100" w:beforeAutospacing="1" w:after="100" w:afterAutospacing="1" w:line="360" w:lineRule="auto"/>
        <w:jc w:val="both"/>
        <w:rPr>
          <w:rFonts w:ascii="Times New Roman" w:hAnsi="Times New Roman" w:cs="Times New Roman"/>
          <w:color w:val="000000"/>
          <w:kern w:val="0"/>
          <w14:ligatures w14:val="none"/>
        </w:rPr>
      </w:pPr>
      <w:r w:rsidRPr="00C603E1">
        <w:rPr>
          <w:rFonts w:ascii="Times New Roman" w:hAnsi="Times New Roman" w:cs="Times New Roman"/>
          <w:color w:val="000000"/>
          <w:kern w:val="0"/>
          <w14:ligatures w14:val="none"/>
        </w:rPr>
        <w:t>Organisational culture can function either as an enabler of organisational effectiveness or as a constraint that limits adaptability and strategic change. Culture influences employee behaviour, managerial decision-making, and organisational performance by shaping the norms and expectations that guide workplace interactions (Schein, 2010). In the context of John Lewis Partnership, organisational culture has historically operated as a significant enabler of organisational effectiveness, largely due to its distinctive partnership model.</w:t>
      </w:r>
    </w:p>
    <w:p w14:paraId="4E22602A" w14:textId="77777777" w:rsidR="00C603E1" w:rsidRPr="00C603E1" w:rsidRDefault="00C603E1" w:rsidP="00062869">
      <w:pPr>
        <w:spacing w:before="100" w:beforeAutospacing="1" w:after="100" w:afterAutospacing="1" w:line="360" w:lineRule="auto"/>
        <w:jc w:val="both"/>
        <w:rPr>
          <w:rFonts w:ascii="Times New Roman" w:hAnsi="Times New Roman" w:cs="Times New Roman"/>
          <w:color w:val="000000"/>
          <w:kern w:val="0"/>
          <w14:ligatures w14:val="none"/>
        </w:rPr>
      </w:pPr>
      <w:r w:rsidRPr="00C603E1">
        <w:rPr>
          <w:rFonts w:ascii="Times New Roman" w:hAnsi="Times New Roman" w:cs="Times New Roman"/>
          <w:color w:val="000000"/>
          <w:kern w:val="0"/>
          <w14:ligatures w14:val="none"/>
        </w:rPr>
        <w:t>The employee-owned structure of the organisation fosters high levels of commitment and engagement among partners. Because employees share directly in the company’s financial performance through profit-sharing schemes, they possess a tangible incentive to contribute to organisational success. This ownership structure strengthens psychological attachment to the organisation and encourages employees to align their individual goals with organisational objectives. Empirical research suggests that employee ownership models are associated with higher levels of productivity, improved job satisfaction, and stronger organisational commitment (Blasi, Freeman and Kruse, 2018).</w:t>
      </w:r>
    </w:p>
    <w:p w14:paraId="17D0089F" w14:textId="77777777" w:rsidR="00C603E1" w:rsidRPr="00C603E1" w:rsidRDefault="00C603E1" w:rsidP="00062869">
      <w:pPr>
        <w:spacing w:before="100" w:beforeAutospacing="1" w:after="100" w:afterAutospacing="1" w:line="360" w:lineRule="auto"/>
        <w:jc w:val="both"/>
        <w:rPr>
          <w:rFonts w:ascii="Times New Roman" w:hAnsi="Times New Roman" w:cs="Times New Roman"/>
          <w:color w:val="000000"/>
          <w:kern w:val="0"/>
          <w14:ligatures w14:val="none"/>
        </w:rPr>
      </w:pPr>
      <w:r w:rsidRPr="00C603E1">
        <w:rPr>
          <w:rFonts w:ascii="Times New Roman" w:hAnsi="Times New Roman" w:cs="Times New Roman"/>
          <w:color w:val="000000"/>
          <w:kern w:val="0"/>
          <w14:ligatures w14:val="none"/>
        </w:rPr>
        <w:t>Furthermore, the partnership model promotes trust and collaboration within the organisation. The existence of democratic governance mechanisms, such as the Partnership Council and internal consultative forums, provides employees with a voice in organisational decision-making. Such participative structures contribute to a culture characterised by transparency, fairness, and mutual respect. In turn, this organisational climate supports the development of strong customer service orientation, which has historically been a key component of the company’s competitive advantage within the UK retail sector.</w:t>
      </w:r>
    </w:p>
    <w:p w14:paraId="22E77BAD" w14:textId="77777777" w:rsidR="00C603E1" w:rsidRPr="00C603E1" w:rsidRDefault="00C603E1" w:rsidP="00062869">
      <w:pPr>
        <w:spacing w:before="100" w:beforeAutospacing="1" w:after="100" w:afterAutospacing="1" w:line="360" w:lineRule="auto"/>
        <w:jc w:val="both"/>
        <w:rPr>
          <w:rFonts w:ascii="Times New Roman" w:hAnsi="Times New Roman" w:cs="Times New Roman"/>
          <w:color w:val="000000"/>
          <w:kern w:val="0"/>
          <w14:ligatures w14:val="none"/>
        </w:rPr>
      </w:pPr>
      <w:r w:rsidRPr="00C603E1">
        <w:rPr>
          <w:rFonts w:ascii="Times New Roman" w:hAnsi="Times New Roman" w:cs="Times New Roman"/>
          <w:color w:val="000000"/>
          <w:kern w:val="0"/>
          <w14:ligatures w14:val="none"/>
        </w:rPr>
        <w:t>However, while organisational culture within John Lewis functions largely as an enabler, it may also present certain structural and strategic challenges. One potential limitation arises from the consensus-oriented nature of the partnership governance model. Extensive consultation and participative decision-making processes, although beneficial for employee engagement, may reduce organisational agility when rapid strategic decisions are required. In highly competitive retail environments characterised by technological disruption and changing consumer behaviour, the ability to respond quickly to market pressures is increasingly important.</w:t>
      </w:r>
    </w:p>
    <w:p w14:paraId="5C2757BA" w14:textId="22FC78C0" w:rsidR="008B7606" w:rsidRPr="008B7606" w:rsidRDefault="008B7606" w:rsidP="00062869">
      <w:pPr>
        <w:spacing w:after="0" w:line="360" w:lineRule="auto"/>
        <w:jc w:val="both"/>
        <w:rPr>
          <w:rFonts w:ascii="Times New Roman" w:eastAsia="Times New Roman" w:hAnsi="Times New Roman" w:cs="Times New Roman"/>
          <w:kern w:val="0"/>
          <w14:ligatures w14:val="none"/>
        </w:rPr>
      </w:pPr>
    </w:p>
    <w:p w14:paraId="6C5D6B8F" w14:textId="77777777" w:rsidR="008B7606" w:rsidRPr="008B7606" w:rsidRDefault="008B7606" w:rsidP="00062869">
      <w:pPr>
        <w:pStyle w:val="Heading1"/>
        <w:rPr>
          <w:rFonts w:eastAsia="Times New Roman"/>
        </w:rPr>
      </w:pPr>
      <w:bookmarkStart w:id="13" w:name="_Toc224414370"/>
      <w:r w:rsidRPr="008B7606">
        <w:rPr>
          <w:rFonts w:eastAsia="Times New Roman"/>
        </w:rPr>
        <w:lastRenderedPageBreak/>
        <w:t>6. Impact of Organisational Culture on Performance</w:t>
      </w:r>
      <w:bookmarkEnd w:id="13"/>
    </w:p>
    <w:p w14:paraId="06FA5F5E" w14:textId="41A33234" w:rsidR="00062869" w:rsidRPr="00062869" w:rsidRDefault="00062869" w:rsidP="00062869">
      <w:pPr>
        <w:spacing w:before="100" w:beforeAutospacing="1" w:after="100" w:afterAutospacing="1" w:line="360" w:lineRule="auto"/>
        <w:jc w:val="both"/>
        <w:rPr>
          <w:rFonts w:ascii="Times New Roman" w:hAnsi="Times New Roman" w:cs="Times New Roman"/>
          <w:color w:val="000000"/>
          <w:kern w:val="0"/>
          <w14:ligatures w14:val="none"/>
        </w:rPr>
      </w:pPr>
      <w:r w:rsidRPr="00062869">
        <w:rPr>
          <w:rFonts w:ascii="Times New Roman" w:hAnsi="Times New Roman" w:cs="Times New Roman"/>
          <w:color w:val="000000"/>
          <w:kern w:val="0"/>
          <w14:ligatures w14:val="none"/>
        </w:rPr>
        <w:t>Organizational culture is widely recognized as a significant determinant of organizational performance, as it influences employee behavio</w:t>
      </w:r>
      <w:r>
        <w:rPr>
          <w:rFonts w:ascii="Times New Roman" w:hAnsi="Times New Roman" w:cs="Times New Roman"/>
          <w:color w:val="000000"/>
          <w:kern w:val="0"/>
          <w14:ligatures w14:val="none"/>
        </w:rPr>
        <w:t>u</w:t>
      </w:r>
      <w:r w:rsidRPr="00062869">
        <w:rPr>
          <w:rFonts w:ascii="Times New Roman" w:hAnsi="Times New Roman" w:cs="Times New Roman"/>
          <w:color w:val="000000"/>
          <w:kern w:val="0"/>
          <w14:ligatures w14:val="none"/>
        </w:rPr>
        <w:t xml:space="preserve">r, motivation, and the effectiveness of organizational processes. A strong and coherent culture can enhance organizational performance by aligning employee attitudes with organizational goals, fostering commitment, and supporting the delivery of consistent service quality (Schein, 2010). In the case of John Lewis </w:t>
      </w:r>
      <w:r w:rsidRPr="00062869">
        <w:rPr>
          <w:rFonts w:ascii="Times New Roman" w:hAnsi="Times New Roman" w:cs="Times New Roman"/>
          <w:color w:val="000000"/>
          <w:kern w:val="0"/>
          <w14:ligatures w14:val="none"/>
        </w:rPr>
        <w:t>Partnership,</w:t>
      </w:r>
      <w:r w:rsidRPr="00062869">
        <w:rPr>
          <w:rFonts w:ascii="Times New Roman" w:hAnsi="Times New Roman" w:cs="Times New Roman"/>
          <w:color w:val="000000"/>
          <w:kern w:val="0"/>
          <w14:ligatures w14:val="none"/>
        </w:rPr>
        <w:t xml:space="preserve"> organizational culture has historically played a central role in shaping both employee engagement and customer perceptions of the brand.</w:t>
      </w:r>
    </w:p>
    <w:p w14:paraId="1FC11B12" w14:textId="41D930FD" w:rsidR="00062869" w:rsidRPr="00062869" w:rsidRDefault="00062869" w:rsidP="00062869">
      <w:pPr>
        <w:spacing w:before="100" w:beforeAutospacing="1" w:after="100" w:afterAutospacing="1" w:line="360" w:lineRule="auto"/>
        <w:jc w:val="both"/>
        <w:rPr>
          <w:rFonts w:ascii="Times New Roman" w:hAnsi="Times New Roman" w:cs="Times New Roman"/>
          <w:color w:val="000000"/>
          <w:kern w:val="0"/>
          <w14:ligatures w14:val="none"/>
        </w:rPr>
      </w:pPr>
      <w:r w:rsidRPr="00062869">
        <w:rPr>
          <w:rFonts w:ascii="Times New Roman" w:hAnsi="Times New Roman" w:cs="Times New Roman"/>
          <w:color w:val="000000"/>
          <w:kern w:val="0"/>
          <w14:ligatures w14:val="none"/>
        </w:rPr>
        <w:t>One of the most significant ways in which culture influences performance at John Lewis is through the partnership mode</w:t>
      </w:r>
      <w:r>
        <w:rPr>
          <w:rFonts w:ascii="Times New Roman" w:hAnsi="Times New Roman" w:cs="Times New Roman"/>
          <w:color w:val="000000"/>
          <w:kern w:val="0"/>
          <w14:ligatures w14:val="none"/>
        </w:rPr>
        <w:t>l</w:t>
      </w:r>
      <w:r w:rsidRPr="00062869">
        <w:rPr>
          <w:rFonts w:ascii="Times New Roman" w:hAnsi="Times New Roman" w:cs="Times New Roman"/>
          <w:color w:val="000000"/>
          <w:kern w:val="0"/>
          <w14:ligatures w14:val="none"/>
        </w:rPr>
        <w:t>, which positions employees as co-owners of the business. This structure encourages higher levels of employee engagement and accountability because partners share directly in the organization's financial outcomes through profit-sharing arrangements. As a result, employees have a stronger incentive to contribute to operational efficiency, customer satisfaction, and overall organizational success. Research suggests that organizations characterized by high levels of employee engagement and participatory management practices often demonstrate improved productivity and service quality (Robbins and Judge, 2017).</w:t>
      </w:r>
    </w:p>
    <w:p w14:paraId="32BF5D99" w14:textId="2CC9CA76" w:rsidR="008B7606" w:rsidRPr="00062869" w:rsidRDefault="00062869" w:rsidP="00062869">
      <w:pPr>
        <w:spacing w:before="100" w:beforeAutospacing="1" w:after="100" w:afterAutospacing="1" w:line="360" w:lineRule="auto"/>
        <w:jc w:val="both"/>
        <w:rPr>
          <w:rFonts w:ascii="Times New Roman" w:hAnsi="Times New Roman" w:cs="Times New Roman"/>
          <w:color w:val="000000"/>
          <w:kern w:val="0"/>
          <w14:ligatures w14:val="none"/>
        </w:rPr>
      </w:pPr>
      <w:r w:rsidRPr="00062869">
        <w:rPr>
          <w:rFonts w:ascii="Times New Roman" w:hAnsi="Times New Roman" w:cs="Times New Roman"/>
          <w:color w:val="000000"/>
          <w:kern w:val="0"/>
          <w14:ligatures w14:val="none"/>
        </w:rPr>
        <w:t>The partnership culture has also contributed to the organization's strong brand reputation within the UK retail sector. John Lewis has long been associated with values ​​such as trust, quality, and exceptional customer service. These cultural values ​​are reinforced through employee training, organizational policies, and everyday interactions with customers. Consequently, the company has historically performed well in customer satisfaction surveys and has maintained a loyal customer base despite increasing competition within the retail market</w:t>
      </w:r>
      <w:r w:rsidR="008B7606" w:rsidRPr="008B7606">
        <w:rPr>
          <w:rFonts w:ascii="Times New Roman" w:hAnsi="Times New Roman" w:cs="Times New Roman"/>
          <w:color w:val="000000"/>
          <w:kern w:val="0"/>
          <w14:ligatures w14:val="none"/>
        </w:rPr>
        <w:t>.</w:t>
      </w:r>
    </w:p>
    <w:p w14:paraId="72767D29" w14:textId="77777777" w:rsidR="008B7606" w:rsidRPr="008B7606" w:rsidRDefault="008B7606" w:rsidP="00062869">
      <w:pPr>
        <w:pStyle w:val="Heading1"/>
        <w:rPr>
          <w:rFonts w:eastAsia="Times New Roman"/>
        </w:rPr>
      </w:pPr>
      <w:bookmarkStart w:id="14" w:name="_Toc224414371"/>
      <w:r w:rsidRPr="008B7606">
        <w:rPr>
          <w:rFonts w:eastAsia="Times New Roman"/>
        </w:rPr>
        <w:t>7. Recommendations</w:t>
      </w:r>
      <w:bookmarkEnd w:id="14"/>
    </w:p>
    <w:p w14:paraId="46AC9225"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To strengthen organisational effectiveness, several recommendations can be proposed.</w:t>
      </w:r>
    </w:p>
    <w:p w14:paraId="656F5FD8"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Firstly, the organisation should continue investing in </w:t>
      </w:r>
      <w:r w:rsidRPr="00062869">
        <w:rPr>
          <w:rFonts w:ascii="Times New Roman" w:hAnsi="Times New Roman" w:cs="Times New Roman"/>
          <w:color w:val="000000"/>
          <w:kern w:val="0"/>
          <w14:ligatures w14:val="none"/>
        </w:rPr>
        <w:t>digital transformation initiatives</w:t>
      </w:r>
      <w:r w:rsidRPr="008B7606">
        <w:rPr>
          <w:rFonts w:ascii="Times New Roman" w:hAnsi="Times New Roman" w:cs="Times New Roman"/>
          <w:color w:val="000000"/>
          <w:kern w:val="0"/>
          <w14:ligatures w14:val="none"/>
        </w:rPr>
        <w:t> to remain competitive within the evolving retail landscape.</w:t>
      </w:r>
    </w:p>
    <w:p w14:paraId="7CBCC977"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lastRenderedPageBreak/>
        <w:t>Secondly, leadership should ensure that participative governance structures remain efficient by streamlining decision-making processes where necessary.</w:t>
      </w:r>
    </w:p>
    <w:p w14:paraId="7189DEED"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Thirdly, the company should strengthen leadership development programmes to ensure that managers effectively balance democratic participation with strategic agility.</w:t>
      </w:r>
    </w:p>
    <w:p w14:paraId="513A1E50"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Finally, maintaining strong communication channels between management and partners will be essential to preserve trust during periods of organisational change.</w:t>
      </w:r>
    </w:p>
    <w:p w14:paraId="3DA9B269" w14:textId="22DDBB2F" w:rsidR="008B7606" w:rsidRPr="008B7606" w:rsidRDefault="008B7606" w:rsidP="00062869">
      <w:pPr>
        <w:spacing w:after="0" w:line="360" w:lineRule="auto"/>
        <w:jc w:val="both"/>
        <w:rPr>
          <w:rFonts w:ascii="Times New Roman" w:eastAsia="Times New Roman" w:hAnsi="Times New Roman" w:cs="Times New Roman"/>
          <w:kern w:val="0"/>
          <w14:ligatures w14:val="none"/>
        </w:rPr>
      </w:pPr>
    </w:p>
    <w:p w14:paraId="322E4DB2" w14:textId="77777777" w:rsidR="008B7606" w:rsidRPr="008B7606" w:rsidRDefault="008B7606" w:rsidP="00062869">
      <w:pPr>
        <w:pStyle w:val="Heading1"/>
        <w:rPr>
          <w:rFonts w:eastAsia="Times New Roman"/>
        </w:rPr>
      </w:pPr>
      <w:bookmarkStart w:id="15" w:name="_Toc224414372"/>
      <w:r w:rsidRPr="008B7606">
        <w:rPr>
          <w:rFonts w:eastAsia="Times New Roman"/>
        </w:rPr>
        <w:t>8. Conclusion</w:t>
      </w:r>
      <w:bookmarkEnd w:id="15"/>
    </w:p>
    <w:p w14:paraId="3567808E"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This report has critically evaluated the influence of organisational culture within John Lewis Partnership. The analysis demonstrates that organisational culture significantly shapes the company’s structure, governance systems, and decision-making processes.</w:t>
      </w:r>
    </w:p>
    <w:p w14:paraId="5EBB87B9" w14:textId="77777777"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 xml:space="preserve">Using frameworks such as Schein’s Model, </w:t>
      </w:r>
      <w:proofErr w:type="spellStart"/>
      <w:r w:rsidRPr="008B7606">
        <w:rPr>
          <w:rFonts w:ascii="Times New Roman" w:hAnsi="Times New Roman" w:cs="Times New Roman"/>
          <w:color w:val="000000"/>
          <w:kern w:val="0"/>
          <w14:ligatures w14:val="none"/>
        </w:rPr>
        <w:t>Handy’s</w:t>
      </w:r>
      <w:proofErr w:type="spellEnd"/>
      <w:r w:rsidRPr="008B7606">
        <w:rPr>
          <w:rFonts w:ascii="Times New Roman" w:hAnsi="Times New Roman" w:cs="Times New Roman"/>
          <w:color w:val="000000"/>
          <w:kern w:val="0"/>
          <w14:ligatures w14:val="none"/>
        </w:rPr>
        <w:t xml:space="preserve"> Cultural Types, and Hofstede’s Cultural Dimensions, the report identified a culture characterised by employee ownership, collaboration, and long-term orientation.</w:t>
      </w:r>
    </w:p>
    <w:p w14:paraId="5B52B0A0" w14:textId="4BC381B2" w:rsidR="008B7606" w:rsidRPr="008B7606" w:rsidRDefault="008B7606" w:rsidP="00062869">
      <w:pPr>
        <w:spacing w:before="100" w:beforeAutospacing="1" w:after="100" w:afterAutospacing="1" w:line="360" w:lineRule="auto"/>
        <w:jc w:val="both"/>
        <w:rPr>
          <w:rFonts w:ascii="Times New Roman" w:hAnsi="Times New Roman" w:cs="Times New Roman"/>
          <w:color w:val="000000"/>
          <w:kern w:val="0"/>
          <w14:ligatures w14:val="none"/>
        </w:rPr>
      </w:pPr>
      <w:r w:rsidRPr="008B7606">
        <w:rPr>
          <w:rFonts w:ascii="Times New Roman" w:hAnsi="Times New Roman" w:cs="Times New Roman"/>
          <w:color w:val="000000"/>
          <w:kern w:val="0"/>
          <w14:ligatures w14:val="none"/>
        </w:rPr>
        <w:t>While the partnership culture may occasionally slow decision-making, it largely functions as an enabler by promoting employee engagement, trust, and strong customer service values. Ultimately, the company’s distinctive culture continues to play a central role in shaping organisational performance and competitive advantage.</w:t>
      </w:r>
    </w:p>
    <w:p w14:paraId="0E4EE3F6" w14:textId="674C5720" w:rsidR="008B7606" w:rsidRDefault="008B7606" w:rsidP="00062869">
      <w:pPr>
        <w:spacing w:after="0" w:line="360" w:lineRule="auto"/>
        <w:jc w:val="both"/>
        <w:rPr>
          <w:rFonts w:ascii="Times New Roman" w:eastAsia="Times New Roman" w:hAnsi="Times New Roman" w:cs="Times New Roman"/>
          <w:kern w:val="0"/>
          <w14:ligatures w14:val="none"/>
        </w:rPr>
      </w:pPr>
    </w:p>
    <w:p w14:paraId="76B7658D" w14:textId="74BFC6E2" w:rsidR="00062869" w:rsidRDefault="00062869" w:rsidP="00062869">
      <w:pPr>
        <w:spacing w:after="0" w:line="360" w:lineRule="auto"/>
        <w:jc w:val="both"/>
        <w:rPr>
          <w:rFonts w:ascii="Times New Roman" w:eastAsia="Times New Roman" w:hAnsi="Times New Roman" w:cs="Times New Roman"/>
          <w:kern w:val="0"/>
          <w14:ligatures w14:val="none"/>
        </w:rPr>
      </w:pPr>
    </w:p>
    <w:p w14:paraId="7C3DC542" w14:textId="4F8CFFD3" w:rsidR="00062869" w:rsidRDefault="00062869" w:rsidP="00062869">
      <w:pPr>
        <w:spacing w:after="0" w:line="360" w:lineRule="auto"/>
        <w:jc w:val="both"/>
        <w:rPr>
          <w:rFonts w:ascii="Times New Roman" w:eastAsia="Times New Roman" w:hAnsi="Times New Roman" w:cs="Times New Roman"/>
          <w:kern w:val="0"/>
          <w14:ligatures w14:val="none"/>
        </w:rPr>
      </w:pPr>
    </w:p>
    <w:p w14:paraId="6F3F21C8" w14:textId="75CD45D5" w:rsidR="00062869" w:rsidRDefault="00062869" w:rsidP="00062869">
      <w:pPr>
        <w:spacing w:after="0" w:line="360" w:lineRule="auto"/>
        <w:jc w:val="both"/>
        <w:rPr>
          <w:rFonts w:ascii="Times New Roman" w:eastAsia="Times New Roman" w:hAnsi="Times New Roman" w:cs="Times New Roman"/>
          <w:kern w:val="0"/>
          <w14:ligatures w14:val="none"/>
        </w:rPr>
      </w:pPr>
    </w:p>
    <w:p w14:paraId="5EFCF17E" w14:textId="07699E65" w:rsidR="00062869" w:rsidRDefault="00062869" w:rsidP="00062869">
      <w:pPr>
        <w:spacing w:after="0" w:line="360" w:lineRule="auto"/>
        <w:jc w:val="both"/>
        <w:rPr>
          <w:rFonts w:ascii="Times New Roman" w:eastAsia="Times New Roman" w:hAnsi="Times New Roman" w:cs="Times New Roman"/>
          <w:kern w:val="0"/>
          <w14:ligatures w14:val="none"/>
        </w:rPr>
      </w:pPr>
    </w:p>
    <w:p w14:paraId="79EE44EE" w14:textId="742A8808" w:rsidR="00062869" w:rsidRDefault="00062869" w:rsidP="00062869">
      <w:pPr>
        <w:spacing w:after="0" w:line="360" w:lineRule="auto"/>
        <w:jc w:val="both"/>
        <w:rPr>
          <w:rFonts w:ascii="Times New Roman" w:eastAsia="Times New Roman" w:hAnsi="Times New Roman" w:cs="Times New Roman"/>
          <w:kern w:val="0"/>
          <w14:ligatures w14:val="none"/>
        </w:rPr>
      </w:pPr>
    </w:p>
    <w:p w14:paraId="1EB192DE" w14:textId="77777777" w:rsidR="00062869" w:rsidRPr="008B7606" w:rsidRDefault="00062869" w:rsidP="00062869">
      <w:pPr>
        <w:spacing w:after="0" w:line="360" w:lineRule="auto"/>
        <w:jc w:val="both"/>
        <w:rPr>
          <w:rFonts w:ascii="Times New Roman" w:eastAsia="Times New Roman" w:hAnsi="Times New Roman" w:cs="Times New Roman"/>
          <w:kern w:val="0"/>
          <w14:ligatures w14:val="none"/>
        </w:rPr>
      </w:pPr>
    </w:p>
    <w:p w14:paraId="72D097BE" w14:textId="07085FB5" w:rsidR="00C603E1" w:rsidRDefault="008B7606" w:rsidP="00062869">
      <w:pPr>
        <w:pStyle w:val="Heading1"/>
        <w:rPr>
          <w:rFonts w:eastAsia="Times New Roman"/>
        </w:rPr>
      </w:pPr>
      <w:bookmarkStart w:id="16" w:name="_Toc224414373"/>
      <w:r w:rsidRPr="008B7606">
        <w:rPr>
          <w:rFonts w:eastAsia="Times New Roman"/>
        </w:rPr>
        <w:lastRenderedPageBreak/>
        <w:t>Reference List</w:t>
      </w:r>
      <w:bookmarkEnd w:id="16"/>
    </w:p>
    <w:p w14:paraId="631D9D70"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Alvesson, M. and </w:t>
      </w:r>
      <w:proofErr w:type="spellStart"/>
      <w:r w:rsidRPr="00062869">
        <w:rPr>
          <w:rFonts w:ascii="Times New Roman" w:eastAsia="Times New Roman" w:hAnsi="Times New Roman" w:cs="Times New Roman"/>
          <w:kern w:val="0"/>
          <w14:ligatures w14:val="none"/>
        </w:rPr>
        <w:t>Sveningsson</w:t>
      </w:r>
      <w:proofErr w:type="spellEnd"/>
      <w:r w:rsidRPr="00062869">
        <w:rPr>
          <w:rFonts w:ascii="Times New Roman" w:eastAsia="Times New Roman" w:hAnsi="Times New Roman" w:cs="Times New Roman"/>
          <w:kern w:val="0"/>
          <w14:ligatures w14:val="none"/>
        </w:rPr>
        <w:t xml:space="preserve">, S. (2016) </w:t>
      </w:r>
      <w:r w:rsidRPr="00062869">
        <w:rPr>
          <w:rFonts w:ascii="Times New Roman" w:eastAsia="Times New Roman" w:hAnsi="Times New Roman" w:cs="Times New Roman"/>
          <w:i/>
          <w:iCs/>
          <w:kern w:val="0"/>
          <w14:ligatures w14:val="none"/>
        </w:rPr>
        <w:t>Changing Organizational Culture: Cultural Change Work in Progress.</w:t>
      </w:r>
      <w:r w:rsidRPr="00062869">
        <w:rPr>
          <w:rFonts w:ascii="Times New Roman" w:eastAsia="Times New Roman" w:hAnsi="Times New Roman" w:cs="Times New Roman"/>
          <w:kern w:val="0"/>
          <w14:ligatures w14:val="none"/>
        </w:rPr>
        <w:t xml:space="preserve"> 2nd ed. London: Routledge.</w:t>
      </w:r>
    </w:p>
    <w:p w14:paraId="022DB053"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Blasi, J., Freeman, R. and Kruse, D. (2018) </w:t>
      </w:r>
      <w:r w:rsidRPr="00062869">
        <w:rPr>
          <w:rFonts w:ascii="Times New Roman" w:eastAsia="Times New Roman" w:hAnsi="Times New Roman" w:cs="Times New Roman"/>
          <w:i/>
          <w:iCs/>
          <w:kern w:val="0"/>
          <w14:ligatures w14:val="none"/>
        </w:rPr>
        <w:t>The Citizen's Share: Reducing Inequality in the 21st Century.</w:t>
      </w:r>
      <w:r w:rsidRPr="00062869">
        <w:rPr>
          <w:rFonts w:ascii="Times New Roman" w:eastAsia="Times New Roman" w:hAnsi="Times New Roman" w:cs="Times New Roman"/>
          <w:kern w:val="0"/>
          <w14:ligatures w14:val="none"/>
        </w:rPr>
        <w:t xml:space="preserve"> New Haven: Yale University Press.</w:t>
      </w:r>
    </w:p>
    <w:p w14:paraId="2DD22370"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Burnes, B. (2017) </w:t>
      </w:r>
      <w:r w:rsidRPr="00062869">
        <w:rPr>
          <w:rFonts w:ascii="Times New Roman" w:eastAsia="Times New Roman" w:hAnsi="Times New Roman" w:cs="Times New Roman"/>
          <w:i/>
          <w:iCs/>
          <w:kern w:val="0"/>
          <w14:ligatures w14:val="none"/>
        </w:rPr>
        <w:t>Managing Change.</w:t>
      </w:r>
      <w:r w:rsidRPr="00062869">
        <w:rPr>
          <w:rFonts w:ascii="Times New Roman" w:eastAsia="Times New Roman" w:hAnsi="Times New Roman" w:cs="Times New Roman"/>
          <w:kern w:val="0"/>
          <w14:ligatures w14:val="none"/>
        </w:rPr>
        <w:t xml:space="preserve"> 7th edition Harlow: Pearson Education.</w:t>
      </w:r>
    </w:p>
    <w:p w14:paraId="71A65DDF"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Deal, T. and Kennedy, A. (2000) </w:t>
      </w:r>
      <w:r w:rsidRPr="00062869">
        <w:rPr>
          <w:rFonts w:ascii="Times New Roman" w:eastAsia="Times New Roman" w:hAnsi="Times New Roman" w:cs="Times New Roman"/>
          <w:i/>
          <w:iCs/>
          <w:kern w:val="0"/>
          <w14:ligatures w14:val="none"/>
        </w:rPr>
        <w:t>Corporate Cultures: The Rites and Rituals of Corporate Life.</w:t>
      </w:r>
      <w:r w:rsidRPr="00062869">
        <w:rPr>
          <w:rFonts w:ascii="Times New Roman" w:eastAsia="Times New Roman" w:hAnsi="Times New Roman" w:cs="Times New Roman"/>
          <w:kern w:val="0"/>
          <w14:ligatures w14:val="none"/>
        </w:rPr>
        <w:t xml:space="preserve"> Cambridge, MA: Perseus Books.</w:t>
      </w:r>
    </w:p>
    <w:p w14:paraId="166C3138"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Handy, C. (1993) </w:t>
      </w:r>
      <w:r w:rsidRPr="00062869">
        <w:rPr>
          <w:rFonts w:ascii="Times New Roman" w:eastAsia="Times New Roman" w:hAnsi="Times New Roman" w:cs="Times New Roman"/>
          <w:i/>
          <w:iCs/>
          <w:kern w:val="0"/>
          <w14:ligatures w14:val="none"/>
        </w:rPr>
        <w:t>Understanding Organizations.</w:t>
      </w:r>
      <w:r w:rsidRPr="00062869">
        <w:rPr>
          <w:rFonts w:ascii="Times New Roman" w:eastAsia="Times New Roman" w:hAnsi="Times New Roman" w:cs="Times New Roman"/>
          <w:kern w:val="0"/>
          <w14:ligatures w14:val="none"/>
        </w:rPr>
        <w:t xml:space="preserve"> 4th edition London: Penguin.</w:t>
      </w:r>
    </w:p>
    <w:p w14:paraId="4FA8F8E6"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Hofstede, G., Hofstede, G. and </w:t>
      </w:r>
      <w:proofErr w:type="spellStart"/>
      <w:r w:rsidRPr="00062869">
        <w:rPr>
          <w:rFonts w:ascii="Times New Roman" w:eastAsia="Times New Roman" w:hAnsi="Times New Roman" w:cs="Times New Roman"/>
          <w:kern w:val="0"/>
          <w14:ligatures w14:val="none"/>
        </w:rPr>
        <w:t>Minkov</w:t>
      </w:r>
      <w:proofErr w:type="spellEnd"/>
      <w:r w:rsidRPr="00062869">
        <w:rPr>
          <w:rFonts w:ascii="Times New Roman" w:eastAsia="Times New Roman" w:hAnsi="Times New Roman" w:cs="Times New Roman"/>
          <w:kern w:val="0"/>
          <w14:ligatures w14:val="none"/>
        </w:rPr>
        <w:t xml:space="preserve">, M. (2010) </w:t>
      </w:r>
      <w:r w:rsidRPr="00062869">
        <w:rPr>
          <w:rFonts w:ascii="Times New Roman" w:eastAsia="Times New Roman" w:hAnsi="Times New Roman" w:cs="Times New Roman"/>
          <w:i/>
          <w:iCs/>
          <w:kern w:val="0"/>
          <w14:ligatures w14:val="none"/>
        </w:rPr>
        <w:t>Cultures and Organizations: Software of the Mind.</w:t>
      </w:r>
      <w:r w:rsidRPr="00062869">
        <w:rPr>
          <w:rFonts w:ascii="Times New Roman" w:eastAsia="Times New Roman" w:hAnsi="Times New Roman" w:cs="Times New Roman"/>
          <w:kern w:val="0"/>
          <w14:ligatures w14:val="none"/>
        </w:rPr>
        <w:t xml:space="preserve"> 3rd ed. New York: McGraw-Hill.</w:t>
      </w:r>
    </w:p>
    <w:p w14:paraId="20617B4E"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John Lewis Partnership (2023) </w:t>
      </w:r>
      <w:r w:rsidRPr="00062869">
        <w:rPr>
          <w:rFonts w:ascii="Times New Roman" w:eastAsia="Times New Roman" w:hAnsi="Times New Roman" w:cs="Times New Roman"/>
          <w:i/>
          <w:iCs/>
          <w:kern w:val="0"/>
          <w14:ligatures w14:val="none"/>
        </w:rPr>
        <w:t>Annual Report and Accounts.</w:t>
      </w:r>
      <w:r w:rsidRPr="00062869">
        <w:rPr>
          <w:rFonts w:ascii="Times New Roman" w:eastAsia="Times New Roman" w:hAnsi="Times New Roman" w:cs="Times New Roman"/>
          <w:kern w:val="0"/>
          <w14:ligatures w14:val="none"/>
        </w:rPr>
        <w:t xml:space="preserve"> London: John Lewis Partnership.</w:t>
      </w:r>
    </w:p>
    <w:p w14:paraId="56C41A74" w14:textId="4AF1E1D9"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Kotter, J. and Heskett, J. (1992) Corporate culture and performance. </w:t>
      </w:r>
      <w:r w:rsidRPr="00062869">
        <w:rPr>
          <w:rFonts w:ascii="Times New Roman" w:eastAsia="Times New Roman" w:hAnsi="Times New Roman" w:cs="Times New Roman"/>
          <w:i/>
          <w:iCs/>
          <w:kern w:val="0"/>
          <w14:ligatures w14:val="none"/>
        </w:rPr>
        <w:t>Free Press</w:t>
      </w:r>
      <w:r w:rsidRPr="00062869">
        <w:rPr>
          <w:rFonts w:ascii="Times New Roman" w:eastAsia="Times New Roman" w:hAnsi="Times New Roman" w:cs="Times New Roman"/>
          <w:kern w:val="0"/>
          <w14:ligatures w14:val="none"/>
        </w:rPr>
        <w:t>, New York.</w:t>
      </w:r>
    </w:p>
    <w:p w14:paraId="3C37BA0B" w14:textId="0ADFE8C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McSweeney, B. (2002) Hofstede's model of national cultural differences and their consequences: A triumph of faith – a failure of analysis. </w:t>
      </w:r>
      <w:r w:rsidRPr="00062869">
        <w:rPr>
          <w:rFonts w:ascii="Times New Roman" w:eastAsia="Times New Roman" w:hAnsi="Times New Roman" w:cs="Times New Roman"/>
          <w:i/>
          <w:iCs/>
          <w:kern w:val="0"/>
          <w14:ligatures w14:val="none"/>
        </w:rPr>
        <w:t>Human Relations</w:t>
      </w:r>
      <w:r w:rsidRPr="00062869">
        <w:rPr>
          <w:rFonts w:ascii="Times New Roman" w:eastAsia="Times New Roman" w:hAnsi="Times New Roman" w:cs="Times New Roman"/>
          <w:kern w:val="0"/>
          <w14:ligatures w14:val="none"/>
        </w:rPr>
        <w:t>, 55(1), pp. 89–118.</w:t>
      </w:r>
    </w:p>
    <w:p w14:paraId="40E91309"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Mullins, L. and Christy, G. (2016) </w:t>
      </w:r>
      <w:r w:rsidRPr="00062869">
        <w:rPr>
          <w:rFonts w:ascii="Times New Roman" w:eastAsia="Times New Roman" w:hAnsi="Times New Roman" w:cs="Times New Roman"/>
          <w:i/>
          <w:iCs/>
          <w:kern w:val="0"/>
          <w14:ligatures w14:val="none"/>
        </w:rPr>
        <w:t>Management and Organizational Behaviour.</w:t>
      </w:r>
      <w:r w:rsidRPr="00062869">
        <w:rPr>
          <w:rFonts w:ascii="Times New Roman" w:eastAsia="Times New Roman" w:hAnsi="Times New Roman" w:cs="Times New Roman"/>
          <w:kern w:val="0"/>
          <w14:ligatures w14:val="none"/>
        </w:rPr>
        <w:t xml:space="preserve"> 11th edition Harlow: Pearson.</w:t>
      </w:r>
    </w:p>
    <w:p w14:paraId="488C0E58"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Robbins, S. and Judge, T. (2017) </w:t>
      </w:r>
      <w:r w:rsidRPr="00062869">
        <w:rPr>
          <w:rFonts w:ascii="Times New Roman" w:eastAsia="Times New Roman" w:hAnsi="Times New Roman" w:cs="Times New Roman"/>
          <w:i/>
          <w:iCs/>
          <w:kern w:val="0"/>
          <w14:ligatures w14:val="none"/>
        </w:rPr>
        <w:t>Organizational Behaviour.</w:t>
      </w:r>
      <w:r w:rsidRPr="00062869">
        <w:rPr>
          <w:rFonts w:ascii="Times New Roman" w:eastAsia="Times New Roman" w:hAnsi="Times New Roman" w:cs="Times New Roman"/>
          <w:kern w:val="0"/>
          <w14:ligatures w14:val="none"/>
        </w:rPr>
        <w:t xml:space="preserve"> 17th ed. Harlow: Pearson.</w:t>
      </w:r>
    </w:p>
    <w:p w14:paraId="400F2A26"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Schein, E. (2010) </w:t>
      </w:r>
      <w:r w:rsidRPr="00062869">
        <w:rPr>
          <w:rFonts w:ascii="Times New Roman" w:eastAsia="Times New Roman" w:hAnsi="Times New Roman" w:cs="Times New Roman"/>
          <w:i/>
          <w:iCs/>
          <w:kern w:val="0"/>
          <w14:ligatures w14:val="none"/>
        </w:rPr>
        <w:t>Organizational Culture and Leadership.</w:t>
      </w:r>
      <w:r w:rsidRPr="00062869">
        <w:rPr>
          <w:rFonts w:ascii="Times New Roman" w:eastAsia="Times New Roman" w:hAnsi="Times New Roman" w:cs="Times New Roman"/>
          <w:kern w:val="0"/>
          <w14:ligatures w14:val="none"/>
        </w:rPr>
        <w:t xml:space="preserve"> 4th edition San Francisco: Jossey-Bass.</w:t>
      </w:r>
    </w:p>
    <w:p w14:paraId="20D0C807"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Schein, E. and Schein, P. (2017) </w:t>
      </w:r>
      <w:r w:rsidRPr="00062869">
        <w:rPr>
          <w:rFonts w:ascii="Times New Roman" w:eastAsia="Times New Roman" w:hAnsi="Times New Roman" w:cs="Times New Roman"/>
          <w:i/>
          <w:iCs/>
          <w:kern w:val="0"/>
          <w14:ligatures w14:val="none"/>
        </w:rPr>
        <w:t>Organizational Culture and Leadership.</w:t>
      </w:r>
      <w:r w:rsidRPr="00062869">
        <w:rPr>
          <w:rFonts w:ascii="Times New Roman" w:eastAsia="Times New Roman" w:hAnsi="Times New Roman" w:cs="Times New Roman"/>
          <w:kern w:val="0"/>
          <w14:ligatures w14:val="none"/>
        </w:rPr>
        <w:t xml:space="preserve"> 5th edition Hoboken: Wiley.</w:t>
      </w:r>
    </w:p>
    <w:p w14:paraId="04966E51" w14:textId="77777777" w:rsidR="00062869" w:rsidRPr="00062869" w:rsidRDefault="00062869" w:rsidP="00062869">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Storey, J. (2016) </w:t>
      </w:r>
      <w:r w:rsidRPr="00062869">
        <w:rPr>
          <w:rFonts w:ascii="Times New Roman" w:eastAsia="Times New Roman" w:hAnsi="Times New Roman" w:cs="Times New Roman"/>
          <w:i/>
          <w:iCs/>
          <w:kern w:val="0"/>
          <w14:ligatures w14:val="none"/>
        </w:rPr>
        <w:t>Leadership in Organizations: Current Issues and Key Trends.</w:t>
      </w:r>
      <w:r w:rsidRPr="00062869">
        <w:rPr>
          <w:rFonts w:ascii="Times New Roman" w:eastAsia="Times New Roman" w:hAnsi="Times New Roman" w:cs="Times New Roman"/>
          <w:kern w:val="0"/>
          <w14:ligatures w14:val="none"/>
        </w:rPr>
        <w:t xml:space="preserve"> 3rd ed. London: Routledge.</w:t>
      </w:r>
    </w:p>
    <w:p w14:paraId="226C9B28" w14:textId="7B8A7CBA" w:rsidR="008B7606" w:rsidRPr="00062869" w:rsidRDefault="00062869" w:rsidP="008B7606">
      <w:pPr>
        <w:spacing w:before="100" w:beforeAutospacing="1" w:after="100" w:afterAutospacing="1" w:line="240" w:lineRule="auto"/>
        <w:rPr>
          <w:rFonts w:ascii="Times New Roman" w:eastAsia="Times New Roman" w:hAnsi="Times New Roman" w:cs="Times New Roman"/>
          <w:kern w:val="0"/>
          <w14:ligatures w14:val="none"/>
        </w:rPr>
      </w:pPr>
      <w:r w:rsidRPr="00062869">
        <w:rPr>
          <w:rFonts w:ascii="Times New Roman" w:eastAsia="Times New Roman" w:hAnsi="Times New Roman" w:cs="Times New Roman"/>
          <w:kern w:val="0"/>
          <w14:ligatures w14:val="none"/>
        </w:rPr>
        <w:t xml:space="preserve">Wilkinson, A., </w:t>
      </w:r>
      <w:proofErr w:type="spellStart"/>
      <w:r w:rsidRPr="00062869">
        <w:rPr>
          <w:rFonts w:ascii="Times New Roman" w:eastAsia="Times New Roman" w:hAnsi="Times New Roman" w:cs="Times New Roman"/>
          <w:kern w:val="0"/>
          <w14:ligatures w14:val="none"/>
        </w:rPr>
        <w:t>Dundon</w:t>
      </w:r>
      <w:proofErr w:type="spellEnd"/>
      <w:r w:rsidRPr="00062869">
        <w:rPr>
          <w:rFonts w:ascii="Times New Roman" w:eastAsia="Times New Roman" w:hAnsi="Times New Roman" w:cs="Times New Roman"/>
          <w:kern w:val="0"/>
          <w14:ligatures w14:val="none"/>
        </w:rPr>
        <w:t xml:space="preserve">, T. and Marchington, M. (2018) </w:t>
      </w:r>
      <w:r w:rsidRPr="00062869">
        <w:rPr>
          <w:rFonts w:ascii="Times New Roman" w:eastAsia="Times New Roman" w:hAnsi="Times New Roman" w:cs="Times New Roman"/>
          <w:i/>
          <w:iCs/>
          <w:kern w:val="0"/>
          <w14:ligatures w14:val="none"/>
        </w:rPr>
        <w:t>Employee Involvement and Participation at Work.</w:t>
      </w:r>
      <w:r w:rsidRPr="00062869">
        <w:rPr>
          <w:rFonts w:ascii="Times New Roman" w:eastAsia="Times New Roman" w:hAnsi="Times New Roman" w:cs="Times New Roman"/>
          <w:kern w:val="0"/>
          <w14:ligatures w14:val="none"/>
        </w:rPr>
        <w:t xml:space="preserve"> 2nd ed. London: Routledge</w:t>
      </w:r>
      <w:r w:rsidR="008B7606" w:rsidRPr="008B7606">
        <w:rPr>
          <w:rFonts w:ascii="Times New Roman" w:hAnsi="Times New Roman" w:cs="Times New Roman"/>
          <w:color w:val="000000"/>
          <w:kern w:val="0"/>
          <w14:ligatures w14:val="none"/>
        </w:rPr>
        <w:t>.</w:t>
      </w:r>
    </w:p>
    <w:p w14:paraId="140058B1" w14:textId="77777777" w:rsidR="008B7606" w:rsidRDefault="008B7606"/>
    <w:sectPr w:rsidR="008B7606">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74CA1" w14:textId="77777777" w:rsidR="00DD6624" w:rsidRDefault="00DD6624" w:rsidP="00062869">
      <w:pPr>
        <w:spacing w:after="0" w:line="240" w:lineRule="auto"/>
      </w:pPr>
      <w:r>
        <w:separator/>
      </w:r>
    </w:p>
  </w:endnote>
  <w:endnote w:type="continuationSeparator" w:id="0">
    <w:p w14:paraId="06D47429" w14:textId="77777777" w:rsidR="00DD6624" w:rsidRDefault="00DD6624" w:rsidP="00062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4410156"/>
      <w:docPartObj>
        <w:docPartGallery w:val="Page Numbers (Bottom of Page)"/>
        <w:docPartUnique/>
      </w:docPartObj>
    </w:sdtPr>
    <w:sdtContent>
      <w:p w14:paraId="254F8EDD" w14:textId="465CF93F" w:rsidR="00062869" w:rsidRDefault="00062869" w:rsidP="00940A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8BC69E" w14:textId="77777777" w:rsidR="00062869" w:rsidRDefault="000628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0669632"/>
      <w:docPartObj>
        <w:docPartGallery w:val="Page Numbers (Bottom of Page)"/>
        <w:docPartUnique/>
      </w:docPartObj>
    </w:sdtPr>
    <w:sdtContent>
      <w:p w14:paraId="70B5360B" w14:textId="0B4F13B5" w:rsidR="00062869" w:rsidRDefault="00062869" w:rsidP="00940A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ACC2AD" w14:textId="77777777" w:rsidR="00062869" w:rsidRDefault="000628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B669B" w14:textId="77777777" w:rsidR="00DD6624" w:rsidRDefault="00DD6624" w:rsidP="00062869">
      <w:pPr>
        <w:spacing w:after="0" w:line="240" w:lineRule="auto"/>
      </w:pPr>
      <w:r>
        <w:separator/>
      </w:r>
    </w:p>
  </w:footnote>
  <w:footnote w:type="continuationSeparator" w:id="0">
    <w:p w14:paraId="5ECFF977" w14:textId="77777777" w:rsidR="00DD6624" w:rsidRDefault="00DD6624" w:rsidP="00062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57B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7A4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0E0A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9C14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606"/>
    <w:rsid w:val="00062869"/>
    <w:rsid w:val="001575EE"/>
    <w:rsid w:val="00324CCF"/>
    <w:rsid w:val="003606FE"/>
    <w:rsid w:val="00371F6E"/>
    <w:rsid w:val="0066648A"/>
    <w:rsid w:val="008B7606"/>
    <w:rsid w:val="00BD3EA5"/>
    <w:rsid w:val="00C03CDE"/>
    <w:rsid w:val="00C603E1"/>
    <w:rsid w:val="00CE3135"/>
    <w:rsid w:val="00DD6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6BB0C"/>
  <w15:chartTrackingRefBased/>
  <w15:docId w15:val="{F7531020-4DA5-144B-AAA2-2F538061D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6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76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76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6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6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6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6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6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6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6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76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6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6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6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6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6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6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606"/>
    <w:rPr>
      <w:rFonts w:eastAsiaTheme="majorEastAsia" w:cstheme="majorBidi"/>
      <w:color w:val="272727" w:themeColor="text1" w:themeTint="D8"/>
    </w:rPr>
  </w:style>
  <w:style w:type="paragraph" w:styleId="Title">
    <w:name w:val="Title"/>
    <w:basedOn w:val="Normal"/>
    <w:next w:val="Normal"/>
    <w:link w:val="TitleChar"/>
    <w:uiPriority w:val="10"/>
    <w:qFormat/>
    <w:rsid w:val="008B76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6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6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6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606"/>
    <w:pPr>
      <w:spacing w:before="160"/>
      <w:jc w:val="center"/>
    </w:pPr>
    <w:rPr>
      <w:i/>
      <w:iCs/>
      <w:color w:val="404040" w:themeColor="text1" w:themeTint="BF"/>
    </w:rPr>
  </w:style>
  <w:style w:type="character" w:customStyle="1" w:styleId="QuoteChar">
    <w:name w:val="Quote Char"/>
    <w:basedOn w:val="DefaultParagraphFont"/>
    <w:link w:val="Quote"/>
    <w:uiPriority w:val="29"/>
    <w:rsid w:val="008B7606"/>
    <w:rPr>
      <w:i/>
      <w:iCs/>
      <w:color w:val="404040" w:themeColor="text1" w:themeTint="BF"/>
    </w:rPr>
  </w:style>
  <w:style w:type="paragraph" w:styleId="ListParagraph">
    <w:name w:val="List Paragraph"/>
    <w:basedOn w:val="Normal"/>
    <w:uiPriority w:val="34"/>
    <w:qFormat/>
    <w:rsid w:val="008B7606"/>
    <w:pPr>
      <w:ind w:left="720"/>
      <w:contextualSpacing/>
    </w:pPr>
  </w:style>
  <w:style w:type="character" w:styleId="IntenseEmphasis">
    <w:name w:val="Intense Emphasis"/>
    <w:basedOn w:val="DefaultParagraphFont"/>
    <w:uiPriority w:val="21"/>
    <w:qFormat/>
    <w:rsid w:val="008B7606"/>
    <w:rPr>
      <w:i/>
      <w:iCs/>
      <w:color w:val="0F4761" w:themeColor="accent1" w:themeShade="BF"/>
    </w:rPr>
  </w:style>
  <w:style w:type="paragraph" w:styleId="IntenseQuote">
    <w:name w:val="Intense Quote"/>
    <w:basedOn w:val="Normal"/>
    <w:next w:val="Normal"/>
    <w:link w:val="IntenseQuoteChar"/>
    <w:uiPriority w:val="30"/>
    <w:qFormat/>
    <w:rsid w:val="008B76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606"/>
    <w:rPr>
      <w:i/>
      <w:iCs/>
      <w:color w:val="0F4761" w:themeColor="accent1" w:themeShade="BF"/>
    </w:rPr>
  </w:style>
  <w:style w:type="character" w:styleId="IntenseReference">
    <w:name w:val="Intense Reference"/>
    <w:basedOn w:val="DefaultParagraphFont"/>
    <w:uiPriority w:val="32"/>
    <w:qFormat/>
    <w:rsid w:val="008B7606"/>
    <w:rPr>
      <w:b/>
      <w:bCs/>
      <w:smallCaps/>
      <w:color w:val="0F4761" w:themeColor="accent1" w:themeShade="BF"/>
      <w:spacing w:val="5"/>
    </w:rPr>
  </w:style>
  <w:style w:type="paragraph" w:styleId="NormalWeb">
    <w:name w:val="Normal (Web)"/>
    <w:basedOn w:val="Normal"/>
    <w:uiPriority w:val="99"/>
    <w:semiHidden/>
    <w:unhideWhenUsed/>
    <w:rsid w:val="008B760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B7606"/>
  </w:style>
  <w:style w:type="character" w:styleId="Strong">
    <w:name w:val="Strong"/>
    <w:basedOn w:val="DefaultParagraphFont"/>
    <w:uiPriority w:val="22"/>
    <w:qFormat/>
    <w:rsid w:val="008B7606"/>
    <w:rPr>
      <w:b/>
      <w:bCs/>
    </w:rPr>
  </w:style>
  <w:style w:type="character" w:styleId="Emphasis">
    <w:name w:val="Emphasis"/>
    <w:basedOn w:val="DefaultParagraphFont"/>
    <w:uiPriority w:val="20"/>
    <w:qFormat/>
    <w:rsid w:val="008B7606"/>
    <w:rPr>
      <w:i/>
      <w:iCs/>
    </w:rPr>
  </w:style>
  <w:style w:type="character" w:customStyle="1" w:styleId="whitespace-normal">
    <w:name w:val="whitespace-normal"/>
    <w:basedOn w:val="DefaultParagraphFont"/>
    <w:rsid w:val="00BD3EA5"/>
  </w:style>
  <w:style w:type="paragraph" w:styleId="TOCHeading">
    <w:name w:val="TOC Heading"/>
    <w:basedOn w:val="Heading1"/>
    <w:next w:val="Normal"/>
    <w:uiPriority w:val="39"/>
    <w:unhideWhenUsed/>
    <w:qFormat/>
    <w:rsid w:val="00062869"/>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062869"/>
    <w:pPr>
      <w:spacing w:before="120" w:after="0"/>
    </w:pPr>
    <w:rPr>
      <w:b/>
      <w:bCs/>
      <w:i/>
      <w:iCs/>
    </w:rPr>
  </w:style>
  <w:style w:type="paragraph" w:styleId="TOC2">
    <w:name w:val="toc 2"/>
    <w:basedOn w:val="Normal"/>
    <w:next w:val="Normal"/>
    <w:autoRedefine/>
    <w:uiPriority w:val="39"/>
    <w:unhideWhenUsed/>
    <w:rsid w:val="00062869"/>
    <w:pPr>
      <w:spacing w:before="120" w:after="0"/>
      <w:ind w:left="240"/>
    </w:pPr>
    <w:rPr>
      <w:b/>
      <w:bCs/>
      <w:sz w:val="22"/>
      <w:szCs w:val="22"/>
    </w:rPr>
  </w:style>
  <w:style w:type="paragraph" w:styleId="TOC3">
    <w:name w:val="toc 3"/>
    <w:basedOn w:val="Normal"/>
    <w:next w:val="Normal"/>
    <w:autoRedefine/>
    <w:uiPriority w:val="39"/>
    <w:unhideWhenUsed/>
    <w:rsid w:val="00062869"/>
    <w:pPr>
      <w:spacing w:after="0"/>
      <w:ind w:left="480"/>
    </w:pPr>
    <w:rPr>
      <w:sz w:val="20"/>
      <w:szCs w:val="20"/>
    </w:rPr>
  </w:style>
  <w:style w:type="character" w:styleId="Hyperlink">
    <w:name w:val="Hyperlink"/>
    <w:basedOn w:val="DefaultParagraphFont"/>
    <w:uiPriority w:val="99"/>
    <w:unhideWhenUsed/>
    <w:rsid w:val="00062869"/>
    <w:rPr>
      <w:color w:val="467886" w:themeColor="hyperlink"/>
      <w:u w:val="single"/>
    </w:rPr>
  </w:style>
  <w:style w:type="paragraph" w:styleId="TOC4">
    <w:name w:val="toc 4"/>
    <w:basedOn w:val="Normal"/>
    <w:next w:val="Normal"/>
    <w:autoRedefine/>
    <w:uiPriority w:val="39"/>
    <w:semiHidden/>
    <w:unhideWhenUsed/>
    <w:rsid w:val="00062869"/>
    <w:pPr>
      <w:spacing w:after="0"/>
      <w:ind w:left="720"/>
    </w:pPr>
    <w:rPr>
      <w:sz w:val="20"/>
      <w:szCs w:val="20"/>
    </w:rPr>
  </w:style>
  <w:style w:type="paragraph" w:styleId="TOC5">
    <w:name w:val="toc 5"/>
    <w:basedOn w:val="Normal"/>
    <w:next w:val="Normal"/>
    <w:autoRedefine/>
    <w:uiPriority w:val="39"/>
    <w:semiHidden/>
    <w:unhideWhenUsed/>
    <w:rsid w:val="00062869"/>
    <w:pPr>
      <w:spacing w:after="0"/>
      <w:ind w:left="960"/>
    </w:pPr>
    <w:rPr>
      <w:sz w:val="20"/>
      <w:szCs w:val="20"/>
    </w:rPr>
  </w:style>
  <w:style w:type="paragraph" w:styleId="TOC6">
    <w:name w:val="toc 6"/>
    <w:basedOn w:val="Normal"/>
    <w:next w:val="Normal"/>
    <w:autoRedefine/>
    <w:uiPriority w:val="39"/>
    <w:semiHidden/>
    <w:unhideWhenUsed/>
    <w:rsid w:val="00062869"/>
    <w:pPr>
      <w:spacing w:after="0"/>
      <w:ind w:left="1200"/>
    </w:pPr>
    <w:rPr>
      <w:sz w:val="20"/>
      <w:szCs w:val="20"/>
    </w:rPr>
  </w:style>
  <w:style w:type="paragraph" w:styleId="TOC7">
    <w:name w:val="toc 7"/>
    <w:basedOn w:val="Normal"/>
    <w:next w:val="Normal"/>
    <w:autoRedefine/>
    <w:uiPriority w:val="39"/>
    <w:semiHidden/>
    <w:unhideWhenUsed/>
    <w:rsid w:val="00062869"/>
    <w:pPr>
      <w:spacing w:after="0"/>
      <w:ind w:left="1440"/>
    </w:pPr>
    <w:rPr>
      <w:sz w:val="20"/>
      <w:szCs w:val="20"/>
    </w:rPr>
  </w:style>
  <w:style w:type="paragraph" w:styleId="TOC8">
    <w:name w:val="toc 8"/>
    <w:basedOn w:val="Normal"/>
    <w:next w:val="Normal"/>
    <w:autoRedefine/>
    <w:uiPriority w:val="39"/>
    <w:semiHidden/>
    <w:unhideWhenUsed/>
    <w:rsid w:val="00062869"/>
    <w:pPr>
      <w:spacing w:after="0"/>
      <w:ind w:left="1680"/>
    </w:pPr>
    <w:rPr>
      <w:sz w:val="20"/>
      <w:szCs w:val="20"/>
    </w:rPr>
  </w:style>
  <w:style w:type="paragraph" w:styleId="TOC9">
    <w:name w:val="toc 9"/>
    <w:basedOn w:val="Normal"/>
    <w:next w:val="Normal"/>
    <w:autoRedefine/>
    <w:uiPriority w:val="39"/>
    <w:semiHidden/>
    <w:unhideWhenUsed/>
    <w:rsid w:val="00062869"/>
    <w:pPr>
      <w:spacing w:after="0"/>
      <w:ind w:left="1920"/>
    </w:pPr>
    <w:rPr>
      <w:sz w:val="20"/>
      <w:szCs w:val="20"/>
    </w:rPr>
  </w:style>
  <w:style w:type="paragraph" w:styleId="Footer">
    <w:name w:val="footer"/>
    <w:basedOn w:val="Normal"/>
    <w:link w:val="FooterChar"/>
    <w:uiPriority w:val="99"/>
    <w:unhideWhenUsed/>
    <w:rsid w:val="00062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869"/>
  </w:style>
  <w:style w:type="character" w:styleId="PageNumber">
    <w:name w:val="page number"/>
    <w:basedOn w:val="DefaultParagraphFont"/>
    <w:uiPriority w:val="99"/>
    <w:semiHidden/>
    <w:unhideWhenUsed/>
    <w:rsid w:val="00062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91295">
      <w:bodyDiv w:val="1"/>
      <w:marLeft w:val="0"/>
      <w:marRight w:val="0"/>
      <w:marTop w:val="0"/>
      <w:marBottom w:val="0"/>
      <w:divBdr>
        <w:top w:val="none" w:sz="0" w:space="0" w:color="auto"/>
        <w:left w:val="none" w:sz="0" w:space="0" w:color="auto"/>
        <w:bottom w:val="none" w:sz="0" w:space="0" w:color="auto"/>
        <w:right w:val="none" w:sz="0" w:space="0" w:color="auto"/>
      </w:divBdr>
    </w:div>
    <w:div w:id="69489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4E866-9308-3C4D-862C-1460FAFE9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3827</Words>
  <Characters>21819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Paula Marcu</cp:lastModifiedBy>
  <cp:revision>3</cp:revision>
  <dcterms:created xsi:type="dcterms:W3CDTF">2026-03-14T20:55:00Z</dcterms:created>
  <dcterms:modified xsi:type="dcterms:W3CDTF">2026-03-14T21:06:00Z</dcterms:modified>
</cp:coreProperties>
</file>