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088F2" w14:textId="77777777" w:rsidR="008D6DFE" w:rsidRPr="00E01AB8" w:rsidRDefault="008D6DFE" w:rsidP="008D6DFE">
      <w:pPr>
        <w:spacing w:line="360" w:lineRule="auto"/>
        <w:jc w:val="both"/>
        <w:rPr>
          <w:rFonts w:ascii="Arial" w:hAnsi="Arial" w:cs="Arial"/>
          <w:color w:val="000000" w:themeColor="text1"/>
        </w:rPr>
      </w:pPr>
    </w:p>
    <w:p w14:paraId="0F3261B7" w14:textId="77777777" w:rsidR="008D6DFE" w:rsidRPr="00E01AB8" w:rsidRDefault="008D6DFE" w:rsidP="008D6DFE">
      <w:pPr>
        <w:spacing w:line="360" w:lineRule="auto"/>
        <w:jc w:val="both"/>
        <w:rPr>
          <w:rFonts w:ascii="Arial" w:hAnsi="Arial" w:cs="Arial"/>
          <w:color w:val="000000" w:themeColor="text1"/>
        </w:rPr>
      </w:pPr>
    </w:p>
    <w:p w14:paraId="1ADB6CFE" w14:textId="77777777" w:rsidR="008D6DFE" w:rsidRPr="00E01AB8" w:rsidRDefault="008D6DFE" w:rsidP="008D6DFE">
      <w:pPr>
        <w:spacing w:line="360" w:lineRule="auto"/>
        <w:jc w:val="both"/>
        <w:rPr>
          <w:rFonts w:ascii="Arial" w:hAnsi="Arial" w:cs="Arial"/>
          <w:color w:val="000000" w:themeColor="text1"/>
        </w:rPr>
      </w:pPr>
      <w:r w:rsidRPr="00E01AB8">
        <w:rPr>
          <w:rFonts w:ascii="Arial" w:hAnsi="Arial" w:cs="Arial"/>
          <w:noProof/>
        </w:rPr>
        <w:drawing>
          <wp:inline distT="0" distB="0" distL="85723" distR="85723" wp14:anchorId="75AC1483" wp14:editId="659BD275">
            <wp:extent cx="2650417" cy="969560"/>
            <wp:effectExtent l="0" t="0" r="0" b="0"/>
            <wp:docPr id="1" name="图片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 black background with white text&#10;&#10;AI-generated content may be incorrect."/>
                    <pic:cNvPicPr/>
                  </pic:nvPicPr>
                  <pic:blipFill>
                    <a:blip r:embed="rId6"/>
                    <a:stretch>
                      <a:fillRect/>
                    </a:stretch>
                  </pic:blipFill>
                  <pic:spPr>
                    <a:xfrm>
                      <a:off x="0" y="0"/>
                      <a:ext cx="2650417" cy="969560"/>
                    </a:xfrm>
                    <a:prstGeom prst="rect">
                      <a:avLst/>
                    </a:prstGeom>
                    <a:noFill/>
                    <a:ln w="12700" cap="flat" cmpd="sng">
                      <a:noFill/>
                      <a:prstDash val="solid"/>
                      <a:miter/>
                    </a:ln>
                  </pic:spPr>
                </pic:pic>
              </a:graphicData>
            </a:graphic>
          </wp:inline>
        </w:drawing>
      </w:r>
    </w:p>
    <w:p w14:paraId="6EF118FF" w14:textId="77777777" w:rsidR="008D6DFE" w:rsidRPr="00E01AB8" w:rsidRDefault="008D6DFE" w:rsidP="008D6DFE">
      <w:pPr>
        <w:spacing w:line="360" w:lineRule="auto"/>
        <w:jc w:val="both"/>
        <w:rPr>
          <w:rFonts w:ascii="Arial" w:hAnsi="Arial" w:cs="Arial"/>
          <w:color w:val="000000" w:themeColor="text1"/>
        </w:rPr>
      </w:pPr>
    </w:p>
    <w:p w14:paraId="3258EED7" w14:textId="77777777" w:rsidR="008D6DFE" w:rsidRPr="00E01AB8" w:rsidRDefault="008D6DFE" w:rsidP="008D6DFE">
      <w:pPr>
        <w:spacing w:line="360" w:lineRule="auto"/>
        <w:jc w:val="both"/>
        <w:rPr>
          <w:rFonts w:ascii="Arial" w:hAnsi="Arial" w:cs="Arial"/>
          <w:color w:val="000000" w:themeColor="text1"/>
        </w:rPr>
      </w:pPr>
    </w:p>
    <w:p w14:paraId="18CF7FDB" w14:textId="77777777" w:rsidR="008D6DFE" w:rsidRPr="00E01AB8" w:rsidRDefault="008D6DFE" w:rsidP="008D6DFE">
      <w:pPr>
        <w:spacing w:line="360" w:lineRule="auto"/>
        <w:jc w:val="both"/>
        <w:rPr>
          <w:rFonts w:ascii="Arial" w:hAnsi="Arial" w:cs="Arial"/>
          <w:color w:val="000000" w:themeColor="text1"/>
        </w:rPr>
      </w:pPr>
    </w:p>
    <w:p w14:paraId="6B68AE8D" w14:textId="77777777" w:rsidR="008D6DFE" w:rsidRPr="00E01AB8" w:rsidRDefault="008D6DFE" w:rsidP="008D6DFE">
      <w:pPr>
        <w:spacing w:line="360" w:lineRule="auto"/>
        <w:jc w:val="both"/>
        <w:rPr>
          <w:rFonts w:ascii="Arial" w:hAnsi="Arial" w:cs="Arial"/>
          <w:color w:val="000000" w:themeColor="text1"/>
        </w:rPr>
      </w:pPr>
    </w:p>
    <w:p w14:paraId="29FD47B1" w14:textId="0CB87642" w:rsidR="008D6DFE" w:rsidRPr="00E01AB8" w:rsidRDefault="008D6DFE" w:rsidP="008D6DFE">
      <w:pPr>
        <w:spacing w:line="360" w:lineRule="auto"/>
        <w:jc w:val="both"/>
        <w:rPr>
          <w:rFonts w:ascii="Arial" w:hAnsi="Arial" w:cs="Arial"/>
          <w:b/>
          <w:bCs/>
          <w:color w:val="000000" w:themeColor="text1"/>
        </w:rPr>
      </w:pPr>
      <w:r w:rsidRPr="00E01AB8">
        <w:rPr>
          <w:rFonts w:ascii="Arial" w:hAnsi="Arial" w:cs="Arial"/>
          <w:b/>
          <w:bCs/>
          <w:color w:val="000000" w:themeColor="text1"/>
        </w:rPr>
        <w:t>HEALTH CARE SYSTEM, ORGANISATION AND LEADERSHIP – ASSESSMENT 1</w:t>
      </w:r>
    </w:p>
    <w:p w14:paraId="74B41D80" w14:textId="77777777" w:rsidR="008D6DFE" w:rsidRPr="00E01AB8" w:rsidRDefault="008D6DFE" w:rsidP="008D6DFE">
      <w:pPr>
        <w:spacing w:line="360" w:lineRule="auto"/>
        <w:jc w:val="both"/>
        <w:rPr>
          <w:rFonts w:ascii="Arial" w:hAnsi="Arial" w:cs="Arial"/>
          <w:color w:val="000000" w:themeColor="text1"/>
        </w:rPr>
      </w:pPr>
    </w:p>
    <w:p w14:paraId="3CDCAD4A" w14:textId="77777777" w:rsidR="008D6DFE" w:rsidRPr="00E01AB8" w:rsidRDefault="008D6DFE" w:rsidP="008D6DFE">
      <w:pPr>
        <w:spacing w:line="360" w:lineRule="auto"/>
        <w:jc w:val="both"/>
        <w:rPr>
          <w:rFonts w:ascii="Arial" w:hAnsi="Arial" w:cs="Arial"/>
          <w:color w:val="000000" w:themeColor="text1"/>
        </w:rPr>
      </w:pPr>
    </w:p>
    <w:p w14:paraId="78F0B809" w14:textId="77777777" w:rsidR="008D6DFE" w:rsidRPr="00E01AB8" w:rsidRDefault="008D6DFE" w:rsidP="008D6DFE">
      <w:pPr>
        <w:spacing w:line="360" w:lineRule="auto"/>
        <w:jc w:val="both"/>
        <w:rPr>
          <w:rFonts w:ascii="Arial" w:hAnsi="Arial" w:cs="Arial"/>
          <w:color w:val="000000" w:themeColor="text1"/>
        </w:rPr>
      </w:pPr>
    </w:p>
    <w:p w14:paraId="45D12E66" w14:textId="77777777" w:rsidR="008D6DFE" w:rsidRPr="00E01AB8" w:rsidRDefault="008D6DFE" w:rsidP="008D6DFE">
      <w:pPr>
        <w:spacing w:line="360" w:lineRule="auto"/>
        <w:jc w:val="both"/>
        <w:rPr>
          <w:rFonts w:ascii="Arial" w:hAnsi="Arial" w:cs="Arial"/>
          <w:color w:val="000000" w:themeColor="text1"/>
        </w:rPr>
      </w:pPr>
    </w:p>
    <w:p w14:paraId="04EDE616" w14:textId="77777777" w:rsidR="008D6DFE" w:rsidRPr="00E01AB8" w:rsidRDefault="008D6DFE" w:rsidP="008D6DFE">
      <w:pPr>
        <w:spacing w:line="360" w:lineRule="auto"/>
        <w:jc w:val="both"/>
        <w:rPr>
          <w:rFonts w:ascii="Arial" w:hAnsi="Arial" w:cs="Arial"/>
          <w:color w:val="000000" w:themeColor="text1"/>
        </w:rPr>
      </w:pPr>
    </w:p>
    <w:p w14:paraId="35A0841A" w14:textId="77777777" w:rsidR="008D6DFE" w:rsidRPr="00E01AB8" w:rsidRDefault="008D6DFE" w:rsidP="008D6DFE">
      <w:pPr>
        <w:spacing w:line="360" w:lineRule="auto"/>
        <w:jc w:val="both"/>
        <w:rPr>
          <w:rFonts w:ascii="Arial" w:hAnsi="Arial" w:cs="Arial"/>
          <w:color w:val="000000" w:themeColor="text1"/>
        </w:rPr>
      </w:pPr>
      <w:bookmarkStart w:id="0" w:name="_Hlk183189653"/>
      <w:r w:rsidRPr="00E01AB8">
        <w:rPr>
          <w:rFonts w:ascii="Arial" w:hAnsi="Arial" w:cs="Arial"/>
          <w:color w:val="000000" w:themeColor="text1"/>
        </w:rPr>
        <w:t>Programme: MSc Public Health and Social Care in Practice</w:t>
      </w:r>
    </w:p>
    <w:p w14:paraId="69F8B66E" w14:textId="77777777" w:rsidR="008D6DFE" w:rsidRPr="00E01AB8" w:rsidRDefault="008D6DFE" w:rsidP="008D6DFE">
      <w:pPr>
        <w:spacing w:line="360" w:lineRule="auto"/>
        <w:jc w:val="both"/>
        <w:rPr>
          <w:rFonts w:ascii="Arial" w:eastAsia="Times New Roman" w:hAnsi="Arial" w:cs="Arial"/>
          <w:color w:val="000000" w:themeColor="text1"/>
        </w:rPr>
      </w:pPr>
      <w:r w:rsidRPr="00E01AB8">
        <w:rPr>
          <w:rFonts w:ascii="Arial" w:eastAsia="Times New Roman" w:hAnsi="Arial" w:cs="Arial"/>
          <w:color w:val="000000" w:themeColor="text1"/>
        </w:rPr>
        <w:t>Module name: Health Care System Organisation and Leadership</w:t>
      </w:r>
    </w:p>
    <w:p w14:paraId="057B83C3" w14:textId="578DA35F" w:rsidR="008D6DFE" w:rsidRPr="00E01AB8" w:rsidRDefault="008D6DFE" w:rsidP="008D6DFE">
      <w:pPr>
        <w:spacing w:line="360" w:lineRule="auto"/>
        <w:jc w:val="both"/>
        <w:rPr>
          <w:rFonts w:ascii="Arial" w:eastAsia="Times New Roman" w:hAnsi="Arial" w:cs="Arial"/>
          <w:color w:val="000000" w:themeColor="text1"/>
        </w:rPr>
      </w:pPr>
      <w:r w:rsidRPr="00E01AB8">
        <w:rPr>
          <w:rFonts w:ascii="Arial" w:eastAsia="Times New Roman" w:hAnsi="Arial" w:cs="Arial"/>
          <w:color w:val="000000" w:themeColor="text1"/>
        </w:rPr>
        <w:t xml:space="preserve">Module code: </w:t>
      </w:r>
      <w:r w:rsidR="002A6759">
        <w:rPr>
          <w:rFonts w:ascii="Arial" w:eastAsia="Times New Roman" w:hAnsi="Arial" w:cs="Arial"/>
          <w:color w:val="000000" w:themeColor="text1"/>
        </w:rPr>
        <w:t>LCHS7002</w:t>
      </w:r>
    </w:p>
    <w:p w14:paraId="6E7A9598" w14:textId="5AF2FD5B" w:rsidR="008D6DFE" w:rsidRPr="00E01AB8" w:rsidRDefault="008D6DFE" w:rsidP="008D6DFE">
      <w:pPr>
        <w:spacing w:line="360" w:lineRule="auto"/>
        <w:jc w:val="both"/>
        <w:rPr>
          <w:rFonts w:ascii="Arial" w:eastAsia="Times New Roman" w:hAnsi="Arial" w:cs="Arial"/>
          <w:color w:val="000000" w:themeColor="text1"/>
        </w:rPr>
      </w:pPr>
      <w:r w:rsidRPr="00E01AB8">
        <w:rPr>
          <w:rFonts w:ascii="Arial" w:eastAsia="Times New Roman" w:hAnsi="Arial" w:cs="Arial"/>
          <w:color w:val="000000" w:themeColor="text1"/>
        </w:rPr>
        <w:t xml:space="preserve">Student name: </w:t>
      </w:r>
      <w:r w:rsidR="002A6759">
        <w:rPr>
          <w:rFonts w:ascii="Arial" w:eastAsia="Times New Roman" w:hAnsi="Arial" w:cs="Arial"/>
          <w:color w:val="000000" w:themeColor="text1"/>
        </w:rPr>
        <w:t>Drashti Patel</w:t>
      </w:r>
    </w:p>
    <w:p w14:paraId="6FC9EC8A" w14:textId="6ED1505C" w:rsidR="008D6DFE" w:rsidRPr="00E01AB8" w:rsidRDefault="008D6DFE" w:rsidP="008D6DFE">
      <w:pPr>
        <w:spacing w:line="360" w:lineRule="auto"/>
        <w:jc w:val="both"/>
        <w:rPr>
          <w:rFonts w:ascii="Arial" w:eastAsia="Times New Roman" w:hAnsi="Arial" w:cs="Arial"/>
          <w:color w:val="000000" w:themeColor="text1"/>
        </w:rPr>
      </w:pPr>
      <w:r w:rsidRPr="00E01AB8">
        <w:rPr>
          <w:rFonts w:ascii="Arial" w:eastAsia="Times New Roman" w:hAnsi="Arial" w:cs="Arial"/>
          <w:color w:val="000000" w:themeColor="text1"/>
        </w:rPr>
        <w:t xml:space="preserve">Student ID: </w:t>
      </w:r>
      <w:r w:rsidR="002A6759">
        <w:rPr>
          <w:rFonts w:ascii="Arial" w:eastAsia="Times New Roman" w:hAnsi="Arial" w:cs="Arial"/>
          <w:color w:val="000000" w:themeColor="text1"/>
        </w:rPr>
        <w:t>2439716</w:t>
      </w:r>
    </w:p>
    <w:p w14:paraId="308461F2" w14:textId="5B020BAA" w:rsidR="008D6DFE" w:rsidRPr="00E01AB8" w:rsidRDefault="008D6DFE" w:rsidP="008D6DFE">
      <w:pPr>
        <w:spacing w:line="360" w:lineRule="auto"/>
        <w:jc w:val="both"/>
        <w:rPr>
          <w:rFonts w:ascii="Arial" w:eastAsia="Times New Roman" w:hAnsi="Arial" w:cs="Arial"/>
          <w:color w:val="000000" w:themeColor="text1"/>
        </w:rPr>
      </w:pPr>
      <w:r w:rsidRPr="00E01AB8">
        <w:rPr>
          <w:rFonts w:ascii="Arial" w:eastAsia="Times New Roman" w:hAnsi="Arial" w:cs="Arial"/>
          <w:color w:val="000000" w:themeColor="text1"/>
        </w:rPr>
        <w:t xml:space="preserve">Lecturer: </w:t>
      </w:r>
      <w:r w:rsidR="002A6759">
        <w:rPr>
          <w:rFonts w:ascii="Arial" w:eastAsia="Times New Roman" w:hAnsi="Arial" w:cs="Arial"/>
          <w:color w:val="000000" w:themeColor="text1"/>
        </w:rPr>
        <w:t>Dr Fahad Khan</w:t>
      </w:r>
    </w:p>
    <w:p w14:paraId="61AE4579" w14:textId="77777777" w:rsidR="008D6DFE" w:rsidRPr="00E01AB8" w:rsidRDefault="008D6DFE" w:rsidP="008D6DFE">
      <w:pPr>
        <w:spacing w:line="360" w:lineRule="auto"/>
        <w:jc w:val="both"/>
        <w:rPr>
          <w:rFonts w:ascii="Arial" w:eastAsia="Times New Roman" w:hAnsi="Arial" w:cs="Arial"/>
          <w:color w:val="000000" w:themeColor="text1"/>
        </w:rPr>
      </w:pPr>
    </w:p>
    <w:bookmarkEnd w:id="0"/>
    <w:p w14:paraId="36075E6B" w14:textId="77777777" w:rsidR="008D6DFE" w:rsidRDefault="008D6DFE" w:rsidP="008D6DFE">
      <w:pPr>
        <w:rPr>
          <w:rFonts w:ascii="Arial" w:hAnsi="Arial" w:cs="Arial"/>
        </w:rPr>
      </w:pPr>
    </w:p>
    <w:p w14:paraId="75A05C1F" w14:textId="77777777" w:rsidR="00E01AB8" w:rsidRDefault="00E01AB8" w:rsidP="008D6DFE">
      <w:pPr>
        <w:rPr>
          <w:rFonts w:ascii="Arial" w:hAnsi="Arial" w:cs="Arial"/>
        </w:rPr>
      </w:pPr>
    </w:p>
    <w:sdt>
      <w:sdtPr>
        <w:rPr>
          <w:rFonts w:ascii="Arial" w:eastAsiaTheme="minorHAnsi" w:hAnsi="Arial" w:cs="Arial"/>
          <w:color w:val="auto"/>
          <w:kern w:val="2"/>
          <w:sz w:val="24"/>
          <w:szCs w:val="24"/>
          <w:lang w:eastAsia="en-US"/>
          <w14:ligatures w14:val="standardContextual"/>
        </w:rPr>
        <w:id w:val="402491097"/>
        <w:docPartObj>
          <w:docPartGallery w:val="Table of Contents"/>
          <w:docPartUnique/>
        </w:docPartObj>
      </w:sdtPr>
      <w:sdtEndPr>
        <w:rPr>
          <w:b/>
          <w:bCs/>
        </w:rPr>
      </w:sdtEndPr>
      <w:sdtContent>
        <w:p w14:paraId="5B1C868A" w14:textId="14BC0453" w:rsidR="00E01AB8" w:rsidRPr="00461C50" w:rsidRDefault="00E01AB8" w:rsidP="00461C50">
          <w:pPr>
            <w:pStyle w:val="TOCHeading"/>
            <w:jc w:val="center"/>
            <w:rPr>
              <w:rFonts w:ascii="Arial" w:hAnsi="Arial" w:cs="Arial"/>
              <w:b/>
              <w:bCs/>
              <w:sz w:val="28"/>
              <w:szCs w:val="28"/>
            </w:rPr>
          </w:pPr>
          <w:r w:rsidRPr="00461C50">
            <w:rPr>
              <w:rFonts w:ascii="Arial" w:hAnsi="Arial" w:cs="Arial"/>
              <w:b/>
              <w:bCs/>
              <w:sz w:val="28"/>
              <w:szCs w:val="28"/>
            </w:rPr>
            <w:t>Table of Contents</w:t>
          </w:r>
        </w:p>
        <w:p w14:paraId="1295D085" w14:textId="11560F75" w:rsidR="00E01AB8" w:rsidRPr="00E01AB8" w:rsidRDefault="00E01AB8">
          <w:pPr>
            <w:pStyle w:val="TOC1"/>
            <w:tabs>
              <w:tab w:val="right" w:leader="dot" w:pos="9016"/>
            </w:tabs>
            <w:rPr>
              <w:rFonts w:ascii="Arial" w:hAnsi="Arial" w:cs="Arial"/>
              <w:noProof/>
            </w:rPr>
          </w:pPr>
          <w:r w:rsidRPr="00E01AB8">
            <w:rPr>
              <w:rFonts w:ascii="Arial" w:hAnsi="Arial" w:cs="Arial"/>
            </w:rPr>
            <w:fldChar w:fldCharType="begin"/>
          </w:r>
          <w:r w:rsidRPr="00E01AB8">
            <w:rPr>
              <w:rFonts w:ascii="Arial" w:hAnsi="Arial" w:cs="Arial"/>
            </w:rPr>
            <w:instrText xml:space="preserve"> TOC \o "1-3" \h \z \u </w:instrText>
          </w:r>
          <w:r w:rsidRPr="00E01AB8">
            <w:rPr>
              <w:rFonts w:ascii="Arial" w:hAnsi="Arial" w:cs="Arial"/>
            </w:rPr>
            <w:fldChar w:fldCharType="separate"/>
          </w:r>
          <w:hyperlink w:anchor="_Toc214168831" w:history="1">
            <w:r w:rsidRPr="00E01AB8">
              <w:rPr>
                <w:rStyle w:val="Hyperlink"/>
                <w:rFonts w:ascii="Arial" w:hAnsi="Arial" w:cs="Arial"/>
                <w:noProof/>
              </w:rPr>
              <w:t>1. Introduction</w:t>
            </w:r>
            <w:r w:rsidRPr="00E01AB8">
              <w:rPr>
                <w:rFonts w:ascii="Arial" w:hAnsi="Arial" w:cs="Arial"/>
                <w:noProof/>
                <w:webHidden/>
              </w:rPr>
              <w:tab/>
            </w:r>
            <w:r w:rsidRPr="00E01AB8">
              <w:rPr>
                <w:rFonts w:ascii="Arial" w:hAnsi="Arial" w:cs="Arial"/>
                <w:noProof/>
                <w:webHidden/>
              </w:rPr>
              <w:fldChar w:fldCharType="begin"/>
            </w:r>
            <w:r w:rsidRPr="00E01AB8">
              <w:rPr>
                <w:rFonts w:ascii="Arial" w:hAnsi="Arial" w:cs="Arial"/>
                <w:noProof/>
                <w:webHidden/>
              </w:rPr>
              <w:instrText xml:space="preserve"> PAGEREF _Toc214168831 \h </w:instrText>
            </w:r>
            <w:r w:rsidRPr="00E01AB8">
              <w:rPr>
                <w:rFonts w:ascii="Arial" w:hAnsi="Arial" w:cs="Arial"/>
                <w:noProof/>
                <w:webHidden/>
              </w:rPr>
            </w:r>
            <w:r w:rsidRPr="00E01AB8">
              <w:rPr>
                <w:rFonts w:ascii="Arial" w:hAnsi="Arial" w:cs="Arial"/>
                <w:noProof/>
                <w:webHidden/>
              </w:rPr>
              <w:fldChar w:fldCharType="separate"/>
            </w:r>
            <w:r w:rsidRPr="00E01AB8">
              <w:rPr>
                <w:rFonts w:ascii="Arial" w:hAnsi="Arial" w:cs="Arial"/>
                <w:noProof/>
                <w:webHidden/>
              </w:rPr>
              <w:t>3</w:t>
            </w:r>
            <w:r w:rsidRPr="00E01AB8">
              <w:rPr>
                <w:rFonts w:ascii="Arial" w:hAnsi="Arial" w:cs="Arial"/>
                <w:noProof/>
                <w:webHidden/>
              </w:rPr>
              <w:fldChar w:fldCharType="end"/>
            </w:r>
          </w:hyperlink>
        </w:p>
        <w:p w14:paraId="186D3265" w14:textId="4C409A91" w:rsidR="00E01AB8" w:rsidRPr="00E01AB8" w:rsidRDefault="00F84D9D">
          <w:pPr>
            <w:pStyle w:val="TOC1"/>
            <w:tabs>
              <w:tab w:val="right" w:leader="dot" w:pos="9016"/>
            </w:tabs>
            <w:rPr>
              <w:rFonts w:ascii="Arial" w:hAnsi="Arial" w:cs="Arial"/>
              <w:noProof/>
            </w:rPr>
          </w:pPr>
          <w:hyperlink w:anchor="_Toc214168832" w:history="1">
            <w:r w:rsidR="00E01AB8" w:rsidRPr="00E01AB8">
              <w:rPr>
                <w:rStyle w:val="Hyperlink"/>
                <w:rFonts w:ascii="Arial" w:hAnsi="Arial" w:cs="Arial"/>
                <w:noProof/>
              </w:rPr>
              <w:t>2.1 Spain: Centralised and Decentralised Approaches to the COVID-19 Pandemic</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_Toc214168832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3</w:t>
            </w:r>
            <w:r w:rsidR="00E01AB8" w:rsidRPr="00E01AB8">
              <w:rPr>
                <w:rFonts w:ascii="Arial" w:hAnsi="Arial" w:cs="Arial"/>
                <w:noProof/>
                <w:webHidden/>
              </w:rPr>
              <w:fldChar w:fldCharType="end"/>
            </w:r>
          </w:hyperlink>
        </w:p>
        <w:p w14:paraId="30330962" w14:textId="0E4730CF" w:rsidR="00E01AB8" w:rsidRPr="00E01AB8" w:rsidRDefault="00F84D9D">
          <w:pPr>
            <w:pStyle w:val="TOC2"/>
            <w:tabs>
              <w:tab w:val="right" w:leader="dot" w:pos="9016"/>
            </w:tabs>
            <w:rPr>
              <w:rFonts w:ascii="Arial" w:hAnsi="Arial" w:cs="Arial"/>
              <w:noProof/>
            </w:rPr>
          </w:pPr>
          <w:hyperlink w:anchor="_Toc214168833" w:history="1">
            <w:r w:rsidR="00E01AB8" w:rsidRPr="00E01AB8">
              <w:rPr>
                <w:rStyle w:val="Hyperlink"/>
                <w:rFonts w:ascii="Arial" w:eastAsiaTheme="majorEastAsia" w:hAnsi="Arial" w:cs="Arial"/>
                <w:noProof/>
              </w:rPr>
              <w:t>2.1.1 Overview of Spain’s Healthcare System and Pandemic Response</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_Toc214168833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3</w:t>
            </w:r>
            <w:r w:rsidR="00E01AB8" w:rsidRPr="00E01AB8">
              <w:rPr>
                <w:rFonts w:ascii="Arial" w:hAnsi="Arial" w:cs="Arial"/>
                <w:noProof/>
                <w:webHidden/>
              </w:rPr>
              <w:fldChar w:fldCharType="end"/>
            </w:r>
          </w:hyperlink>
        </w:p>
        <w:p w14:paraId="30FBD363" w14:textId="0F36BDC9" w:rsidR="00E01AB8" w:rsidRPr="00E01AB8" w:rsidRDefault="00F84D9D">
          <w:pPr>
            <w:pStyle w:val="TOC2"/>
            <w:tabs>
              <w:tab w:val="right" w:leader="dot" w:pos="9016"/>
            </w:tabs>
            <w:rPr>
              <w:rFonts w:ascii="Arial" w:hAnsi="Arial" w:cs="Arial"/>
              <w:noProof/>
            </w:rPr>
          </w:pPr>
          <w:hyperlink w:anchor="_Toc214168834" w:history="1">
            <w:r w:rsidR="00E01AB8" w:rsidRPr="00E01AB8">
              <w:rPr>
                <w:rStyle w:val="Hyperlink"/>
                <w:rFonts w:ascii="Arial" w:eastAsiaTheme="majorEastAsia" w:hAnsi="Arial" w:cs="Arial"/>
                <w:noProof/>
              </w:rPr>
              <w:t>2.1.2 Advantages of Spain’s Centralised and Decentralised Approaches</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_Toc214168834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5</w:t>
            </w:r>
            <w:r w:rsidR="00E01AB8" w:rsidRPr="00E01AB8">
              <w:rPr>
                <w:rFonts w:ascii="Arial" w:hAnsi="Arial" w:cs="Arial"/>
                <w:noProof/>
                <w:webHidden/>
              </w:rPr>
              <w:fldChar w:fldCharType="end"/>
            </w:r>
          </w:hyperlink>
        </w:p>
        <w:p w14:paraId="47E94E30" w14:textId="343ADEDA" w:rsidR="00E01AB8" w:rsidRPr="00E01AB8" w:rsidRDefault="00F84D9D">
          <w:pPr>
            <w:pStyle w:val="TOC2"/>
            <w:tabs>
              <w:tab w:val="right" w:leader="dot" w:pos="9016"/>
            </w:tabs>
            <w:rPr>
              <w:rFonts w:ascii="Arial" w:hAnsi="Arial" w:cs="Arial"/>
              <w:noProof/>
            </w:rPr>
          </w:pPr>
          <w:hyperlink w:anchor="_Toc214168835" w:history="1">
            <w:r w:rsidR="00E01AB8" w:rsidRPr="00E01AB8">
              <w:rPr>
                <w:rStyle w:val="Hyperlink"/>
                <w:rFonts w:ascii="Arial" w:eastAsiaTheme="majorEastAsia" w:hAnsi="Arial" w:cs="Arial"/>
                <w:noProof/>
              </w:rPr>
              <w:t>2.1.3 Disadvantages of Spain’s Centralised and Decentralised Approaches</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_Toc214168835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5</w:t>
            </w:r>
            <w:r w:rsidR="00E01AB8" w:rsidRPr="00E01AB8">
              <w:rPr>
                <w:rFonts w:ascii="Arial" w:hAnsi="Arial" w:cs="Arial"/>
                <w:noProof/>
                <w:webHidden/>
              </w:rPr>
              <w:fldChar w:fldCharType="end"/>
            </w:r>
          </w:hyperlink>
        </w:p>
        <w:p w14:paraId="5C695D61" w14:textId="54D2FCB1" w:rsidR="00E01AB8" w:rsidRPr="00E01AB8" w:rsidRDefault="00F84D9D">
          <w:pPr>
            <w:pStyle w:val="TOC1"/>
            <w:tabs>
              <w:tab w:val="right" w:leader="dot" w:pos="9016"/>
            </w:tabs>
            <w:rPr>
              <w:rFonts w:ascii="Arial" w:hAnsi="Arial" w:cs="Arial"/>
              <w:noProof/>
            </w:rPr>
          </w:pPr>
          <w:hyperlink w:anchor="_Toc214168836" w:history="1">
            <w:r w:rsidR="00E01AB8" w:rsidRPr="00E01AB8">
              <w:rPr>
                <w:rStyle w:val="Hyperlink"/>
                <w:rFonts w:ascii="Arial" w:hAnsi="Arial" w:cs="Arial"/>
                <w:noProof/>
              </w:rPr>
              <w:t>2.2 South Korea: Centralised and Decentralised Approaches to the COVID-19 Pandemic</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_Toc214168836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6</w:t>
            </w:r>
            <w:r w:rsidR="00E01AB8" w:rsidRPr="00E01AB8">
              <w:rPr>
                <w:rFonts w:ascii="Arial" w:hAnsi="Arial" w:cs="Arial"/>
                <w:noProof/>
                <w:webHidden/>
              </w:rPr>
              <w:fldChar w:fldCharType="end"/>
            </w:r>
          </w:hyperlink>
        </w:p>
        <w:p w14:paraId="51303930" w14:textId="3592AD60" w:rsidR="00E01AB8" w:rsidRPr="00E01AB8" w:rsidRDefault="00F84D9D">
          <w:pPr>
            <w:pStyle w:val="TOC2"/>
            <w:tabs>
              <w:tab w:val="right" w:leader="dot" w:pos="9016"/>
            </w:tabs>
            <w:rPr>
              <w:rFonts w:ascii="Arial" w:hAnsi="Arial" w:cs="Arial"/>
              <w:noProof/>
            </w:rPr>
          </w:pPr>
          <w:hyperlink w:anchor="_Toc214168837" w:history="1">
            <w:r w:rsidR="00E01AB8" w:rsidRPr="00E01AB8">
              <w:rPr>
                <w:rStyle w:val="Hyperlink"/>
                <w:rFonts w:ascii="Arial" w:hAnsi="Arial" w:cs="Arial"/>
                <w:noProof/>
              </w:rPr>
              <w:t xml:space="preserve">2.2.2 </w:t>
            </w:r>
            <w:r w:rsidR="00E01AB8" w:rsidRPr="00E01AB8">
              <w:rPr>
                <w:rStyle w:val="Hyperlink"/>
                <w:rFonts w:ascii="Arial" w:eastAsiaTheme="majorEastAsia" w:hAnsi="Arial" w:cs="Arial"/>
                <w:noProof/>
              </w:rPr>
              <w:t>Advantages of South Korea’s Centralised–Decentralised System During COVID-19</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_Toc214168837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8</w:t>
            </w:r>
            <w:r w:rsidR="00E01AB8" w:rsidRPr="00E01AB8">
              <w:rPr>
                <w:rFonts w:ascii="Arial" w:hAnsi="Arial" w:cs="Arial"/>
                <w:noProof/>
                <w:webHidden/>
              </w:rPr>
              <w:fldChar w:fldCharType="end"/>
            </w:r>
          </w:hyperlink>
        </w:p>
        <w:p w14:paraId="420ED64E" w14:textId="6B8482E7" w:rsidR="00E01AB8" w:rsidRPr="00E01AB8" w:rsidRDefault="00F84D9D">
          <w:pPr>
            <w:pStyle w:val="TOC2"/>
            <w:tabs>
              <w:tab w:val="right" w:leader="dot" w:pos="9016"/>
            </w:tabs>
            <w:rPr>
              <w:rFonts w:ascii="Arial" w:hAnsi="Arial" w:cs="Arial"/>
              <w:noProof/>
            </w:rPr>
          </w:pPr>
          <w:hyperlink w:anchor="_Toc214168838" w:history="1">
            <w:r w:rsidR="00E01AB8" w:rsidRPr="00E01AB8">
              <w:rPr>
                <w:rStyle w:val="Hyperlink"/>
                <w:rFonts w:ascii="Arial" w:hAnsi="Arial" w:cs="Arial"/>
                <w:noProof/>
              </w:rPr>
              <w:t xml:space="preserve">2.2.3 </w:t>
            </w:r>
            <w:r w:rsidR="00E01AB8" w:rsidRPr="00E01AB8">
              <w:rPr>
                <w:rStyle w:val="Hyperlink"/>
                <w:rFonts w:ascii="Arial" w:eastAsiaTheme="majorEastAsia" w:hAnsi="Arial" w:cs="Arial"/>
                <w:noProof/>
              </w:rPr>
              <w:t>Disadvantages of South Korea’s Centralised–Decentralised System During COVID-19</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_Toc214168838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9</w:t>
            </w:r>
            <w:r w:rsidR="00E01AB8" w:rsidRPr="00E01AB8">
              <w:rPr>
                <w:rFonts w:ascii="Arial" w:hAnsi="Arial" w:cs="Arial"/>
                <w:noProof/>
                <w:webHidden/>
              </w:rPr>
              <w:fldChar w:fldCharType="end"/>
            </w:r>
          </w:hyperlink>
        </w:p>
        <w:p w14:paraId="4E404F71" w14:textId="44AE8A4B" w:rsidR="00E01AB8" w:rsidRPr="00E01AB8" w:rsidRDefault="00F84D9D">
          <w:pPr>
            <w:pStyle w:val="TOC1"/>
            <w:tabs>
              <w:tab w:val="right" w:leader="dot" w:pos="9016"/>
            </w:tabs>
            <w:rPr>
              <w:rFonts w:ascii="Arial" w:hAnsi="Arial" w:cs="Arial"/>
              <w:noProof/>
            </w:rPr>
          </w:pPr>
          <w:hyperlink w:anchor="_Toc214168839" w:history="1">
            <w:r w:rsidR="00E01AB8" w:rsidRPr="00E01AB8">
              <w:rPr>
                <w:rStyle w:val="Hyperlink"/>
                <w:rFonts w:ascii="Arial" w:hAnsi="Arial" w:cs="Arial"/>
                <w:noProof/>
              </w:rPr>
              <w:t>2.3 Canada: Centralised and Decentralised Approaches to the COVID-19 Pandemic</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_Toc214168839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9</w:t>
            </w:r>
            <w:r w:rsidR="00E01AB8" w:rsidRPr="00E01AB8">
              <w:rPr>
                <w:rFonts w:ascii="Arial" w:hAnsi="Arial" w:cs="Arial"/>
                <w:noProof/>
                <w:webHidden/>
              </w:rPr>
              <w:fldChar w:fldCharType="end"/>
            </w:r>
          </w:hyperlink>
        </w:p>
        <w:p w14:paraId="14348B7A" w14:textId="46D8DF23" w:rsidR="00E01AB8" w:rsidRPr="00E01AB8" w:rsidRDefault="00F84D9D">
          <w:pPr>
            <w:pStyle w:val="TOC2"/>
            <w:tabs>
              <w:tab w:val="right" w:leader="dot" w:pos="9016"/>
            </w:tabs>
            <w:rPr>
              <w:rFonts w:ascii="Arial" w:hAnsi="Arial" w:cs="Arial"/>
              <w:noProof/>
            </w:rPr>
          </w:pPr>
          <w:hyperlink w:anchor="_Toc214168840" w:history="1">
            <w:r w:rsidR="00E01AB8" w:rsidRPr="00E01AB8">
              <w:rPr>
                <w:rStyle w:val="Hyperlink"/>
                <w:rFonts w:ascii="Arial" w:eastAsiaTheme="majorEastAsia" w:hAnsi="Arial" w:cs="Arial"/>
                <w:noProof/>
              </w:rPr>
              <w:t>2.</w:t>
            </w:r>
            <w:r w:rsidR="00E01AB8" w:rsidRPr="00E01AB8">
              <w:rPr>
                <w:rStyle w:val="Hyperlink"/>
                <w:rFonts w:ascii="Arial" w:hAnsi="Arial" w:cs="Arial"/>
                <w:noProof/>
              </w:rPr>
              <w:t>3</w:t>
            </w:r>
            <w:r w:rsidR="00E01AB8" w:rsidRPr="00E01AB8">
              <w:rPr>
                <w:rStyle w:val="Hyperlink"/>
                <w:rFonts w:ascii="Arial" w:eastAsiaTheme="majorEastAsia" w:hAnsi="Arial" w:cs="Arial"/>
                <w:noProof/>
              </w:rPr>
              <w:t>.1 Overview of Canada’s Healthcare System and Pandemic Response</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_Toc214168840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9</w:t>
            </w:r>
            <w:r w:rsidR="00E01AB8" w:rsidRPr="00E01AB8">
              <w:rPr>
                <w:rFonts w:ascii="Arial" w:hAnsi="Arial" w:cs="Arial"/>
                <w:noProof/>
                <w:webHidden/>
              </w:rPr>
              <w:fldChar w:fldCharType="end"/>
            </w:r>
          </w:hyperlink>
        </w:p>
        <w:p w14:paraId="3ED7909A" w14:textId="3CDBB785" w:rsidR="00E01AB8" w:rsidRPr="00E01AB8" w:rsidRDefault="00F84D9D">
          <w:pPr>
            <w:pStyle w:val="TOC2"/>
            <w:tabs>
              <w:tab w:val="right" w:leader="dot" w:pos="9016"/>
            </w:tabs>
            <w:rPr>
              <w:rFonts w:ascii="Arial" w:hAnsi="Arial" w:cs="Arial"/>
              <w:noProof/>
            </w:rPr>
          </w:pPr>
          <w:hyperlink w:anchor="_Toc214168841" w:history="1">
            <w:r w:rsidR="00E01AB8" w:rsidRPr="00E01AB8">
              <w:rPr>
                <w:rStyle w:val="Hyperlink"/>
                <w:rFonts w:ascii="Arial" w:hAnsi="Arial" w:cs="Arial"/>
                <w:noProof/>
              </w:rPr>
              <w:t xml:space="preserve">2.3.2 </w:t>
            </w:r>
            <w:r w:rsidR="00E01AB8" w:rsidRPr="00E01AB8">
              <w:rPr>
                <w:rStyle w:val="Hyperlink"/>
                <w:rFonts w:ascii="Arial" w:eastAsiaTheme="majorEastAsia" w:hAnsi="Arial" w:cs="Arial"/>
                <w:noProof/>
              </w:rPr>
              <w:t>Advantages of Canada’s Centralised–Decentralised System During COVID-19</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_Toc214168841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11</w:t>
            </w:r>
            <w:r w:rsidR="00E01AB8" w:rsidRPr="00E01AB8">
              <w:rPr>
                <w:rFonts w:ascii="Arial" w:hAnsi="Arial" w:cs="Arial"/>
                <w:noProof/>
                <w:webHidden/>
              </w:rPr>
              <w:fldChar w:fldCharType="end"/>
            </w:r>
          </w:hyperlink>
        </w:p>
        <w:p w14:paraId="6ED33025" w14:textId="595ABD72" w:rsidR="00E01AB8" w:rsidRPr="00E01AB8" w:rsidRDefault="00F84D9D">
          <w:pPr>
            <w:pStyle w:val="TOC2"/>
            <w:tabs>
              <w:tab w:val="right" w:leader="dot" w:pos="9016"/>
            </w:tabs>
            <w:rPr>
              <w:rFonts w:ascii="Arial" w:hAnsi="Arial" w:cs="Arial"/>
              <w:noProof/>
            </w:rPr>
          </w:pPr>
          <w:hyperlink w:anchor="_Toc214168842" w:history="1">
            <w:r w:rsidR="00E01AB8" w:rsidRPr="00E01AB8">
              <w:rPr>
                <w:rStyle w:val="Hyperlink"/>
                <w:rFonts w:ascii="Arial" w:hAnsi="Arial" w:cs="Arial"/>
                <w:noProof/>
              </w:rPr>
              <w:t xml:space="preserve">2.3.3 </w:t>
            </w:r>
            <w:r w:rsidR="00E01AB8" w:rsidRPr="00E01AB8">
              <w:rPr>
                <w:rStyle w:val="Hyperlink"/>
                <w:rFonts w:ascii="Arial" w:eastAsiaTheme="majorEastAsia" w:hAnsi="Arial" w:cs="Arial"/>
                <w:noProof/>
              </w:rPr>
              <w:t>Disadvantages of Canada’s Centralised–Decentralised System During COVID-19</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_Toc214168842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12</w:t>
            </w:r>
            <w:r w:rsidR="00E01AB8" w:rsidRPr="00E01AB8">
              <w:rPr>
                <w:rFonts w:ascii="Arial" w:hAnsi="Arial" w:cs="Arial"/>
                <w:noProof/>
                <w:webHidden/>
              </w:rPr>
              <w:fldChar w:fldCharType="end"/>
            </w:r>
          </w:hyperlink>
        </w:p>
        <w:p w14:paraId="36EAF13B" w14:textId="11E3E882" w:rsidR="00E01AB8" w:rsidRPr="00E01AB8" w:rsidRDefault="00F84D9D">
          <w:pPr>
            <w:pStyle w:val="TOC1"/>
            <w:tabs>
              <w:tab w:val="right" w:leader="dot" w:pos="9016"/>
            </w:tabs>
            <w:rPr>
              <w:rFonts w:ascii="Arial" w:hAnsi="Arial" w:cs="Arial"/>
              <w:noProof/>
            </w:rPr>
          </w:pPr>
          <w:hyperlink w:anchor="_Toc214168843" w:history="1">
            <w:r w:rsidR="00E01AB8" w:rsidRPr="00E01AB8">
              <w:rPr>
                <w:rStyle w:val="Hyperlink"/>
                <w:rFonts w:ascii="Arial" w:hAnsi="Arial" w:cs="Arial"/>
                <w:noProof/>
              </w:rPr>
              <w:t>3. Leadership Styles taken by each country</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_Toc214168843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12</w:t>
            </w:r>
            <w:r w:rsidR="00E01AB8" w:rsidRPr="00E01AB8">
              <w:rPr>
                <w:rFonts w:ascii="Arial" w:hAnsi="Arial" w:cs="Arial"/>
                <w:noProof/>
                <w:webHidden/>
              </w:rPr>
              <w:fldChar w:fldCharType="end"/>
            </w:r>
          </w:hyperlink>
        </w:p>
        <w:p w14:paraId="6E352C96" w14:textId="25528D21" w:rsidR="00E01AB8" w:rsidRPr="00E01AB8" w:rsidRDefault="00F84D9D">
          <w:pPr>
            <w:pStyle w:val="TOC1"/>
            <w:tabs>
              <w:tab w:val="right" w:leader="dot" w:pos="9016"/>
            </w:tabs>
            <w:rPr>
              <w:rFonts w:ascii="Arial" w:hAnsi="Arial" w:cs="Arial"/>
              <w:noProof/>
            </w:rPr>
          </w:pPr>
          <w:hyperlink w:anchor="_Toc214168844" w:history="1">
            <w:r w:rsidR="00E01AB8" w:rsidRPr="00E01AB8">
              <w:rPr>
                <w:rStyle w:val="Hyperlink"/>
                <w:rFonts w:ascii="Arial" w:hAnsi="Arial" w:cs="Arial"/>
                <w:noProof/>
              </w:rPr>
              <w:t>3.1 Spain’s Leadership During COVID-19</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_Toc214168844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12</w:t>
            </w:r>
            <w:r w:rsidR="00E01AB8" w:rsidRPr="00E01AB8">
              <w:rPr>
                <w:rFonts w:ascii="Arial" w:hAnsi="Arial" w:cs="Arial"/>
                <w:noProof/>
                <w:webHidden/>
              </w:rPr>
              <w:fldChar w:fldCharType="end"/>
            </w:r>
          </w:hyperlink>
        </w:p>
        <w:p w14:paraId="08FC73A0" w14:textId="067898A9" w:rsidR="00E01AB8" w:rsidRPr="00E01AB8" w:rsidRDefault="00F84D9D">
          <w:pPr>
            <w:pStyle w:val="TOC2"/>
            <w:tabs>
              <w:tab w:val="right" w:leader="dot" w:pos="9016"/>
            </w:tabs>
            <w:rPr>
              <w:rFonts w:ascii="Arial" w:hAnsi="Arial" w:cs="Arial"/>
              <w:noProof/>
            </w:rPr>
          </w:pPr>
          <w:hyperlink w:anchor="_Toc214168845" w:history="1">
            <w:r w:rsidR="00E01AB8" w:rsidRPr="00E01AB8">
              <w:rPr>
                <w:rStyle w:val="Hyperlink"/>
                <w:rFonts w:ascii="Arial" w:hAnsi="Arial" w:cs="Arial"/>
                <w:noProof/>
              </w:rPr>
              <w:t xml:space="preserve">3.1.1 </w:t>
            </w:r>
            <w:r w:rsidR="00E01AB8" w:rsidRPr="00E01AB8">
              <w:rPr>
                <w:rStyle w:val="Hyperlink"/>
                <w:rFonts w:ascii="Arial" w:eastAsiaTheme="majorEastAsia" w:hAnsi="Arial" w:cs="Arial"/>
                <w:noProof/>
              </w:rPr>
              <w:t>Advantages of Spain’s Leadership Approach</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_Toc214168845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13</w:t>
            </w:r>
            <w:r w:rsidR="00E01AB8" w:rsidRPr="00E01AB8">
              <w:rPr>
                <w:rFonts w:ascii="Arial" w:hAnsi="Arial" w:cs="Arial"/>
                <w:noProof/>
                <w:webHidden/>
              </w:rPr>
              <w:fldChar w:fldCharType="end"/>
            </w:r>
          </w:hyperlink>
        </w:p>
        <w:p w14:paraId="57EC81C9" w14:textId="1F73DD96" w:rsidR="00E01AB8" w:rsidRPr="00E01AB8" w:rsidRDefault="00F84D9D">
          <w:pPr>
            <w:pStyle w:val="TOC2"/>
            <w:tabs>
              <w:tab w:val="right" w:leader="dot" w:pos="9016"/>
            </w:tabs>
            <w:rPr>
              <w:rFonts w:ascii="Arial" w:hAnsi="Arial" w:cs="Arial"/>
              <w:noProof/>
            </w:rPr>
          </w:pPr>
          <w:hyperlink w:anchor="_Toc214168846" w:history="1">
            <w:r w:rsidR="00E01AB8" w:rsidRPr="00E01AB8">
              <w:rPr>
                <w:rStyle w:val="Hyperlink"/>
                <w:rFonts w:ascii="Arial" w:hAnsi="Arial" w:cs="Arial"/>
                <w:noProof/>
              </w:rPr>
              <w:t xml:space="preserve">3.1.2 </w:t>
            </w:r>
            <w:r w:rsidR="00E01AB8" w:rsidRPr="00E01AB8">
              <w:rPr>
                <w:rStyle w:val="Hyperlink"/>
                <w:rFonts w:ascii="Arial" w:eastAsiaTheme="majorEastAsia" w:hAnsi="Arial" w:cs="Arial"/>
                <w:noProof/>
              </w:rPr>
              <w:t>Disadvantages of Spain’s Leadership Approach</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_Toc214168846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14</w:t>
            </w:r>
            <w:r w:rsidR="00E01AB8" w:rsidRPr="00E01AB8">
              <w:rPr>
                <w:rFonts w:ascii="Arial" w:hAnsi="Arial" w:cs="Arial"/>
                <w:noProof/>
                <w:webHidden/>
              </w:rPr>
              <w:fldChar w:fldCharType="end"/>
            </w:r>
          </w:hyperlink>
        </w:p>
        <w:p w14:paraId="273BF2DC" w14:textId="50B183C8" w:rsidR="00E01AB8" w:rsidRPr="00E01AB8" w:rsidRDefault="00F84D9D">
          <w:pPr>
            <w:pStyle w:val="TOC1"/>
            <w:tabs>
              <w:tab w:val="right" w:leader="dot" w:pos="9016"/>
            </w:tabs>
            <w:rPr>
              <w:rFonts w:ascii="Arial" w:hAnsi="Arial" w:cs="Arial"/>
              <w:noProof/>
            </w:rPr>
          </w:pPr>
          <w:hyperlink w:anchor="_Toc214168847" w:history="1">
            <w:r w:rsidR="00E01AB8" w:rsidRPr="00E01AB8">
              <w:rPr>
                <w:rStyle w:val="Hyperlink"/>
                <w:rFonts w:ascii="Arial" w:hAnsi="Arial" w:cs="Arial"/>
                <w:noProof/>
              </w:rPr>
              <w:t>3.2 South Korea’s Leadership During COVID-19</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_Toc214168847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14</w:t>
            </w:r>
            <w:r w:rsidR="00E01AB8" w:rsidRPr="00E01AB8">
              <w:rPr>
                <w:rFonts w:ascii="Arial" w:hAnsi="Arial" w:cs="Arial"/>
                <w:noProof/>
                <w:webHidden/>
              </w:rPr>
              <w:fldChar w:fldCharType="end"/>
            </w:r>
          </w:hyperlink>
        </w:p>
        <w:p w14:paraId="41E0988B" w14:textId="795E90E9" w:rsidR="00E01AB8" w:rsidRPr="00E01AB8" w:rsidRDefault="00F84D9D">
          <w:pPr>
            <w:pStyle w:val="TOC2"/>
            <w:tabs>
              <w:tab w:val="right" w:leader="dot" w:pos="9016"/>
            </w:tabs>
            <w:rPr>
              <w:rFonts w:ascii="Arial" w:hAnsi="Arial" w:cs="Arial"/>
              <w:noProof/>
            </w:rPr>
          </w:pPr>
          <w:hyperlink w:anchor="_Toc214168848" w:history="1">
            <w:r w:rsidR="00E01AB8" w:rsidRPr="00E01AB8">
              <w:rPr>
                <w:rStyle w:val="Hyperlink"/>
                <w:rFonts w:ascii="Arial" w:hAnsi="Arial" w:cs="Arial"/>
                <w:noProof/>
              </w:rPr>
              <w:t xml:space="preserve">3.2.1 </w:t>
            </w:r>
            <w:r w:rsidR="00E01AB8" w:rsidRPr="00E01AB8">
              <w:rPr>
                <w:rStyle w:val="Hyperlink"/>
                <w:rFonts w:ascii="Arial" w:eastAsiaTheme="majorEastAsia" w:hAnsi="Arial" w:cs="Arial"/>
                <w:noProof/>
              </w:rPr>
              <w:t>Advantages of South Korea’s Leadership Approach</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_Toc214168848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15</w:t>
            </w:r>
            <w:r w:rsidR="00E01AB8" w:rsidRPr="00E01AB8">
              <w:rPr>
                <w:rFonts w:ascii="Arial" w:hAnsi="Arial" w:cs="Arial"/>
                <w:noProof/>
                <w:webHidden/>
              </w:rPr>
              <w:fldChar w:fldCharType="end"/>
            </w:r>
          </w:hyperlink>
        </w:p>
        <w:p w14:paraId="6048F64B" w14:textId="2408A6C5" w:rsidR="00E01AB8" w:rsidRPr="00E01AB8" w:rsidRDefault="00F84D9D">
          <w:pPr>
            <w:pStyle w:val="TOC2"/>
            <w:tabs>
              <w:tab w:val="right" w:leader="dot" w:pos="9016"/>
            </w:tabs>
            <w:rPr>
              <w:rFonts w:ascii="Arial" w:hAnsi="Arial" w:cs="Arial"/>
              <w:noProof/>
            </w:rPr>
          </w:pPr>
          <w:hyperlink w:anchor="_Toc214168849" w:history="1">
            <w:r w:rsidR="00E01AB8" w:rsidRPr="00E01AB8">
              <w:rPr>
                <w:rStyle w:val="Hyperlink"/>
                <w:rFonts w:ascii="Arial" w:eastAsiaTheme="majorEastAsia" w:hAnsi="Arial" w:cs="Arial"/>
                <w:noProof/>
              </w:rPr>
              <w:t>3.2.2 Disadvantages of South Korea’s Leadership Approach</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_Toc214168849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16</w:t>
            </w:r>
            <w:r w:rsidR="00E01AB8" w:rsidRPr="00E01AB8">
              <w:rPr>
                <w:rFonts w:ascii="Arial" w:hAnsi="Arial" w:cs="Arial"/>
                <w:noProof/>
                <w:webHidden/>
              </w:rPr>
              <w:fldChar w:fldCharType="end"/>
            </w:r>
          </w:hyperlink>
        </w:p>
        <w:p w14:paraId="6A1D875E" w14:textId="4907B691" w:rsidR="00E01AB8" w:rsidRPr="00E01AB8" w:rsidRDefault="00F84D9D">
          <w:pPr>
            <w:pStyle w:val="TOC1"/>
            <w:tabs>
              <w:tab w:val="right" w:leader="dot" w:pos="9016"/>
            </w:tabs>
            <w:rPr>
              <w:rFonts w:ascii="Arial" w:hAnsi="Arial" w:cs="Arial"/>
              <w:noProof/>
            </w:rPr>
          </w:pPr>
          <w:hyperlink w:anchor="_Toc214168850" w:history="1">
            <w:r w:rsidR="00E01AB8" w:rsidRPr="00E01AB8">
              <w:rPr>
                <w:rStyle w:val="Hyperlink"/>
                <w:rFonts w:ascii="Arial" w:hAnsi="Arial" w:cs="Arial"/>
                <w:noProof/>
              </w:rPr>
              <w:t>3.4 Canada’s Leadership During COVID-19</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_Toc214168850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17</w:t>
            </w:r>
            <w:r w:rsidR="00E01AB8" w:rsidRPr="00E01AB8">
              <w:rPr>
                <w:rFonts w:ascii="Arial" w:hAnsi="Arial" w:cs="Arial"/>
                <w:noProof/>
                <w:webHidden/>
              </w:rPr>
              <w:fldChar w:fldCharType="end"/>
            </w:r>
          </w:hyperlink>
        </w:p>
        <w:p w14:paraId="09DEFF1D" w14:textId="6D252BD4" w:rsidR="00E01AB8" w:rsidRPr="00E01AB8" w:rsidRDefault="00F84D9D">
          <w:pPr>
            <w:pStyle w:val="TOC2"/>
            <w:tabs>
              <w:tab w:val="right" w:leader="dot" w:pos="9016"/>
            </w:tabs>
            <w:rPr>
              <w:rFonts w:ascii="Arial" w:hAnsi="Arial" w:cs="Arial"/>
              <w:noProof/>
            </w:rPr>
          </w:pPr>
          <w:hyperlink w:anchor="_Toc214168851" w:history="1">
            <w:r w:rsidR="00E01AB8" w:rsidRPr="00E01AB8">
              <w:rPr>
                <w:rStyle w:val="Hyperlink"/>
                <w:rFonts w:ascii="Arial" w:hAnsi="Arial" w:cs="Arial"/>
                <w:noProof/>
              </w:rPr>
              <w:t xml:space="preserve">3.4.1 </w:t>
            </w:r>
            <w:r w:rsidR="00E01AB8" w:rsidRPr="00E01AB8">
              <w:rPr>
                <w:rStyle w:val="Hyperlink"/>
                <w:rFonts w:ascii="Arial" w:eastAsiaTheme="majorEastAsia" w:hAnsi="Arial" w:cs="Arial"/>
                <w:noProof/>
              </w:rPr>
              <w:t>Advantages of Canada’s Leadership Approach</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_Toc214168851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18</w:t>
            </w:r>
            <w:r w:rsidR="00E01AB8" w:rsidRPr="00E01AB8">
              <w:rPr>
                <w:rFonts w:ascii="Arial" w:hAnsi="Arial" w:cs="Arial"/>
                <w:noProof/>
                <w:webHidden/>
              </w:rPr>
              <w:fldChar w:fldCharType="end"/>
            </w:r>
          </w:hyperlink>
        </w:p>
        <w:p w14:paraId="4AEDA678" w14:textId="530C7D90" w:rsidR="00E01AB8" w:rsidRPr="00E01AB8" w:rsidRDefault="00F84D9D">
          <w:pPr>
            <w:pStyle w:val="TOC2"/>
            <w:tabs>
              <w:tab w:val="right" w:leader="dot" w:pos="9016"/>
            </w:tabs>
            <w:rPr>
              <w:rFonts w:ascii="Arial" w:hAnsi="Arial" w:cs="Arial"/>
              <w:noProof/>
            </w:rPr>
          </w:pPr>
          <w:hyperlink w:anchor="_Toc214168852" w:history="1">
            <w:r w:rsidR="00E01AB8" w:rsidRPr="00E01AB8">
              <w:rPr>
                <w:rStyle w:val="Hyperlink"/>
                <w:rFonts w:ascii="Arial" w:hAnsi="Arial" w:cs="Arial"/>
                <w:noProof/>
              </w:rPr>
              <w:t xml:space="preserve">3.4.2 </w:t>
            </w:r>
            <w:r w:rsidR="00E01AB8" w:rsidRPr="00E01AB8">
              <w:rPr>
                <w:rStyle w:val="Hyperlink"/>
                <w:rFonts w:ascii="Arial" w:eastAsiaTheme="majorEastAsia" w:hAnsi="Arial" w:cs="Arial"/>
                <w:noProof/>
              </w:rPr>
              <w:t>Disadvantages of Canada’s Leadership Approach</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_Toc214168852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18</w:t>
            </w:r>
            <w:r w:rsidR="00E01AB8" w:rsidRPr="00E01AB8">
              <w:rPr>
                <w:rFonts w:ascii="Arial" w:hAnsi="Arial" w:cs="Arial"/>
                <w:noProof/>
                <w:webHidden/>
              </w:rPr>
              <w:fldChar w:fldCharType="end"/>
            </w:r>
          </w:hyperlink>
        </w:p>
        <w:p w14:paraId="1A182682" w14:textId="428FA9E2" w:rsidR="00E01AB8" w:rsidRPr="00E01AB8" w:rsidRDefault="00F84D9D">
          <w:pPr>
            <w:pStyle w:val="TOC1"/>
            <w:tabs>
              <w:tab w:val="right" w:leader="dot" w:pos="9016"/>
            </w:tabs>
            <w:rPr>
              <w:rFonts w:ascii="Arial" w:hAnsi="Arial" w:cs="Arial"/>
              <w:noProof/>
            </w:rPr>
          </w:pPr>
          <w:hyperlink w:anchor="_Toc214168853" w:history="1">
            <w:r w:rsidR="00E01AB8" w:rsidRPr="00E01AB8">
              <w:rPr>
                <w:rStyle w:val="Hyperlink"/>
                <w:rFonts w:ascii="Arial" w:hAnsi="Arial" w:cs="Arial"/>
                <w:noProof/>
              </w:rPr>
              <w:t>References</w:t>
            </w:r>
            <w:r w:rsidR="00E01AB8" w:rsidRPr="00E01AB8">
              <w:rPr>
                <w:rFonts w:ascii="Arial" w:hAnsi="Arial" w:cs="Arial"/>
                <w:noProof/>
                <w:webHidden/>
              </w:rPr>
              <w:tab/>
            </w:r>
            <w:r w:rsidR="00E01AB8" w:rsidRPr="00E01AB8">
              <w:rPr>
                <w:rFonts w:ascii="Arial" w:hAnsi="Arial" w:cs="Arial"/>
                <w:noProof/>
                <w:webHidden/>
              </w:rPr>
              <w:fldChar w:fldCharType="begin"/>
            </w:r>
            <w:r w:rsidR="00E01AB8" w:rsidRPr="00E01AB8">
              <w:rPr>
                <w:rFonts w:ascii="Arial" w:hAnsi="Arial" w:cs="Arial"/>
                <w:noProof/>
                <w:webHidden/>
              </w:rPr>
              <w:instrText xml:space="preserve"> PAGEREF _Toc214168853 \h </w:instrText>
            </w:r>
            <w:r w:rsidR="00E01AB8" w:rsidRPr="00E01AB8">
              <w:rPr>
                <w:rFonts w:ascii="Arial" w:hAnsi="Arial" w:cs="Arial"/>
                <w:noProof/>
                <w:webHidden/>
              </w:rPr>
            </w:r>
            <w:r w:rsidR="00E01AB8" w:rsidRPr="00E01AB8">
              <w:rPr>
                <w:rFonts w:ascii="Arial" w:hAnsi="Arial" w:cs="Arial"/>
                <w:noProof/>
                <w:webHidden/>
              </w:rPr>
              <w:fldChar w:fldCharType="separate"/>
            </w:r>
            <w:r w:rsidR="00E01AB8" w:rsidRPr="00E01AB8">
              <w:rPr>
                <w:rFonts w:ascii="Arial" w:hAnsi="Arial" w:cs="Arial"/>
                <w:noProof/>
                <w:webHidden/>
              </w:rPr>
              <w:t>20</w:t>
            </w:r>
            <w:r w:rsidR="00E01AB8" w:rsidRPr="00E01AB8">
              <w:rPr>
                <w:rFonts w:ascii="Arial" w:hAnsi="Arial" w:cs="Arial"/>
                <w:noProof/>
                <w:webHidden/>
              </w:rPr>
              <w:fldChar w:fldCharType="end"/>
            </w:r>
          </w:hyperlink>
        </w:p>
        <w:p w14:paraId="70625570" w14:textId="7B01F25E" w:rsidR="00E01AB8" w:rsidRPr="00E01AB8" w:rsidRDefault="00E01AB8">
          <w:pPr>
            <w:rPr>
              <w:rFonts w:ascii="Arial" w:hAnsi="Arial" w:cs="Arial"/>
            </w:rPr>
          </w:pPr>
          <w:r w:rsidRPr="00E01AB8">
            <w:rPr>
              <w:rFonts w:ascii="Arial" w:hAnsi="Arial" w:cs="Arial"/>
              <w:b/>
              <w:bCs/>
            </w:rPr>
            <w:fldChar w:fldCharType="end"/>
          </w:r>
        </w:p>
      </w:sdtContent>
    </w:sdt>
    <w:p w14:paraId="7194D714" w14:textId="77777777" w:rsidR="00E01AB8" w:rsidRPr="00E01AB8" w:rsidRDefault="00E01AB8" w:rsidP="008D6DFE">
      <w:pPr>
        <w:rPr>
          <w:rFonts w:ascii="Arial" w:hAnsi="Arial" w:cs="Arial"/>
        </w:rPr>
      </w:pPr>
    </w:p>
    <w:p w14:paraId="327BF7F5" w14:textId="77777777" w:rsidR="00E01AB8" w:rsidRPr="00E01AB8" w:rsidRDefault="00E01AB8" w:rsidP="008D6DFE">
      <w:pPr>
        <w:rPr>
          <w:rFonts w:ascii="Arial" w:hAnsi="Arial" w:cs="Arial"/>
        </w:rPr>
      </w:pPr>
    </w:p>
    <w:p w14:paraId="55582C85" w14:textId="0749D1EE" w:rsidR="00931F1C" w:rsidRPr="00E01AB8" w:rsidRDefault="00931F1C" w:rsidP="00D445DC">
      <w:pPr>
        <w:pStyle w:val="Heading1"/>
        <w:jc w:val="both"/>
        <w:rPr>
          <w:rFonts w:cs="Arial"/>
          <w:sz w:val="24"/>
          <w:szCs w:val="24"/>
        </w:rPr>
      </w:pPr>
      <w:bookmarkStart w:id="1" w:name="_Toc214168831"/>
      <w:r w:rsidRPr="00E01AB8">
        <w:rPr>
          <w:rFonts w:cs="Arial"/>
          <w:sz w:val="24"/>
          <w:szCs w:val="24"/>
        </w:rPr>
        <w:lastRenderedPageBreak/>
        <w:t>1. Introduction</w:t>
      </w:r>
      <w:bookmarkEnd w:id="1"/>
      <w:r w:rsidRPr="00E01AB8">
        <w:rPr>
          <w:rFonts w:cs="Arial"/>
          <w:sz w:val="24"/>
          <w:szCs w:val="24"/>
        </w:rPr>
        <w:t xml:space="preserve"> </w:t>
      </w:r>
    </w:p>
    <w:p w14:paraId="72A6668D" w14:textId="2568B72B" w:rsidR="00AA5B84" w:rsidRPr="00AA5B84" w:rsidRDefault="00AA5B84" w:rsidP="00AA5B84">
      <w:pPr>
        <w:spacing w:line="360" w:lineRule="auto"/>
        <w:jc w:val="both"/>
        <w:rPr>
          <w:rFonts w:ascii="Arial" w:hAnsi="Arial" w:cs="Arial"/>
        </w:rPr>
      </w:pPr>
      <w:r w:rsidRPr="00AA5B84">
        <w:rPr>
          <w:rFonts w:ascii="Arial" w:hAnsi="Arial" w:cs="Arial"/>
        </w:rPr>
        <w:t>The global response to the COVID-19 pandemic revealed significant variations in how countries managed public health crises, largely shaped by the organisation of their healthcare systems and leadership styles (Haldane et al., 2021). This report presents a comparative analysis of the healthcare systems and pandemic responses of Spain, South Korea, and Canada. It explores how the degree of centralisation or decentralisation in healthcare governance influenced each nation’s ability to coordinate testing, vaccination, and communication strategies. Centralisation refers to decision-making authority being concentrated at the national level, enabling uniform policies and rapid command during emergencies, while decentralisation involves the distribution of power across regional or provincial governments, allowing more local autonomy and flexible responses</w:t>
      </w:r>
      <w:r w:rsidR="00A051D1" w:rsidRPr="00E01AB8">
        <w:rPr>
          <w:rFonts w:ascii="Arial" w:hAnsi="Arial" w:cs="Arial"/>
        </w:rPr>
        <w:t xml:space="preserve"> </w:t>
      </w:r>
      <w:r w:rsidR="00A051D1" w:rsidRPr="00AA5B84">
        <w:rPr>
          <w:rFonts w:ascii="Arial" w:hAnsi="Arial" w:cs="Arial"/>
        </w:rPr>
        <w:t>(Haldane et al., 2021)</w:t>
      </w:r>
      <w:r w:rsidRPr="00AA5B84">
        <w:rPr>
          <w:rFonts w:ascii="Arial" w:hAnsi="Arial" w:cs="Arial"/>
        </w:rPr>
        <w:t>. Spain, with a decentralised healthcare system divided among autonomous regions, faced challenges in policy coordination (</w:t>
      </w:r>
      <w:proofErr w:type="spellStart"/>
      <w:r w:rsidRPr="00AA5B84">
        <w:rPr>
          <w:rFonts w:ascii="Arial" w:hAnsi="Arial" w:cs="Arial"/>
        </w:rPr>
        <w:t>Podadera</w:t>
      </w:r>
      <w:proofErr w:type="spellEnd"/>
      <w:r w:rsidRPr="00AA5B84">
        <w:rPr>
          <w:rFonts w:ascii="Arial" w:hAnsi="Arial" w:cs="Arial"/>
        </w:rPr>
        <w:t xml:space="preserve"> et al., 2025). In contrast, South Korea’s highly centralised approach enabled swift national mobilisation (Kumar, 2023), while Canada’s federal structure balanced provincial autonomy with federal guidance (Michaud, 2021).</w:t>
      </w:r>
    </w:p>
    <w:p w14:paraId="44282FC5" w14:textId="4F613C3B" w:rsidR="00931F1C" w:rsidRPr="00E01AB8" w:rsidRDefault="00AA5B84" w:rsidP="00D445DC">
      <w:pPr>
        <w:spacing w:line="360" w:lineRule="auto"/>
        <w:jc w:val="both"/>
        <w:rPr>
          <w:rFonts w:ascii="Arial" w:hAnsi="Arial" w:cs="Arial"/>
        </w:rPr>
      </w:pPr>
      <w:r w:rsidRPr="00AA5B84">
        <w:rPr>
          <w:rFonts w:ascii="Arial" w:hAnsi="Arial" w:cs="Arial"/>
        </w:rPr>
        <w:t>Leadership also played a pivotal role in shaping public compliance, crisis management, and vaccination rollout effectiveness</w:t>
      </w:r>
      <w:r w:rsidRPr="00E01AB8">
        <w:rPr>
          <w:rFonts w:ascii="Arial" w:hAnsi="Arial" w:cs="Arial"/>
        </w:rPr>
        <w:t xml:space="preserve"> (Thakur et al., 2019)</w:t>
      </w:r>
      <w:r w:rsidRPr="00AA5B84">
        <w:rPr>
          <w:rFonts w:ascii="Arial" w:hAnsi="Arial" w:cs="Arial"/>
        </w:rPr>
        <w:t>. The study, therefore, examines the leadership approaches of the three countries’ heads</w:t>
      </w:r>
      <w:r w:rsidRPr="00E01AB8">
        <w:rPr>
          <w:rFonts w:ascii="Arial" w:hAnsi="Arial" w:cs="Arial"/>
        </w:rPr>
        <w:t xml:space="preserve">, </w:t>
      </w:r>
      <w:r w:rsidRPr="00AA5B84">
        <w:rPr>
          <w:rFonts w:ascii="Arial" w:hAnsi="Arial" w:cs="Arial"/>
        </w:rPr>
        <w:t>Sánchez of Spain, Moon Jae-in of South Korea, and Justin Trudeau of Canada</w:t>
      </w:r>
      <w:r w:rsidRPr="00E01AB8">
        <w:rPr>
          <w:rFonts w:ascii="Arial" w:hAnsi="Arial" w:cs="Arial"/>
        </w:rPr>
        <w:t xml:space="preserve">, </w:t>
      </w:r>
      <w:r w:rsidRPr="00AA5B84">
        <w:rPr>
          <w:rFonts w:ascii="Arial" w:hAnsi="Arial" w:cs="Arial"/>
        </w:rPr>
        <w:t>highlighting how political culture and decision-making styles influenced pandemic outcomes. By analysing these dynamics, the report provides critical insights into how governance structures and leadership effectiveness determine resilience in global health emergencies.</w:t>
      </w:r>
    </w:p>
    <w:p w14:paraId="0245165D" w14:textId="73BCC807" w:rsidR="00931F1C" w:rsidRPr="00E01AB8" w:rsidRDefault="00931F1C" w:rsidP="00D445DC">
      <w:pPr>
        <w:pStyle w:val="Heading1"/>
        <w:jc w:val="both"/>
        <w:rPr>
          <w:rFonts w:cs="Arial"/>
          <w:sz w:val="24"/>
          <w:szCs w:val="24"/>
        </w:rPr>
      </w:pPr>
      <w:bookmarkStart w:id="2" w:name="_Toc214168832"/>
      <w:r w:rsidRPr="00E01AB8">
        <w:rPr>
          <w:rFonts w:cs="Arial"/>
          <w:sz w:val="24"/>
          <w:szCs w:val="24"/>
        </w:rPr>
        <w:t>2.1 Spain: Centralised and Decentralised Approaches to the COVID-19 Pandemic</w:t>
      </w:r>
      <w:bookmarkEnd w:id="2"/>
      <w:r w:rsidRPr="00E01AB8">
        <w:rPr>
          <w:rFonts w:cs="Arial"/>
          <w:sz w:val="24"/>
          <w:szCs w:val="24"/>
        </w:rPr>
        <w:t xml:space="preserve"> </w:t>
      </w:r>
    </w:p>
    <w:p w14:paraId="2F77A83B" w14:textId="61221642" w:rsidR="00931F1C" w:rsidRPr="00E01AB8" w:rsidRDefault="00931F1C" w:rsidP="00D445DC">
      <w:pPr>
        <w:pStyle w:val="Heading2"/>
        <w:jc w:val="both"/>
        <w:rPr>
          <w:rFonts w:cs="Arial"/>
        </w:rPr>
      </w:pPr>
      <w:bookmarkStart w:id="3" w:name="_Toc214168833"/>
      <w:r w:rsidRPr="00E01AB8">
        <w:rPr>
          <w:rFonts w:eastAsiaTheme="majorEastAsia" w:cs="Arial"/>
        </w:rPr>
        <w:t>2.1.1 Overview of Spain’s Healthcare System and Pandemic Response</w:t>
      </w:r>
      <w:bookmarkEnd w:id="3"/>
      <w:r w:rsidRPr="00E01AB8">
        <w:rPr>
          <w:rFonts w:eastAsiaTheme="majorEastAsia" w:cs="Arial"/>
        </w:rPr>
        <w:t xml:space="preserve"> </w:t>
      </w:r>
    </w:p>
    <w:p w14:paraId="57CCE295" w14:textId="14E60BFA" w:rsidR="00AF17F3" w:rsidRPr="00E01AB8" w:rsidRDefault="00931F1C" w:rsidP="00AF17F3">
      <w:pPr>
        <w:spacing w:line="360" w:lineRule="auto"/>
        <w:jc w:val="both"/>
        <w:rPr>
          <w:rFonts w:ascii="Arial" w:hAnsi="Arial" w:cs="Arial"/>
        </w:rPr>
      </w:pPr>
      <w:r w:rsidRPr="00E01AB8">
        <w:rPr>
          <w:rFonts w:ascii="Arial" w:hAnsi="Arial" w:cs="Arial"/>
        </w:rPr>
        <w:t>Spain’s healthcare system is a decentralised national health system (Sistema Nacional de Salud – SNS), characterised by the division of powers between the central government and the 17 autonomous communities (regions)</w:t>
      </w:r>
      <w:r w:rsidR="009B4AC4" w:rsidRPr="00E01AB8">
        <w:rPr>
          <w:rFonts w:ascii="Arial" w:hAnsi="Arial" w:cs="Arial"/>
        </w:rPr>
        <w:t xml:space="preserve"> (</w:t>
      </w:r>
      <w:proofErr w:type="spellStart"/>
      <w:r w:rsidR="009B4AC4" w:rsidRPr="00E01AB8">
        <w:rPr>
          <w:rFonts w:ascii="Arial" w:hAnsi="Arial" w:cs="Arial"/>
          <w:lang w:eastAsia="en-GB"/>
        </w:rPr>
        <w:t>Caldés</w:t>
      </w:r>
      <w:proofErr w:type="spellEnd"/>
      <w:r w:rsidR="009B4AC4" w:rsidRPr="00E01AB8">
        <w:rPr>
          <w:rFonts w:ascii="Arial" w:hAnsi="Arial" w:cs="Arial"/>
          <w:lang w:eastAsia="en-GB"/>
        </w:rPr>
        <w:t xml:space="preserve"> et al., 2022)</w:t>
      </w:r>
      <w:r w:rsidRPr="00E01AB8">
        <w:rPr>
          <w:rFonts w:ascii="Arial" w:hAnsi="Arial" w:cs="Arial"/>
        </w:rPr>
        <w:t>. The system is publicly funded through general taxation and guarantees universal health coverage to all residents</w:t>
      </w:r>
      <w:r w:rsidR="00A526B5" w:rsidRPr="00E01AB8">
        <w:rPr>
          <w:rFonts w:ascii="Arial" w:hAnsi="Arial" w:cs="Arial"/>
        </w:rPr>
        <w:t xml:space="preserve"> (Hernández-Moreno and </w:t>
      </w:r>
      <w:proofErr w:type="spellStart"/>
      <w:r w:rsidR="00A526B5" w:rsidRPr="00E01AB8">
        <w:rPr>
          <w:rFonts w:ascii="Arial" w:hAnsi="Arial" w:cs="Arial"/>
        </w:rPr>
        <w:t>Harguindéguy</w:t>
      </w:r>
      <w:proofErr w:type="spellEnd"/>
      <w:r w:rsidR="00A526B5" w:rsidRPr="00E01AB8">
        <w:rPr>
          <w:rFonts w:ascii="Arial" w:hAnsi="Arial" w:cs="Arial"/>
        </w:rPr>
        <w:t>, 2024)</w:t>
      </w:r>
      <w:r w:rsidRPr="00E01AB8">
        <w:rPr>
          <w:rFonts w:ascii="Arial" w:hAnsi="Arial" w:cs="Arial"/>
        </w:rPr>
        <w:t xml:space="preserve">. While the Ministry of Health provides national coordination, policy guidance, and regulation, </w:t>
      </w:r>
      <w:r w:rsidRPr="00E01AB8">
        <w:rPr>
          <w:rFonts w:ascii="Arial" w:hAnsi="Arial" w:cs="Arial"/>
        </w:rPr>
        <w:lastRenderedPageBreak/>
        <w:t>regional governments have significant autonomy over service delivery, hospital management, and human resource allocation</w:t>
      </w:r>
      <w:r w:rsidR="00DC624D" w:rsidRPr="00E01AB8">
        <w:rPr>
          <w:rFonts w:ascii="Arial" w:hAnsi="Arial" w:cs="Arial"/>
        </w:rPr>
        <w:t xml:space="preserve"> (Antonini et al., 2022)</w:t>
      </w:r>
      <w:r w:rsidRPr="00E01AB8">
        <w:rPr>
          <w:rFonts w:ascii="Arial" w:hAnsi="Arial" w:cs="Arial"/>
        </w:rPr>
        <w:t>. This structure reflects Spain’s broader political commitment to regional autonomy, a model established following the post-Franco democratic transition</w:t>
      </w:r>
      <w:r w:rsidR="00DC624D" w:rsidRPr="00E01AB8">
        <w:rPr>
          <w:rFonts w:ascii="Arial" w:hAnsi="Arial" w:cs="Arial"/>
        </w:rPr>
        <w:t xml:space="preserve"> (</w:t>
      </w:r>
      <w:proofErr w:type="spellStart"/>
      <w:r w:rsidR="00DC624D" w:rsidRPr="00E01AB8">
        <w:rPr>
          <w:rFonts w:ascii="Arial" w:hAnsi="Arial" w:cs="Arial"/>
          <w:lang w:eastAsia="en-GB"/>
        </w:rPr>
        <w:t>Caldés</w:t>
      </w:r>
      <w:proofErr w:type="spellEnd"/>
      <w:r w:rsidR="00DC624D" w:rsidRPr="00E01AB8">
        <w:rPr>
          <w:rFonts w:ascii="Arial" w:hAnsi="Arial" w:cs="Arial"/>
          <w:lang w:eastAsia="en-GB"/>
        </w:rPr>
        <w:t xml:space="preserve"> et al., 2022)</w:t>
      </w:r>
      <w:r w:rsidRPr="00E01AB8">
        <w:rPr>
          <w:rFonts w:ascii="Arial" w:hAnsi="Arial" w:cs="Arial"/>
        </w:rPr>
        <w:t>.</w:t>
      </w:r>
    </w:p>
    <w:p w14:paraId="6A1D614B" w14:textId="77777777" w:rsidR="00AF17F3" w:rsidRPr="00E01AB8" w:rsidRDefault="00AF17F3" w:rsidP="00AF17F3">
      <w:pPr>
        <w:spacing w:line="360" w:lineRule="auto"/>
        <w:jc w:val="both"/>
        <w:rPr>
          <w:rFonts w:ascii="Arial" w:hAnsi="Arial" w:cs="Arial"/>
        </w:rPr>
      </w:pPr>
      <w:r w:rsidRPr="00E01AB8">
        <w:rPr>
          <w:rFonts w:ascii="Arial" w:hAnsi="Arial" w:cs="Arial"/>
          <w:noProof/>
        </w:rPr>
        <w:drawing>
          <wp:inline distT="0" distB="0" distL="0" distR="0" wp14:anchorId="67F3F5A2" wp14:editId="152347FB">
            <wp:extent cx="5311140" cy="2148840"/>
            <wp:effectExtent l="0" t="0" r="3810" b="3810"/>
            <wp:docPr id="373951849" name="Picture 7" descr="Unlabell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Unlabell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1140" cy="2148840"/>
                    </a:xfrm>
                    <a:prstGeom prst="rect">
                      <a:avLst/>
                    </a:prstGeom>
                    <a:noFill/>
                    <a:ln>
                      <a:noFill/>
                    </a:ln>
                  </pic:spPr>
                </pic:pic>
              </a:graphicData>
            </a:graphic>
          </wp:inline>
        </w:drawing>
      </w:r>
    </w:p>
    <w:p w14:paraId="27E89D76" w14:textId="058D32E4" w:rsidR="006F502F" w:rsidRPr="00E01AB8" w:rsidRDefault="00AF17F3" w:rsidP="00AF17F3">
      <w:pPr>
        <w:spacing w:line="360" w:lineRule="auto"/>
        <w:jc w:val="center"/>
        <w:rPr>
          <w:rFonts w:ascii="Arial" w:hAnsi="Arial" w:cs="Arial"/>
        </w:rPr>
      </w:pPr>
      <w:r w:rsidRPr="00E01AB8">
        <w:rPr>
          <w:rFonts w:ascii="Arial" w:hAnsi="Arial" w:cs="Arial"/>
        </w:rPr>
        <w:t>(</w:t>
      </w:r>
      <w:proofErr w:type="spellStart"/>
      <w:r w:rsidRPr="00E01AB8">
        <w:rPr>
          <w:rFonts w:ascii="Arial" w:hAnsi="Arial" w:cs="Arial"/>
        </w:rPr>
        <w:t>Zubcoff</w:t>
      </w:r>
      <w:proofErr w:type="spellEnd"/>
      <w:r w:rsidRPr="00E01AB8">
        <w:rPr>
          <w:rFonts w:ascii="Arial" w:hAnsi="Arial" w:cs="Arial"/>
        </w:rPr>
        <w:t xml:space="preserve"> et al., 2023)</w:t>
      </w:r>
    </w:p>
    <w:p w14:paraId="7DE4550F" w14:textId="61A05238" w:rsidR="00931F1C" w:rsidRPr="00E01AB8" w:rsidRDefault="000926DA" w:rsidP="00D445DC">
      <w:pPr>
        <w:spacing w:line="360" w:lineRule="auto"/>
        <w:jc w:val="both"/>
        <w:rPr>
          <w:rFonts w:ascii="Arial" w:hAnsi="Arial" w:cs="Arial"/>
        </w:rPr>
      </w:pPr>
      <w:r w:rsidRPr="00E01AB8">
        <w:rPr>
          <w:rFonts w:ascii="Arial" w:hAnsi="Arial" w:cs="Arial"/>
        </w:rPr>
        <w:t>The image above visually summarises how Spain integrated open data sources, temporal analysis, and spatial mapping to monitor COVID-19 incidence during lockdown. It highlights the multi-step analytical process used by authorities and researchers to understand transmission patterns across regions (</w:t>
      </w:r>
      <w:proofErr w:type="spellStart"/>
      <w:r w:rsidRPr="00E01AB8">
        <w:rPr>
          <w:rFonts w:ascii="Arial" w:hAnsi="Arial" w:cs="Arial"/>
        </w:rPr>
        <w:t>Zubcoff</w:t>
      </w:r>
      <w:proofErr w:type="spellEnd"/>
      <w:r w:rsidRPr="00E01AB8">
        <w:rPr>
          <w:rFonts w:ascii="Arial" w:hAnsi="Arial" w:cs="Arial"/>
        </w:rPr>
        <w:t xml:space="preserve"> et al.,</w:t>
      </w:r>
      <w:r w:rsidR="00A97408" w:rsidRPr="00E01AB8">
        <w:rPr>
          <w:rFonts w:ascii="Arial" w:hAnsi="Arial" w:cs="Arial"/>
        </w:rPr>
        <w:t xml:space="preserve"> </w:t>
      </w:r>
      <w:r w:rsidRPr="00E01AB8">
        <w:rPr>
          <w:rFonts w:ascii="Arial" w:hAnsi="Arial" w:cs="Arial"/>
        </w:rPr>
        <w:t xml:space="preserve">2023). </w:t>
      </w:r>
      <w:r w:rsidR="00931F1C" w:rsidRPr="00E01AB8">
        <w:rPr>
          <w:rFonts w:ascii="Arial" w:hAnsi="Arial" w:cs="Arial"/>
        </w:rPr>
        <w:t>When COVID-19 struck in early 2020, Spain initially struggled to manage the crisis due to fragmented coordination among regions. The central government, under Prime Minister Pedro Sánchez, declared a state of alarm in March 2020, temporarily re-centralising authority to enforce uniform lockdowns, allocate medical resources, and coordinate nationwide testing</w:t>
      </w:r>
      <w:r w:rsidR="009C4C63" w:rsidRPr="00E01AB8">
        <w:rPr>
          <w:rFonts w:ascii="Arial" w:hAnsi="Arial" w:cs="Arial"/>
        </w:rPr>
        <w:t xml:space="preserve"> (Antonini et al., 2022)</w:t>
      </w:r>
      <w:r w:rsidR="00931F1C" w:rsidRPr="00E01AB8">
        <w:rPr>
          <w:rFonts w:ascii="Arial" w:hAnsi="Arial" w:cs="Arial"/>
        </w:rPr>
        <w:t>. This shift marked an unprecedented move in Spain’s otherwise decentralised system. After the first wave, however, the government gradually devolved control back to regional authorities, allowing them to determine restrictions, vaccination rollout logistics, and healthcare resource management</w:t>
      </w:r>
      <w:r w:rsidR="00DC624D" w:rsidRPr="00E01AB8">
        <w:rPr>
          <w:rFonts w:ascii="Arial" w:hAnsi="Arial" w:cs="Arial"/>
        </w:rPr>
        <w:t xml:space="preserve"> (Hernández-Moreno and </w:t>
      </w:r>
      <w:proofErr w:type="spellStart"/>
      <w:r w:rsidR="00DC624D" w:rsidRPr="00E01AB8">
        <w:rPr>
          <w:rFonts w:ascii="Arial" w:hAnsi="Arial" w:cs="Arial"/>
        </w:rPr>
        <w:t>Harguindéguy</w:t>
      </w:r>
      <w:proofErr w:type="spellEnd"/>
      <w:r w:rsidR="00DC624D" w:rsidRPr="00E01AB8">
        <w:rPr>
          <w:rFonts w:ascii="Arial" w:hAnsi="Arial" w:cs="Arial"/>
        </w:rPr>
        <w:t>, 2024)</w:t>
      </w:r>
      <w:r w:rsidR="00931F1C" w:rsidRPr="00E01AB8">
        <w:rPr>
          <w:rFonts w:ascii="Arial" w:hAnsi="Arial" w:cs="Arial"/>
        </w:rPr>
        <w:t>. Thus, Spain’s COVID-19 response oscillated between centralisation during crisis peaks and decentralisation during recovery phases, reflecting an adaptive, though often contested, governance strategy</w:t>
      </w:r>
      <w:r w:rsidR="00DC624D" w:rsidRPr="00E01AB8">
        <w:rPr>
          <w:rFonts w:ascii="Arial" w:hAnsi="Arial" w:cs="Arial"/>
        </w:rPr>
        <w:t xml:space="preserve"> (</w:t>
      </w:r>
      <w:proofErr w:type="spellStart"/>
      <w:r w:rsidR="00DC624D" w:rsidRPr="00E01AB8">
        <w:rPr>
          <w:rFonts w:ascii="Arial" w:hAnsi="Arial" w:cs="Arial"/>
          <w:lang w:eastAsia="en-GB"/>
        </w:rPr>
        <w:t>Caldés</w:t>
      </w:r>
      <w:proofErr w:type="spellEnd"/>
      <w:r w:rsidR="00DC624D" w:rsidRPr="00E01AB8">
        <w:rPr>
          <w:rFonts w:ascii="Arial" w:hAnsi="Arial" w:cs="Arial"/>
          <w:lang w:eastAsia="en-GB"/>
        </w:rPr>
        <w:t xml:space="preserve"> et al., 2022)</w:t>
      </w:r>
      <w:r w:rsidR="00931F1C" w:rsidRPr="00E01AB8">
        <w:rPr>
          <w:rFonts w:ascii="Arial" w:hAnsi="Arial" w:cs="Arial"/>
        </w:rPr>
        <w:t>.</w:t>
      </w:r>
    </w:p>
    <w:p w14:paraId="3BA02526" w14:textId="3FEA0031" w:rsidR="00931F1C" w:rsidRPr="00E01AB8" w:rsidRDefault="00931F1C" w:rsidP="00D445DC">
      <w:pPr>
        <w:pStyle w:val="Heading2"/>
        <w:jc w:val="both"/>
        <w:rPr>
          <w:rFonts w:cs="Arial"/>
        </w:rPr>
      </w:pPr>
      <w:bookmarkStart w:id="4" w:name="_Toc214168834"/>
      <w:r w:rsidRPr="00E01AB8">
        <w:rPr>
          <w:rFonts w:eastAsiaTheme="majorEastAsia" w:cs="Arial"/>
        </w:rPr>
        <w:lastRenderedPageBreak/>
        <w:t>2.1.2 Advantages of Spain’s Centralised and Decentralised Approaches</w:t>
      </w:r>
      <w:bookmarkEnd w:id="4"/>
      <w:r w:rsidRPr="00E01AB8">
        <w:rPr>
          <w:rFonts w:eastAsiaTheme="majorEastAsia" w:cs="Arial"/>
        </w:rPr>
        <w:t xml:space="preserve"> </w:t>
      </w:r>
    </w:p>
    <w:p w14:paraId="09BDF0A9" w14:textId="05021B24" w:rsidR="00931F1C" w:rsidRPr="00E01AB8" w:rsidRDefault="00931F1C" w:rsidP="00D445DC">
      <w:pPr>
        <w:spacing w:line="360" w:lineRule="auto"/>
        <w:jc w:val="both"/>
        <w:rPr>
          <w:rFonts w:ascii="Arial" w:hAnsi="Arial" w:cs="Arial"/>
        </w:rPr>
      </w:pPr>
      <w:r w:rsidRPr="00E01AB8">
        <w:rPr>
          <w:rFonts w:ascii="Arial" w:hAnsi="Arial" w:cs="Arial"/>
        </w:rPr>
        <w:t>Spain’s dual approach, centralising crisis management while preserving regional autonomy, offered several benefits. Initially, the centralisation of power under the state of alarm allowed for swift, uniform decision-making</w:t>
      </w:r>
      <w:r w:rsidR="00A50949" w:rsidRPr="00E01AB8">
        <w:rPr>
          <w:rFonts w:ascii="Arial" w:hAnsi="Arial" w:cs="Arial"/>
        </w:rPr>
        <w:t xml:space="preserve"> (Rallo et al., 2022)</w:t>
      </w:r>
      <w:r w:rsidRPr="00E01AB8">
        <w:rPr>
          <w:rFonts w:ascii="Arial" w:hAnsi="Arial" w:cs="Arial"/>
        </w:rPr>
        <w:t>. This was vital in curbing rapid virus transmission and preventing hospital system collapse, particularly in hard-hit regions such as Madrid and Catalonia</w:t>
      </w:r>
      <w:r w:rsidR="00B65269" w:rsidRPr="00E01AB8">
        <w:rPr>
          <w:rFonts w:ascii="Arial" w:hAnsi="Arial" w:cs="Arial"/>
        </w:rPr>
        <w:t xml:space="preserve"> (Díaz-Lanchas</w:t>
      </w:r>
      <w:r w:rsidR="001E5F5C" w:rsidRPr="00E01AB8">
        <w:rPr>
          <w:rFonts w:ascii="Arial" w:hAnsi="Arial" w:cs="Arial"/>
        </w:rPr>
        <w:t xml:space="preserve"> </w:t>
      </w:r>
      <w:r w:rsidR="00B65269" w:rsidRPr="00E01AB8">
        <w:rPr>
          <w:rFonts w:ascii="Arial" w:hAnsi="Arial" w:cs="Arial"/>
        </w:rPr>
        <w:t>and Mulder, 2021)</w:t>
      </w:r>
      <w:r w:rsidRPr="00E01AB8">
        <w:rPr>
          <w:rFonts w:ascii="Arial" w:hAnsi="Arial" w:cs="Arial"/>
        </w:rPr>
        <w:t>. Central authority enabled the government to standardise lockdown measures, implement national testing strategies, and coordinate emergency procurement of medical supplies</w:t>
      </w:r>
      <w:r w:rsidR="00E61A8C" w:rsidRPr="00E01AB8">
        <w:rPr>
          <w:rFonts w:ascii="Arial" w:hAnsi="Arial" w:cs="Arial"/>
        </w:rPr>
        <w:t xml:space="preserve"> (Haapala, 2024)</w:t>
      </w:r>
      <w:r w:rsidRPr="00E01AB8">
        <w:rPr>
          <w:rFonts w:ascii="Arial" w:hAnsi="Arial" w:cs="Arial"/>
        </w:rPr>
        <w:t>. These actions ensured equitable distribution of resources and reduced regional disparities in the early stages of the pandemic. Moreover, national coordination enhanced public communication, creating a unified message and minimising confusion across different regions</w:t>
      </w:r>
      <w:r w:rsidR="0091438A" w:rsidRPr="00E01AB8">
        <w:rPr>
          <w:rFonts w:ascii="Arial" w:hAnsi="Arial" w:cs="Arial"/>
        </w:rPr>
        <w:t xml:space="preserve"> (Rallo et al., 2022)</w:t>
      </w:r>
      <w:r w:rsidRPr="00E01AB8">
        <w:rPr>
          <w:rFonts w:ascii="Arial" w:hAnsi="Arial" w:cs="Arial"/>
        </w:rPr>
        <w:t>.</w:t>
      </w:r>
    </w:p>
    <w:p w14:paraId="0B9E8CEC" w14:textId="6A8A51D9" w:rsidR="00931F1C" w:rsidRPr="00E01AB8" w:rsidRDefault="00931F1C" w:rsidP="00D445DC">
      <w:pPr>
        <w:spacing w:line="360" w:lineRule="auto"/>
        <w:jc w:val="both"/>
        <w:rPr>
          <w:rFonts w:ascii="Arial" w:hAnsi="Arial" w:cs="Arial"/>
        </w:rPr>
      </w:pPr>
      <w:r w:rsidRPr="00E01AB8">
        <w:rPr>
          <w:rFonts w:ascii="Arial" w:hAnsi="Arial" w:cs="Arial"/>
        </w:rPr>
        <w:t>Once the immediate crisis stabilised, decentralisation reintroduced flexibility in policy implementation. Regional governments adapted measures to their local epidemiological conditions, economic structures, and social contexts</w:t>
      </w:r>
      <w:r w:rsidR="00426821" w:rsidRPr="00E01AB8">
        <w:rPr>
          <w:rFonts w:ascii="Arial" w:hAnsi="Arial" w:cs="Arial"/>
        </w:rPr>
        <w:t xml:space="preserve"> (Díaz-Lanchas and Mulder, 2021)</w:t>
      </w:r>
      <w:r w:rsidRPr="00E01AB8">
        <w:rPr>
          <w:rFonts w:ascii="Arial" w:hAnsi="Arial" w:cs="Arial"/>
        </w:rPr>
        <w:t>. For instance, some regions opted for differentiated mobility restrictions and vaccination strategies based on infection rates and population density. This flexibility proved beneficial in balancing health protection with economic sustainability</w:t>
      </w:r>
      <w:r w:rsidR="00817E31" w:rsidRPr="00E01AB8">
        <w:rPr>
          <w:rFonts w:ascii="Arial" w:hAnsi="Arial" w:cs="Arial"/>
        </w:rPr>
        <w:t xml:space="preserve"> (Haapala, 2024)</w:t>
      </w:r>
      <w:r w:rsidRPr="00E01AB8">
        <w:rPr>
          <w:rFonts w:ascii="Arial" w:hAnsi="Arial" w:cs="Arial"/>
        </w:rPr>
        <w:t>. Furthermore, regional governments utilised their existing community health infrastructures to reach vulnerable populations more effectively. In the vaccination phase, decentralisation facilitated rapid immunisation campaigns by leveraging regional data systems and local health networks</w:t>
      </w:r>
      <w:r w:rsidR="00426821" w:rsidRPr="00E01AB8">
        <w:rPr>
          <w:rFonts w:ascii="Arial" w:hAnsi="Arial" w:cs="Arial"/>
        </w:rPr>
        <w:t xml:space="preserve"> (Díaz-Lanchas and Mulder, 2021)</w:t>
      </w:r>
      <w:r w:rsidRPr="00E01AB8">
        <w:rPr>
          <w:rFonts w:ascii="Arial" w:hAnsi="Arial" w:cs="Arial"/>
        </w:rPr>
        <w:t>. Overall, Spain’s hybrid model of centralised crisis control and decentralised recovery management allowed for adaptability and responsiveness to local realities, reflecting a pragmatic governance balance during an evolving health emergency</w:t>
      </w:r>
      <w:r w:rsidR="006A3D81" w:rsidRPr="00E01AB8">
        <w:rPr>
          <w:rFonts w:ascii="Arial" w:hAnsi="Arial" w:cs="Arial"/>
        </w:rPr>
        <w:t xml:space="preserve"> (Haapala, 2024)</w:t>
      </w:r>
      <w:r w:rsidRPr="00E01AB8">
        <w:rPr>
          <w:rFonts w:ascii="Arial" w:hAnsi="Arial" w:cs="Arial"/>
        </w:rPr>
        <w:t>.</w:t>
      </w:r>
    </w:p>
    <w:p w14:paraId="7AC67A77" w14:textId="77777777" w:rsidR="00931F1C" w:rsidRPr="00E01AB8" w:rsidRDefault="00931F1C" w:rsidP="00D445DC">
      <w:pPr>
        <w:pStyle w:val="Heading2"/>
        <w:jc w:val="both"/>
        <w:rPr>
          <w:rFonts w:cs="Arial"/>
        </w:rPr>
      </w:pPr>
      <w:bookmarkStart w:id="5" w:name="_Toc214168835"/>
      <w:r w:rsidRPr="00E01AB8">
        <w:rPr>
          <w:rFonts w:eastAsiaTheme="majorEastAsia" w:cs="Arial"/>
        </w:rPr>
        <w:t>2.1.3 Disadvantages of Spain’s Centralised and Decentralised Approaches</w:t>
      </w:r>
      <w:bookmarkEnd w:id="5"/>
      <w:r w:rsidRPr="00E01AB8">
        <w:rPr>
          <w:rFonts w:eastAsiaTheme="majorEastAsia" w:cs="Arial"/>
        </w:rPr>
        <w:t xml:space="preserve"> </w:t>
      </w:r>
    </w:p>
    <w:p w14:paraId="3FAF595E" w14:textId="56F8D478" w:rsidR="00931F1C" w:rsidRPr="00E01AB8" w:rsidRDefault="00931F1C" w:rsidP="00D445DC">
      <w:pPr>
        <w:spacing w:line="360" w:lineRule="auto"/>
        <w:jc w:val="both"/>
        <w:rPr>
          <w:rFonts w:ascii="Arial" w:hAnsi="Arial" w:cs="Arial"/>
        </w:rPr>
      </w:pPr>
      <w:r w:rsidRPr="00E01AB8">
        <w:rPr>
          <w:rFonts w:ascii="Arial" w:hAnsi="Arial" w:cs="Arial"/>
        </w:rPr>
        <w:t>Despite its adaptive intent, Spain’s hybrid governance approach also exposed significant coordination and communication weaknesses. The initial centralisation under the state of alarm was criticised for creating bureaucratic bottlenecks and for limiting regional authorities’ ability to respond to local outbreaks effectively</w:t>
      </w:r>
      <w:r w:rsidR="00151F9C" w:rsidRPr="00E01AB8">
        <w:rPr>
          <w:rFonts w:ascii="Arial" w:hAnsi="Arial" w:cs="Arial"/>
        </w:rPr>
        <w:t xml:space="preserve"> (</w:t>
      </w:r>
      <w:r w:rsidR="00151F9C" w:rsidRPr="00E01AB8">
        <w:rPr>
          <w:rFonts w:ascii="Arial" w:hAnsi="Arial" w:cs="Arial"/>
          <w:lang w:eastAsia="en-GB"/>
        </w:rPr>
        <w:t>Lublin, 2025)</w:t>
      </w:r>
      <w:r w:rsidRPr="00E01AB8">
        <w:rPr>
          <w:rFonts w:ascii="Arial" w:hAnsi="Arial" w:cs="Arial"/>
        </w:rPr>
        <w:t xml:space="preserve">. The abrupt concentration of decision-making power in Madrid caused delays in </w:t>
      </w:r>
      <w:r w:rsidRPr="00E01AB8">
        <w:rPr>
          <w:rFonts w:ascii="Arial" w:hAnsi="Arial" w:cs="Arial"/>
        </w:rPr>
        <w:lastRenderedPageBreak/>
        <w:t>supply distribution and testing expansion, as national agencies became overwhelmed</w:t>
      </w:r>
      <w:r w:rsidR="008A08D4" w:rsidRPr="00E01AB8">
        <w:rPr>
          <w:rFonts w:ascii="Arial" w:hAnsi="Arial" w:cs="Arial"/>
        </w:rPr>
        <w:t xml:space="preserve"> (</w:t>
      </w:r>
      <w:proofErr w:type="spellStart"/>
      <w:r w:rsidR="008A08D4" w:rsidRPr="00E01AB8">
        <w:rPr>
          <w:rFonts w:ascii="Arial" w:hAnsi="Arial" w:cs="Arial"/>
          <w:lang w:eastAsia="en-GB"/>
        </w:rPr>
        <w:t>Fuentenebro</w:t>
      </w:r>
      <w:proofErr w:type="spellEnd"/>
      <w:r w:rsidR="008A08D4" w:rsidRPr="00E01AB8">
        <w:rPr>
          <w:rFonts w:ascii="Arial" w:hAnsi="Arial" w:cs="Arial"/>
          <w:lang w:eastAsia="en-GB"/>
        </w:rPr>
        <w:t>, 2022)</w:t>
      </w:r>
      <w:r w:rsidRPr="00E01AB8">
        <w:rPr>
          <w:rFonts w:ascii="Arial" w:hAnsi="Arial" w:cs="Arial"/>
        </w:rPr>
        <w:t>. Additionally, the lack of consistent data integration between central and regional health systems hindered real-time monitoring and epidemiological analysis. Regions often reported incomplete or delayed data, complicating national-level decision-making</w:t>
      </w:r>
      <w:r w:rsidR="0091438A" w:rsidRPr="00E01AB8">
        <w:rPr>
          <w:rFonts w:ascii="Arial" w:hAnsi="Arial" w:cs="Arial"/>
        </w:rPr>
        <w:t xml:space="preserve"> (Rallo et al., 2022)</w:t>
      </w:r>
      <w:r w:rsidRPr="00E01AB8">
        <w:rPr>
          <w:rFonts w:ascii="Arial" w:hAnsi="Arial" w:cs="Arial"/>
        </w:rPr>
        <w:t>.</w:t>
      </w:r>
    </w:p>
    <w:p w14:paraId="450434BA" w14:textId="7DC80399" w:rsidR="00931F1C" w:rsidRPr="00E01AB8" w:rsidRDefault="00931F1C" w:rsidP="00D445DC">
      <w:pPr>
        <w:spacing w:line="360" w:lineRule="auto"/>
        <w:jc w:val="both"/>
        <w:rPr>
          <w:rFonts w:ascii="Arial" w:hAnsi="Arial" w:cs="Arial"/>
        </w:rPr>
      </w:pPr>
      <w:r w:rsidRPr="00E01AB8">
        <w:rPr>
          <w:rFonts w:ascii="Arial" w:hAnsi="Arial" w:cs="Arial"/>
        </w:rPr>
        <w:t>When powers were later devolved, decentralisation revealed disparities in capacity, resources, and leadership among the autonomous communities</w:t>
      </w:r>
      <w:r w:rsidR="002207E6" w:rsidRPr="00E01AB8">
        <w:rPr>
          <w:rFonts w:ascii="Arial" w:hAnsi="Arial" w:cs="Arial"/>
        </w:rPr>
        <w:t xml:space="preserve"> (</w:t>
      </w:r>
      <w:r w:rsidR="002207E6" w:rsidRPr="00E01AB8">
        <w:rPr>
          <w:rFonts w:ascii="Arial" w:hAnsi="Arial" w:cs="Arial"/>
          <w:lang w:eastAsia="en-GB"/>
        </w:rPr>
        <w:t>Lublin, 2025)</w:t>
      </w:r>
      <w:r w:rsidRPr="00E01AB8">
        <w:rPr>
          <w:rFonts w:ascii="Arial" w:hAnsi="Arial" w:cs="Arial"/>
        </w:rPr>
        <w:t>. Wealthier regions such as Catalonia and Madrid were better equipped to manage healthcare surges, while poorer regions faced shortages in testing, ICU capacity, and workforce availability. The absence of a unified national digital health infrastructure also impeded cross-regional coordination during vaccination rollout</w:t>
      </w:r>
      <w:r w:rsidR="0091438A" w:rsidRPr="00E01AB8">
        <w:rPr>
          <w:rFonts w:ascii="Arial" w:hAnsi="Arial" w:cs="Arial"/>
        </w:rPr>
        <w:t xml:space="preserve"> (Rallo et al., 2022)</w:t>
      </w:r>
      <w:r w:rsidRPr="00E01AB8">
        <w:rPr>
          <w:rFonts w:ascii="Arial" w:hAnsi="Arial" w:cs="Arial"/>
        </w:rPr>
        <w:t>. Moreover, political tensions between the central government and regional administrations, particularly in Catalonia and Madrid</w:t>
      </w:r>
      <w:r w:rsidR="00B855AA" w:rsidRPr="00E01AB8">
        <w:rPr>
          <w:rFonts w:ascii="Arial" w:hAnsi="Arial" w:cs="Arial"/>
        </w:rPr>
        <w:t xml:space="preserve">, </w:t>
      </w:r>
      <w:r w:rsidRPr="00E01AB8">
        <w:rPr>
          <w:rFonts w:ascii="Arial" w:hAnsi="Arial" w:cs="Arial"/>
        </w:rPr>
        <w:t>hampered collaborative decision-making and led to inconsistent measures across territories</w:t>
      </w:r>
      <w:r w:rsidR="002207E6" w:rsidRPr="00E01AB8">
        <w:rPr>
          <w:rFonts w:ascii="Arial" w:hAnsi="Arial" w:cs="Arial"/>
        </w:rPr>
        <w:t xml:space="preserve"> (Díaz-Lanchas and Mulder, 2021)</w:t>
      </w:r>
      <w:r w:rsidRPr="00E01AB8">
        <w:rPr>
          <w:rFonts w:ascii="Arial" w:hAnsi="Arial" w:cs="Arial"/>
        </w:rPr>
        <w:t>. Public trust suffered as citizens perceived unequal or contradictory restrictions between neighbouring regions</w:t>
      </w:r>
      <w:r w:rsidR="006A3D81" w:rsidRPr="00E01AB8">
        <w:rPr>
          <w:rFonts w:ascii="Arial" w:hAnsi="Arial" w:cs="Arial"/>
        </w:rPr>
        <w:t xml:space="preserve"> (</w:t>
      </w:r>
      <w:proofErr w:type="spellStart"/>
      <w:r w:rsidR="006A3D81" w:rsidRPr="00E01AB8">
        <w:rPr>
          <w:rFonts w:ascii="Arial" w:hAnsi="Arial" w:cs="Arial"/>
          <w:lang w:eastAsia="en-GB"/>
        </w:rPr>
        <w:t>Fuentenebro</w:t>
      </w:r>
      <w:proofErr w:type="spellEnd"/>
      <w:r w:rsidR="006A3D81" w:rsidRPr="00E01AB8">
        <w:rPr>
          <w:rFonts w:ascii="Arial" w:hAnsi="Arial" w:cs="Arial"/>
          <w:lang w:eastAsia="en-GB"/>
        </w:rPr>
        <w:t>, 2022</w:t>
      </w:r>
      <w:r w:rsidR="001565A7" w:rsidRPr="00E01AB8">
        <w:rPr>
          <w:rFonts w:ascii="Arial" w:hAnsi="Arial" w:cs="Arial"/>
          <w:lang w:eastAsia="en-GB"/>
        </w:rPr>
        <w:t>)</w:t>
      </w:r>
      <w:r w:rsidRPr="00E01AB8">
        <w:rPr>
          <w:rFonts w:ascii="Arial" w:hAnsi="Arial" w:cs="Arial"/>
        </w:rPr>
        <w:t>.</w:t>
      </w:r>
    </w:p>
    <w:p w14:paraId="260F87BA" w14:textId="2BEE4CA3" w:rsidR="000232B3" w:rsidRPr="00E01AB8" w:rsidRDefault="00931F1C" w:rsidP="00D445DC">
      <w:pPr>
        <w:spacing w:line="360" w:lineRule="auto"/>
        <w:jc w:val="both"/>
        <w:rPr>
          <w:rFonts w:ascii="Arial" w:hAnsi="Arial" w:cs="Arial"/>
        </w:rPr>
      </w:pPr>
      <w:r w:rsidRPr="00E01AB8">
        <w:rPr>
          <w:rFonts w:ascii="Arial" w:hAnsi="Arial" w:cs="Arial"/>
        </w:rPr>
        <w:t>These governance fractures ultimately affected health outcomes, with Spain recording one of the highest COVID-19 mortality rates in Europe during the first wave</w:t>
      </w:r>
      <w:r w:rsidR="002207E6" w:rsidRPr="00E01AB8">
        <w:rPr>
          <w:rFonts w:ascii="Arial" w:hAnsi="Arial" w:cs="Arial"/>
        </w:rPr>
        <w:t xml:space="preserve"> (</w:t>
      </w:r>
      <w:r w:rsidR="002207E6" w:rsidRPr="00E01AB8">
        <w:rPr>
          <w:rFonts w:ascii="Arial" w:hAnsi="Arial" w:cs="Arial"/>
          <w:lang w:eastAsia="en-GB"/>
        </w:rPr>
        <w:t>Lublin, 2025)</w:t>
      </w:r>
      <w:r w:rsidRPr="00E01AB8">
        <w:rPr>
          <w:rFonts w:ascii="Arial" w:hAnsi="Arial" w:cs="Arial"/>
        </w:rPr>
        <w:t>. While centralisation provided short-term control, it undermined local responsiveness, and subsequent decentralisation introduced inconsistency in enforcement</w:t>
      </w:r>
      <w:r w:rsidR="00D744C2" w:rsidRPr="00E01AB8">
        <w:rPr>
          <w:rFonts w:ascii="Arial" w:hAnsi="Arial" w:cs="Arial"/>
        </w:rPr>
        <w:t xml:space="preserve"> (Díaz-Lanchas and Mulder, 2021)</w:t>
      </w:r>
      <w:r w:rsidRPr="00E01AB8">
        <w:rPr>
          <w:rFonts w:ascii="Arial" w:hAnsi="Arial" w:cs="Arial"/>
        </w:rPr>
        <w:t>. The Spanish case illustrates the trade-off between national uniformity and regional flexibility, where neither extreme ensured optimal results</w:t>
      </w:r>
      <w:r w:rsidR="0073296C" w:rsidRPr="00E01AB8">
        <w:rPr>
          <w:rFonts w:ascii="Arial" w:hAnsi="Arial" w:cs="Arial"/>
        </w:rPr>
        <w:t xml:space="preserve"> (</w:t>
      </w:r>
      <w:r w:rsidR="0073296C" w:rsidRPr="00E01AB8">
        <w:rPr>
          <w:rFonts w:ascii="Arial" w:hAnsi="Arial" w:cs="Arial"/>
          <w:lang w:eastAsia="en-GB"/>
        </w:rPr>
        <w:t>Lublin, 2025)</w:t>
      </w:r>
      <w:r w:rsidRPr="00E01AB8">
        <w:rPr>
          <w:rFonts w:ascii="Arial" w:hAnsi="Arial" w:cs="Arial"/>
        </w:rPr>
        <w:t>. A more integrated framework, combining robust national coordination mechanisms with empowered regional health governance, may have improved both the efficiency and equity of Spain’s pandemic response</w:t>
      </w:r>
      <w:r w:rsidR="00D744C2" w:rsidRPr="00E01AB8">
        <w:rPr>
          <w:rFonts w:ascii="Arial" w:hAnsi="Arial" w:cs="Arial"/>
        </w:rPr>
        <w:t xml:space="preserve"> (Rallo et al., 2022)</w:t>
      </w:r>
      <w:r w:rsidRPr="00E01AB8">
        <w:rPr>
          <w:rFonts w:ascii="Arial" w:hAnsi="Arial" w:cs="Arial"/>
        </w:rPr>
        <w:t>.</w:t>
      </w:r>
    </w:p>
    <w:p w14:paraId="4109609E" w14:textId="3F24A5A7" w:rsidR="006F502F" w:rsidRPr="00E01AB8" w:rsidRDefault="006F502F" w:rsidP="006F502F">
      <w:pPr>
        <w:pStyle w:val="Heading1"/>
        <w:jc w:val="both"/>
        <w:rPr>
          <w:rFonts w:cs="Arial"/>
          <w:sz w:val="24"/>
          <w:szCs w:val="24"/>
        </w:rPr>
      </w:pPr>
      <w:bookmarkStart w:id="6" w:name="_Toc214168836"/>
      <w:r w:rsidRPr="00E01AB8">
        <w:rPr>
          <w:rFonts w:cs="Arial"/>
          <w:sz w:val="24"/>
          <w:szCs w:val="24"/>
        </w:rPr>
        <w:t>2.2 South Korea: Centralised and Decentralised Approaches to the COVID-19 Pandemic</w:t>
      </w:r>
      <w:bookmarkEnd w:id="6"/>
      <w:r w:rsidRPr="00E01AB8">
        <w:rPr>
          <w:rFonts w:cs="Arial"/>
          <w:sz w:val="24"/>
          <w:szCs w:val="24"/>
        </w:rPr>
        <w:t xml:space="preserve"> </w:t>
      </w:r>
    </w:p>
    <w:p w14:paraId="13A5E8A3" w14:textId="5182F360" w:rsidR="00902B36" w:rsidRPr="00902B36" w:rsidRDefault="00902B36" w:rsidP="00902B36">
      <w:pPr>
        <w:spacing w:line="360" w:lineRule="auto"/>
        <w:jc w:val="both"/>
        <w:rPr>
          <w:rFonts w:ascii="Arial" w:hAnsi="Arial" w:cs="Arial"/>
          <w:b/>
          <w:bCs/>
        </w:rPr>
      </w:pPr>
      <w:r w:rsidRPr="00902B36">
        <w:rPr>
          <w:rFonts w:ascii="Arial" w:hAnsi="Arial" w:cs="Arial"/>
          <w:b/>
          <w:bCs/>
        </w:rPr>
        <w:t xml:space="preserve">2.2.1 Overview of South Korea’s Healthcare System and Pandemic Response </w:t>
      </w:r>
    </w:p>
    <w:p w14:paraId="5EDA658B" w14:textId="0ED31A71" w:rsidR="00902B36" w:rsidRPr="00E01AB8" w:rsidRDefault="00902B36" w:rsidP="00902B36">
      <w:pPr>
        <w:spacing w:line="360" w:lineRule="auto"/>
        <w:jc w:val="both"/>
        <w:rPr>
          <w:rFonts w:ascii="Arial" w:hAnsi="Arial" w:cs="Arial"/>
        </w:rPr>
      </w:pPr>
      <w:r w:rsidRPr="00902B36">
        <w:rPr>
          <w:rFonts w:ascii="Arial" w:hAnsi="Arial" w:cs="Arial"/>
        </w:rPr>
        <w:t xml:space="preserve">South Korea’s healthcare system operates through a hybrid of centralised governance and decentralised service delivery. At the national level, the Ministry of Health and Welfare (MOHW) oversees regulatory frameworks, health financing, infectious </w:t>
      </w:r>
      <w:r w:rsidRPr="00902B36">
        <w:rPr>
          <w:rFonts w:ascii="Arial" w:hAnsi="Arial" w:cs="Arial"/>
        </w:rPr>
        <w:lastRenderedPageBreak/>
        <w:t>disease management, and national health insurance</w:t>
      </w:r>
      <w:r w:rsidR="004B050F" w:rsidRPr="00E01AB8">
        <w:rPr>
          <w:rFonts w:ascii="Arial" w:hAnsi="Arial" w:cs="Arial"/>
        </w:rPr>
        <w:t xml:space="preserve"> (Kim et al., 2021)</w:t>
      </w:r>
      <w:r w:rsidRPr="00902B36">
        <w:rPr>
          <w:rFonts w:ascii="Arial" w:hAnsi="Arial" w:cs="Arial"/>
        </w:rPr>
        <w:t>. The Korea Disease Control and Prevention Agency (KDCA), formerly KCDC, serves as the central epidemiological authority responsible for surveillance, guidelines, and nationwide coordination</w:t>
      </w:r>
      <w:r w:rsidR="002822AC" w:rsidRPr="00E01AB8">
        <w:rPr>
          <w:rFonts w:ascii="Arial" w:hAnsi="Arial" w:cs="Arial"/>
        </w:rPr>
        <w:t xml:space="preserve"> (</w:t>
      </w:r>
      <w:r w:rsidR="002822AC" w:rsidRPr="00E01AB8">
        <w:rPr>
          <w:rFonts w:ascii="Arial" w:hAnsi="Arial" w:cs="Arial"/>
          <w:lang w:eastAsia="en-GB"/>
        </w:rPr>
        <w:t>Yuan, 2021)</w:t>
      </w:r>
      <w:r w:rsidRPr="00902B36">
        <w:rPr>
          <w:rFonts w:ascii="Arial" w:hAnsi="Arial" w:cs="Arial"/>
        </w:rPr>
        <w:t>. At the same time, healthcare delivery remains largely decentralised, with local governments managing public health centres, hospitals operating independently, and private providers delivering the majority of clinical services. This dual structure allows strong national policy direction while relying on local-level implementation for rapid, context-specific decision-making</w:t>
      </w:r>
      <w:r w:rsidR="002F3255" w:rsidRPr="00E01AB8">
        <w:rPr>
          <w:rFonts w:ascii="Arial" w:hAnsi="Arial" w:cs="Arial"/>
        </w:rPr>
        <w:t xml:space="preserve"> (Kim et al., 2021)</w:t>
      </w:r>
      <w:r w:rsidRPr="00902B36">
        <w:rPr>
          <w:rFonts w:ascii="Arial" w:hAnsi="Arial" w:cs="Arial"/>
        </w:rPr>
        <w:t>.</w:t>
      </w:r>
    </w:p>
    <w:p w14:paraId="054C277B" w14:textId="5D1E5519" w:rsidR="00DD4488" w:rsidRPr="00E01AB8" w:rsidRDefault="00DD4488" w:rsidP="00902B36">
      <w:pPr>
        <w:spacing w:line="360" w:lineRule="auto"/>
        <w:jc w:val="both"/>
        <w:rPr>
          <w:rFonts w:ascii="Arial" w:hAnsi="Arial" w:cs="Arial"/>
        </w:rPr>
      </w:pPr>
      <w:r w:rsidRPr="00E01AB8">
        <w:rPr>
          <w:rFonts w:ascii="Arial" w:hAnsi="Arial" w:cs="Arial"/>
          <w:noProof/>
        </w:rPr>
        <w:drawing>
          <wp:inline distT="0" distB="0" distL="0" distR="0" wp14:anchorId="6077C226" wp14:editId="02317283">
            <wp:extent cx="5798820" cy="3337560"/>
            <wp:effectExtent l="0" t="0" r="0" b="0"/>
            <wp:docPr id="350000272" name="Picture 6" descr="Covid 01 00026 g001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ovid 01 00026 g001 5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01821" cy="3339287"/>
                    </a:xfrm>
                    <a:prstGeom prst="rect">
                      <a:avLst/>
                    </a:prstGeom>
                    <a:noFill/>
                    <a:ln>
                      <a:noFill/>
                    </a:ln>
                  </pic:spPr>
                </pic:pic>
              </a:graphicData>
            </a:graphic>
          </wp:inline>
        </w:drawing>
      </w:r>
    </w:p>
    <w:p w14:paraId="27B0F89C" w14:textId="657D648B" w:rsidR="00DD4488" w:rsidRPr="00902B36" w:rsidRDefault="00DD4488" w:rsidP="00FC08A7">
      <w:pPr>
        <w:spacing w:line="360" w:lineRule="auto"/>
        <w:jc w:val="center"/>
        <w:rPr>
          <w:rFonts w:ascii="Arial" w:hAnsi="Arial" w:cs="Arial"/>
        </w:rPr>
      </w:pPr>
      <w:r w:rsidRPr="00E01AB8">
        <w:rPr>
          <w:rFonts w:ascii="Arial" w:hAnsi="Arial" w:cs="Arial"/>
        </w:rPr>
        <w:t>(Majeed, 2021)</w:t>
      </w:r>
    </w:p>
    <w:p w14:paraId="7B766567" w14:textId="1B6005D7" w:rsidR="00902B36" w:rsidRPr="00902B36" w:rsidRDefault="00EC4F79" w:rsidP="00902B36">
      <w:pPr>
        <w:spacing w:line="360" w:lineRule="auto"/>
        <w:jc w:val="both"/>
        <w:rPr>
          <w:rFonts w:ascii="Arial" w:hAnsi="Arial" w:cs="Arial"/>
        </w:rPr>
      </w:pPr>
      <w:r w:rsidRPr="00EC4F79">
        <w:rPr>
          <w:rFonts w:ascii="Arial" w:hAnsi="Arial" w:cs="Arial"/>
        </w:rPr>
        <w:t>The image above visualises South Korea’s COVID-19 case and testing data, highlighting the country’s large-scale screening capacity and low positivity rate. It illustrates how centralised data reporting supported transparent communication and real-time monitoring</w:t>
      </w:r>
      <w:r w:rsidRPr="00E01AB8">
        <w:rPr>
          <w:rFonts w:ascii="Arial" w:hAnsi="Arial" w:cs="Arial"/>
        </w:rPr>
        <w:t xml:space="preserve"> (Majeed, 2021). </w:t>
      </w:r>
      <w:r w:rsidR="00902B36" w:rsidRPr="00902B36">
        <w:rPr>
          <w:rFonts w:ascii="Arial" w:hAnsi="Arial" w:cs="Arial"/>
        </w:rPr>
        <w:t>During the COVID-19 pandemic, South Korea applied its centralised–decentralised model to achieve a coordinated yet flexible response</w:t>
      </w:r>
      <w:r w:rsidR="002F3255" w:rsidRPr="00E01AB8">
        <w:rPr>
          <w:rFonts w:ascii="Arial" w:hAnsi="Arial" w:cs="Arial"/>
        </w:rPr>
        <w:t xml:space="preserve"> (Osewe, 2021)</w:t>
      </w:r>
      <w:r w:rsidR="00902B36" w:rsidRPr="00902B36">
        <w:rPr>
          <w:rFonts w:ascii="Arial" w:hAnsi="Arial" w:cs="Arial"/>
        </w:rPr>
        <w:t>. The central government issued unified testing, tracing, and quarantine protocols, implemented border controls, and ensured nationwide data integration</w:t>
      </w:r>
      <w:r w:rsidR="00FD5F1A" w:rsidRPr="00E01AB8">
        <w:rPr>
          <w:rFonts w:ascii="Arial" w:hAnsi="Arial" w:cs="Arial"/>
        </w:rPr>
        <w:t xml:space="preserve"> (Osewe, 2021)</w:t>
      </w:r>
      <w:r w:rsidR="00902B36" w:rsidRPr="00902B36">
        <w:rPr>
          <w:rFonts w:ascii="Arial" w:hAnsi="Arial" w:cs="Arial"/>
        </w:rPr>
        <w:t xml:space="preserve">. Simultaneously, municipal authorities adapted measures to local conditions, rapidly expanding testing sites, deploying community treatment </w:t>
      </w:r>
      <w:r w:rsidR="00902B36" w:rsidRPr="00902B36">
        <w:rPr>
          <w:rFonts w:ascii="Arial" w:hAnsi="Arial" w:cs="Arial"/>
        </w:rPr>
        <w:lastRenderedPageBreak/>
        <w:t>centres, and utilising local public health staff for contact tracing</w:t>
      </w:r>
      <w:r w:rsidR="00C70520" w:rsidRPr="00E01AB8">
        <w:rPr>
          <w:rFonts w:ascii="Arial" w:hAnsi="Arial" w:cs="Arial"/>
        </w:rPr>
        <w:t xml:space="preserve"> (</w:t>
      </w:r>
      <w:r w:rsidR="00C70520" w:rsidRPr="00E01AB8">
        <w:rPr>
          <w:rFonts w:ascii="Arial" w:hAnsi="Arial" w:cs="Arial"/>
          <w:lang w:eastAsia="en-GB"/>
        </w:rPr>
        <w:t>Jung, 2022)</w:t>
      </w:r>
      <w:r w:rsidR="00902B36" w:rsidRPr="00902B36">
        <w:rPr>
          <w:rFonts w:ascii="Arial" w:hAnsi="Arial" w:cs="Arial"/>
        </w:rPr>
        <w:t>. The fusion of central command with decentralised execution enabled the rapid rollout of innovative strategies like drive-through testing, real-time public information platforms, and smartphone-based alert systems</w:t>
      </w:r>
      <w:r w:rsidR="002F3255" w:rsidRPr="00E01AB8">
        <w:rPr>
          <w:rFonts w:ascii="Arial" w:hAnsi="Arial" w:cs="Arial"/>
        </w:rPr>
        <w:t xml:space="preserve"> (</w:t>
      </w:r>
      <w:r w:rsidR="002F3255" w:rsidRPr="00E01AB8">
        <w:rPr>
          <w:rFonts w:ascii="Arial" w:hAnsi="Arial" w:cs="Arial"/>
          <w:lang w:eastAsia="en-GB"/>
        </w:rPr>
        <w:t>Yuan, 2021)</w:t>
      </w:r>
      <w:r w:rsidR="00902B36" w:rsidRPr="00902B36">
        <w:rPr>
          <w:rFonts w:ascii="Arial" w:hAnsi="Arial" w:cs="Arial"/>
        </w:rPr>
        <w:t>. The pandemic response demonstrated how national standardisation combined with local autonomy could facilitate swift containment while maintaining healthcare continuity</w:t>
      </w:r>
      <w:r w:rsidR="001A1D8D" w:rsidRPr="00E01AB8">
        <w:rPr>
          <w:rFonts w:ascii="Arial" w:hAnsi="Arial" w:cs="Arial"/>
        </w:rPr>
        <w:t xml:space="preserve"> (</w:t>
      </w:r>
      <w:r w:rsidR="001A1D8D" w:rsidRPr="00E01AB8">
        <w:rPr>
          <w:rFonts w:ascii="Arial" w:hAnsi="Arial" w:cs="Arial"/>
          <w:lang w:eastAsia="en-GB"/>
        </w:rPr>
        <w:t>Yuan, 2021)</w:t>
      </w:r>
      <w:r w:rsidR="00902B36" w:rsidRPr="00902B36">
        <w:rPr>
          <w:rFonts w:ascii="Arial" w:hAnsi="Arial" w:cs="Arial"/>
        </w:rPr>
        <w:t>.</w:t>
      </w:r>
    </w:p>
    <w:p w14:paraId="5D99669D" w14:textId="4632FBCA" w:rsidR="00902B36" w:rsidRPr="00E01AB8" w:rsidRDefault="006F502F" w:rsidP="006F502F">
      <w:pPr>
        <w:pStyle w:val="Heading2"/>
        <w:rPr>
          <w:rFonts w:cs="Arial"/>
        </w:rPr>
      </w:pPr>
      <w:bookmarkStart w:id="7" w:name="_Toc214168837"/>
      <w:r w:rsidRPr="00E01AB8">
        <w:rPr>
          <w:rFonts w:cs="Arial"/>
        </w:rPr>
        <w:t xml:space="preserve">2.2.2 </w:t>
      </w:r>
      <w:r w:rsidR="00902B36" w:rsidRPr="00E01AB8">
        <w:rPr>
          <w:rFonts w:eastAsiaTheme="majorEastAsia" w:cs="Arial"/>
        </w:rPr>
        <w:t>Advantages of South Korea’s Centralised–Decentralised System During COVID-19</w:t>
      </w:r>
      <w:bookmarkEnd w:id="7"/>
      <w:r w:rsidR="00902B36" w:rsidRPr="00E01AB8">
        <w:rPr>
          <w:rFonts w:eastAsiaTheme="majorEastAsia" w:cs="Arial"/>
        </w:rPr>
        <w:t xml:space="preserve"> </w:t>
      </w:r>
    </w:p>
    <w:p w14:paraId="61028893" w14:textId="526CB7F9" w:rsidR="00902B36" w:rsidRPr="00902B36" w:rsidRDefault="00902B36" w:rsidP="00902B36">
      <w:pPr>
        <w:spacing w:line="360" w:lineRule="auto"/>
        <w:jc w:val="both"/>
        <w:rPr>
          <w:rFonts w:ascii="Arial" w:hAnsi="Arial" w:cs="Arial"/>
        </w:rPr>
      </w:pPr>
      <w:r w:rsidRPr="00902B36">
        <w:rPr>
          <w:rFonts w:ascii="Arial" w:hAnsi="Arial" w:cs="Arial"/>
        </w:rPr>
        <w:t>One major advantage was the efficiency of coordinated national leadership. With centralised policymaking, South Korea rapidly established uniform testing criteria, quarantine protocols, and reporting systems</w:t>
      </w:r>
      <w:r w:rsidR="002F3255" w:rsidRPr="00E01AB8">
        <w:rPr>
          <w:rFonts w:ascii="Arial" w:hAnsi="Arial" w:cs="Arial"/>
        </w:rPr>
        <w:t xml:space="preserve"> (</w:t>
      </w:r>
      <w:r w:rsidR="002F3255" w:rsidRPr="00E01AB8">
        <w:rPr>
          <w:rFonts w:ascii="Arial" w:hAnsi="Arial" w:cs="Arial"/>
          <w:lang w:eastAsia="en-GB"/>
        </w:rPr>
        <w:t>Yuan, 2021)</w:t>
      </w:r>
      <w:r w:rsidRPr="00902B36">
        <w:rPr>
          <w:rFonts w:ascii="Arial" w:hAnsi="Arial" w:cs="Arial"/>
        </w:rPr>
        <w:t>. This minimised confusion among healthcare providers, ensured consistent communication, and supported seamless data sharing across regions</w:t>
      </w:r>
      <w:r w:rsidR="002F3255" w:rsidRPr="00E01AB8">
        <w:rPr>
          <w:rFonts w:ascii="Arial" w:hAnsi="Arial" w:cs="Arial"/>
        </w:rPr>
        <w:t xml:space="preserve"> (</w:t>
      </w:r>
      <w:r w:rsidR="002F3255" w:rsidRPr="00E01AB8">
        <w:rPr>
          <w:rFonts w:ascii="Arial" w:hAnsi="Arial" w:cs="Arial"/>
          <w:lang w:eastAsia="en-GB"/>
        </w:rPr>
        <w:t>Jung, 2022)</w:t>
      </w:r>
      <w:r w:rsidRPr="00902B36">
        <w:rPr>
          <w:rFonts w:ascii="Arial" w:hAnsi="Arial" w:cs="Arial"/>
        </w:rPr>
        <w:t>. National authorities were able to mobilise resources such as diagnostic kits and personal protective equipment, distribute them according to need, and maintain a stable supply chain</w:t>
      </w:r>
      <w:r w:rsidR="002F3255" w:rsidRPr="00E01AB8">
        <w:rPr>
          <w:rFonts w:ascii="Arial" w:hAnsi="Arial" w:cs="Arial"/>
        </w:rPr>
        <w:t xml:space="preserve"> (Osewe, 2021)</w:t>
      </w:r>
      <w:r w:rsidRPr="00902B36">
        <w:rPr>
          <w:rFonts w:ascii="Arial" w:hAnsi="Arial" w:cs="Arial"/>
        </w:rPr>
        <w:t>. The centralised data platform enabled real-time case tracking, which strengthened transparency and informed public behaviour</w:t>
      </w:r>
      <w:r w:rsidR="002F3255" w:rsidRPr="00E01AB8">
        <w:rPr>
          <w:rFonts w:ascii="Arial" w:hAnsi="Arial" w:cs="Arial"/>
        </w:rPr>
        <w:t xml:space="preserve"> (</w:t>
      </w:r>
      <w:r w:rsidR="002F3255" w:rsidRPr="00E01AB8">
        <w:rPr>
          <w:rFonts w:ascii="Arial" w:hAnsi="Arial" w:cs="Arial"/>
          <w:lang w:eastAsia="en-GB"/>
        </w:rPr>
        <w:t>Jung, 2022)</w:t>
      </w:r>
      <w:r w:rsidRPr="00902B36">
        <w:rPr>
          <w:rFonts w:ascii="Arial" w:hAnsi="Arial" w:cs="Arial"/>
        </w:rPr>
        <w:t>. Moreover, clear central guidelines gave the public confidence, reducing panic and encouraging adherence to health measures</w:t>
      </w:r>
      <w:r w:rsidR="002F3255" w:rsidRPr="00E01AB8">
        <w:rPr>
          <w:rFonts w:ascii="Arial" w:hAnsi="Arial" w:cs="Arial"/>
        </w:rPr>
        <w:t xml:space="preserve"> (Kim et al., 2021).</w:t>
      </w:r>
    </w:p>
    <w:p w14:paraId="2610DB40" w14:textId="751D8296" w:rsidR="00902B36" w:rsidRPr="00902B36" w:rsidRDefault="00902B36" w:rsidP="00902B36">
      <w:pPr>
        <w:spacing w:line="360" w:lineRule="auto"/>
        <w:jc w:val="both"/>
        <w:rPr>
          <w:rFonts w:ascii="Arial" w:hAnsi="Arial" w:cs="Arial"/>
        </w:rPr>
      </w:pPr>
      <w:r w:rsidRPr="00902B36">
        <w:rPr>
          <w:rFonts w:ascii="Arial" w:hAnsi="Arial" w:cs="Arial"/>
        </w:rPr>
        <w:t>At the same time, decentralisation enhanced adaptability and speed of implementation. Local governments could quickly establish community screening clinics, isolate clusters, and manage outbreaks without waiting for lengthy approval processes</w:t>
      </w:r>
      <w:r w:rsidR="002F3255" w:rsidRPr="00E01AB8">
        <w:rPr>
          <w:rFonts w:ascii="Arial" w:hAnsi="Arial" w:cs="Arial"/>
        </w:rPr>
        <w:t xml:space="preserve"> (</w:t>
      </w:r>
      <w:r w:rsidR="002F3255" w:rsidRPr="00E01AB8">
        <w:rPr>
          <w:rFonts w:ascii="Arial" w:hAnsi="Arial" w:cs="Arial"/>
          <w:lang w:eastAsia="en-GB"/>
        </w:rPr>
        <w:t>Yuan, 2021)</w:t>
      </w:r>
      <w:r w:rsidRPr="00902B36">
        <w:rPr>
          <w:rFonts w:ascii="Arial" w:hAnsi="Arial" w:cs="Arial"/>
        </w:rPr>
        <w:t>. Public health centres, being locally governed, deployed staff for contact tracing tailored to regional contexts and utilised local networks to reach vulnerable populations</w:t>
      </w:r>
      <w:r w:rsidR="002F3255" w:rsidRPr="00E01AB8">
        <w:rPr>
          <w:rFonts w:ascii="Arial" w:hAnsi="Arial" w:cs="Arial"/>
        </w:rPr>
        <w:t xml:space="preserve"> (Kim et al., 2021)</w:t>
      </w:r>
      <w:r w:rsidRPr="00902B36">
        <w:rPr>
          <w:rFonts w:ascii="Arial" w:hAnsi="Arial" w:cs="Arial"/>
        </w:rPr>
        <w:t>. Hospitals, many privately run, expanded surge capacity through autonomy in staffing and operational decisions</w:t>
      </w:r>
      <w:r w:rsidR="002F3255" w:rsidRPr="00E01AB8">
        <w:rPr>
          <w:rFonts w:ascii="Arial" w:hAnsi="Arial" w:cs="Arial"/>
        </w:rPr>
        <w:t xml:space="preserve"> (</w:t>
      </w:r>
      <w:r w:rsidR="002F3255" w:rsidRPr="00E01AB8">
        <w:rPr>
          <w:rFonts w:ascii="Arial" w:hAnsi="Arial" w:cs="Arial"/>
          <w:lang w:eastAsia="en-GB"/>
        </w:rPr>
        <w:t>Jung, 2022)</w:t>
      </w:r>
      <w:r w:rsidRPr="00902B36">
        <w:rPr>
          <w:rFonts w:ascii="Arial" w:hAnsi="Arial" w:cs="Arial"/>
        </w:rPr>
        <w:t>. This combination allowed innovation: for example, a local hospital could pilot drive-through testing, which the central government then scaled nationwide. Thus, the decentralised components amplified responsiveness, creativity, and situational flexibility</w:t>
      </w:r>
      <w:r w:rsidR="002F3255" w:rsidRPr="00E01AB8">
        <w:rPr>
          <w:rFonts w:ascii="Arial" w:hAnsi="Arial" w:cs="Arial"/>
        </w:rPr>
        <w:t xml:space="preserve"> (Osewe, 2021)</w:t>
      </w:r>
      <w:r w:rsidRPr="00902B36">
        <w:rPr>
          <w:rFonts w:ascii="Arial" w:hAnsi="Arial" w:cs="Arial"/>
        </w:rPr>
        <w:t>.</w:t>
      </w:r>
    </w:p>
    <w:p w14:paraId="6FB7DB85" w14:textId="6B152623" w:rsidR="00902B36" w:rsidRPr="00E01AB8" w:rsidRDefault="006F502F" w:rsidP="006F502F">
      <w:pPr>
        <w:pStyle w:val="Heading2"/>
        <w:rPr>
          <w:rFonts w:cs="Arial"/>
        </w:rPr>
      </w:pPr>
      <w:bookmarkStart w:id="8" w:name="_Toc214168838"/>
      <w:r w:rsidRPr="00E01AB8">
        <w:rPr>
          <w:rFonts w:cs="Arial"/>
        </w:rPr>
        <w:lastRenderedPageBreak/>
        <w:t xml:space="preserve">2.2.3 </w:t>
      </w:r>
      <w:r w:rsidR="00902B36" w:rsidRPr="00E01AB8">
        <w:rPr>
          <w:rFonts w:eastAsiaTheme="majorEastAsia" w:cs="Arial"/>
        </w:rPr>
        <w:t>Disadvantages of South Korea’s Centralised–Decentralised System During COVID-19</w:t>
      </w:r>
      <w:bookmarkEnd w:id="8"/>
      <w:r w:rsidR="00902B36" w:rsidRPr="00E01AB8">
        <w:rPr>
          <w:rFonts w:eastAsiaTheme="majorEastAsia" w:cs="Arial"/>
        </w:rPr>
        <w:t xml:space="preserve"> </w:t>
      </w:r>
    </w:p>
    <w:p w14:paraId="7B6D8323" w14:textId="72804E1F" w:rsidR="00902B36" w:rsidRPr="00902B36" w:rsidRDefault="00902B36" w:rsidP="00902B36">
      <w:pPr>
        <w:spacing w:line="360" w:lineRule="auto"/>
        <w:jc w:val="both"/>
        <w:rPr>
          <w:rFonts w:ascii="Arial" w:hAnsi="Arial" w:cs="Arial"/>
        </w:rPr>
      </w:pPr>
      <w:r w:rsidRPr="00902B36">
        <w:rPr>
          <w:rFonts w:ascii="Arial" w:hAnsi="Arial" w:cs="Arial"/>
        </w:rPr>
        <w:t>Despite many strengths, the hybrid structure also produced challenges. A centralised framework sometimes resulted in bureaucratic delays, especially when national approval was required before implementing certain local initiatives</w:t>
      </w:r>
      <w:r w:rsidR="002F3255" w:rsidRPr="00E01AB8">
        <w:rPr>
          <w:rFonts w:ascii="Arial" w:hAnsi="Arial" w:cs="Arial"/>
        </w:rPr>
        <w:t xml:space="preserve"> (Osewe, 2021)</w:t>
      </w:r>
      <w:r w:rsidRPr="00902B36">
        <w:rPr>
          <w:rFonts w:ascii="Arial" w:hAnsi="Arial" w:cs="Arial"/>
        </w:rPr>
        <w:t>. Strong national control occasionally limited the ability of regions with unique demographic or epidemiological profiles to deviate from standard protocols, even when alternative approaches may have been more appropriate</w:t>
      </w:r>
      <w:r w:rsidR="002F3255" w:rsidRPr="00E01AB8">
        <w:rPr>
          <w:rFonts w:ascii="Arial" w:hAnsi="Arial" w:cs="Arial"/>
        </w:rPr>
        <w:t xml:space="preserve"> (</w:t>
      </w:r>
      <w:r w:rsidR="002F3255" w:rsidRPr="00E01AB8">
        <w:rPr>
          <w:rFonts w:ascii="Arial" w:hAnsi="Arial" w:cs="Arial"/>
          <w:lang w:eastAsia="en-GB"/>
        </w:rPr>
        <w:t>Jung, 2022)</w:t>
      </w:r>
      <w:r w:rsidRPr="00902B36">
        <w:rPr>
          <w:rFonts w:ascii="Arial" w:hAnsi="Arial" w:cs="Arial"/>
        </w:rPr>
        <w:t>. Additionally, rapid central directives placed significant pressure on local public health centres, which were often understaffed and struggled to meet the intensive demands of contact tracing and quarantine management. This imbalance revealed that national leadership did not always come with adequate resource support for local authorities</w:t>
      </w:r>
      <w:r w:rsidR="002F3255" w:rsidRPr="00E01AB8">
        <w:rPr>
          <w:rFonts w:ascii="Arial" w:hAnsi="Arial" w:cs="Arial"/>
        </w:rPr>
        <w:t xml:space="preserve"> (</w:t>
      </w:r>
      <w:r w:rsidR="002F3255" w:rsidRPr="00E01AB8">
        <w:rPr>
          <w:rFonts w:ascii="Arial" w:hAnsi="Arial" w:cs="Arial"/>
          <w:lang w:eastAsia="en-GB"/>
        </w:rPr>
        <w:t>Yuan, 2021)</w:t>
      </w:r>
      <w:r w:rsidRPr="00902B36">
        <w:rPr>
          <w:rFonts w:ascii="Arial" w:hAnsi="Arial" w:cs="Arial"/>
        </w:rPr>
        <w:t>.</w:t>
      </w:r>
    </w:p>
    <w:p w14:paraId="334CBF71" w14:textId="5E59586E" w:rsidR="00902B36" w:rsidRPr="00902B36" w:rsidRDefault="00902B36" w:rsidP="00902B36">
      <w:pPr>
        <w:spacing w:line="360" w:lineRule="auto"/>
        <w:jc w:val="both"/>
        <w:rPr>
          <w:rFonts w:ascii="Arial" w:hAnsi="Arial" w:cs="Arial"/>
        </w:rPr>
      </w:pPr>
      <w:r w:rsidRPr="00902B36">
        <w:rPr>
          <w:rFonts w:ascii="Arial" w:hAnsi="Arial" w:cs="Arial"/>
        </w:rPr>
        <w:t>Decentralisation also introduced inconsistencies in capacity and preparedness among local governments. Wealthier or more experienced municipalities could implement advanced testing and tracing operations, while smaller regions had fewer specialists, limited laboratory infrastructure, and weaker digital capabilities</w:t>
      </w:r>
      <w:r w:rsidR="002F3255" w:rsidRPr="00E01AB8">
        <w:rPr>
          <w:rFonts w:ascii="Arial" w:hAnsi="Arial" w:cs="Arial"/>
        </w:rPr>
        <w:t xml:space="preserve"> (Kim et al., 2021)</w:t>
      </w:r>
      <w:r w:rsidRPr="00902B36">
        <w:rPr>
          <w:rFonts w:ascii="Arial" w:hAnsi="Arial" w:cs="Arial"/>
        </w:rPr>
        <w:t>. As a result, disparities emerged in response speed and containment effectiveness. Coordination between public and private healthcare providers was sometimes uneven, particularly when hospitals hesitated to participate in COVID-19 treatment due to financial concerns or infection risks</w:t>
      </w:r>
      <w:r w:rsidR="002F3255" w:rsidRPr="00E01AB8">
        <w:rPr>
          <w:rFonts w:ascii="Arial" w:hAnsi="Arial" w:cs="Arial"/>
        </w:rPr>
        <w:t xml:space="preserve"> (Osewe, 2021)</w:t>
      </w:r>
      <w:r w:rsidRPr="00902B36">
        <w:rPr>
          <w:rFonts w:ascii="Arial" w:hAnsi="Arial" w:cs="Arial"/>
        </w:rPr>
        <w:t>. Variability in local decision-making occasionally led to confusion among residents, especially when regional restrictions differed from national guidelines</w:t>
      </w:r>
      <w:r w:rsidR="002F3255" w:rsidRPr="00E01AB8">
        <w:rPr>
          <w:rFonts w:ascii="Arial" w:hAnsi="Arial" w:cs="Arial"/>
        </w:rPr>
        <w:t xml:space="preserve"> (</w:t>
      </w:r>
      <w:r w:rsidR="002F3255" w:rsidRPr="00E01AB8">
        <w:rPr>
          <w:rFonts w:ascii="Arial" w:hAnsi="Arial" w:cs="Arial"/>
          <w:lang w:eastAsia="en-GB"/>
        </w:rPr>
        <w:t>Jung, 2022)</w:t>
      </w:r>
      <w:r w:rsidRPr="00902B36">
        <w:rPr>
          <w:rFonts w:ascii="Arial" w:hAnsi="Arial" w:cs="Arial"/>
        </w:rPr>
        <w:t>. These challenges illustrate that while decentralisation enhances flexibility, it can also produce uneven outcomes without strong mechanisms to balance capacities across regions</w:t>
      </w:r>
      <w:r w:rsidR="002F3255" w:rsidRPr="00E01AB8">
        <w:rPr>
          <w:rFonts w:ascii="Arial" w:hAnsi="Arial" w:cs="Arial"/>
        </w:rPr>
        <w:t xml:space="preserve"> (Kim et al., 2021)</w:t>
      </w:r>
      <w:r w:rsidRPr="00902B36">
        <w:rPr>
          <w:rFonts w:ascii="Arial" w:hAnsi="Arial" w:cs="Arial"/>
        </w:rPr>
        <w:t>.</w:t>
      </w:r>
    </w:p>
    <w:p w14:paraId="3C8083F9" w14:textId="08DDF0B4" w:rsidR="006F502F" w:rsidRPr="00E01AB8" w:rsidRDefault="006F502F" w:rsidP="006F502F">
      <w:pPr>
        <w:pStyle w:val="Heading1"/>
        <w:jc w:val="both"/>
        <w:rPr>
          <w:rFonts w:cs="Arial"/>
          <w:sz w:val="24"/>
          <w:szCs w:val="24"/>
        </w:rPr>
      </w:pPr>
      <w:bookmarkStart w:id="9" w:name="_Toc214168839"/>
      <w:r w:rsidRPr="00E01AB8">
        <w:rPr>
          <w:rFonts w:cs="Arial"/>
          <w:sz w:val="24"/>
          <w:szCs w:val="24"/>
        </w:rPr>
        <w:t>2.3 Canada: Centralised and Decentralised Approaches to the COVID-19 Pandemic</w:t>
      </w:r>
      <w:bookmarkEnd w:id="9"/>
      <w:r w:rsidRPr="00E01AB8">
        <w:rPr>
          <w:rFonts w:cs="Arial"/>
          <w:sz w:val="24"/>
          <w:szCs w:val="24"/>
        </w:rPr>
        <w:t xml:space="preserve"> </w:t>
      </w:r>
    </w:p>
    <w:p w14:paraId="6E888A3C" w14:textId="7094C5DE" w:rsidR="00902B36" w:rsidRPr="00E01AB8" w:rsidRDefault="00902B36" w:rsidP="006F502F">
      <w:pPr>
        <w:pStyle w:val="Heading2"/>
        <w:rPr>
          <w:rFonts w:cs="Arial"/>
        </w:rPr>
      </w:pPr>
      <w:bookmarkStart w:id="10" w:name="_Toc214168840"/>
      <w:r w:rsidRPr="00E01AB8">
        <w:rPr>
          <w:rFonts w:eastAsiaTheme="majorEastAsia" w:cs="Arial"/>
        </w:rPr>
        <w:t>2.</w:t>
      </w:r>
      <w:r w:rsidR="006F502F" w:rsidRPr="00E01AB8">
        <w:rPr>
          <w:rFonts w:cs="Arial"/>
        </w:rPr>
        <w:t>3</w:t>
      </w:r>
      <w:r w:rsidRPr="00E01AB8">
        <w:rPr>
          <w:rFonts w:eastAsiaTheme="majorEastAsia" w:cs="Arial"/>
        </w:rPr>
        <w:t>.1 Overview of Canada’s Healthcare System and Pandemic Response</w:t>
      </w:r>
      <w:bookmarkEnd w:id="10"/>
      <w:r w:rsidRPr="00E01AB8">
        <w:rPr>
          <w:rFonts w:eastAsiaTheme="majorEastAsia" w:cs="Arial"/>
        </w:rPr>
        <w:t xml:space="preserve"> </w:t>
      </w:r>
    </w:p>
    <w:p w14:paraId="072C20D4" w14:textId="2D1FD5EB" w:rsidR="00902B36" w:rsidRPr="00E01AB8" w:rsidRDefault="00902B36" w:rsidP="00902B36">
      <w:pPr>
        <w:spacing w:line="360" w:lineRule="auto"/>
        <w:jc w:val="both"/>
        <w:rPr>
          <w:rFonts w:ascii="Arial" w:hAnsi="Arial" w:cs="Arial"/>
        </w:rPr>
      </w:pPr>
      <w:r w:rsidRPr="00902B36">
        <w:rPr>
          <w:rFonts w:ascii="Arial" w:hAnsi="Arial" w:cs="Arial"/>
        </w:rPr>
        <w:t xml:space="preserve">Canada’s healthcare system is fundamentally decentralised, with provinces and territories having primary authority over healthcare delivery, service </w:t>
      </w:r>
      <w:r w:rsidR="006F502F" w:rsidRPr="00E01AB8">
        <w:rPr>
          <w:rFonts w:ascii="Arial" w:hAnsi="Arial" w:cs="Arial"/>
        </w:rPr>
        <w:t>organisation</w:t>
      </w:r>
      <w:r w:rsidRPr="00902B36">
        <w:rPr>
          <w:rFonts w:ascii="Arial" w:hAnsi="Arial" w:cs="Arial"/>
        </w:rPr>
        <w:t>, and public health responses</w:t>
      </w:r>
      <w:r w:rsidR="00B62364" w:rsidRPr="00E01AB8">
        <w:rPr>
          <w:rFonts w:ascii="Arial" w:hAnsi="Arial" w:cs="Arial"/>
        </w:rPr>
        <w:t xml:space="preserve"> (Fitzpatrick et al., 2023)</w:t>
      </w:r>
      <w:r w:rsidRPr="00902B36">
        <w:rPr>
          <w:rFonts w:ascii="Arial" w:hAnsi="Arial" w:cs="Arial"/>
        </w:rPr>
        <w:t>. The federal government provides national leadership through the Canada Health Act, allocates funding, manages border control, and coordinates certain nationwide activities such as vaccine procurement</w:t>
      </w:r>
      <w:r w:rsidR="004A6955" w:rsidRPr="00E01AB8">
        <w:rPr>
          <w:rFonts w:ascii="Arial" w:hAnsi="Arial" w:cs="Arial"/>
        </w:rPr>
        <w:t xml:space="preserve"> </w:t>
      </w:r>
      <w:r w:rsidR="004A6955" w:rsidRPr="00E01AB8">
        <w:rPr>
          <w:rFonts w:ascii="Arial" w:hAnsi="Arial" w:cs="Arial"/>
        </w:rPr>
        <w:lastRenderedPageBreak/>
        <w:t>(</w:t>
      </w:r>
      <w:r w:rsidR="004A6955" w:rsidRPr="00E01AB8">
        <w:rPr>
          <w:rFonts w:ascii="Arial" w:hAnsi="Arial" w:cs="Arial"/>
          <w:lang w:eastAsia="en-GB"/>
        </w:rPr>
        <w:t>Melnyk et al., 2023)</w:t>
      </w:r>
      <w:r w:rsidRPr="00902B36">
        <w:rPr>
          <w:rFonts w:ascii="Arial" w:hAnsi="Arial" w:cs="Arial"/>
        </w:rPr>
        <w:t>. Provincial health ministries and regional health authorities operate hospitals, public health units, testing centres, and community services. This structure results in 13 distinct provincial and territorial health systems functioning under a shared national framework</w:t>
      </w:r>
      <w:r w:rsidR="005F1F71" w:rsidRPr="00E01AB8">
        <w:rPr>
          <w:rFonts w:ascii="Arial" w:hAnsi="Arial" w:cs="Arial"/>
        </w:rPr>
        <w:t xml:space="preserve"> (</w:t>
      </w:r>
      <w:r w:rsidR="005F1F71" w:rsidRPr="00E01AB8">
        <w:rPr>
          <w:rFonts w:ascii="Arial" w:hAnsi="Arial" w:cs="Arial"/>
          <w:lang w:eastAsia="en-GB"/>
        </w:rPr>
        <w:t>Melnyk et al., 2023)</w:t>
      </w:r>
      <w:r w:rsidRPr="00902B36">
        <w:rPr>
          <w:rFonts w:ascii="Arial" w:hAnsi="Arial" w:cs="Arial"/>
        </w:rPr>
        <w:t>. Although decentralised, a degree of centralisation emerges through federal guidelines, national surveillance systems, and intergovernmental agreements during emergencies</w:t>
      </w:r>
      <w:r w:rsidR="00BF6341" w:rsidRPr="00E01AB8">
        <w:rPr>
          <w:rFonts w:ascii="Arial" w:hAnsi="Arial" w:cs="Arial"/>
        </w:rPr>
        <w:t xml:space="preserve"> (McSween-Cadieux et al., 2024)</w:t>
      </w:r>
      <w:r w:rsidRPr="00902B36">
        <w:rPr>
          <w:rFonts w:ascii="Arial" w:hAnsi="Arial" w:cs="Arial"/>
        </w:rPr>
        <w:t>.</w:t>
      </w:r>
    </w:p>
    <w:p w14:paraId="5302B006" w14:textId="46E6B5AE" w:rsidR="009B5473" w:rsidRPr="00E01AB8" w:rsidRDefault="009B5473" w:rsidP="009B5473">
      <w:pPr>
        <w:spacing w:line="360" w:lineRule="auto"/>
        <w:jc w:val="both"/>
        <w:rPr>
          <w:rFonts w:ascii="Arial" w:hAnsi="Arial" w:cs="Arial"/>
        </w:rPr>
      </w:pPr>
      <w:r w:rsidRPr="00E01AB8">
        <w:rPr>
          <w:rFonts w:ascii="Arial" w:hAnsi="Arial" w:cs="Arial"/>
          <w:noProof/>
        </w:rPr>
        <w:drawing>
          <wp:inline distT="0" distB="0" distL="0" distR="0" wp14:anchorId="36040363" wp14:editId="56D3427E">
            <wp:extent cx="5729797" cy="3089366"/>
            <wp:effectExtent l="0" t="0" r="4445" b="0"/>
            <wp:docPr id="6085713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9528" cy="3121571"/>
                    </a:xfrm>
                    <a:prstGeom prst="rect">
                      <a:avLst/>
                    </a:prstGeom>
                    <a:noFill/>
                    <a:ln>
                      <a:noFill/>
                    </a:ln>
                  </pic:spPr>
                </pic:pic>
              </a:graphicData>
            </a:graphic>
          </wp:inline>
        </w:drawing>
      </w:r>
    </w:p>
    <w:p w14:paraId="64E42112" w14:textId="2C94E8AB" w:rsidR="005B4F28" w:rsidRPr="00E01AB8" w:rsidRDefault="009B5473" w:rsidP="00AF17F3">
      <w:pPr>
        <w:spacing w:line="360" w:lineRule="auto"/>
        <w:jc w:val="center"/>
        <w:rPr>
          <w:rFonts w:ascii="Arial" w:hAnsi="Arial" w:cs="Arial"/>
        </w:rPr>
      </w:pPr>
      <w:r w:rsidRPr="00E01AB8">
        <w:rPr>
          <w:rFonts w:ascii="Arial" w:hAnsi="Arial" w:cs="Arial"/>
        </w:rPr>
        <w:t>(Whitelaw et al., 2020)</w:t>
      </w:r>
    </w:p>
    <w:p w14:paraId="2825F96A" w14:textId="27F44F5B" w:rsidR="00902B36" w:rsidRPr="00902B36" w:rsidRDefault="00FC08A7" w:rsidP="00902B36">
      <w:pPr>
        <w:spacing w:line="360" w:lineRule="auto"/>
        <w:jc w:val="both"/>
        <w:rPr>
          <w:rFonts w:ascii="Arial" w:hAnsi="Arial" w:cs="Arial"/>
        </w:rPr>
      </w:pPr>
      <w:r w:rsidRPr="00FC08A7">
        <w:rPr>
          <w:rFonts w:ascii="Arial" w:hAnsi="Arial" w:cs="Arial"/>
        </w:rPr>
        <w:t>The image above illustrates the digital technologies Canada employed in its pandemic response, including contact tracing, infection screening, planning tools, and clinical management systems. It highlights how different layers of governance used technology to coordinate information and strengthen decision-making across the country</w:t>
      </w:r>
      <w:r w:rsidRPr="00E01AB8">
        <w:rPr>
          <w:rFonts w:ascii="Arial" w:hAnsi="Arial" w:cs="Arial"/>
        </w:rPr>
        <w:t xml:space="preserve"> (Whitelaw et al., 2020). </w:t>
      </w:r>
      <w:r w:rsidR="00902B36" w:rsidRPr="00902B36">
        <w:rPr>
          <w:rFonts w:ascii="Arial" w:hAnsi="Arial" w:cs="Arial"/>
        </w:rPr>
        <w:t>During the COVID-19 pandemic, Canada’s decentralised system created a complex but adaptable response environment. The federal government coordinated international travel restrictions, secured vaccines, issued national guidelines through the Public Health Agency of Canada (PHAC), and provided emergency funding</w:t>
      </w:r>
      <w:r w:rsidR="005F1F71" w:rsidRPr="00E01AB8">
        <w:rPr>
          <w:rFonts w:ascii="Arial" w:hAnsi="Arial" w:cs="Arial"/>
        </w:rPr>
        <w:t xml:space="preserve"> (McSween-Cadieux et al., 2024)</w:t>
      </w:r>
      <w:r w:rsidR="00902B36" w:rsidRPr="00902B36">
        <w:rPr>
          <w:rFonts w:ascii="Arial" w:hAnsi="Arial" w:cs="Arial"/>
        </w:rPr>
        <w:t>. Provinces and territories implemented their own public health measures</w:t>
      </w:r>
      <w:r w:rsidR="0019154E" w:rsidRPr="00E01AB8">
        <w:rPr>
          <w:rFonts w:ascii="Arial" w:hAnsi="Arial" w:cs="Arial"/>
        </w:rPr>
        <w:t xml:space="preserve">, </w:t>
      </w:r>
      <w:r w:rsidR="00902B36" w:rsidRPr="00902B36">
        <w:rPr>
          <w:rFonts w:ascii="Arial" w:hAnsi="Arial" w:cs="Arial"/>
        </w:rPr>
        <w:t>such as mask mandates, school closures, and lockdowns</w:t>
      </w:r>
      <w:r w:rsidR="0019154E" w:rsidRPr="00E01AB8">
        <w:rPr>
          <w:rFonts w:ascii="Arial" w:hAnsi="Arial" w:cs="Arial"/>
        </w:rPr>
        <w:t xml:space="preserve">, </w:t>
      </w:r>
      <w:r w:rsidR="00902B36" w:rsidRPr="00902B36">
        <w:rPr>
          <w:rFonts w:ascii="Arial" w:hAnsi="Arial" w:cs="Arial"/>
        </w:rPr>
        <w:t>based on local epidemiology</w:t>
      </w:r>
      <w:r w:rsidR="0019154E" w:rsidRPr="00E01AB8">
        <w:rPr>
          <w:rFonts w:ascii="Arial" w:hAnsi="Arial" w:cs="Arial"/>
        </w:rPr>
        <w:t xml:space="preserve"> (</w:t>
      </w:r>
      <w:r w:rsidR="0019154E" w:rsidRPr="00E01AB8">
        <w:rPr>
          <w:rFonts w:ascii="Arial" w:hAnsi="Arial" w:cs="Arial"/>
          <w:lang w:eastAsia="en-GB"/>
        </w:rPr>
        <w:t>Sundquist et al., 2021)</w:t>
      </w:r>
      <w:r w:rsidR="00902B36" w:rsidRPr="00902B36">
        <w:rPr>
          <w:rFonts w:ascii="Arial" w:hAnsi="Arial" w:cs="Arial"/>
        </w:rPr>
        <w:t xml:space="preserve">. Regional health authorities managed testing, tracing, and hospital capacity, while local </w:t>
      </w:r>
      <w:r w:rsidR="00902B36" w:rsidRPr="00902B36">
        <w:rPr>
          <w:rFonts w:ascii="Arial" w:hAnsi="Arial" w:cs="Arial"/>
        </w:rPr>
        <w:lastRenderedPageBreak/>
        <w:t>medical officers of health exercised autonomy to impose community-specific measures</w:t>
      </w:r>
      <w:r w:rsidR="005F1F71" w:rsidRPr="00E01AB8">
        <w:rPr>
          <w:rFonts w:ascii="Arial" w:hAnsi="Arial" w:cs="Arial"/>
        </w:rPr>
        <w:t xml:space="preserve"> (</w:t>
      </w:r>
      <w:r w:rsidR="005F1F71" w:rsidRPr="00E01AB8">
        <w:rPr>
          <w:rFonts w:ascii="Arial" w:hAnsi="Arial" w:cs="Arial"/>
          <w:lang w:eastAsia="en-GB"/>
        </w:rPr>
        <w:t>Melnyk et al., 2023)</w:t>
      </w:r>
      <w:r w:rsidR="00902B36" w:rsidRPr="00902B36">
        <w:rPr>
          <w:rFonts w:ascii="Arial" w:hAnsi="Arial" w:cs="Arial"/>
        </w:rPr>
        <w:t>. This multi-layered governance led to substantial variation across regions but also enabled context-specific strategies that reflected urban–rural differences, demographic characteristics, and local outbreak dynamics. Canada’s pandemic response thus relied on a blend of federal coordination and strong provincial autonomy</w:t>
      </w:r>
      <w:r w:rsidR="005F1F71" w:rsidRPr="00E01AB8">
        <w:rPr>
          <w:rFonts w:ascii="Arial" w:hAnsi="Arial" w:cs="Arial"/>
        </w:rPr>
        <w:t xml:space="preserve"> (McSween-Cadieux et al., 2024)</w:t>
      </w:r>
      <w:r w:rsidR="00902B36" w:rsidRPr="00902B36">
        <w:rPr>
          <w:rFonts w:ascii="Arial" w:hAnsi="Arial" w:cs="Arial"/>
        </w:rPr>
        <w:t>.</w:t>
      </w:r>
    </w:p>
    <w:p w14:paraId="53DE219C" w14:textId="4F1849A1" w:rsidR="00902B36" w:rsidRPr="00E01AB8" w:rsidRDefault="006F502F" w:rsidP="006F502F">
      <w:pPr>
        <w:pStyle w:val="Heading2"/>
        <w:rPr>
          <w:rFonts w:cs="Arial"/>
        </w:rPr>
      </w:pPr>
      <w:bookmarkStart w:id="11" w:name="_Toc214168841"/>
      <w:r w:rsidRPr="00E01AB8">
        <w:rPr>
          <w:rFonts w:cs="Arial"/>
        </w:rPr>
        <w:t xml:space="preserve">2.3.2 </w:t>
      </w:r>
      <w:r w:rsidR="00902B36" w:rsidRPr="00E01AB8">
        <w:rPr>
          <w:rFonts w:eastAsiaTheme="majorEastAsia" w:cs="Arial"/>
        </w:rPr>
        <w:t>Advantages of Canada’s Centralised–Decentralised System During COVID-19</w:t>
      </w:r>
      <w:bookmarkEnd w:id="11"/>
      <w:r w:rsidR="00902B36" w:rsidRPr="00E01AB8">
        <w:rPr>
          <w:rFonts w:eastAsiaTheme="majorEastAsia" w:cs="Arial"/>
        </w:rPr>
        <w:t xml:space="preserve"> </w:t>
      </w:r>
    </w:p>
    <w:p w14:paraId="0BBC502A" w14:textId="5E0E2C35" w:rsidR="00902B36" w:rsidRPr="00902B36" w:rsidRDefault="00902B36" w:rsidP="00902B36">
      <w:pPr>
        <w:spacing w:line="360" w:lineRule="auto"/>
        <w:jc w:val="both"/>
        <w:rPr>
          <w:rFonts w:ascii="Arial" w:hAnsi="Arial" w:cs="Arial"/>
        </w:rPr>
      </w:pPr>
      <w:r w:rsidRPr="00902B36">
        <w:rPr>
          <w:rFonts w:ascii="Arial" w:hAnsi="Arial" w:cs="Arial"/>
        </w:rPr>
        <w:t>A major advantage of Canada’s hybrid system was the flexibility it afforded provinces and local health units to tailor responses to their specific needs</w:t>
      </w:r>
      <w:r w:rsidR="005F1F71" w:rsidRPr="00E01AB8">
        <w:rPr>
          <w:rFonts w:ascii="Arial" w:hAnsi="Arial" w:cs="Arial"/>
        </w:rPr>
        <w:t xml:space="preserve"> (McSween-Cadieux et al., 2024)</w:t>
      </w:r>
      <w:r w:rsidRPr="00902B36">
        <w:rPr>
          <w:rFonts w:ascii="Arial" w:hAnsi="Arial" w:cs="Arial"/>
        </w:rPr>
        <w:t>. Because provinces control health service delivery, they could rapidly adjust testing strategies, hospital surge plans, school policies, and vaccination prioritisation based on regional case counts and demographics</w:t>
      </w:r>
      <w:r w:rsidR="005F1F71" w:rsidRPr="00E01AB8">
        <w:rPr>
          <w:rFonts w:ascii="Arial" w:hAnsi="Arial" w:cs="Arial"/>
        </w:rPr>
        <w:t xml:space="preserve"> (</w:t>
      </w:r>
      <w:r w:rsidR="005F1F71" w:rsidRPr="00E01AB8">
        <w:rPr>
          <w:rFonts w:ascii="Arial" w:hAnsi="Arial" w:cs="Arial"/>
          <w:lang w:eastAsia="en-GB"/>
        </w:rPr>
        <w:t>Melnyk et al., 2023)</w:t>
      </w:r>
      <w:r w:rsidRPr="00902B36">
        <w:rPr>
          <w:rFonts w:ascii="Arial" w:hAnsi="Arial" w:cs="Arial"/>
        </w:rPr>
        <w:t>. Remote and Indigenous communities</w:t>
      </w:r>
      <w:r w:rsidR="005F1F71" w:rsidRPr="00E01AB8">
        <w:rPr>
          <w:rFonts w:ascii="Arial" w:hAnsi="Arial" w:cs="Arial"/>
        </w:rPr>
        <w:t xml:space="preserve">, </w:t>
      </w:r>
      <w:r w:rsidRPr="00902B36">
        <w:rPr>
          <w:rFonts w:ascii="Arial" w:hAnsi="Arial" w:cs="Arial"/>
        </w:rPr>
        <w:t>facing unique vulnerabilities</w:t>
      </w:r>
      <w:r w:rsidR="005F1F71" w:rsidRPr="00E01AB8">
        <w:rPr>
          <w:rFonts w:ascii="Arial" w:hAnsi="Arial" w:cs="Arial"/>
        </w:rPr>
        <w:t xml:space="preserve">, </w:t>
      </w:r>
      <w:r w:rsidRPr="00902B36">
        <w:rPr>
          <w:rFonts w:ascii="Arial" w:hAnsi="Arial" w:cs="Arial"/>
        </w:rPr>
        <w:t>benefited from locally adapted programs such as mobile vaccine teams and community-led isolation strategies</w:t>
      </w:r>
      <w:r w:rsidR="005F1F71" w:rsidRPr="00E01AB8">
        <w:rPr>
          <w:rFonts w:ascii="Arial" w:hAnsi="Arial" w:cs="Arial"/>
        </w:rPr>
        <w:t xml:space="preserve"> (</w:t>
      </w:r>
      <w:r w:rsidR="005F1F71" w:rsidRPr="00E01AB8">
        <w:rPr>
          <w:rFonts w:ascii="Arial" w:hAnsi="Arial" w:cs="Arial"/>
          <w:lang w:eastAsia="en-GB"/>
        </w:rPr>
        <w:t>Melnyk et al., 2023)</w:t>
      </w:r>
      <w:r w:rsidRPr="00902B36">
        <w:rPr>
          <w:rFonts w:ascii="Arial" w:hAnsi="Arial" w:cs="Arial"/>
        </w:rPr>
        <w:t>. Decentralised decision-making also enabled some provinces to act swiftly when national processes were slower, for example</w:t>
      </w:r>
      <w:r w:rsidR="005F1F71" w:rsidRPr="00E01AB8">
        <w:rPr>
          <w:rFonts w:ascii="Arial" w:hAnsi="Arial" w:cs="Arial"/>
        </w:rPr>
        <w:t>,</w:t>
      </w:r>
      <w:r w:rsidRPr="00902B36">
        <w:rPr>
          <w:rFonts w:ascii="Arial" w:hAnsi="Arial" w:cs="Arial"/>
        </w:rPr>
        <w:t xml:space="preserve"> by implementing earlier restrictions or releasing local guidelines </w:t>
      </w:r>
      <w:r w:rsidR="005F1F71" w:rsidRPr="00E01AB8">
        <w:rPr>
          <w:rFonts w:ascii="Arial" w:hAnsi="Arial" w:cs="Arial"/>
        </w:rPr>
        <w:t>before</w:t>
      </w:r>
      <w:r w:rsidRPr="00902B36">
        <w:rPr>
          <w:rFonts w:ascii="Arial" w:hAnsi="Arial" w:cs="Arial"/>
        </w:rPr>
        <w:t xml:space="preserve"> federal advisories</w:t>
      </w:r>
      <w:r w:rsidR="005F1F71" w:rsidRPr="00E01AB8">
        <w:rPr>
          <w:rFonts w:ascii="Arial" w:hAnsi="Arial" w:cs="Arial"/>
        </w:rPr>
        <w:t xml:space="preserve"> (Fitzpatrick et al., 2023)</w:t>
      </w:r>
      <w:r w:rsidRPr="00902B36">
        <w:rPr>
          <w:rFonts w:ascii="Arial" w:hAnsi="Arial" w:cs="Arial"/>
        </w:rPr>
        <w:t>.</w:t>
      </w:r>
    </w:p>
    <w:p w14:paraId="33D2EFC2" w14:textId="41FE54AB" w:rsidR="00902B36" w:rsidRPr="00902B36" w:rsidRDefault="00902B36" w:rsidP="00902B36">
      <w:pPr>
        <w:spacing w:line="360" w:lineRule="auto"/>
        <w:jc w:val="both"/>
        <w:rPr>
          <w:rFonts w:ascii="Arial" w:hAnsi="Arial" w:cs="Arial"/>
        </w:rPr>
      </w:pPr>
      <w:r w:rsidRPr="00902B36">
        <w:rPr>
          <w:rFonts w:ascii="Arial" w:hAnsi="Arial" w:cs="Arial"/>
        </w:rPr>
        <w:t>At the same time, centralised federal functions delivered major benefits. National procurement of vaccines and personal protective equipment ensured equitable distribution across provinces, preventing competition and shortages</w:t>
      </w:r>
      <w:r w:rsidR="005F1F71" w:rsidRPr="00E01AB8">
        <w:rPr>
          <w:rFonts w:ascii="Arial" w:hAnsi="Arial" w:cs="Arial"/>
        </w:rPr>
        <w:t xml:space="preserve"> (McSween-Cadieux et al., 2024)</w:t>
      </w:r>
      <w:r w:rsidRPr="00902B36">
        <w:rPr>
          <w:rFonts w:ascii="Arial" w:hAnsi="Arial" w:cs="Arial"/>
        </w:rPr>
        <w:t>. The federal government provided emergency funding programs, such as the Canada Emergency Response Benefit (CERB) and health transfers, which supported both individuals and healthcare systems under strain</w:t>
      </w:r>
      <w:r w:rsidR="005F1F71" w:rsidRPr="00E01AB8">
        <w:rPr>
          <w:rFonts w:ascii="Arial" w:hAnsi="Arial" w:cs="Arial"/>
        </w:rPr>
        <w:t xml:space="preserve"> (</w:t>
      </w:r>
      <w:r w:rsidR="005F1F71" w:rsidRPr="00E01AB8">
        <w:rPr>
          <w:rFonts w:ascii="Arial" w:hAnsi="Arial" w:cs="Arial"/>
          <w:lang w:eastAsia="en-GB"/>
        </w:rPr>
        <w:t>Sundquist et al., 2021)</w:t>
      </w:r>
      <w:r w:rsidRPr="00902B36">
        <w:rPr>
          <w:rFonts w:ascii="Arial" w:hAnsi="Arial" w:cs="Arial"/>
        </w:rPr>
        <w:t>. PHAC’s national surveillance and modelling helped guide provincial decisions and promoted a coherent understanding of risk</w:t>
      </w:r>
      <w:r w:rsidR="005F1F71" w:rsidRPr="00E01AB8">
        <w:rPr>
          <w:rFonts w:ascii="Arial" w:hAnsi="Arial" w:cs="Arial"/>
        </w:rPr>
        <w:t xml:space="preserve"> (Fitzpatrick et al., 2023)</w:t>
      </w:r>
      <w:r w:rsidRPr="00902B36">
        <w:rPr>
          <w:rFonts w:ascii="Arial" w:hAnsi="Arial" w:cs="Arial"/>
        </w:rPr>
        <w:t xml:space="preserve">. Centralisation also helped ensure consistency in messaging </w:t>
      </w:r>
      <w:r w:rsidR="005F1F71" w:rsidRPr="00E01AB8">
        <w:rPr>
          <w:rFonts w:ascii="Arial" w:hAnsi="Arial" w:cs="Arial"/>
        </w:rPr>
        <w:t>on border controls, travel advisories, and national vaccination priorities (</w:t>
      </w:r>
      <w:r w:rsidR="005F1F71" w:rsidRPr="00E01AB8">
        <w:rPr>
          <w:rFonts w:ascii="Arial" w:hAnsi="Arial" w:cs="Arial"/>
          <w:lang w:eastAsia="en-GB"/>
        </w:rPr>
        <w:t>Sundquist et al., 2021)</w:t>
      </w:r>
      <w:r w:rsidRPr="00902B36">
        <w:rPr>
          <w:rFonts w:ascii="Arial" w:hAnsi="Arial" w:cs="Arial"/>
        </w:rPr>
        <w:t>. This combination of federal coordination and local autonomy allowed Canada to balance uniform national direction with regional adaptability, ultimately supporting a more comprehensive and responsive national strategy</w:t>
      </w:r>
      <w:r w:rsidR="005F1F71" w:rsidRPr="00E01AB8">
        <w:rPr>
          <w:rFonts w:ascii="Arial" w:hAnsi="Arial" w:cs="Arial"/>
        </w:rPr>
        <w:t xml:space="preserve"> (McSween-Cadieux et al., 2024)</w:t>
      </w:r>
      <w:r w:rsidRPr="00902B36">
        <w:rPr>
          <w:rFonts w:ascii="Arial" w:hAnsi="Arial" w:cs="Arial"/>
        </w:rPr>
        <w:t>.</w:t>
      </w:r>
    </w:p>
    <w:p w14:paraId="3E44BBDF" w14:textId="06AA713F" w:rsidR="00902B36" w:rsidRPr="00E01AB8" w:rsidRDefault="006F502F" w:rsidP="006F502F">
      <w:pPr>
        <w:pStyle w:val="Heading2"/>
        <w:rPr>
          <w:rFonts w:cs="Arial"/>
        </w:rPr>
      </w:pPr>
      <w:bookmarkStart w:id="12" w:name="_Toc214168842"/>
      <w:r w:rsidRPr="00E01AB8">
        <w:rPr>
          <w:rFonts w:cs="Arial"/>
        </w:rPr>
        <w:lastRenderedPageBreak/>
        <w:t xml:space="preserve">2.3.3 </w:t>
      </w:r>
      <w:r w:rsidR="00902B36" w:rsidRPr="00E01AB8">
        <w:rPr>
          <w:rFonts w:eastAsiaTheme="majorEastAsia" w:cs="Arial"/>
        </w:rPr>
        <w:t>Disadvantages of Canada’s Centralised–Decentralised System During COVID-19</w:t>
      </w:r>
      <w:bookmarkEnd w:id="12"/>
      <w:r w:rsidR="00902B36" w:rsidRPr="00E01AB8">
        <w:rPr>
          <w:rFonts w:eastAsiaTheme="majorEastAsia" w:cs="Arial"/>
        </w:rPr>
        <w:t xml:space="preserve"> </w:t>
      </w:r>
    </w:p>
    <w:p w14:paraId="6DE81E0B" w14:textId="6E401EC3" w:rsidR="00902B36" w:rsidRPr="00902B36" w:rsidRDefault="00902B36" w:rsidP="00902B36">
      <w:pPr>
        <w:spacing w:line="360" w:lineRule="auto"/>
        <w:jc w:val="both"/>
        <w:rPr>
          <w:rFonts w:ascii="Arial" w:hAnsi="Arial" w:cs="Arial"/>
        </w:rPr>
      </w:pPr>
      <w:r w:rsidRPr="00902B36">
        <w:rPr>
          <w:rFonts w:ascii="Arial" w:hAnsi="Arial" w:cs="Arial"/>
        </w:rPr>
        <w:t xml:space="preserve">Canada’s decentralised healthcare structure also </w:t>
      </w:r>
      <w:proofErr w:type="spellStart"/>
      <w:r w:rsidRPr="00902B36">
        <w:rPr>
          <w:rFonts w:ascii="Arial" w:hAnsi="Arial" w:cs="Arial"/>
        </w:rPr>
        <w:t>posed</w:t>
      </w:r>
      <w:proofErr w:type="spellEnd"/>
      <w:r w:rsidRPr="00902B36">
        <w:rPr>
          <w:rFonts w:ascii="Arial" w:hAnsi="Arial" w:cs="Arial"/>
        </w:rPr>
        <w:t xml:space="preserve"> significant challenges during the pandemic. One recurring issue was inconsistency across provinces in implementing restrictions, reporting data, and enforcing public health measures</w:t>
      </w:r>
      <w:r w:rsidR="005F1F71" w:rsidRPr="00E01AB8">
        <w:rPr>
          <w:rFonts w:ascii="Arial" w:hAnsi="Arial" w:cs="Arial"/>
        </w:rPr>
        <w:t xml:space="preserve"> (McSween-Cadieux et al., 2024)</w:t>
      </w:r>
      <w:r w:rsidRPr="00902B36">
        <w:rPr>
          <w:rFonts w:ascii="Arial" w:hAnsi="Arial" w:cs="Arial"/>
        </w:rPr>
        <w:t>. This variation sometimes caused public confusion, as neighbouring provinces adopted differing mask mandates, reopening schedules, or testing criteria</w:t>
      </w:r>
      <w:r w:rsidR="005F1F71" w:rsidRPr="00E01AB8">
        <w:rPr>
          <w:rFonts w:ascii="Arial" w:hAnsi="Arial" w:cs="Arial"/>
        </w:rPr>
        <w:t xml:space="preserve"> (Fitzpatrick et al., 2023)</w:t>
      </w:r>
      <w:r w:rsidRPr="00902B36">
        <w:rPr>
          <w:rFonts w:ascii="Arial" w:hAnsi="Arial" w:cs="Arial"/>
        </w:rPr>
        <w:t>. The absence of a unified national approach to schools, long-term care, and quarantine policies led to uneven outcomes and fragmented communication</w:t>
      </w:r>
      <w:r w:rsidR="005F1F71" w:rsidRPr="00E01AB8">
        <w:rPr>
          <w:rFonts w:ascii="Arial" w:hAnsi="Arial" w:cs="Arial"/>
        </w:rPr>
        <w:t xml:space="preserve"> (</w:t>
      </w:r>
      <w:r w:rsidR="005F1F71" w:rsidRPr="00E01AB8">
        <w:rPr>
          <w:rFonts w:ascii="Arial" w:hAnsi="Arial" w:cs="Arial"/>
          <w:lang w:eastAsia="en-GB"/>
        </w:rPr>
        <w:t>Sundquist et al., 2021)</w:t>
      </w:r>
      <w:r w:rsidRPr="00902B36">
        <w:rPr>
          <w:rFonts w:ascii="Arial" w:hAnsi="Arial" w:cs="Arial"/>
        </w:rPr>
        <w:t>. Provinces with slower decision-making processes or weaker public health infrastructures struggled to respond as quickly or effectively as others, resulting in regional disparities in case numbers and hospital strain</w:t>
      </w:r>
      <w:r w:rsidR="005F1F71" w:rsidRPr="00E01AB8">
        <w:rPr>
          <w:rFonts w:ascii="Arial" w:hAnsi="Arial" w:cs="Arial"/>
        </w:rPr>
        <w:t xml:space="preserve"> (Fitzpatrick et al., 2023)</w:t>
      </w:r>
      <w:r w:rsidRPr="00902B36">
        <w:rPr>
          <w:rFonts w:ascii="Arial" w:hAnsi="Arial" w:cs="Arial"/>
        </w:rPr>
        <w:t>.</w:t>
      </w:r>
    </w:p>
    <w:p w14:paraId="7CD5897F" w14:textId="03E616F1" w:rsidR="00902B36" w:rsidRPr="00E01AB8" w:rsidRDefault="00902B36" w:rsidP="00902B36">
      <w:pPr>
        <w:spacing w:line="360" w:lineRule="auto"/>
        <w:jc w:val="both"/>
        <w:rPr>
          <w:rFonts w:ascii="Arial" w:hAnsi="Arial" w:cs="Arial"/>
        </w:rPr>
      </w:pPr>
      <w:r w:rsidRPr="00902B36">
        <w:rPr>
          <w:rFonts w:ascii="Arial" w:hAnsi="Arial" w:cs="Arial"/>
        </w:rPr>
        <w:t xml:space="preserve">Centralised federal functions also faced limitations due to constitutional boundaries and coordination challenges. While the federal government could procure vaccines and set border policies, it lacked </w:t>
      </w:r>
      <w:r w:rsidRPr="00E01AB8">
        <w:rPr>
          <w:rFonts w:ascii="Arial" w:hAnsi="Arial" w:cs="Arial"/>
        </w:rPr>
        <w:t xml:space="preserve">the </w:t>
      </w:r>
      <w:r w:rsidRPr="00902B36">
        <w:rPr>
          <w:rFonts w:ascii="Arial" w:hAnsi="Arial" w:cs="Arial"/>
        </w:rPr>
        <w:t>authority to enforce national public health standards within provinces</w:t>
      </w:r>
      <w:r w:rsidR="005F1F71" w:rsidRPr="00E01AB8">
        <w:rPr>
          <w:rFonts w:ascii="Arial" w:hAnsi="Arial" w:cs="Arial"/>
        </w:rPr>
        <w:t xml:space="preserve"> (</w:t>
      </w:r>
      <w:r w:rsidR="005F1F71" w:rsidRPr="00E01AB8">
        <w:rPr>
          <w:rFonts w:ascii="Arial" w:hAnsi="Arial" w:cs="Arial"/>
          <w:lang w:eastAsia="en-GB"/>
        </w:rPr>
        <w:t>Melnyk et al., 2023)</w:t>
      </w:r>
      <w:r w:rsidRPr="00902B36">
        <w:rPr>
          <w:rFonts w:ascii="Arial" w:hAnsi="Arial" w:cs="Arial"/>
        </w:rPr>
        <w:t xml:space="preserve">. This sometimes hindered the ability to implement consistent nationwide strategies, particularly regarding long-term care homes, where provincial systems varied widely in quality and oversight. Delays in federal guidance, supply distribution, and surveillance system </w:t>
      </w:r>
      <w:r w:rsidRPr="00E01AB8">
        <w:rPr>
          <w:rFonts w:ascii="Arial" w:hAnsi="Arial" w:cs="Arial"/>
        </w:rPr>
        <w:t>modernisation</w:t>
      </w:r>
      <w:r w:rsidRPr="00902B36">
        <w:rPr>
          <w:rFonts w:ascii="Arial" w:hAnsi="Arial" w:cs="Arial"/>
        </w:rPr>
        <w:t xml:space="preserve"> further compounded coordination difficulties</w:t>
      </w:r>
      <w:r w:rsidR="005F1F71" w:rsidRPr="00E01AB8">
        <w:rPr>
          <w:rFonts w:ascii="Arial" w:hAnsi="Arial" w:cs="Arial"/>
        </w:rPr>
        <w:t xml:space="preserve"> (</w:t>
      </w:r>
      <w:r w:rsidR="005F1F71" w:rsidRPr="00E01AB8">
        <w:rPr>
          <w:rFonts w:ascii="Arial" w:hAnsi="Arial" w:cs="Arial"/>
          <w:lang w:eastAsia="en-GB"/>
        </w:rPr>
        <w:t>Sundquist et al., 2021)</w:t>
      </w:r>
      <w:r w:rsidRPr="00902B36">
        <w:rPr>
          <w:rFonts w:ascii="Arial" w:hAnsi="Arial" w:cs="Arial"/>
        </w:rPr>
        <w:t xml:space="preserve">. In some cases, provinces felt federal communication was insufficient, while federal officials struggled to </w:t>
      </w:r>
      <w:r w:rsidRPr="00E01AB8">
        <w:rPr>
          <w:rFonts w:ascii="Arial" w:hAnsi="Arial" w:cs="Arial"/>
        </w:rPr>
        <w:t>harmonise</w:t>
      </w:r>
      <w:r w:rsidRPr="00902B36">
        <w:rPr>
          <w:rFonts w:ascii="Arial" w:hAnsi="Arial" w:cs="Arial"/>
        </w:rPr>
        <w:t xml:space="preserve"> inconsistent provincial reporting</w:t>
      </w:r>
      <w:r w:rsidR="005F1F71" w:rsidRPr="00E01AB8">
        <w:rPr>
          <w:rFonts w:ascii="Arial" w:hAnsi="Arial" w:cs="Arial"/>
        </w:rPr>
        <w:t xml:space="preserve"> (</w:t>
      </w:r>
      <w:r w:rsidR="005F1F71" w:rsidRPr="00E01AB8">
        <w:rPr>
          <w:rFonts w:ascii="Arial" w:hAnsi="Arial" w:cs="Arial"/>
          <w:lang w:eastAsia="en-GB"/>
        </w:rPr>
        <w:t>Melnyk et al., 2023)</w:t>
      </w:r>
      <w:r w:rsidRPr="00902B36">
        <w:rPr>
          <w:rFonts w:ascii="Arial" w:hAnsi="Arial" w:cs="Arial"/>
        </w:rPr>
        <w:t>. These issues demonstrated that Canada’s combination of federal oversight and provincial autonomy can lead to fragmented responses without strong intergovernmental coordination mechanisms</w:t>
      </w:r>
      <w:r w:rsidR="005F1F71" w:rsidRPr="00E01AB8">
        <w:rPr>
          <w:rFonts w:ascii="Arial" w:hAnsi="Arial" w:cs="Arial"/>
        </w:rPr>
        <w:t xml:space="preserve"> (Fitzpatrick et al., 2023)</w:t>
      </w:r>
      <w:r w:rsidRPr="00902B36">
        <w:rPr>
          <w:rFonts w:ascii="Arial" w:hAnsi="Arial" w:cs="Arial"/>
        </w:rPr>
        <w:t>.</w:t>
      </w:r>
    </w:p>
    <w:p w14:paraId="46920B97" w14:textId="5E7ED6BE" w:rsidR="006F502F" w:rsidRPr="00E01AB8" w:rsidRDefault="006F502F" w:rsidP="006F502F">
      <w:pPr>
        <w:pStyle w:val="Heading1"/>
        <w:rPr>
          <w:rFonts w:cs="Arial"/>
        </w:rPr>
      </w:pPr>
      <w:bookmarkStart w:id="13" w:name="_Toc214168843"/>
      <w:r w:rsidRPr="00E01AB8">
        <w:rPr>
          <w:rFonts w:cs="Arial"/>
        </w:rPr>
        <w:t xml:space="preserve">3. </w:t>
      </w:r>
      <w:r w:rsidR="00902B36" w:rsidRPr="00E01AB8">
        <w:rPr>
          <w:rFonts w:cs="Arial"/>
        </w:rPr>
        <w:t>Leadership Style</w:t>
      </w:r>
      <w:r w:rsidR="00AA5B84" w:rsidRPr="00E01AB8">
        <w:rPr>
          <w:rFonts w:cs="Arial"/>
        </w:rPr>
        <w:t>s</w:t>
      </w:r>
      <w:r w:rsidR="00902B36" w:rsidRPr="00E01AB8">
        <w:rPr>
          <w:rFonts w:cs="Arial"/>
        </w:rPr>
        <w:t xml:space="preserve"> </w:t>
      </w:r>
      <w:r w:rsidR="00AA5B84" w:rsidRPr="00E01AB8">
        <w:rPr>
          <w:rFonts w:cs="Arial"/>
        </w:rPr>
        <w:t>taken by each country</w:t>
      </w:r>
      <w:bookmarkEnd w:id="13"/>
    </w:p>
    <w:p w14:paraId="0D44D372" w14:textId="57093302" w:rsidR="00902B36" w:rsidRPr="00E01AB8" w:rsidRDefault="006F502F" w:rsidP="006F502F">
      <w:pPr>
        <w:pStyle w:val="Heading1"/>
        <w:rPr>
          <w:rFonts w:cs="Arial"/>
        </w:rPr>
      </w:pPr>
      <w:bookmarkStart w:id="14" w:name="_Toc214168844"/>
      <w:r w:rsidRPr="00E01AB8">
        <w:rPr>
          <w:rFonts w:cs="Arial"/>
        </w:rPr>
        <w:t xml:space="preserve">3.1 </w:t>
      </w:r>
      <w:r w:rsidR="00902B36" w:rsidRPr="00E01AB8">
        <w:rPr>
          <w:rFonts w:cs="Arial"/>
        </w:rPr>
        <w:t>Spain’s Leadership During COVID-19</w:t>
      </w:r>
      <w:bookmarkEnd w:id="14"/>
      <w:r w:rsidR="00902B36" w:rsidRPr="00E01AB8">
        <w:rPr>
          <w:rFonts w:cs="Arial"/>
        </w:rPr>
        <w:t xml:space="preserve"> </w:t>
      </w:r>
    </w:p>
    <w:p w14:paraId="39DC4535" w14:textId="2E1D973D" w:rsidR="00ED2384" w:rsidRPr="00ED2384" w:rsidRDefault="00ED2384" w:rsidP="00ED2384">
      <w:pPr>
        <w:spacing w:line="360" w:lineRule="auto"/>
        <w:jc w:val="both"/>
        <w:rPr>
          <w:rFonts w:ascii="Arial" w:hAnsi="Arial" w:cs="Arial"/>
        </w:rPr>
      </w:pPr>
      <w:r w:rsidRPr="00ED2384">
        <w:rPr>
          <w:rFonts w:ascii="Arial" w:hAnsi="Arial" w:cs="Arial"/>
        </w:rPr>
        <w:t>Spain’s leadership during the COVID-19 pandemic, under Prime Minister Pedro Sánchez, reflected a mixed leadership style that combined elements of laissez-faire, reactive crisis leadership, and moments of centralised, authoritarian decision-making</w:t>
      </w:r>
      <w:r w:rsidR="00C95E32" w:rsidRPr="00E01AB8">
        <w:rPr>
          <w:rFonts w:ascii="Arial" w:hAnsi="Arial" w:cs="Arial"/>
        </w:rPr>
        <w:t xml:space="preserve"> (Tercan, 2024)</w:t>
      </w:r>
      <w:r w:rsidRPr="00ED2384">
        <w:rPr>
          <w:rFonts w:ascii="Arial" w:hAnsi="Arial" w:cs="Arial"/>
        </w:rPr>
        <w:t xml:space="preserve">. Initially, Sánchez exhibited a more hands-off, consensus-based style, </w:t>
      </w:r>
      <w:r w:rsidRPr="00ED2384">
        <w:rPr>
          <w:rFonts w:ascii="Arial" w:hAnsi="Arial" w:cs="Arial"/>
        </w:rPr>
        <w:lastRenderedPageBreak/>
        <w:t>relying heavily on expert committees, regional authorities, and gradual negotiation before imposing severe measures</w:t>
      </w:r>
      <w:r w:rsidR="00175560" w:rsidRPr="00E01AB8">
        <w:rPr>
          <w:rFonts w:ascii="Arial" w:hAnsi="Arial" w:cs="Arial"/>
        </w:rPr>
        <w:t xml:space="preserve"> (Osuna, 2024)</w:t>
      </w:r>
      <w:r w:rsidRPr="00ED2384">
        <w:rPr>
          <w:rFonts w:ascii="Arial" w:hAnsi="Arial" w:cs="Arial"/>
        </w:rPr>
        <w:t xml:space="preserve">. This tendency toward decentralised decision-making aligned with Spain’s political structure but contributed to </w:t>
      </w:r>
      <w:r w:rsidR="00C95E32" w:rsidRPr="00E01AB8">
        <w:rPr>
          <w:rFonts w:ascii="Arial" w:hAnsi="Arial" w:cs="Arial"/>
        </w:rPr>
        <w:t xml:space="preserve">the </w:t>
      </w:r>
      <w:r w:rsidRPr="00ED2384">
        <w:rPr>
          <w:rFonts w:ascii="Arial" w:hAnsi="Arial" w:cs="Arial"/>
        </w:rPr>
        <w:t>slower recognition of the pandemic’s severity</w:t>
      </w:r>
      <w:r w:rsidR="00FC4BF4" w:rsidRPr="00E01AB8">
        <w:rPr>
          <w:rFonts w:ascii="Arial" w:hAnsi="Arial" w:cs="Arial"/>
        </w:rPr>
        <w:t xml:space="preserve"> (Osuna, 2024)</w:t>
      </w:r>
      <w:r w:rsidRPr="00ED2384">
        <w:rPr>
          <w:rFonts w:ascii="Arial" w:hAnsi="Arial" w:cs="Arial"/>
        </w:rPr>
        <w:t>. During the early outbreak, which escalated rapidly in regions such as Madrid and Catalonia, this restrained leadership style limited Spain’s ability to respond swiftly</w:t>
      </w:r>
      <w:r w:rsidR="00467AD9" w:rsidRPr="00E01AB8">
        <w:rPr>
          <w:rFonts w:ascii="Arial" w:hAnsi="Arial" w:cs="Arial"/>
        </w:rPr>
        <w:t xml:space="preserve"> (</w:t>
      </w:r>
      <w:r w:rsidR="00467AD9" w:rsidRPr="00E01AB8">
        <w:rPr>
          <w:rFonts w:ascii="Arial" w:hAnsi="Arial" w:cs="Arial"/>
          <w:lang w:eastAsia="en-GB"/>
        </w:rPr>
        <w:t>Sánchez</w:t>
      </w:r>
      <w:r w:rsidR="007B1941" w:rsidRPr="00E01AB8">
        <w:rPr>
          <w:rFonts w:ascii="Arial" w:hAnsi="Arial" w:cs="Arial"/>
          <w:lang w:eastAsia="en-GB"/>
        </w:rPr>
        <w:t xml:space="preserve"> </w:t>
      </w:r>
      <w:r w:rsidR="00467AD9" w:rsidRPr="00E01AB8">
        <w:rPr>
          <w:rFonts w:ascii="Arial" w:hAnsi="Arial" w:cs="Arial"/>
          <w:lang w:eastAsia="en-GB"/>
        </w:rPr>
        <w:t>and Latorre, 2022)</w:t>
      </w:r>
      <w:r w:rsidRPr="00ED2384">
        <w:rPr>
          <w:rFonts w:ascii="Arial" w:hAnsi="Arial" w:cs="Arial"/>
        </w:rPr>
        <w:t>.</w:t>
      </w:r>
    </w:p>
    <w:p w14:paraId="5257CF21" w14:textId="6A248150" w:rsidR="00ED2384" w:rsidRPr="00ED2384" w:rsidRDefault="00ED2384" w:rsidP="00ED2384">
      <w:pPr>
        <w:spacing w:line="360" w:lineRule="auto"/>
        <w:jc w:val="both"/>
        <w:rPr>
          <w:rFonts w:ascii="Arial" w:hAnsi="Arial" w:cs="Arial"/>
        </w:rPr>
      </w:pPr>
      <w:r w:rsidRPr="00ED2384">
        <w:rPr>
          <w:rFonts w:ascii="Arial" w:hAnsi="Arial" w:cs="Arial"/>
        </w:rPr>
        <w:t>However, as infections soared and hospitals neared collapse, Sánchez shifted toward a more directive, centralised, and autocratic style. The government invoked a state of alarm that enabled national-level control over mobility, healthcare resource distribution, and emergency measures</w:t>
      </w:r>
      <w:r w:rsidR="007B1941" w:rsidRPr="00E01AB8">
        <w:rPr>
          <w:rFonts w:ascii="Arial" w:hAnsi="Arial" w:cs="Arial"/>
        </w:rPr>
        <w:t xml:space="preserve"> (Tercan, 2024)</w:t>
      </w:r>
      <w:r w:rsidRPr="00ED2384">
        <w:rPr>
          <w:rFonts w:ascii="Arial" w:hAnsi="Arial" w:cs="Arial"/>
        </w:rPr>
        <w:t>. Decision-making became faster and more top-down, with strict nationwide lockdowns and enforcement policies. This shift illustrated how Sánchez’s leadership adapted under crisis pressure, transitioning from negotiation-oriented governance to decisive emergency action</w:t>
      </w:r>
      <w:r w:rsidR="00175560" w:rsidRPr="00E01AB8">
        <w:rPr>
          <w:rFonts w:ascii="Arial" w:hAnsi="Arial" w:cs="Arial"/>
        </w:rPr>
        <w:t xml:space="preserve">, </w:t>
      </w:r>
      <w:r w:rsidRPr="00ED2384">
        <w:rPr>
          <w:rFonts w:ascii="Arial" w:hAnsi="Arial" w:cs="Arial"/>
        </w:rPr>
        <w:t>a pattern common in crisis leadership theory</w:t>
      </w:r>
      <w:r w:rsidR="00FC4BF4" w:rsidRPr="00E01AB8">
        <w:rPr>
          <w:rFonts w:ascii="Arial" w:hAnsi="Arial" w:cs="Arial"/>
        </w:rPr>
        <w:t xml:space="preserve"> (Osuna, 2024)</w:t>
      </w:r>
      <w:r w:rsidRPr="00ED2384">
        <w:rPr>
          <w:rFonts w:ascii="Arial" w:hAnsi="Arial" w:cs="Arial"/>
        </w:rPr>
        <w:t>.</w:t>
      </w:r>
    </w:p>
    <w:p w14:paraId="42093885" w14:textId="261FADAC" w:rsidR="00902B36" w:rsidRPr="00902B36" w:rsidRDefault="00ED2384" w:rsidP="00902B36">
      <w:pPr>
        <w:spacing w:line="360" w:lineRule="auto"/>
        <w:jc w:val="both"/>
        <w:rPr>
          <w:rFonts w:ascii="Arial" w:hAnsi="Arial" w:cs="Arial"/>
        </w:rPr>
      </w:pPr>
      <w:r w:rsidRPr="00ED2384">
        <w:rPr>
          <w:rFonts w:ascii="Arial" w:hAnsi="Arial" w:cs="Arial"/>
        </w:rPr>
        <w:t>Throughout the pandemic, Sánchez’s leadership was also heavily influenced by political fragmentation, which required balancing public health decisions with competing regional interests</w:t>
      </w:r>
      <w:r w:rsidR="00FC4BF4" w:rsidRPr="00E01AB8">
        <w:rPr>
          <w:rFonts w:ascii="Arial" w:hAnsi="Arial" w:cs="Arial"/>
        </w:rPr>
        <w:t xml:space="preserve"> (Osuna, 2024)</w:t>
      </w:r>
      <w:r w:rsidRPr="00ED2384">
        <w:rPr>
          <w:rFonts w:ascii="Arial" w:hAnsi="Arial" w:cs="Arial"/>
        </w:rPr>
        <w:t>. His attempt to blend cooperation with assertiveness meant that Spain’s response remained uneven, oscillating between decentralised management and strict national mandates</w:t>
      </w:r>
      <w:r w:rsidR="007B1941" w:rsidRPr="00E01AB8">
        <w:rPr>
          <w:rFonts w:ascii="Arial" w:hAnsi="Arial" w:cs="Arial"/>
        </w:rPr>
        <w:t xml:space="preserve"> (Tercan, 2024)</w:t>
      </w:r>
      <w:r w:rsidRPr="00ED2384">
        <w:rPr>
          <w:rFonts w:ascii="Arial" w:hAnsi="Arial" w:cs="Arial"/>
        </w:rPr>
        <w:t>. This hybrid style revealed both strengths and vulnerabilities: while it aimed to respect regional autonomy, it also created coordination challenges. Overall, Sánchez demonstrated a context-dependent leadership style, shaped by Spain’s decentralised political landscape, scientific advice, and escalating public pressure</w:t>
      </w:r>
      <w:r w:rsidR="00FC4BF4" w:rsidRPr="00E01AB8">
        <w:rPr>
          <w:rFonts w:ascii="Arial" w:hAnsi="Arial" w:cs="Arial"/>
        </w:rPr>
        <w:t xml:space="preserve"> (</w:t>
      </w:r>
      <w:r w:rsidR="00FC4BF4" w:rsidRPr="00E01AB8">
        <w:rPr>
          <w:rFonts w:ascii="Arial" w:hAnsi="Arial" w:cs="Arial"/>
          <w:lang w:eastAsia="en-GB"/>
        </w:rPr>
        <w:t>Sánchez and Latorre, 2022)</w:t>
      </w:r>
      <w:r w:rsidRPr="00ED2384">
        <w:rPr>
          <w:rFonts w:ascii="Arial" w:hAnsi="Arial" w:cs="Arial"/>
        </w:rPr>
        <w:t>.</w:t>
      </w:r>
    </w:p>
    <w:p w14:paraId="76CA2D1D" w14:textId="17B7F972" w:rsidR="00902B36" w:rsidRPr="00E01AB8" w:rsidRDefault="006F502F" w:rsidP="006F502F">
      <w:pPr>
        <w:pStyle w:val="Heading2"/>
        <w:rPr>
          <w:rFonts w:cs="Arial"/>
        </w:rPr>
      </w:pPr>
      <w:bookmarkStart w:id="15" w:name="_Toc214168845"/>
      <w:r w:rsidRPr="00E01AB8">
        <w:rPr>
          <w:rFonts w:cs="Arial"/>
        </w:rPr>
        <w:t xml:space="preserve">3.1.1 </w:t>
      </w:r>
      <w:r w:rsidR="00902B36" w:rsidRPr="00E01AB8">
        <w:rPr>
          <w:rFonts w:eastAsiaTheme="majorEastAsia" w:cs="Arial"/>
        </w:rPr>
        <w:t>Advantages of Spain’s Leadership Approach</w:t>
      </w:r>
      <w:bookmarkEnd w:id="15"/>
      <w:r w:rsidR="00902B36" w:rsidRPr="00E01AB8">
        <w:rPr>
          <w:rFonts w:eastAsiaTheme="majorEastAsia" w:cs="Arial"/>
        </w:rPr>
        <w:t xml:space="preserve"> </w:t>
      </w:r>
    </w:p>
    <w:p w14:paraId="5919571E" w14:textId="6C86D452" w:rsidR="00ED2384" w:rsidRPr="00ED2384" w:rsidRDefault="00ED2384" w:rsidP="00ED2384">
      <w:pPr>
        <w:spacing w:line="360" w:lineRule="auto"/>
        <w:jc w:val="both"/>
        <w:rPr>
          <w:rFonts w:ascii="Arial" w:hAnsi="Arial" w:cs="Arial"/>
        </w:rPr>
      </w:pPr>
      <w:r w:rsidRPr="00ED2384">
        <w:rPr>
          <w:rFonts w:ascii="Arial" w:hAnsi="Arial" w:cs="Arial"/>
        </w:rPr>
        <w:t>One advantage of Sánchez’s initially cooperative and decentralised leadership style was that it respected Spain’s autonomous regional governments, fostering collaboration across multiple political actors</w:t>
      </w:r>
      <w:r w:rsidR="00FC4BF4" w:rsidRPr="00E01AB8">
        <w:rPr>
          <w:rFonts w:ascii="Arial" w:hAnsi="Arial" w:cs="Arial"/>
        </w:rPr>
        <w:t xml:space="preserve"> (Osuna, 2024)</w:t>
      </w:r>
      <w:r w:rsidRPr="00ED2384">
        <w:rPr>
          <w:rFonts w:ascii="Arial" w:hAnsi="Arial" w:cs="Arial"/>
        </w:rPr>
        <w:t>. By allowing regional presidents and health authorities to shape local restrictions, Spain was able to tailor responses to varied epidemiological conditions</w:t>
      </w:r>
      <w:r w:rsidR="00FC4BF4" w:rsidRPr="00E01AB8">
        <w:rPr>
          <w:rFonts w:ascii="Arial" w:hAnsi="Arial" w:cs="Arial"/>
        </w:rPr>
        <w:t xml:space="preserve"> (Osuna, 2024)</w:t>
      </w:r>
      <w:r w:rsidRPr="00ED2384">
        <w:rPr>
          <w:rFonts w:ascii="Arial" w:hAnsi="Arial" w:cs="Arial"/>
        </w:rPr>
        <w:t xml:space="preserve">. This participatory style strengthened democratic legitimacy and improved regional buy-in for public health measures. It also ensured that decisions were informed by local knowledge, which is </w:t>
      </w:r>
      <w:r w:rsidRPr="00ED2384">
        <w:rPr>
          <w:rFonts w:ascii="Arial" w:hAnsi="Arial" w:cs="Arial"/>
        </w:rPr>
        <w:lastRenderedPageBreak/>
        <w:t>crucial in a diverse country with distinct population densities and healthcare capacities</w:t>
      </w:r>
      <w:r w:rsidR="007B1941" w:rsidRPr="00E01AB8">
        <w:rPr>
          <w:rFonts w:ascii="Arial" w:hAnsi="Arial" w:cs="Arial"/>
        </w:rPr>
        <w:t xml:space="preserve"> (Tercan, 2024)</w:t>
      </w:r>
      <w:r w:rsidRPr="00ED2384">
        <w:rPr>
          <w:rFonts w:ascii="Arial" w:hAnsi="Arial" w:cs="Arial"/>
        </w:rPr>
        <w:t>.</w:t>
      </w:r>
    </w:p>
    <w:p w14:paraId="2CCC2F55" w14:textId="183CD98B" w:rsidR="00902B36" w:rsidRPr="00902B36" w:rsidRDefault="00ED2384" w:rsidP="00902B36">
      <w:pPr>
        <w:spacing w:line="360" w:lineRule="auto"/>
        <w:jc w:val="both"/>
        <w:rPr>
          <w:rFonts w:ascii="Arial" w:hAnsi="Arial" w:cs="Arial"/>
        </w:rPr>
      </w:pPr>
      <w:r w:rsidRPr="00ED2384">
        <w:rPr>
          <w:rFonts w:ascii="Arial" w:hAnsi="Arial" w:cs="Arial"/>
        </w:rPr>
        <w:t>Another advantage emerged when Sánchez shifted to a more centralised style during the peak of the crisis. The rapid implementation of a strict national lockdown helped contain uncontrolled transmission and stabilise overstretched hospitals</w:t>
      </w:r>
      <w:r w:rsidR="00FC4BF4" w:rsidRPr="00E01AB8">
        <w:rPr>
          <w:rFonts w:ascii="Arial" w:hAnsi="Arial" w:cs="Arial"/>
        </w:rPr>
        <w:t xml:space="preserve"> (</w:t>
      </w:r>
      <w:r w:rsidR="00FC4BF4" w:rsidRPr="00E01AB8">
        <w:rPr>
          <w:rFonts w:ascii="Arial" w:hAnsi="Arial" w:cs="Arial"/>
          <w:lang w:eastAsia="en-GB"/>
        </w:rPr>
        <w:t>Sánchez and Latorre, 2022)</w:t>
      </w:r>
      <w:r w:rsidRPr="00ED2384">
        <w:rPr>
          <w:rFonts w:ascii="Arial" w:hAnsi="Arial" w:cs="Arial"/>
        </w:rPr>
        <w:t>. A decisive, top-down approach enabled faster mobilisation of national resources, including military medical support and national coordination of PPE procurement</w:t>
      </w:r>
      <w:r w:rsidR="00FC4BF4" w:rsidRPr="00E01AB8">
        <w:rPr>
          <w:rFonts w:ascii="Arial" w:hAnsi="Arial" w:cs="Arial"/>
        </w:rPr>
        <w:t xml:space="preserve"> (Osuna, 2024)</w:t>
      </w:r>
      <w:r w:rsidRPr="00ED2384">
        <w:rPr>
          <w:rFonts w:ascii="Arial" w:hAnsi="Arial" w:cs="Arial"/>
        </w:rPr>
        <w:t>. This transition demonstrated flexibility in leadership</w:t>
      </w:r>
      <w:r w:rsidR="007B1941" w:rsidRPr="00E01AB8">
        <w:rPr>
          <w:rFonts w:ascii="Arial" w:hAnsi="Arial" w:cs="Arial"/>
        </w:rPr>
        <w:t xml:space="preserve">, </w:t>
      </w:r>
      <w:r w:rsidRPr="00ED2384">
        <w:rPr>
          <w:rFonts w:ascii="Arial" w:hAnsi="Arial" w:cs="Arial"/>
        </w:rPr>
        <w:t>an ability to adapt strategy when circumstances required</w:t>
      </w:r>
      <w:r w:rsidR="007B1941" w:rsidRPr="00E01AB8">
        <w:rPr>
          <w:rFonts w:ascii="Arial" w:hAnsi="Arial" w:cs="Arial"/>
        </w:rPr>
        <w:t xml:space="preserve">, </w:t>
      </w:r>
      <w:r w:rsidRPr="00ED2384">
        <w:rPr>
          <w:rFonts w:ascii="Arial" w:hAnsi="Arial" w:cs="Arial"/>
        </w:rPr>
        <w:t>and allowed Spain to regain control during its most severe wave</w:t>
      </w:r>
      <w:r w:rsidR="007B1941" w:rsidRPr="00E01AB8">
        <w:rPr>
          <w:rFonts w:ascii="Arial" w:hAnsi="Arial" w:cs="Arial"/>
        </w:rPr>
        <w:t xml:space="preserve"> (Tercan, 2024)</w:t>
      </w:r>
      <w:r w:rsidRPr="00ED2384">
        <w:rPr>
          <w:rFonts w:ascii="Arial" w:hAnsi="Arial" w:cs="Arial"/>
        </w:rPr>
        <w:t>.</w:t>
      </w:r>
    </w:p>
    <w:p w14:paraId="30409C15" w14:textId="36ED2BAD" w:rsidR="00902B36" w:rsidRPr="00E01AB8" w:rsidRDefault="006F502F" w:rsidP="006F502F">
      <w:pPr>
        <w:pStyle w:val="Heading2"/>
        <w:rPr>
          <w:rFonts w:cs="Arial"/>
        </w:rPr>
      </w:pPr>
      <w:bookmarkStart w:id="16" w:name="_Toc214168846"/>
      <w:r w:rsidRPr="00E01AB8">
        <w:rPr>
          <w:rFonts w:cs="Arial"/>
        </w:rPr>
        <w:t xml:space="preserve">3.1.2 </w:t>
      </w:r>
      <w:r w:rsidR="00902B36" w:rsidRPr="00E01AB8">
        <w:rPr>
          <w:rFonts w:eastAsiaTheme="majorEastAsia" w:cs="Arial"/>
        </w:rPr>
        <w:t>Disadvantages of Spain’s Leadership Approach</w:t>
      </w:r>
      <w:bookmarkEnd w:id="16"/>
      <w:r w:rsidR="00902B36" w:rsidRPr="00E01AB8">
        <w:rPr>
          <w:rFonts w:eastAsiaTheme="majorEastAsia" w:cs="Arial"/>
        </w:rPr>
        <w:t xml:space="preserve"> </w:t>
      </w:r>
    </w:p>
    <w:p w14:paraId="0F342536" w14:textId="5C6982DD" w:rsidR="00ED2384" w:rsidRPr="00ED2384" w:rsidRDefault="00ED2384" w:rsidP="00ED2384">
      <w:pPr>
        <w:spacing w:line="360" w:lineRule="auto"/>
        <w:jc w:val="both"/>
        <w:rPr>
          <w:rFonts w:ascii="Arial" w:hAnsi="Arial" w:cs="Arial"/>
        </w:rPr>
      </w:pPr>
      <w:r w:rsidRPr="00ED2384">
        <w:rPr>
          <w:rFonts w:ascii="Arial" w:hAnsi="Arial" w:cs="Arial"/>
        </w:rPr>
        <w:t>A major disadvantage of the early laissez-faire and cooperative leadership approach was the slow response it produced during the critical early weeks of the outbreak</w:t>
      </w:r>
      <w:r w:rsidR="00FC4BF4" w:rsidRPr="00E01AB8">
        <w:rPr>
          <w:rFonts w:ascii="Arial" w:hAnsi="Arial" w:cs="Arial"/>
        </w:rPr>
        <w:t xml:space="preserve">. </w:t>
      </w:r>
      <w:r w:rsidRPr="00ED2384">
        <w:rPr>
          <w:rFonts w:ascii="Arial" w:hAnsi="Arial" w:cs="Arial"/>
        </w:rPr>
        <w:t>The emphasis on negotiation and consensus delayed implementation of restrictions, contributing to Spain becoming one of the hardest-hit countries in the initial wave</w:t>
      </w:r>
      <w:r w:rsidR="00FC4BF4" w:rsidRPr="00E01AB8">
        <w:rPr>
          <w:rFonts w:ascii="Arial" w:hAnsi="Arial" w:cs="Arial"/>
        </w:rPr>
        <w:t xml:space="preserve"> (Tercan, 2024)</w:t>
      </w:r>
      <w:r w:rsidRPr="00ED2384">
        <w:rPr>
          <w:rFonts w:ascii="Arial" w:hAnsi="Arial" w:cs="Arial"/>
        </w:rPr>
        <w:t>. Fragmentation between central and regional authorities resulted in inconsistent policies, unclear communication, and public confusion. This lack of coordination weakened Spain’s ability to implement cohesive national surveillance, testing, and tracing systems</w:t>
      </w:r>
      <w:r w:rsidR="00FC4BF4" w:rsidRPr="00E01AB8">
        <w:rPr>
          <w:rFonts w:ascii="Arial" w:hAnsi="Arial" w:cs="Arial"/>
        </w:rPr>
        <w:t xml:space="preserve"> (Osuna, 2024)</w:t>
      </w:r>
      <w:r w:rsidRPr="00ED2384">
        <w:rPr>
          <w:rFonts w:ascii="Arial" w:hAnsi="Arial" w:cs="Arial"/>
        </w:rPr>
        <w:t>.</w:t>
      </w:r>
    </w:p>
    <w:p w14:paraId="481F5E3E" w14:textId="04A8173E" w:rsidR="00902B36" w:rsidRPr="00902B36" w:rsidRDefault="00ED2384" w:rsidP="00902B36">
      <w:pPr>
        <w:spacing w:line="360" w:lineRule="auto"/>
        <w:jc w:val="both"/>
        <w:rPr>
          <w:rFonts w:ascii="Arial" w:hAnsi="Arial" w:cs="Arial"/>
        </w:rPr>
      </w:pPr>
      <w:r w:rsidRPr="00ED2384">
        <w:rPr>
          <w:rFonts w:ascii="Arial" w:hAnsi="Arial" w:cs="Arial"/>
        </w:rPr>
        <w:t>On the other hand, the later shift to a highly centralised, autocratic style also created drawbacks. While necessary for crisis control, it generated political conflict, reduced regional autonomy, and led to accusations of government overreach</w:t>
      </w:r>
      <w:r w:rsidR="00FC4BF4" w:rsidRPr="00E01AB8">
        <w:rPr>
          <w:rFonts w:ascii="Arial" w:hAnsi="Arial" w:cs="Arial"/>
        </w:rPr>
        <w:t xml:space="preserve"> (</w:t>
      </w:r>
      <w:r w:rsidR="00FC4BF4" w:rsidRPr="00E01AB8">
        <w:rPr>
          <w:rFonts w:ascii="Arial" w:hAnsi="Arial" w:cs="Arial"/>
          <w:lang w:eastAsia="en-GB"/>
        </w:rPr>
        <w:t>Sánchez and Latorre, 2022)</w:t>
      </w:r>
      <w:r w:rsidRPr="00ED2384">
        <w:rPr>
          <w:rFonts w:ascii="Arial" w:hAnsi="Arial" w:cs="Arial"/>
        </w:rPr>
        <w:t>. Some regions felt sidelined, creating tension that undermined long-term cooperation. The abrupt shift from decentralisation to strict centralisation also created logistical challenges, as regional health systems struggled to adjust to new national mandates</w:t>
      </w:r>
      <w:r w:rsidR="00FC4BF4" w:rsidRPr="00E01AB8">
        <w:rPr>
          <w:rFonts w:ascii="Arial" w:hAnsi="Arial" w:cs="Arial"/>
        </w:rPr>
        <w:t xml:space="preserve"> (Osuna, 2024)</w:t>
      </w:r>
      <w:r w:rsidRPr="00ED2384">
        <w:rPr>
          <w:rFonts w:ascii="Arial" w:hAnsi="Arial" w:cs="Arial"/>
        </w:rPr>
        <w:t xml:space="preserve">. Ultimately, Spain’s fluctuating leadership style contributed to </w:t>
      </w:r>
      <w:r w:rsidR="00FC4BF4" w:rsidRPr="00E01AB8">
        <w:rPr>
          <w:rFonts w:ascii="Arial" w:hAnsi="Arial" w:cs="Arial"/>
        </w:rPr>
        <w:t xml:space="preserve">the </w:t>
      </w:r>
      <w:r w:rsidRPr="00ED2384">
        <w:rPr>
          <w:rFonts w:ascii="Arial" w:hAnsi="Arial" w:cs="Arial"/>
        </w:rPr>
        <w:t>inconsistent execution of public health strategies, limiting the overall effectiveness of its pandemic response</w:t>
      </w:r>
      <w:r w:rsidR="00FC4BF4" w:rsidRPr="00E01AB8">
        <w:rPr>
          <w:rFonts w:ascii="Arial" w:hAnsi="Arial" w:cs="Arial"/>
        </w:rPr>
        <w:t xml:space="preserve"> (</w:t>
      </w:r>
      <w:r w:rsidR="00FC4BF4" w:rsidRPr="00E01AB8">
        <w:rPr>
          <w:rFonts w:ascii="Arial" w:hAnsi="Arial" w:cs="Arial"/>
          <w:lang w:eastAsia="en-GB"/>
        </w:rPr>
        <w:t>Sánchez and Latorre, 2022)</w:t>
      </w:r>
      <w:r w:rsidRPr="00ED2384">
        <w:rPr>
          <w:rFonts w:ascii="Arial" w:hAnsi="Arial" w:cs="Arial"/>
        </w:rPr>
        <w:t>.</w:t>
      </w:r>
    </w:p>
    <w:p w14:paraId="77865EA6" w14:textId="0BC481C0" w:rsidR="006F502F" w:rsidRPr="00E01AB8" w:rsidRDefault="00F0751B" w:rsidP="00F0751B">
      <w:pPr>
        <w:pStyle w:val="Heading1"/>
        <w:rPr>
          <w:rFonts w:cs="Arial"/>
        </w:rPr>
      </w:pPr>
      <w:bookmarkStart w:id="17" w:name="_Toc214168847"/>
      <w:r w:rsidRPr="00E01AB8">
        <w:rPr>
          <w:rFonts w:cs="Arial"/>
        </w:rPr>
        <w:t xml:space="preserve">3.2 </w:t>
      </w:r>
      <w:r w:rsidR="00902B36" w:rsidRPr="00E01AB8">
        <w:rPr>
          <w:rFonts w:cs="Arial"/>
        </w:rPr>
        <w:t>South Korea’s Leadership During COVID-19</w:t>
      </w:r>
      <w:bookmarkEnd w:id="17"/>
      <w:r w:rsidR="00902B36" w:rsidRPr="00E01AB8">
        <w:rPr>
          <w:rFonts w:cs="Arial"/>
        </w:rPr>
        <w:t xml:space="preserve"> </w:t>
      </w:r>
    </w:p>
    <w:p w14:paraId="1AA12335" w14:textId="304811EC" w:rsidR="001C48F9" w:rsidRPr="001C48F9" w:rsidRDefault="001C48F9" w:rsidP="001C48F9">
      <w:pPr>
        <w:spacing w:line="360" w:lineRule="auto"/>
        <w:jc w:val="both"/>
        <w:rPr>
          <w:rFonts w:ascii="Arial" w:hAnsi="Arial" w:cs="Arial"/>
        </w:rPr>
      </w:pPr>
      <w:r w:rsidRPr="001C48F9">
        <w:rPr>
          <w:rFonts w:ascii="Arial" w:hAnsi="Arial" w:cs="Arial"/>
        </w:rPr>
        <w:t xml:space="preserve">South Korean President Moon Jae-in demonstrated a proactive, technocratic, and centralised leadership style during the COVID-19 pandemic. His approach emphasised rapid decision-making, reliance on scientific expertise, and immediate </w:t>
      </w:r>
      <w:r w:rsidRPr="001C48F9">
        <w:rPr>
          <w:rFonts w:ascii="Arial" w:hAnsi="Arial" w:cs="Arial"/>
        </w:rPr>
        <w:lastRenderedPageBreak/>
        <w:t>mobilisation of government institutions</w:t>
      </w:r>
      <w:r w:rsidR="003D6FBD" w:rsidRPr="00E01AB8">
        <w:rPr>
          <w:rFonts w:ascii="Arial" w:hAnsi="Arial" w:cs="Arial"/>
        </w:rPr>
        <w:t xml:space="preserve"> (Milani, 2022)</w:t>
      </w:r>
      <w:r w:rsidRPr="001C48F9">
        <w:rPr>
          <w:rFonts w:ascii="Arial" w:hAnsi="Arial" w:cs="Arial"/>
        </w:rPr>
        <w:t>. Moon’s leadership style can be described as authoritative but collaborative, combining strong top-down directives with coordinated teamwork among ministries, health agencies, and local governments</w:t>
      </w:r>
      <w:r w:rsidR="009E0749" w:rsidRPr="00E01AB8">
        <w:rPr>
          <w:rFonts w:ascii="Arial" w:hAnsi="Arial" w:cs="Arial"/>
        </w:rPr>
        <w:t xml:space="preserve"> (</w:t>
      </w:r>
      <w:r w:rsidR="009E0749" w:rsidRPr="00E01AB8">
        <w:rPr>
          <w:rFonts w:ascii="Arial" w:hAnsi="Arial" w:cs="Arial"/>
          <w:lang w:eastAsia="en-GB"/>
        </w:rPr>
        <w:t>Kara, 2025)</w:t>
      </w:r>
      <w:r w:rsidRPr="001C48F9">
        <w:rPr>
          <w:rFonts w:ascii="Arial" w:hAnsi="Arial" w:cs="Arial"/>
        </w:rPr>
        <w:t>. Unlike leaders who hesitated or adopted a laissez-faire approach, Moon acted early, declaring emergencies before widespread outbreaks occurred and empowering the Korea Disease Control and Prevention Agency (KDCA) to take aggressive action</w:t>
      </w:r>
      <w:r w:rsidR="00A55213" w:rsidRPr="00E01AB8">
        <w:rPr>
          <w:rFonts w:ascii="Arial" w:hAnsi="Arial" w:cs="Arial"/>
        </w:rPr>
        <w:t xml:space="preserve"> (Milani, 2022)</w:t>
      </w:r>
      <w:r w:rsidRPr="001C48F9">
        <w:rPr>
          <w:rFonts w:ascii="Arial" w:hAnsi="Arial" w:cs="Arial"/>
        </w:rPr>
        <w:t>.</w:t>
      </w:r>
    </w:p>
    <w:p w14:paraId="32D0761B" w14:textId="6CC40B84" w:rsidR="001C48F9" w:rsidRPr="001C48F9" w:rsidRDefault="001C48F9" w:rsidP="001C48F9">
      <w:pPr>
        <w:spacing w:line="360" w:lineRule="auto"/>
        <w:jc w:val="both"/>
        <w:rPr>
          <w:rFonts w:ascii="Arial" w:hAnsi="Arial" w:cs="Arial"/>
        </w:rPr>
      </w:pPr>
      <w:r w:rsidRPr="001C48F9">
        <w:rPr>
          <w:rFonts w:ascii="Arial" w:hAnsi="Arial" w:cs="Arial"/>
        </w:rPr>
        <w:t>A defining characteristic of Moon’s leadership was its evidence-driven, expert-led orientation. He consistently elevated public health officials</w:t>
      </w:r>
      <w:r w:rsidR="005562B3" w:rsidRPr="00E01AB8">
        <w:rPr>
          <w:rFonts w:ascii="Arial" w:hAnsi="Arial" w:cs="Arial"/>
        </w:rPr>
        <w:t xml:space="preserve">, </w:t>
      </w:r>
      <w:r w:rsidRPr="001C48F9">
        <w:rPr>
          <w:rFonts w:ascii="Arial" w:hAnsi="Arial" w:cs="Arial"/>
        </w:rPr>
        <w:t>especially the KDCA director</w:t>
      </w:r>
      <w:r w:rsidR="005562B3" w:rsidRPr="00E01AB8">
        <w:rPr>
          <w:rFonts w:ascii="Arial" w:hAnsi="Arial" w:cs="Arial"/>
        </w:rPr>
        <w:t>,</w:t>
      </w:r>
      <w:r w:rsidR="009E0749" w:rsidRPr="00E01AB8">
        <w:rPr>
          <w:rFonts w:ascii="Arial" w:hAnsi="Arial" w:cs="Arial"/>
        </w:rPr>
        <w:t xml:space="preserve"> </w:t>
      </w:r>
      <w:r w:rsidRPr="001C48F9">
        <w:rPr>
          <w:rFonts w:ascii="Arial" w:hAnsi="Arial" w:cs="Arial"/>
        </w:rPr>
        <w:t>to the forefront of public communication</w:t>
      </w:r>
      <w:r w:rsidR="005562B3" w:rsidRPr="00E01AB8">
        <w:rPr>
          <w:rFonts w:ascii="Arial" w:hAnsi="Arial" w:cs="Arial"/>
        </w:rPr>
        <w:t xml:space="preserve"> (Lee et al., 2025)</w:t>
      </w:r>
      <w:r w:rsidRPr="001C48F9">
        <w:rPr>
          <w:rFonts w:ascii="Arial" w:hAnsi="Arial" w:cs="Arial"/>
        </w:rPr>
        <w:t>. This reflects elements of distributed and participative leadership, where technical experts lead operational decision-making while political leaders provide strategic support</w:t>
      </w:r>
      <w:r w:rsidR="00A55213" w:rsidRPr="00E01AB8">
        <w:rPr>
          <w:rFonts w:ascii="Arial" w:hAnsi="Arial" w:cs="Arial"/>
        </w:rPr>
        <w:t xml:space="preserve"> (Milani, 2022)</w:t>
      </w:r>
      <w:r w:rsidRPr="001C48F9">
        <w:rPr>
          <w:rFonts w:ascii="Arial" w:hAnsi="Arial" w:cs="Arial"/>
        </w:rPr>
        <w:t>. Moon reinforced transparency through daily briefings, real-time data sharing, and public communication campaigns, which fostered trust and widespread compliance</w:t>
      </w:r>
      <w:r w:rsidR="00A55213" w:rsidRPr="00E01AB8">
        <w:rPr>
          <w:rFonts w:ascii="Arial" w:hAnsi="Arial" w:cs="Arial"/>
        </w:rPr>
        <w:t xml:space="preserve"> (</w:t>
      </w:r>
      <w:r w:rsidR="00A55213" w:rsidRPr="00E01AB8">
        <w:rPr>
          <w:rFonts w:ascii="Arial" w:hAnsi="Arial" w:cs="Arial"/>
          <w:lang w:eastAsia="en-GB"/>
        </w:rPr>
        <w:t>Kara, 2025)</w:t>
      </w:r>
      <w:r w:rsidRPr="001C48F9">
        <w:rPr>
          <w:rFonts w:ascii="Arial" w:hAnsi="Arial" w:cs="Arial"/>
        </w:rPr>
        <w:t>. His leadership also leveraged South Korea’s cultural inclination toward collectivism, harnessing community cooperation for mask adoption, testing, and digital contact tracing</w:t>
      </w:r>
      <w:r w:rsidR="00A55213" w:rsidRPr="00E01AB8">
        <w:rPr>
          <w:rFonts w:ascii="Arial" w:hAnsi="Arial" w:cs="Arial"/>
        </w:rPr>
        <w:t xml:space="preserve"> (</w:t>
      </w:r>
      <w:r w:rsidR="00A55213" w:rsidRPr="00E01AB8">
        <w:rPr>
          <w:rFonts w:ascii="Arial" w:hAnsi="Arial" w:cs="Arial"/>
          <w:lang w:eastAsia="en-GB"/>
        </w:rPr>
        <w:t>Kara, 2025)</w:t>
      </w:r>
      <w:r w:rsidRPr="001C48F9">
        <w:rPr>
          <w:rFonts w:ascii="Arial" w:hAnsi="Arial" w:cs="Arial"/>
        </w:rPr>
        <w:t>.</w:t>
      </w:r>
    </w:p>
    <w:p w14:paraId="44C06DBE" w14:textId="196BEE93" w:rsidR="00902B36" w:rsidRPr="00902B36" w:rsidRDefault="001C48F9" w:rsidP="00902B36">
      <w:pPr>
        <w:spacing w:line="360" w:lineRule="auto"/>
        <w:jc w:val="both"/>
        <w:rPr>
          <w:rFonts w:ascii="Arial" w:hAnsi="Arial" w:cs="Arial"/>
        </w:rPr>
      </w:pPr>
      <w:r w:rsidRPr="001C48F9">
        <w:rPr>
          <w:rFonts w:ascii="Arial" w:hAnsi="Arial" w:cs="Arial"/>
        </w:rPr>
        <w:t>At the same time, Moon’s leadership style had strong dimensions of decisive crisis leadership, characterised by swift regulatory changes, border control measures, and the rapid scaling of testing infrastructure</w:t>
      </w:r>
      <w:r w:rsidR="00A55213" w:rsidRPr="00E01AB8">
        <w:rPr>
          <w:rFonts w:ascii="Arial" w:hAnsi="Arial" w:cs="Arial"/>
        </w:rPr>
        <w:t xml:space="preserve"> (Milani, 2022)</w:t>
      </w:r>
      <w:r w:rsidRPr="001C48F9">
        <w:rPr>
          <w:rFonts w:ascii="Arial" w:hAnsi="Arial" w:cs="Arial"/>
        </w:rPr>
        <w:t>. South Korea pioneered drive-through testing and aggressive digital tracing</w:t>
      </w:r>
      <w:r w:rsidR="009E0749" w:rsidRPr="00E01AB8">
        <w:rPr>
          <w:rFonts w:ascii="Arial" w:hAnsi="Arial" w:cs="Arial"/>
        </w:rPr>
        <w:t xml:space="preserve">, </w:t>
      </w:r>
      <w:r w:rsidRPr="001C48F9">
        <w:rPr>
          <w:rFonts w:ascii="Arial" w:hAnsi="Arial" w:cs="Arial"/>
        </w:rPr>
        <w:t>policies enabled largely through Moon’s centralised decision-making and willingness to use emergency powers</w:t>
      </w:r>
      <w:r w:rsidR="00F10D38" w:rsidRPr="00E01AB8">
        <w:rPr>
          <w:rFonts w:ascii="Arial" w:hAnsi="Arial" w:cs="Arial"/>
        </w:rPr>
        <w:t xml:space="preserve"> (Lee et al., 2025)</w:t>
      </w:r>
      <w:r w:rsidRPr="001C48F9">
        <w:rPr>
          <w:rFonts w:ascii="Arial" w:hAnsi="Arial" w:cs="Arial"/>
        </w:rPr>
        <w:t>. His style was not democratic in the deliberative sense; instead, it was pragmatic, assertive, and efficiency-oriented, prioritising public health over individual privacy concerns</w:t>
      </w:r>
      <w:r w:rsidR="00A55213" w:rsidRPr="00E01AB8">
        <w:rPr>
          <w:rFonts w:ascii="Arial" w:hAnsi="Arial" w:cs="Arial"/>
        </w:rPr>
        <w:t xml:space="preserve"> (</w:t>
      </w:r>
      <w:r w:rsidR="00A55213" w:rsidRPr="00E01AB8">
        <w:rPr>
          <w:rFonts w:ascii="Arial" w:hAnsi="Arial" w:cs="Arial"/>
          <w:lang w:eastAsia="en-GB"/>
        </w:rPr>
        <w:t>Kara, 2025)</w:t>
      </w:r>
      <w:r w:rsidRPr="001C48F9">
        <w:rPr>
          <w:rFonts w:ascii="Arial" w:hAnsi="Arial" w:cs="Arial"/>
        </w:rPr>
        <w:t>. Overall, Moon’s leadership reflected a blend of autocratic execution, expert collaboration, and proactive crisis management, enabling South Korea’s rapid and effective containment of COVID-19</w:t>
      </w:r>
      <w:r w:rsidR="00A55213" w:rsidRPr="00E01AB8">
        <w:rPr>
          <w:rFonts w:ascii="Arial" w:hAnsi="Arial" w:cs="Arial"/>
        </w:rPr>
        <w:t xml:space="preserve"> (Milani, 2022)</w:t>
      </w:r>
      <w:r w:rsidRPr="001C48F9">
        <w:rPr>
          <w:rFonts w:ascii="Arial" w:hAnsi="Arial" w:cs="Arial"/>
        </w:rPr>
        <w:t>.</w:t>
      </w:r>
    </w:p>
    <w:p w14:paraId="253EE160" w14:textId="6D3FF720" w:rsidR="00902B36" w:rsidRPr="00E01AB8" w:rsidRDefault="00F0751B" w:rsidP="00F0751B">
      <w:pPr>
        <w:pStyle w:val="Heading2"/>
        <w:rPr>
          <w:rFonts w:cs="Arial"/>
        </w:rPr>
      </w:pPr>
      <w:bookmarkStart w:id="18" w:name="_Toc214168848"/>
      <w:r w:rsidRPr="00E01AB8">
        <w:rPr>
          <w:rFonts w:cs="Arial"/>
        </w:rPr>
        <w:t xml:space="preserve">3.2.1 </w:t>
      </w:r>
      <w:r w:rsidR="00902B36" w:rsidRPr="00E01AB8">
        <w:rPr>
          <w:rFonts w:eastAsiaTheme="majorEastAsia" w:cs="Arial"/>
        </w:rPr>
        <w:t>Advantages of South Korea’s Leadership Approach</w:t>
      </w:r>
      <w:bookmarkEnd w:id="18"/>
      <w:r w:rsidR="00902B36" w:rsidRPr="00E01AB8">
        <w:rPr>
          <w:rFonts w:eastAsiaTheme="majorEastAsia" w:cs="Arial"/>
        </w:rPr>
        <w:t xml:space="preserve"> </w:t>
      </w:r>
    </w:p>
    <w:p w14:paraId="45DC2906" w14:textId="55A2507C" w:rsidR="001C48F9" w:rsidRPr="001C48F9" w:rsidRDefault="001C48F9" w:rsidP="001C48F9">
      <w:pPr>
        <w:spacing w:line="360" w:lineRule="auto"/>
        <w:jc w:val="both"/>
        <w:rPr>
          <w:rFonts w:ascii="Arial" w:hAnsi="Arial" w:cs="Arial"/>
        </w:rPr>
      </w:pPr>
      <w:r w:rsidRPr="001C48F9">
        <w:rPr>
          <w:rFonts w:ascii="Arial" w:hAnsi="Arial" w:cs="Arial"/>
        </w:rPr>
        <w:t>One key advantage of Moon’s leadership style was its speed and decisiveness, which allowed South Korea to act before the virus spread uncontrollably. His proactive approach enabled rapid expansion of testing capacity, early activation of emergency protocols, and swift resource mobilisation</w:t>
      </w:r>
      <w:r w:rsidR="00A55213" w:rsidRPr="00E01AB8">
        <w:rPr>
          <w:rFonts w:ascii="Arial" w:hAnsi="Arial" w:cs="Arial"/>
        </w:rPr>
        <w:t xml:space="preserve"> (</w:t>
      </w:r>
      <w:r w:rsidR="00A55213" w:rsidRPr="00E01AB8">
        <w:rPr>
          <w:rFonts w:ascii="Arial" w:hAnsi="Arial" w:cs="Arial"/>
          <w:lang w:eastAsia="en-GB"/>
        </w:rPr>
        <w:t>Kara, 2025)</w:t>
      </w:r>
      <w:r w:rsidRPr="001C48F9">
        <w:rPr>
          <w:rFonts w:ascii="Arial" w:hAnsi="Arial" w:cs="Arial"/>
        </w:rPr>
        <w:t xml:space="preserve">. The centralised command </w:t>
      </w:r>
      <w:r w:rsidRPr="001C48F9">
        <w:rPr>
          <w:rFonts w:ascii="Arial" w:hAnsi="Arial" w:cs="Arial"/>
        </w:rPr>
        <w:lastRenderedPageBreak/>
        <w:t>structure minimised bureaucratic delays, allowing health authorities to coordinate seamlessly across regions</w:t>
      </w:r>
      <w:r w:rsidR="00F10D38" w:rsidRPr="00E01AB8">
        <w:rPr>
          <w:rFonts w:ascii="Arial" w:hAnsi="Arial" w:cs="Arial"/>
        </w:rPr>
        <w:t xml:space="preserve"> (Lee et al., 2025)</w:t>
      </w:r>
      <w:r w:rsidRPr="001C48F9">
        <w:rPr>
          <w:rFonts w:ascii="Arial" w:hAnsi="Arial" w:cs="Arial"/>
        </w:rPr>
        <w:t>. This approach kept hospitals from becoming overwhelmed and prevented nationwide lockdowns. The heavy reliance on experts improved policy quality, communication clarity, and public trust</w:t>
      </w:r>
      <w:r w:rsidR="00A55213" w:rsidRPr="00E01AB8">
        <w:rPr>
          <w:rFonts w:ascii="Arial" w:hAnsi="Arial" w:cs="Arial"/>
        </w:rPr>
        <w:t xml:space="preserve">, </w:t>
      </w:r>
      <w:r w:rsidRPr="001C48F9">
        <w:rPr>
          <w:rFonts w:ascii="Arial" w:hAnsi="Arial" w:cs="Arial"/>
        </w:rPr>
        <w:t>essential ingredients for effective pandemic control</w:t>
      </w:r>
      <w:r w:rsidR="00A55213" w:rsidRPr="00E01AB8">
        <w:rPr>
          <w:rFonts w:ascii="Arial" w:hAnsi="Arial" w:cs="Arial"/>
        </w:rPr>
        <w:t xml:space="preserve"> (Milani, 2022)</w:t>
      </w:r>
      <w:r w:rsidRPr="001C48F9">
        <w:rPr>
          <w:rFonts w:ascii="Arial" w:hAnsi="Arial" w:cs="Arial"/>
        </w:rPr>
        <w:t>.</w:t>
      </w:r>
    </w:p>
    <w:p w14:paraId="2E17A29B" w14:textId="64BE95FC" w:rsidR="00902B36" w:rsidRPr="00902B36" w:rsidRDefault="001C48F9" w:rsidP="00902B36">
      <w:pPr>
        <w:spacing w:line="360" w:lineRule="auto"/>
        <w:jc w:val="both"/>
        <w:rPr>
          <w:rFonts w:ascii="Arial" w:hAnsi="Arial" w:cs="Arial"/>
        </w:rPr>
      </w:pPr>
      <w:r w:rsidRPr="001C48F9">
        <w:rPr>
          <w:rFonts w:ascii="Arial" w:hAnsi="Arial" w:cs="Arial"/>
        </w:rPr>
        <w:t>Another advantage was the high degree of public compliance and social cohesion resulting from Moon’s transparent and coordinated communication. Frequent messaging, real-time data updates, and consistent explanations of policy decisions strengthened citizen confidence</w:t>
      </w:r>
      <w:r w:rsidR="00F10D38" w:rsidRPr="00E01AB8">
        <w:rPr>
          <w:rFonts w:ascii="Arial" w:hAnsi="Arial" w:cs="Arial"/>
        </w:rPr>
        <w:t xml:space="preserve"> (Lee et al., 2025)</w:t>
      </w:r>
      <w:r w:rsidRPr="001C48F9">
        <w:rPr>
          <w:rFonts w:ascii="Arial" w:hAnsi="Arial" w:cs="Arial"/>
        </w:rPr>
        <w:t>. Because Moon’s leadership synchronised with South Korea’s collectivist values, citizens willingly embraced mask-wearing, digital tracing, and voluntary testing</w:t>
      </w:r>
      <w:r w:rsidR="00A55213" w:rsidRPr="00E01AB8">
        <w:rPr>
          <w:rFonts w:ascii="Arial" w:hAnsi="Arial" w:cs="Arial"/>
        </w:rPr>
        <w:t xml:space="preserve"> (Milani, 2022)</w:t>
      </w:r>
      <w:r w:rsidRPr="001C48F9">
        <w:rPr>
          <w:rFonts w:ascii="Arial" w:hAnsi="Arial" w:cs="Arial"/>
        </w:rPr>
        <w:t>. This synergy between leadership style and cultural norms created a unified national response that significantly reduced mortality and maintained economic stability compared to many Western democracies</w:t>
      </w:r>
      <w:r w:rsidR="00A55213" w:rsidRPr="00E01AB8">
        <w:rPr>
          <w:rFonts w:ascii="Arial" w:hAnsi="Arial" w:cs="Arial"/>
        </w:rPr>
        <w:t xml:space="preserve"> (</w:t>
      </w:r>
      <w:r w:rsidR="00A55213" w:rsidRPr="00E01AB8">
        <w:rPr>
          <w:rFonts w:ascii="Arial" w:hAnsi="Arial" w:cs="Arial"/>
          <w:lang w:eastAsia="en-GB"/>
        </w:rPr>
        <w:t>Kara, 2025)</w:t>
      </w:r>
      <w:r w:rsidRPr="001C48F9">
        <w:rPr>
          <w:rFonts w:ascii="Arial" w:hAnsi="Arial" w:cs="Arial"/>
        </w:rPr>
        <w:t>.</w:t>
      </w:r>
    </w:p>
    <w:p w14:paraId="5BC5E155" w14:textId="1FBE6B56" w:rsidR="00902B36" w:rsidRPr="00E01AB8" w:rsidRDefault="00F0751B" w:rsidP="00F0751B">
      <w:pPr>
        <w:pStyle w:val="Heading2"/>
        <w:rPr>
          <w:rFonts w:cs="Arial"/>
        </w:rPr>
      </w:pPr>
      <w:bookmarkStart w:id="19" w:name="_Toc214168849"/>
      <w:r w:rsidRPr="00E01AB8">
        <w:rPr>
          <w:rFonts w:eastAsiaTheme="majorEastAsia" w:cs="Arial"/>
        </w:rPr>
        <w:t xml:space="preserve">3.2.2 </w:t>
      </w:r>
      <w:r w:rsidR="00902B36" w:rsidRPr="00E01AB8">
        <w:rPr>
          <w:rFonts w:eastAsiaTheme="majorEastAsia" w:cs="Arial"/>
        </w:rPr>
        <w:t>Disadvantages of South Korea’s Leadership Approach</w:t>
      </w:r>
      <w:bookmarkEnd w:id="19"/>
      <w:r w:rsidR="00902B36" w:rsidRPr="00E01AB8">
        <w:rPr>
          <w:rFonts w:eastAsiaTheme="majorEastAsia" w:cs="Arial"/>
        </w:rPr>
        <w:t xml:space="preserve"> </w:t>
      </w:r>
    </w:p>
    <w:p w14:paraId="4BA829AD" w14:textId="4BE21A81" w:rsidR="001C48F9" w:rsidRPr="001C48F9" w:rsidRDefault="001C48F9" w:rsidP="001C48F9">
      <w:pPr>
        <w:spacing w:line="360" w:lineRule="auto"/>
        <w:jc w:val="both"/>
        <w:rPr>
          <w:rFonts w:ascii="Arial" w:hAnsi="Arial" w:cs="Arial"/>
        </w:rPr>
      </w:pPr>
      <w:r w:rsidRPr="001C48F9">
        <w:rPr>
          <w:rFonts w:ascii="Arial" w:hAnsi="Arial" w:cs="Arial"/>
        </w:rPr>
        <w:t>Despite its effectiveness, Moon’s leadership style had notable drawbacks. The heavy reliance on centralised authority raised concerns about privacy, civil liberties, and government overreach</w:t>
      </w:r>
      <w:r w:rsidR="00A55213" w:rsidRPr="00E01AB8">
        <w:rPr>
          <w:rFonts w:ascii="Arial" w:hAnsi="Arial" w:cs="Arial"/>
        </w:rPr>
        <w:t xml:space="preserve"> (Milani, 2022)</w:t>
      </w:r>
      <w:r w:rsidRPr="001C48F9">
        <w:rPr>
          <w:rFonts w:ascii="Arial" w:hAnsi="Arial" w:cs="Arial"/>
        </w:rPr>
        <w:t>. South Korea’s digital contact tracing, though highly effective, involved collecting detailed personal data, including credit card records, GPS data, and CCTV footage</w:t>
      </w:r>
      <w:r w:rsidR="00A55213" w:rsidRPr="00E01AB8">
        <w:rPr>
          <w:rFonts w:ascii="Arial" w:hAnsi="Arial" w:cs="Arial"/>
        </w:rPr>
        <w:t xml:space="preserve"> (Milani, 2022)</w:t>
      </w:r>
      <w:r w:rsidRPr="001C48F9">
        <w:rPr>
          <w:rFonts w:ascii="Arial" w:hAnsi="Arial" w:cs="Arial"/>
        </w:rPr>
        <w:t>. This autocratic-leaning approach sparked debates about data protection and individual rights. Critics argued that such measures, while necessary, normalised excessive state surveillance and set precedents that could be abused in non-emergency contexts</w:t>
      </w:r>
      <w:r w:rsidR="00F10D38" w:rsidRPr="00E01AB8">
        <w:rPr>
          <w:rFonts w:ascii="Arial" w:hAnsi="Arial" w:cs="Arial"/>
        </w:rPr>
        <w:t xml:space="preserve"> (Lee et al., 2025)</w:t>
      </w:r>
      <w:r w:rsidRPr="001C48F9">
        <w:rPr>
          <w:rFonts w:ascii="Arial" w:hAnsi="Arial" w:cs="Arial"/>
        </w:rPr>
        <w:t>. Additionally, some citizens felt the rapid decision-making process left little room for debate or democratic deliberation</w:t>
      </w:r>
      <w:r w:rsidR="00F10D38" w:rsidRPr="00E01AB8">
        <w:rPr>
          <w:rFonts w:ascii="Arial" w:hAnsi="Arial" w:cs="Arial"/>
        </w:rPr>
        <w:t xml:space="preserve"> (Lee et al., 2025)</w:t>
      </w:r>
      <w:r w:rsidRPr="001C48F9">
        <w:rPr>
          <w:rFonts w:ascii="Arial" w:hAnsi="Arial" w:cs="Arial"/>
        </w:rPr>
        <w:t>.</w:t>
      </w:r>
    </w:p>
    <w:p w14:paraId="485FDB68" w14:textId="2276814F" w:rsidR="00902B36" w:rsidRPr="00902B36" w:rsidRDefault="001C48F9" w:rsidP="00902B36">
      <w:pPr>
        <w:spacing w:line="360" w:lineRule="auto"/>
        <w:jc w:val="both"/>
        <w:rPr>
          <w:rFonts w:ascii="Arial" w:hAnsi="Arial" w:cs="Arial"/>
        </w:rPr>
      </w:pPr>
      <w:r w:rsidRPr="001C48F9">
        <w:rPr>
          <w:rFonts w:ascii="Arial" w:hAnsi="Arial" w:cs="Arial"/>
        </w:rPr>
        <w:t>Another disadvantage was the pressure placed on frontline workers and local health departments, who had to sustain extremely high workloads to maintain South Korea’s intensive testing and tracing system</w:t>
      </w:r>
      <w:r w:rsidR="00A55213" w:rsidRPr="00E01AB8">
        <w:rPr>
          <w:rFonts w:ascii="Arial" w:hAnsi="Arial" w:cs="Arial"/>
        </w:rPr>
        <w:t xml:space="preserve"> (</w:t>
      </w:r>
      <w:r w:rsidR="00A55213" w:rsidRPr="00E01AB8">
        <w:rPr>
          <w:rFonts w:ascii="Arial" w:hAnsi="Arial" w:cs="Arial"/>
          <w:lang w:eastAsia="en-GB"/>
        </w:rPr>
        <w:t>Kara, 2025)</w:t>
      </w:r>
      <w:r w:rsidRPr="001C48F9">
        <w:rPr>
          <w:rFonts w:ascii="Arial" w:hAnsi="Arial" w:cs="Arial"/>
        </w:rPr>
        <w:t>. The central government’s high standards required constant vigilance and rapid response, resulting in fatigue, burnout, and resource strain at the local level</w:t>
      </w:r>
      <w:r w:rsidR="00A55213" w:rsidRPr="00E01AB8">
        <w:rPr>
          <w:rFonts w:ascii="Arial" w:hAnsi="Arial" w:cs="Arial"/>
        </w:rPr>
        <w:t xml:space="preserve"> (</w:t>
      </w:r>
      <w:r w:rsidR="00A55213" w:rsidRPr="00E01AB8">
        <w:rPr>
          <w:rFonts w:ascii="Arial" w:hAnsi="Arial" w:cs="Arial"/>
          <w:lang w:eastAsia="en-GB"/>
        </w:rPr>
        <w:t>Kara, 2025)</w:t>
      </w:r>
      <w:r w:rsidRPr="001C48F9">
        <w:rPr>
          <w:rFonts w:ascii="Arial" w:hAnsi="Arial" w:cs="Arial"/>
        </w:rPr>
        <w:t xml:space="preserve">. Moreover, Moon’s leadership faced criticism during later waves when outbreaks linked to religious groups and nightlife districts challenged the assumption that compliance would remain universal. These </w:t>
      </w:r>
      <w:r w:rsidRPr="001C48F9">
        <w:rPr>
          <w:rFonts w:ascii="Arial" w:hAnsi="Arial" w:cs="Arial"/>
        </w:rPr>
        <w:lastRenderedPageBreak/>
        <w:t>incidents exposed limits in the government’s ability to control decentralised social behaviour despite strong central leadership</w:t>
      </w:r>
      <w:r w:rsidR="00F10D38" w:rsidRPr="00E01AB8">
        <w:rPr>
          <w:rFonts w:ascii="Arial" w:hAnsi="Arial" w:cs="Arial"/>
        </w:rPr>
        <w:t xml:space="preserve"> (Lee et al., 2025)</w:t>
      </w:r>
      <w:r w:rsidRPr="001C48F9">
        <w:rPr>
          <w:rFonts w:ascii="Arial" w:hAnsi="Arial" w:cs="Arial"/>
        </w:rPr>
        <w:t>.</w:t>
      </w:r>
    </w:p>
    <w:p w14:paraId="130D74F9" w14:textId="0870CCB8" w:rsidR="00902B36" w:rsidRPr="00E01AB8" w:rsidRDefault="00F0751B" w:rsidP="00F0751B">
      <w:pPr>
        <w:pStyle w:val="Heading1"/>
        <w:rPr>
          <w:rFonts w:cs="Arial"/>
        </w:rPr>
      </w:pPr>
      <w:bookmarkStart w:id="20" w:name="_Toc214168850"/>
      <w:r w:rsidRPr="00E01AB8">
        <w:rPr>
          <w:rFonts w:cs="Arial"/>
        </w:rPr>
        <w:t xml:space="preserve">3.4 </w:t>
      </w:r>
      <w:r w:rsidR="00902B36" w:rsidRPr="00E01AB8">
        <w:rPr>
          <w:rFonts w:cs="Arial"/>
        </w:rPr>
        <w:t>Canada’s Leadership During COVID-19</w:t>
      </w:r>
      <w:bookmarkEnd w:id="20"/>
      <w:r w:rsidR="00902B36" w:rsidRPr="00E01AB8">
        <w:rPr>
          <w:rFonts w:cs="Arial"/>
        </w:rPr>
        <w:t xml:space="preserve"> </w:t>
      </w:r>
    </w:p>
    <w:p w14:paraId="6008C060" w14:textId="251F5C17" w:rsidR="001C48F9" w:rsidRPr="001C48F9" w:rsidRDefault="001C48F9" w:rsidP="001C48F9">
      <w:pPr>
        <w:spacing w:line="360" w:lineRule="auto"/>
        <w:jc w:val="both"/>
        <w:rPr>
          <w:rFonts w:ascii="Arial" w:hAnsi="Arial" w:cs="Arial"/>
        </w:rPr>
      </w:pPr>
      <w:r w:rsidRPr="001C48F9">
        <w:rPr>
          <w:rFonts w:ascii="Arial" w:hAnsi="Arial" w:cs="Arial"/>
        </w:rPr>
        <w:t>Prime Minister Justin Trudeau demonstrated a democratic, collaborative, and highly communicative leadership style during Canada’s COVID-19 response. Rather than relying on unilateral decisions, Trudeau consistently emphasised consultation with provincial premiers, public health experts, Indigenous leaders, and federal agencies</w:t>
      </w:r>
      <w:r w:rsidR="00AF3C08" w:rsidRPr="00E01AB8">
        <w:rPr>
          <w:rFonts w:ascii="Arial" w:hAnsi="Arial" w:cs="Arial"/>
        </w:rPr>
        <w:t xml:space="preserve"> (Armstrong</w:t>
      </w:r>
      <w:r w:rsidR="00EB0768" w:rsidRPr="00E01AB8">
        <w:rPr>
          <w:rFonts w:ascii="Arial" w:hAnsi="Arial" w:cs="Arial"/>
        </w:rPr>
        <w:t xml:space="preserve"> </w:t>
      </w:r>
      <w:r w:rsidR="00AF3C08" w:rsidRPr="00E01AB8">
        <w:rPr>
          <w:rFonts w:ascii="Arial" w:hAnsi="Arial" w:cs="Arial"/>
        </w:rPr>
        <w:t>and Marland, 2023)</w:t>
      </w:r>
      <w:r w:rsidRPr="001C48F9">
        <w:rPr>
          <w:rFonts w:ascii="Arial" w:hAnsi="Arial" w:cs="Arial"/>
        </w:rPr>
        <w:t>. His leadership approach was grounded in inclusivity and cooperative federalism, reflecting Canada’s decentralised governance structure</w:t>
      </w:r>
      <w:r w:rsidR="00D60FB4" w:rsidRPr="00E01AB8">
        <w:rPr>
          <w:rFonts w:ascii="Arial" w:hAnsi="Arial" w:cs="Arial"/>
        </w:rPr>
        <w:t xml:space="preserve"> (Armstrong and Marland, 2023)</w:t>
      </w:r>
      <w:r w:rsidRPr="001C48F9">
        <w:rPr>
          <w:rFonts w:ascii="Arial" w:hAnsi="Arial" w:cs="Arial"/>
        </w:rPr>
        <w:t>. Trudeau held daily press briefings during the early months of the pandemic, reinforcing transparency and reassurance. This communication-focused leadership helped maintain public trust and framed the federal government as a steady, guiding presence throughout the crisis</w:t>
      </w:r>
      <w:r w:rsidR="00EB0768" w:rsidRPr="00E01AB8">
        <w:rPr>
          <w:rFonts w:ascii="Arial" w:hAnsi="Arial" w:cs="Arial"/>
        </w:rPr>
        <w:t xml:space="preserve"> (Mouloudi, 2022)</w:t>
      </w:r>
      <w:r w:rsidRPr="001C48F9">
        <w:rPr>
          <w:rFonts w:ascii="Arial" w:hAnsi="Arial" w:cs="Arial"/>
        </w:rPr>
        <w:t>.</w:t>
      </w:r>
    </w:p>
    <w:p w14:paraId="4AC91A4F" w14:textId="0E50AFD8" w:rsidR="001C48F9" w:rsidRPr="001C48F9" w:rsidRDefault="001C48F9" w:rsidP="001C48F9">
      <w:pPr>
        <w:spacing w:line="360" w:lineRule="auto"/>
        <w:jc w:val="both"/>
        <w:rPr>
          <w:rFonts w:ascii="Arial" w:hAnsi="Arial" w:cs="Arial"/>
        </w:rPr>
      </w:pPr>
      <w:r w:rsidRPr="001C48F9">
        <w:rPr>
          <w:rFonts w:ascii="Arial" w:hAnsi="Arial" w:cs="Arial"/>
        </w:rPr>
        <w:t>Trudeau’s leadership also had strong elements of transformational and empathetic leadership. He focused on motivating Canadians to act collectively, appealing to shared responsibility and social cohesion</w:t>
      </w:r>
      <w:r w:rsidR="00674266" w:rsidRPr="00E01AB8">
        <w:rPr>
          <w:rFonts w:ascii="Arial" w:hAnsi="Arial" w:cs="Arial"/>
        </w:rPr>
        <w:t xml:space="preserve"> (</w:t>
      </w:r>
      <w:r w:rsidR="00674266" w:rsidRPr="00E01AB8">
        <w:rPr>
          <w:rFonts w:ascii="Arial" w:hAnsi="Arial" w:cs="Arial"/>
          <w:lang w:eastAsia="en-GB"/>
        </w:rPr>
        <w:t>Maher, 2024)</w:t>
      </w:r>
      <w:r w:rsidRPr="001C48F9">
        <w:rPr>
          <w:rFonts w:ascii="Arial" w:hAnsi="Arial" w:cs="Arial"/>
        </w:rPr>
        <w:t>. His messaging emphasised unity, compassion, and the need to “have each other’s backs.” He framed public health measures not simply as rules but as moral obligations designed to protect the vulnerable</w:t>
      </w:r>
      <w:r w:rsidR="00891628" w:rsidRPr="00E01AB8">
        <w:rPr>
          <w:rFonts w:ascii="Arial" w:hAnsi="Arial" w:cs="Arial"/>
        </w:rPr>
        <w:t xml:space="preserve"> (Mouloudi, 2022)</w:t>
      </w:r>
      <w:r w:rsidRPr="001C48F9">
        <w:rPr>
          <w:rFonts w:ascii="Arial" w:hAnsi="Arial" w:cs="Arial"/>
        </w:rPr>
        <w:t>. In addition, Trudeau empowered scientific and medical experts</w:t>
      </w:r>
      <w:r w:rsidR="00EB0768" w:rsidRPr="00E01AB8">
        <w:rPr>
          <w:rFonts w:ascii="Arial" w:hAnsi="Arial" w:cs="Arial"/>
        </w:rPr>
        <w:t xml:space="preserve">, </w:t>
      </w:r>
      <w:r w:rsidRPr="001C48F9">
        <w:rPr>
          <w:rFonts w:ascii="Arial" w:hAnsi="Arial" w:cs="Arial"/>
        </w:rPr>
        <w:t>particularly the Chief Public Health Officer</w:t>
      </w:r>
      <w:r w:rsidR="00EB0768" w:rsidRPr="00E01AB8">
        <w:rPr>
          <w:rFonts w:ascii="Arial" w:hAnsi="Arial" w:cs="Arial"/>
        </w:rPr>
        <w:t xml:space="preserve">, </w:t>
      </w:r>
      <w:r w:rsidRPr="001C48F9">
        <w:rPr>
          <w:rFonts w:ascii="Arial" w:hAnsi="Arial" w:cs="Arial"/>
        </w:rPr>
        <w:t>to guide national recommendations</w:t>
      </w:r>
      <w:r w:rsidR="00D60FB4" w:rsidRPr="00E01AB8">
        <w:rPr>
          <w:rFonts w:ascii="Arial" w:hAnsi="Arial" w:cs="Arial"/>
        </w:rPr>
        <w:t xml:space="preserve"> (Armstrong and Marland, 2023)</w:t>
      </w:r>
      <w:r w:rsidRPr="001C48F9">
        <w:rPr>
          <w:rFonts w:ascii="Arial" w:hAnsi="Arial" w:cs="Arial"/>
        </w:rPr>
        <w:t>. This reflects a distributed leadership model where elected leaders defer to specialised expertise for operational decision-making</w:t>
      </w:r>
      <w:r w:rsidR="00D60FB4" w:rsidRPr="00E01AB8">
        <w:rPr>
          <w:rFonts w:ascii="Arial" w:hAnsi="Arial" w:cs="Arial"/>
        </w:rPr>
        <w:t xml:space="preserve"> (</w:t>
      </w:r>
      <w:r w:rsidR="00D60FB4" w:rsidRPr="00E01AB8">
        <w:rPr>
          <w:rFonts w:ascii="Arial" w:hAnsi="Arial" w:cs="Arial"/>
          <w:lang w:eastAsia="en-GB"/>
        </w:rPr>
        <w:t>Maher, 2024)</w:t>
      </w:r>
      <w:r w:rsidRPr="001C48F9">
        <w:rPr>
          <w:rFonts w:ascii="Arial" w:hAnsi="Arial" w:cs="Arial"/>
        </w:rPr>
        <w:t>.</w:t>
      </w:r>
    </w:p>
    <w:p w14:paraId="7F6D06A9" w14:textId="0B9CBE57" w:rsidR="00902B36" w:rsidRPr="00902B36" w:rsidRDefault="001C48F9" w:rsidP="00902B36">
      <w:pPr>
        <w:spacing w:line="360" w:lineRule="auto"/>
        <w:jc w:val="both"/>
        <w:rPr>
          <w:rFonts w:ascii="Arial" w:hAnsi="Arial" w:cs="Arial"/>
        </w:rPr>
      </w:pPr>
      <w:r w:rsidRPr="001C48F9">
        <w:rPr>
          <w:rFonts w:ascii="Arial" w:hAnsi="Arial" w:cs="Arial"/>
        </w:rPr>
        <w:t>At the same time, Trudeau demonstrated elements of pragmatic crisis leadership, particularly in the economic response. Under his leadership, Canada implemented large-scale emergency relief programs, border restrictions, and national procurement of vaccines and protective equipment</w:t>
      </w:r>
      <w:r w:rsidR="00D60FB4" w:rsidRPr="00E01AB8">
        <w:rPr>
          <w:rFonts w:ascii="Arial" w:hAnsi="Arial" w:cs="Arial"/>
        </w:rPr>
        <w:t xml:space="preserve"> (</w:t>
      </w:r>
      <w:r w:rsidR="00D60FB4" w:rsidRPr="00E01AB8">
        <w:rPr>
          <w:rFonts w:ascii="Arial" w:hAnsi="Arial" w:cs="Arial"/>
          <w:lang w:eastAsia="en-GB"/>
        </w:rPr>
        <w:t>Maher, 2024)</w:t>
      </w:r>
      <w:r w:rsidRPr="001C48F9">
        <w:rPr>
          <w:rFonts w:ascii="Arial" w:hAnsi="Arial" w:cs="Arial"/>
        </w:rPr>
        <w:t>. However, he generally avoided highly centralised, autocratic pandemic controls, instead allowing provinces to lead on health decisions</w:t>
      </w:r>
      <w:r w:rsidR="00891628" w:rsidRPr="00E01AB8">
        <w:rPr>
          <w:rFonts w:ascii="Arial" w:hAnsi="Arial" w:cs="Arial"/>
        </w:rPr>
        <w:t xml:space="preserve"> (Mouloudi, 2022)</w:t>
      </w:r>
      <w:r w:rsidRPr="001C48F9">
        <w:rPr>
          <w:rFonts w:ascii="Arial" w:hAnsi="Arial" w:cs="Arial"/>
        </w:rPr>
        <w:t>. Trudeau’s leadership style</w:t>
      </w:r>
      <w:r w:rsidR="00EB0768" w:rsidRPr="00E01AB8">
        <w:rPr>
          <w:rFonts w:ascii="Arial" w:hAnsi="Arial" w:cs="Arial"/>
        </w:rPr>
        <w:t>,</w:t>
      </w:r>
      <w:r w:rsidRPr="001C48F9">
        <w:rPr>
          <w:rFonts w:ascii="Arial" w:hAnsi="Arial" w:cs="Arial"/>
        </w:rPr>
        <w:t xml:space="preserve"> therefore</w:t>
      </w:r>
      <w:r w:rsidRPr="00E01AB8">
        <w:rPr>
          <w:rFonts w:ascii="Arial" w:hAnsi="Arial" w:cs="Arial"/>
        </w:rPr>
        <w:t>,</w:t>
      </w:r>
      <w:r w:rsidRPr="001C48F9">
        <w:rPr>
          <w:rFonts w:ascii="Arial" w:hAnsi="Arial" w:cs="Arial"/>
        </w:rPr>
        <w:t xml:space="preserve"> combined consultative democracy, empathetic communication, expert reliance, and crisis </w:t>
      </w:r>
      <w:r w:rsidRPr="001C48F9">
        <w:rPr>
          <w:rFonts w:ascii="Arial" w:hAnsi="Arial" w:cs="Arial"/>
        </w:rPr>
        <w:lastRenderedPageBreak/>
        <w:t>pragmatism, which shaped the character and pace of Canada’s national pandemic response</w:t>
      </w:r>
      <w:r w:rsidR="00D60FB4" w:rsidRPr="00E01AB8">
        <w:rPr>
          <w:rFonts w:ascii="Arial" w:hAnsi="Arial" w:cs="Arial"/>
        </w:rPr>
        <w:t xml:space="preserve"> (Armstrong and Marland, 2023)</w:t>
      </w:r>
      <w:r w:rsidRPr="001C48F9">
        <w:rPr>
          <w:rFonts w:ascii="Arial" w:hAnsi="Arial" w:cs="Arial"/>
        </w:rPr>
        <w:t>.</w:t>
      </w:r>
    </w:p>
    <w:p w14:paraId="14A57DC7" w14:textId="7E82238A" w:rsidR="00902B36" w:rsidRPr="00E01AB8" w:rsidRDefault="00F0751B" w:rsidP="00F0751B">
      <w:pPr>
        <w:pStyle w:val="Heading2"/>
        <w:rPr>
          <w:rFonts w:cs="Arial"/>
        </w:rPr>
      </w:pPr>
      <w:bookmarkStart w:id="21" w:name="_Toc214168851"/>
      <w:r w:rsidRPr="00E01AB8">
        <w:rPr>
          <w:rFonts w:cs="Arial"/>
        </w:rPr>
        <w:t xml:space="preserve">3.4.1 </w:t>
      </w:r>
      <w:r w:rsidR="00902B36" w:rsidRPr="00E01AB8">
        <w:rPr>
          <w:rFonts w:eastAsiaTheme="majorEastAsia" w:cs="Arial"/>
        </w:rPr>
        <w:t>Advantages of Canada’s Leadership Approach</w:t>
      </w:r>
      <w:bookmarkEnd w:id="21"/>
      <w:r w:rsidR="00902B36" w:rsidRPr="00E01AB8">
        <w:rPr>
          <w:rFonts w:eastAsiaTheme="majorEastAsia" w:cs="Arial"/>
        </w:rPr>
        <w:t xml:space="preserve"> </w:t>
      </w:r>
    </w:p>
    <w:p w14:paraId="2EA7BEE2" w14:textId="0B35CB99" w:rsidR="001C48F9" w:rsidRPr="001C48F9" w:rsidRDefault="001C48F9" w:rsidP="001C48F9">
      <w:pPr>
        <w:spacing w:line="360" w:lineRule="auto"/>
        <w:jc w:val="both"/>
        <w:rPr>
          <w:rFonts w:ascii="Arial" w:hAnsi="Arial" w:cs="Arial"/>
        </w:rPr>
      </w:pPr>
      <w:r w:rsidRPr="001C48F9">
        <w:rPr>
          <w:rFonts w:ascii="Arial" w:hAnsi="Arial" w:cs="Arial"/>
        </w:rPr>
        <w:t>One major advantage of Trudeau’s collaborative and democratic leadership style was the cultivation of public trust and social stability during a moment of national uncertainty</w:t>
      </w:r>
      <w:r w:rsidR="00D60FB4" w:rsidRPr="00E01AB8">
        <w:rPr>
          <w:rFonts w:ascii="Arial" w:hAnsi="Arial" w:cs="Arial"/>
        </w:rPr>
        <w:t xml:space="preserve"> (</w:t>
      </w:r>
      <w:r w:rsidR="00D60FB4" w:rsidRPr="00E01AB8">
        <w:rPr>
          <w:rFonts w:ascii="Arial" w:hAnsi="Arial" w:cs="Arial"/>
          <w:lang w:eastAsia="en-GB"/>
        </w:rPr>
        <w:t>Maher, 2024)</w:t>
      </w:r>
      <w:r w:rsidRPr="001C48F9">
        <w:rPr>
          <w:rFonts w:ascii="Arial" w:hAnsi="Arial" w:cs="Arial"/>
        </w:rPr>
        <w:t>. His consistent communication, empathetic tone, and reliance on experts enhanced public confidence. The transparency and calm reassurance of daily national briefings helped reduce public panic and strengthened compliance with major federal measures such as travel restrictions and quarantine rules</w:t>
      </w:r>
      <w:r w:rsidR="00D60FB4" w:rsidRPr="00E01AB8">
        <w:rPr>
          <w:rFonts w:ascii="Arial" w:hAnsi="Arial" w:cs="Arial"/>
        </w:rPr>
        <w:t xml:space="preserve"> (</w:t>
      </w:r>
      <w:r w:rsidR="00D60FB4" w:rsidRPr="00E01AB8">
        <w:rPr>
          <w:rFonts w:ascii="Arial" w:hAnsi="Arial" w:cs="Arial"/>
          <w:lang w:eastAsia="en-GB"/>
        </w:rPr>
        <w:t>Maher, 2024)</w:t>
      </w:r>
      <w:r w:rsidRPr="001C48F9">
        <w:rPr>
          <w:rFonts w:ascii="Arial" w:hAnsi="Arial" w:cs="Arial"/>
        </w:rPr>
        <w:t>. Cooperative federalism also allowed provinces to tailor strategies to their own needs, which was essential given Canada’s geographic diversity and varying case rates</w:t>
      </w:r>
      <w:r w:rsidR="00D60FB4" w:rsidRPr="00E01AB8">
        <w:rPr>
          <w:rFonts w:ascii="Arial" w:hAnsi="Arial" w:cs="Arial"/>
        </w:rPr>
        <w:t xml:space="preserve"> (Armstrong and Marland, 2023)</w:t>
      </w:r>
      <w:r w:rsidRPr="001C48F9">
        <w:rPr>
          <w:rFonts w:ascii="Arial" w:hAnsi="Arial" w:cs="Arial"/>
        </w:rPr>
        <w:t>.</w:t>
      </w:r>
    </w:p>
    <w:p w14:paraId="5F8F513F" w14:textId="5BC0C5F7" w:rsidR="00902B36" w:rsidRPr="00902B36" w:rsidRDefault="001C48F9" w:rsidP="00902B36">
      <w:pPr>
        <w:spacing w:line="360" w:lineRule="auto"/>
        <w:jc w:val="both"/>
        <w:rPr>
          <w:rFonts w:ascii="Arial" w:hAnsi="Arial" w:cs="Arial"/>
        </w:rPr>
      </w:pPr>
      <w:r w:rsidRPr="001C48F9">
        <w:rPr>
          <w:rFonts w:ascii="Arial" w:hAnsi="Arial" w:cs="Arial"/>
        </w:rPr>
        <w:t>Another advantage was the effectiveness of the federal economic response, enabled by Trudeau’s pragmatic and consensus-driven approach</w:t>
      </w:r>
      <w:r w:rsidR="00D60FB4" w:rsidRPr="00E01AB8">
        <w:rPr>
          <w:rFonts w:ascii="Arial" w:hAnsi="Arial" w:cs="Arial"/>
        </w:rPr>
        <w:t xml:space="preserve"> (Armstrong and Marland, 2023)</w:t>
      </w:r>
      <w:r w:rsidRPr="001C48F9">
        <w:rPr>
          <w:rFonts w:ascii="Arial" w:hAnsi="Arial" w:cs="Arial"/>
        </w:rPr>
        <w:t>. Because he worked closely with multiple ministries, business groups, and provincial counterparts, the government quickly developed large-scale financial support programs such as the Canada Emergency Response Benefit (CERB) and wage subsidies</w:t>
      </w:r>
      <w:r w:rsidR="00D60FB4" w:rsidRPr="00E01AB8">
        <w:rPr>
          <w:rFonts w:ascii="Arial" w:hAnsi="Arial" w:cs="Arial"/>
        </w:rPr>
        <w:t xml:space="preserve"> (</w:t>
      </w:r>
      <w:r w:rsidR="00D60FB4" w:rsidRPr="00E01AB8">
        <w:rPr>
          <w:rFonts w:ascii="Arial" w:hAnsi="Arial" w:cs="Arial"/>
          <w:lang w:eastAsia="en-GB"/>
        </w:rPr>
        <w:t>Maher, 2024)</w:t>
      </w:r>
      <w:r w:rsidRPr="001C48F9">
        <w:rPr>
          <w:rFonts w:ascii="Arial" w:hAnsi="Arial" w:cs="Arial"/>
        </w:rPr>
        <w:t>. These programs prevented severe economic collapse and supported millions of households and businesses. Trudeau’s inclusive leadership style ensured that economic policies were widely supported, reducing political conflict and aiding national recovery</w:t>
      </w:r>
      <w:r w:rsidR="00891628" w:rsidRPr="00E01AB8">
        <w:rPr>
          <w:rFonts w:ascii="Arial" w:hAnsi="Arial" w:cs="Arial"/>
        </w:rPr>
        <w:t xml:space="preserve"> (Mouloudi, 2022)</w:t>
      </w:r>
      <w:r w:rsidRPr="001C48F9">
        <w:rPr>
          <w:rFonts w:ascii="Arial" w:hAnsi="Arial" w:cs="Arial"/>
        </w:rPr>
        <w:t>.</w:t>
      </w:r>
    </w:p>
    <w:p w14:paraId="182CC3DE" w14:textId="1B52726B" w:rsidR="00902B36" w:rsidRPr="00E01AB8" w:rsidRDefault="00F0751B" w:rsidP="00EB0768">
      <w:pPr>
        <w:pStyle w:val="Heading2"/>
        <w:rPr>
          <w:rFonts w:cs="Arial"/>
        </w:rPr>
      </w:pPr>
      <w:bookmarkStart w:id="22" w:name="_Toc214168852"/>
      <w:r w:rsidRPr="00E01AB8">
        <w:rPr>
          <w:rFonts w:cs="Arial"/>
        </w:rPr>
        <w:t xml:space="preserve">3.4.2 </w:t>
      </w:r>
      <w:r w:rsidR="00902B36" w:rsidRPr="00E01AB8">
        <w:rPr>
          <w:rFonts w:eastAsiaTheme="majorEastAsia" w:cs="Arial"/>
        </w:rPr>
        <w:t>Disadvantages of Canada’s Leadership Approach</w:t>
      </w:r>
      <w:bookmarkEnd w:id="22"/>
      <w:r w:rsidR="00902B36" w:rsidRPr="00E01AB8">
        <w:rPr>
          <w:rFonts w:eastAsiaTheme="majorEastAsia" w:cs="Arial"/>
        </w:rPr>
        <w:t xml:space="preserve"> </w:t>
      </w:r>
    </w:p>
    <w:p w14:paraId="6372ACFE" w14:textId="3D911DE8" w:rsidR="001C48F9" w:rsidRPr="001C48F9" w:rsidRDefault="001C48F9" w:rsidP="001C48F9">
      <w:pPr>
        <w:spacing w:line="360" w:lineRule="auto"/>
        <w:jc w:val="both"/>
        <w:rPr>
          <w:rFonts w:ascii="Arial" w:hAnsi="Arial" w:cs="Arial"/>
        </w:rPr>
      </w:pPr>
      <w:r w:rsidRPr="001C48F9">
        <w:rPr>
          <w:rFonts w:ascii="Arial" w:hAnsi="Arial" w:cs="Arial"/>
        </w:rPr>
        <w:t xml:space="preserve">A key disadvantage of Trudeau’s democratic, consultative approach was the slow pace of national decision-making, especially during </w:t>
      </w:r>
      <w:r w:rsidR="00D60FB4" w:rsidRPr="00E01AB8">
        <w:rPr>
          <w:rFonts w:ascii="Arial" w:hAnsi="Arial" w:cs="Arial"/>
        </w:rPr>
        <w:t xml:space="preserve">the </w:t>
      </w:r>
      <w:r w:rsidRPr="001C48F9">
        <w:rPr>
          <w:rFonts w:ascii="Arial" w:hAnsi="Arial" w:cs="Arial"/>
        </w:rPr>
        <w:t>early stages of the pandemic</w:t>
      </w:r>
      <w:r w:rsidR="00891628" w:rsidRPr="00E01AB8">
        <w:rPr>
          <w:rFonts w:ascii="Arial" w:hAnsi="Arial" w:cs="Arial"/>
        </w:rPr>
        <w:t xml:space="preserve"> (Mouloudi, 2022)</w:t>
      </w:r>
      <w:r w:rsidRPr="001C48F9">
        <w:rPr>
          <w:rFonts w:ascii="Arial" w:hAnsi="Arial" w:cs="Arial"/>
        </w:rPr>
        <w:t>. Extensive consultation with provinces and experts</w:t>
      </w:r>
      <w:r w:rsidR="00D60FB4" w:rsidRPr="00E01AB8">
        <w:rPr>
          <w:rFonts w:ascii="Arial" w:hAnsi="Arial" w:cs="Arial"/>
        </w:rPr>
        <w:t xml:space="preserve">, </w:t>
      </w:r>
      <w:r w:rsidRPr="001C48F9">
        <w:rPr>
          <w:rFonts w:ascii="Arial" w:hAnsi="Arial" w:cs="Arial"/>
        </w:rPr>
        <w:t>while positive in principle</w:t>
      </w:r>
      <w:r w:rsidR="00D60FB4" w:rsidRPr="00E01AB8">
        <w:rPr>
          <w:rFonts w:ascii="Arial" w:hAnsi="Arial" w:cs="Arial"/>
        </w:rPr>
        <w:t xml:space="preserve">, </w:t>
      </w:r>
      <w:r w:rsidRPr="001C48F9">
        <w:rPr>
          <w:rFonts w:ascii="Arial" w:hAnsi="Arial" w:cs="Arial"/>
        </w:rPr>
        <w:t>often led to delays in implementing travel restrictions, testing guidelines, and national standards</w:t>
      </w:r>
      <w:r w:rsidR="00D60FB4" w:rsidRPr="00E01AB8">
        <w:rPr>
          <w:rFonts w:ascii="Arial" w:hAnsi="Arial" w:cs="Arial"/>
        </w:rPr>
        <w:t xml:space="preserve"> (Armstrong and Marland, 2023)</w:t>
      </w:r>
      <w:r w:rsidRPr="001C48F9">
        <w:rPr>
          <w:rFonts w:ascii="Arial" w:hAnsi="Arial" w:cs="Arial"/>
        </w:rPr>
        <w:t>. The federal government’s limited authority over healthcare further slowed coordination, resulting in inconsistent policies across provinces. These delays contributed to fragmented public health responses and weakened Canada’s early containment efforts</w:t>
      </w:r>
      <w:r w:rsidR="00D60FB4" w:rsidRPr="00E01AB8">
        <w:rPr>
          <w:rFonts w:ascii="Arial" w:hAnsi="Arial" w:cs="Arial"/>
        </w:rPr>
        <w:t xml:space="preserve"> (</w:t>
      </w:r>
      <w:r w:rsidR="00D60FB4" w:rsidRPr="00E01AB8">
        <w:rPr>
          <w:rFonts w:ascii="Arial" w:hAnsi="Arial" w:cs="Arial"/>
          <w:lang w:eastAsia="en-GB"/>
        </w:rPr>
        <w:t>Maher, 2024)</w:t>
      </w:r>
      <w:r w:rsidRPr="001C48F9">
        <w:rPr>
          <w:rFonts w:ascii="Arial" w:hAnsi="Arial" w:cs="Arial"/>
        </w:rPr>
        <w:t>.</w:t>
      </w:r>
    </w:p>
    <w:p w14:paraId="416386EE" w14:textId="5F952334" w:rsidR="001C48F9" w:rsidRPr="001C48F9" w:rsidRDefault="001C48F9" w:rsidP="001C48F9">
      <w:pPr>
        <w:spacing w:line="360" w:lineRule="auto"/>
        <w:jc w:val="both"/>
        <w:rPr>
          <w:rFonts w:ascii="Arial" w:hAnsi="Arial" w:cs="Arial"/>
        </w:rPr>
      </w:pPr>
      <w:r w:rsidRPr="001C48F9">
        <w:rPr>
          <w:rFonts w:ascii="Arial" w:hAnsi="Arial" w:cs="Arial"/>
        </w:rPr>
        <w:t xml:space="preserve">Another disadvantage was that Trudeau’s reluctance to impose strong federal directives sometimes allowed political disagreements to hinder cohesive national </w:t>
      </w:r>
      <w:r w:rsidRPr="001C48F9">
        <w:rPr>
          <w:rFonts w:ascii="Arial" w:hAnsi="Arial" w:cs="Arial"/>
        </w:rPr>
        <w:lastRenderedPageBreak/>
        <w:t>action</w:t>
      </w:r>
      <w:r w:rsidR="00891628" w:rsidRPr="00E01AB8">
        <w:rPr>
          <w:rFonts w:ascii="Arial" w:hAnsi="Arial" w:cs="Arial"/>
        </w:rPr>
        <w:t xml:space="preserve"> (Mouloudi, 2022)</w:t>
      </w:r>
      <w:r w:rsidRPr="001C48F9">
        <w:rPr>
          <w:rFonts w:ascii="Arial" w:hAnsi="Arial" w:cs="Arial"/>
        </w:rPr>
        <w:t>. His leadership style prioritised cooperation over confrontation, which meant that provinces with slower or more controversial strategies faced limited federal pressure to improve performance</w:t>
      </w:r>
      <w:r w:rsidR="00D60FB4" w:rsidRPr="00E01AB8">
        <w:rPr>
          <w:rFonts w:ascii="Arial" w:hAnsi="Arial" w:cs="Arial"/>
        </w:rPr>
        <w:t xml:space="preserve"> (Armstrong and Marland, 2023)</w:t>
      </w:r>
      <w:r w:rsidRPr="001C48F9">
        <w:rPr>
          <w:rFonts w:ascii="Arial" w:hAnsi="Arial" w:cs="Arial"/>
        </w:rPr>
        <w:t>. This contributed to uneven outcomes, particularly in long-term care, where weak provincial systems struggled with high mortality. Trudeau’s inclusive approach, while socially stabilising, sometimes lacked the decisiveness and central authority seen in more assertive leadership models</w:t>
      </w:r>
      <w:r w:rsidR="00891628" w:rsidRPr="00E01AB8">
        <w:rPr>
          <w:rFonts w:ascii="Arial" w:hAnsi="Arial" w:cs="Arial"/>
        </w:rPr>
        <w:t xml:space="preserve"> (Mouloudi, 2022)</w:t>
      </w:r>
      <w:r w:rsidRPr="001C48F9">
        <w:rPr>
          <w:rFonts w:ascii="Arial" w:hAnsi="Arial" w:cs="Arial"/>
        </w:rPr>
        <w:t>.</w:t>
      </w:r>
    </w:p>
    <w:p w14:paraId="63BA702B" w14:textId="77777777" w:rsidR="00AA5B84" w:rsidRPr="00E01AB8" w:rsidRDefault="00AA5B84" w:rsidP="00AA5B84">
      <w:pPr>
        <w:spacing w:line="360" w:lineRule="auto"/>
        <w:jc w:val="both"/>
        <w:rPr>
          <w:rFonts w:ascii="Arial" w:hAnsi="Arial" w:cs="Arial"/>
          <w:b/>
          <w:bCs/>
        </w:rPr>
      </w:pPr>
      <w:r w:rsidRPr="00AA5B84">
        <w:rPr>
          <w:rFonts w:ascii="Arial" w:hAnsi="Arial" w:cs="Arial"/>
          <w:b/>
          <w:bCs/>
        </w:rPr>
        <w:t xml:space="preserve">Conclusion </w:t>
      </w:r>
    </w:p>
    <w:p w14:paraId="06F05389" w14:textId="3AD31A9E" w:rsidR="00AA5B84" w:rsidRPr="00AA5B84" w:rsidRDefault="00AA5B84" w:rsidP="00AA5B84">
      <w:pPr>
        <w:spacing w:line="360" w:lineRule="auto"/>
        <w:jc w:val="both"/>
        <w:rPr>
          <w:rFonts w:ascii="Arial" w:hAnsi="Arial" w:cs="Arial"/>
        </w:rPr>
      </w:pPr>
      <w:r w:rsidRPr="00AA5B84">
        <w:rPr>
          <w:rFonts w:ascii="Arial" w:hAnsi="Arial" w:cs="Arial"/>
        </w:rPr>
        <w:t>The comparative analysis of Spain, South Korea, and Canada demonstrates that the structure of a country’s healthcare system</w:t>
      </w:r>
      <w:r w:rsidRPr="00E01AB8">
        <w:rPr>
          <w:rFonts w:ascii="Arial" w:hAnsi="Arial" w:cs="Arial"/>
        </w:rPr>
        <w:t xml:space="preserve">, </w:t>
      </w:r>
      <w:r w:rsidRPr="00AA5B84">
        <w:rPr>
          <w:rFonts w:ascii="Arial" w:hAnsi="Arial" w:cs="Arial"/>
        </w:rPr>
        <w:t>whether centralised, decentralised, or hybrid</w:t>
      </w:r>
      <w:r w:rsidRPr="00E01AB8">
        <w:rPr>
          <w:rFonts w:ascii="Arial" w:hAnsi="Arial" w:cs="Arial"/>
        </w:rPr>
        <w:t xml:space="preserve">, </w:t>
      </w:r>
      <w:r w:rsidRPr="00AA5B84">
        <w:rPr>
          <w:rFonts w:ascii="Arial" w:hAnsi="Arial" w:cs="Arial"/>
        </w:rPr>
        <w:t>significantly shapes its pandemic response capacity. Spain’s decentralised system struggled with coordination during the early outbreak, while South Korea’s centralised command enabled rapid containment, and Canada’s federal structure allowed provinces to tailor responses but produced uneven outcomes. These differences highlight that no single model guarantees success; rather, effectiveness depends on the ability to balance national leadership with regional flexibility, ensure information transparency, and mobilise resources efficiently. The COVID-19 experience underscores the importance of strong institutional readiness, robust surveillance systems, and the capacity to rapidly shift between centralisation and decentralisation depending on crisis severity.</w:t>
      </w:r>
    </w:p>
    <w:p w14:paraId="4CC172F4" w14:textId="171A1A6F" w:rsidR="00AA5B84" w:rsidRPr="00AA5B84" w:rsidRDefault="00AA5B84" w:rsidP="00AA5B84">
      <w:pPr>
        <w:spacing w:line="360" w:lineRule="auto"/>
        <w:jc w:val="both"/>
        <w:rPr>
          <w:rFonts w:ascii="Arial" w:hAnsi="Arial" w:cs="Arial"/>
        </w:rPr>
      </w:pPr>
      <w:r w:rsidRPr="00AA5B84">
        <w:rPr>
          <w:rFonts w:ascii="Arial" w:hAnsi="Arial" w:cs="Arial"/>
        </w:rPr>
        <w:t>Leadership also emerged as a critical determinant of national outcomes. The contrasting leadership styles of Sánchez, Moon, and Trudeau reveal how political culture and decision-making approaches influence public trust, compliance, and policy effectiveness. Proactive, science-driven leadership</w:t>
      </w:r>
      <w:r w:rsidRPr="00E01AB8">
        <w:rPr>
          <w:rFonts w:ascii="Arial" w:hAnsi="Arial" w:cs="Arial"/>
        </w:rPr>
        <w:t xml:space="preserve">, </w:t>
      </w:r>
      <w:r w:rsidRPr="00AA5B84">
        <w:rPr>
          <w:rFonts w:ascii="Arial" w:hAnsi="Arial" w:cs="Arial"/>
        </w:rPr>
        <w:t>as seen in South Korea</w:t>
      </w:r>
      <w:r w:rsidRPr="00E01AB8">
        <w:rPr>
          <w:rFonts w:ascii="Arial" w:hAnsi="Arial" w:cs="Arial"/>
        </w:rPr>
        <w:t xml:space="preserve">, </w:t>
      </w:r>
      <w:r w:rsidRPr="00AA5B84">
        <w:rPr>
          <w:rFonts w:ascii="Arial" w:hAnsi="Arial" w:cs="Arial"/>
        </w:rPr>
        <w:t>proved particularly effective in rapid containment. In contrast, Spain’s initially cautious, decentralised leadership and Canada’s collaborative but sometimes slow decision-making illustrate the trade-offs inherent in more democratic or regionally dispersed systems. Overall, COVID-19 highlighted the necessity of resilient healthcare structures combined with decisive, transparent, and adaptive leadership to ensure preparedness for future global health emergencies.</w:t>
      </w:r>
    </w:p>
    <w:p w14:paraId="52EA2233" w14:textId="7FC77E31" w:rsidR="00902B36" w:rsidRPr="00902B36" w:rsidRDefault="00902B36" w:rsidP="00902B36">
      <w:pPr>
        <w:spacing w:line="360" w:lineRule="auto"/>
        <w:jc w:val="both"/>
        <w:rPr>
          <w:rFonts w:ascii="Arial" w:hAnsi="Arial" w:cs="Arial"/>
        </w:rPr>
      </w:pPr>
    </w:p>
    <w:p w14:paraId="4F878731" w14:textId="77777777" w:rsidR="00B715FF" w:rsidRPr="00E01AB8" w:rsidRDefault="00B715FF" w:rsidP="00D445DC">
      <w:pPr>
        <w:spacing w:line="360" w:lineRule="auto"/>
        <w:jc w:val="both"/>
        <w:rPr>
          <w:rFonts w:ascii="Arial" w:hAnsi="Arial" w:cs="Arial"/>
        </w:rPr>
      </w:pPr>
    </w:p>
    <w:p w14:paraId="730AAC17" w14:textId="455F16E7" w:rsidR="00146B08" w:rsidRPr="00E01AB8" w:rsidRDefault="00931F1C" w:rsidP="00D445DC">
      <w:pPr>
        <w:pStyle w:val="Heading1"/>
        <w:jc w:val="both"/>
        <w:rPr>
          <w:rFonts w:cs="Arial"/>
          <w:sz w:val="24"/>
          <w:szCs w:val="24"/>
        </w:rPr>
      </w:pPr>
      <w:bookmarkStart w:id="23" w:name="_Toc214168853"/>
      <w:r w:rsidRPr="00E01AB8">
        <w:rPr>
          <w:rFonts w:cs="Arial"/>
          <w:sz w:val="24"/>
          <w:szCs w:val="24"/>
        </w:rPr>
        <w:lastRenderedPageBreak/>
        <w:t>References</w:t>
      </w:r>
      <w:bookmarkEnd w:id="23"/>
    </w:p>
    <w:p w14:paraId="053CD179" w14:textId="2D224B3B" w:rsidR="00EB0768" w:rsidRPr="00E01AB8" w:rsidRDefault="00EB0768" w:rsidP="00D445DC">
      <w:pPr>
        <w:jc w:val="both"/>
        <w:rPr>
          <w:rFonts w:ascii="Arial" w:hAnsi="Arial" w:cs="Arial"/>
          <w:lang w:eastAsia="en-GB"/>
        </w:rPr>
      </w:pPr>
      <w:r w:rsidRPr="00E01AB8">
        <w:rPr>
          <w:rFonts w:ascii="Arial" w:hAnsi="Arial" w:cs="Arial"/>
          <w:lang w:eastAsia="en-GB"/>
        </w:rPr>
        <w:t xml:space="preserve">Armstrong, J. and Marland, A., </w:t>
      </w:r>
      <w:r w:rsidR="00B715FF" w:rsidRPr="00E01AB8">
        <w:rPr>
          <w:rFonts w:ascii="Arial" w:hAnsi="Arial" w:cs="Arial"/>
          <w:lang w:eastAsia="en-GB"/>
        </w:rPr>
        <w:t>(</w:t>
      </w:r>
      <w:r w:rsidRPr="00E01AB8">
        <w:rPr>
          <w:rFonts w:ascii="Arial" w:hAnsi="Arial" w:cs="Arial"/>
          <w:lang w:eastAsia="en-GB"/>
        </w:rPr>
        <w:t>2023</w:t>
      </w:r>
      <w:r w:rsidR="00B715FF" w:rsidRPr="00E01AB8">
        <w:rPr>
          <w:rFonts w:ascii="Arial" w:hAnsi="Arial" w:cs="Arial"/>
          <w:lang w:eastAsia="en-GB"/>
        </w:rPr>
        <w:t>)</w:t>
      </w:r>
      <w:r w:rsidRPr="00E01AB8">
        <w:rPr>
          <w:rFonts w:ascii="Arial" w:hAnsi="Arial" w:cs="Arial"/>
          <w:lang w:eastAsia="en-GB"/>
        </w:rPr>
        <w:t>. Pandemic Communications: How Leaders Encouraged Canadians to Stay the Blazes Home. </w:t>
      </w:r>
      <w:r w:rsidRPr="00E01AB8">
        <w:rPr>
          <w:rFonts w:ascii="Arial" w:hAnsi="Arial" w:cs="Arial"/>
          <w:i/>
          <w:iCs/>
          <w:lang w:eastAsia="en-GB"/>
        </w:rPr>
        <w:t xml:space="preserve">Managing </w:t>
      </w:r>
      <w:proofErr w:type="spellStart"/>
      <w:r w:rsidRPr="00E01AB8">
        <w:rPr>
          <w:rFonts w:ascii="Arial" w:hAnsi="Arial" w:cs="Arial"/>
          <w:i/>
          <w:iCs/>
          <w:lang w:eastAsia="en-GB"/>
        </w:rPr>
        <w:t>Dederalism</w:t>
      </w:r>
      <w:proofErr w:type="spellEnd"/>
      <w:r w:rsidRPr="00E01AB8">
        <w:rPr>
          <w:rFonts w:ascii="Arial" w:hAnsi="Arial" w:cs="Arial"/>
          <w:i/>
          <w:iCs/>
          <w:lang w:eastAsia="en-GB"/>
        </w:rPr>
        <w:t xml:space="preserve"> through Pandemic</w:t>
      </w:r>
      <w:r w:rsidRPr="00E01AB8">
        <w:rPr>
          <w:rFonts w:ascii="Arial" w:hAnsi="Arial" w:cs="Arial"/>
          <w:lang w:eastAsia="en-GB"/>
        </w:rPr>
        <w:t xml:space="preserve">, pp.154-170. </w:t>
      </w:r>
      <w:hyperlink r:id="rId10" w:anchor="page=173" w:history="1">
        <w:r w:rsidRPr="00E01AB8">
          <w:rPr>
            <w:rStyle w:val="Hyperlink"/>
            <w:rFonts w:ascii="Arial" w:hAnsi="Arial" w:cs="Arial"/>
            <w:lang w:eastAsia="en-GB"/>
          </w:rPr>
          <w:t>https://utppublishing.com/doi/pdf/10.3138/9781487548117#page=173</w:t>
        </w:r>
      </w:hyperlink>
    </w:p>
    <w:p w14:paraId="25E1C5E7" w14:textId="5D20A66A" w:rsidR="00A526B5" w:rsidRPr="00E01AB8" w:rsidRDefault="00A526B5" w:rsidP="00D445DC">
      <w:pPr>
        <w:jc w:val="both"/>
        <w:rPr>
          <w:rFonts w:ascii="Arial" w:hAnsi="Arial" w:cs="Arial"/>
          <w:lang w:eastAsia="en-GB"/>
        </w:rPr>
      </w:pPr>
      <w:r w:rsidRPr="00E01AB8">
        <w:rPr>
          <w:rFonts w:ascii="Arial" w:hAnsi="Arial" w:cs="Arial"/>
          <w:lang w:eastAsia="en-GB"/>
        </w:rPr>
        <w:t xml:space="preserve">Antonini, M., Eid, M.A., Falkenbach, M., Rosenbluth, S.T., Prieto, P.A., Brammli-Greenberg, S., McMeekin, P. and Paolucci, F., </w:t>
      </w:r>
      <w:r w:rsidR="00B715FF" w:rsidRPr="00E01AB8">
        <w:rPr>
          <w:rFonts w:ascii="Arial" w:hAnsi="Arial" w:cs="Arial"/>
          <w:lang w:eastAsia="en-GB"/>
        </w:rPr>
        <w:t>(</w:t>
      </w:r>
      <w:r w:rsidRPr="00E01AB8">
        <w:rPr>
          <w:rFonts w:ascii="Arial" w:hAnsi="Arial" w:cs="Arial"/>
          <w:lang w:eastAsia="en-GB"/>
        </w:rPr>
        <w:t>2022</w:t>
      </w:r>
      <w:r w:rsidR="00B715FF" w:rsidRPr="00E01AB8">
        <w:rPr>
          <w:rFonts w:ascii="Arial" w:hAnsi="Arial" w:cs="Arial"/>
          <w:lang w:eastAsia="en-GB"/>
        </w:rPr>
        <w:t>)</w:t>
      </w:r>
      <w:r w:rsidRPr="00E01AB8">
        <w:rPr>
          <w:rFonts w:ascii="Arial" w:hAnsi="Arial" w:cs="Arial"/>
          <w:lang w:eastAsia="en-GB"/>
        </w:rPr>
        <w:t>. An analysis of the COVID-19 vaccination campaigns in France, Israel, Italy and Spain and their impact on health and economic outcomes. </w:t>
      </w:r>
      <w:r w:rsidRPr="00E01AB8">
        <w:rPr>
          <w:rFonts w:ascii="Arial" w:hAnsi="Arial" w:cs="Arial"/>
          <w:i/>
          <w:iCs/>
          <w:lang w:eastAsia="en-GB"/>
        </w:rPr>
        <w:t>Health Policy and Technology</w:t>
      </w:r>
      <w:r w:rsidRPr="00E01AB8">
        <w:rPr>
          <w:rFonts w:ascii="Arial" w:hAnsi="Arial" w:cs="Arial"/>
          <w:lang w:eastAsia="en-GB"/>
        </w:rPr>
        <w:t>, </w:t>
      </w:r>
      <w:r w:rsidRPr="00E01AB8">
        <w:rPr>
          <w:rFonts w:ascii="Arial" w:hAnsi="Arial" w:cs="Arial"/>
          <w:i/>
          <w:iCs/>
          <w:lang w:eastAsia="en-GB"/>
        </w:rPr>
        <w:t>11</w:t>
      </w:r>
      <w:r w:rsidRPr="00E01AB8">
        <w:rPr>
          <w:rFonts w:ascii="Arial" w:hAnsi="Arial" w:cs="Arial"/>
          <w:lang w:eastAsia="en-GB"/>
        </w:rPr>
        <w:t xml:space="preserve">(2), p.100594. </w:t>
      </w:r>
      <w:hyperlink r:id="rId11" w:history="1">
        <w:r w:rsidRPr="00E01AB8">
          <w:rPr>
            <w:rStyle w:val="Hyperlink"/>
            <w:rFonts w:ascii="Arial" w:hAnsi="Arial" w:cs="Arial"/>
            <w:lang w:eastAsia="en-GB"/>
          </w:rPr>
          <w:t>https://www.sciencedirect.com/science/article/pii/S2211883721001179</w:t>
        </w:r>
      </w:hyperlink>
    </w:p>
    <w:p w14:paraId="666EFF53" w14:textId="4F575F53" w:rsidR="00E61A8C" w:rsidRPr="00E01AB8" w:rsidRDefault="00E61A8C" w:rsidP="00D445DC">
      <w:pPr>
        <w:jc w:val="both"/>
        <w:rPr>
          <w:rFonts w:ascii="Arial" w:hAnsi="Arial" w:cs="Arial"/>
          <w:lang w:eastAsia="en-GB"/>
        </w:rPr>
      </w:pPr>
      <w:r w:rsidRPr="00E01AB8">
        <w:rPr>
          <w:rFonts w:ascii="Arial" w:hAnsi="Arial" w:cs="Arial"/>
          <w:lang w:eastAsia="en-GB"/>
        </w:rPr>
        <w:t xml:space="preserve">Díaz-Lanchas, J. and Mulder, P., </w:t>
      </w:r>
      <w:r w:rsidR="00B715FF" w:rsidRPr="00E01AB8">
        <w:rPr>
          <w:rFonts w:ascii="Arial" w:hAnsi="Arial" w:cs="Arial"/>
          <w:lang w:eastAsia="en-GB"/>
        </w:rPr>
        <w:t>(</w:t>
      </w:r>
      <w:r w:rsidRPr="00E01AB8">
        <w:rPr>
          <w:rFonts w:ascii="Arial" w:hAnsi="Arial" w:cs="Arial"/>
          <w:lang w:eastAsia="en-GB"/>
        </w:rPr>
        <w:t>2021</w:t>
      </w:r>
      <w:r w:rsidR="00B715FF" w:rsidRPr="00E01AB8">
        <w:rPr>
          <w:rFonts w:ascii="Arial" w:hAnsi="Arial" w:cs="Arial"/>
          <w:lang w:eastAsia="en-GB"/>
        </w:rPr>
        <w:t>)</w:t>
      </w:r>
      <w:r w:rsidRPr="00E01AB8">
        <w:rPr>
          <w:rFonts w:ascii="Arial" w:hAnsi="Arial" w:cs="Arial"/>
          <w:lang w:eastAsia="en-GB"/>
        </w:rPr>
        <w:t>. Does decentralization of governance promote urban diversity? Evidence from Spain. </w:t>
      </w:r>
      <w:r w:rsidRPr="00E01AB8">
        <w:rPr>
          <w:rFonts w:ascii="Arial" w:hAnsi="Arial" w:cs="Arial"/>
          <w:i/>
          <w:iCs/>
          <w:lang w:eastAsia="en-GB"/>
        </w:rPr>
        <w:t>Regional Studies</w:t>
      </w:r>
      <w:r w:rsidRPr="00E01AB8">
        <w:rPr>
          <w:rFonts w:ascii="Arial" w:hAnsi="Arial" w:cs="Arial"/>
          <w:lang w:eastAsia="en-GB"/>
        </w:rPr>
        <w:t>, </w:t>
      </w:r>
      <w:r w:rsidRPr="00E01AB8">
        <w:rPr>
          <w:rFonts w:ascii="Arial" w:hAnsi="Arial" w:cs="Arial"/>
          <w:i/>
          <w:iCs/>
          <w:lang w:eastAsia="en-GB"/>
        </w:rPr>
        <w:t>55</w:t>
      </w:r>
      <w:r w:rsidRPr="00E01AB8">
        <w:rPr>
          <w:rFonts w:ascii="Arial" w:hAnsi="Arial" w:cs="Arial"/>
          <w:lang w:eastAsia="en-GB"/>
        </w:rPr>
        <w:t xml:space="preserve">(6), pp.1111-1128. </w:t>
      </w:r>
      <w:hyperlink r:id="rId12" w:history="1">
        <w:r w:rsidRPr="00E01AB8">
          <w:rPr>
            <w:rStyle w:val="Hyperlink"/>
            <w:rFonts w:ascii="Arial" w:hAnsi="Arial" w:cs="Arial"/>
            <w:lang w:eastAsia="en-GB"/>
          </w:rPr>
          <w:t>https://www.tandfonline.com/doi/abs/10.1080/00343404.2020.1863940</w:t>
        </w:r>
      </w:hyperlink>
    </w:p>
    <w:p w14:paraId="0112E3CB" w14:textId="650E5A40" w:rsidR="00674266" w:rsidRPr="00E01AB8" w:rsidRDefault="00674266" w:rsidP="00D445DC">
      <w:pPr>
        <w:jc w:val="both"/>
        <w:rPr>
          <w:rFonts w:ascii="Arial" w:hAnsi="Arial" w:cs="Arial"/>
          <w:lang w:eastAsia="en-GB"/>
        </w:rPr>
      </w:pPr>
      <w:r w:rsidRPr="00E01AB8">
        <w:rPr>
          <w:rFonts w:ascii="Arial" w:hAnsi="Arial" w:cs="Arial"/>
          <w:lang w:eastAsia="en-GB"/>
        </w:rPr>
        <w:t xml:space="preserve">El Mouloudi, M., </w:t>
      </w:r>
      <w:r w:rsidR="00B715FF" w:rsidRPr="00E01AB8">
        <w:rPr>
          <w:rFonts w:ascii="Arial" w:hAnsi="Arial" w:cs="Arial"/>
          <w:lang w:eastAsia="en-GB"/>
        </w:rPr>
        <w:t>(</w:t>
      </w:r>
      <w:r w:rsidRPr="00E01AB8">
        <w:rPr>
          <w:rFonts w:ascii="Arial" w:hAnsi="Arial" w:cs="Arial"/>
          <w:lang w:eastAsia="en-GB"/>
        </w:rPr>
        <w:t>2022</w:t>
      </w:r>
      <w:r w:rsidR="00B715FF" w:rsidRPr="00E01AB8">
        <w:rPr>
          <w:rFonts w:ascii="Arial" w:hAnsi="Arial" w:cs="Arial"/>
          <w:lang w:eastAsia="en-GB"/>
        </w:rPr>
        <w:t>)</w:t>
      </w:r>
      <w:r w:rsidRPr="00E01AB8">
        <w:rPr>
          <w:rFonts w:ascii="Arial" w:hAnsi="Arial" w:cs="Arial"/>
          <w:lang w:eastAsia="en-GB"/>
        </w:rPr>
        <w:t>. </w:t>
      </w:r>
      <w:r w:rsidRPr="00E01AB8">
        <w:rPr>
          <w:rFonts w:ascii="Arial" w:hAnsi="Arial" w:cs="Arial"/>
          <w:i/>
          <w:iCs/>
          <w:lang w:eastAsia="en-GB"/>
        </w:rPr>
        <w:t>Use of social media in crisis communication in the federal government during COVID-19 pandemic: Analysis of responses strategies</w:t>
      </w:r>
      <w:r w:rsidRPr="00E01AB8">
        <w:rPr>
          <w:rFonts w:ascii="Arial" w:hAnsi="Arial" w:cs="Arial"/>
          <w:lang w:eastAsia="en-GB"/>
        </w:rPr>
        <w:t xml:space="preserve"> (Doctoral dissertation, Université </w:t>
      </w:r>
      <w:proofErr w:type="spellStart"/>
      <w:r w:rsidRPr="00E01AB8">
        <w:rPr>
          <w:rFonts w:ascii="Arial" w:hAnsi="Arial" w:cs="Arial"/>
          <w:lang w:eastAsia="en-GB"/>
        </w:rPr>
        <w:t>d'Ottawa</w:t>
      </w:r>
      <w:proofErr w:type="spellEnd"/>
      <w:r w:rsidRPr="00E01AB8">
        <w:rPr>
          <w:rFonts w:ascii="Arial" w:hAnsi="Arial" w:cs="Arial"/>
          <w:lang w:eastAsia="en-GB"/>
        </w:rPr>
        <w:t xml:space="preserve">/University of Ottawa). </w:t>
      </w:r>
      <w:hyperlink r:id="rId13" w:history="1">
        <w:r w:rsidRPr="00E01AB8">
          <w:rPr>
            <w:rStyle w:val="Hyperlink"/>
            <w:rFonts w:ascii="Arial" w:hAnsi="Arial" w:cs="Arial"/>
            <w:lang w:eastAsia="en-GB"/>
          </w:rPr>
          <w:t>https://ruor.uottawa.ca/items/87113486-a26d-482c-a0e3-032fbfa23805</w:t>
        </w:r>
      </w:hyperlink>
    </w:p>
    <w:p w14:paraId="459889E0" w14:textId="5FA82486" w:rsidR="004A6955" w:rsidRPr="00E01AB8" w:rsidRDefault="004A6955" w:rsidP="00D445DC">
      <w:pPr>
        <w:jc w:val="both"/>
        <w:rPr>
          <w:rFonts w:ascii="Arial" w:hAnsi="Arial" w:cs="Arial"/>
          <w:lang w:eastAsia="en-GB"/>
        </w:rPr>
      </w:pPr>
      <w:r w:rsidRPr="00E01AB8">
        <w:rPr>
          <w:rFonts w:ascii="Arial" w:hAnsi="Arial" w:cs="Arial"/>
          <w:lang w:eastAsia="en-GB"/>
        </w:rPr>
        <w:t xml:space="preserve">Fitzpatrick, T., Camillo, C.A., Hillis, S., </w:t>
      </w:r>
      <w:proofErr w:type="spellStart"/>
      <w:r w:rsidRPr="00E01AB8">
        <w:rPr>
          <w:rFonts w:ascii="Arial" w:hAnsi="Arial" w:cs="Arial"/>
          <w:lang w:eastAsia="en-GB"/>
        </w:rPr>
        <w:t>Habbick</w:t>
      </w:r>
      <w:proofErr w:type="spellEnd"/>
      <w:r w:rsidRPr="00E01AB8">
        <w:rPr>
          <w:rFonts w:ascii="Arial" w:hAnsi="Arial" w:cs="Arial"/>
          <w:lang w:eastAsia="en-GB"/>
        </w:rPr>
        <w:t xml:space="preserve">, M., Mauer-Vakil, D., Roerig, M., Muhajarine, N. and Allin, S., </w:t>
      </w:r>
      <w:r w:rsidR="00B715FF" w:rsidRPr="00E01AB8">
        <w:rPr>
          <w:rFonts w:ascii="Arial" w:hAnsi="Arial" w:cs="Arial"/>
          <w:lang w:eastAsia="en-GB"/>
        </w:rPr>
        <w:t>(</w:t>
      </w:r>
      <w:r w:rsidRPr="00E01AB8">
        <w:rPr>
          <w:rFonts w:ascii="Arial" w:hAnsi="Arial" w:cs="Arial"/>
          <w:lang w:eastAsia="en-GB"/>
        </w:rPr>
        <w:t>2023</w:t>
      </w:r>
      <w:r w:rsidR="00B715FF" w:rsidRPr="00E01AB8">
        <w:rPr>
          <w:rFonts w:ascii="Arial" w:hAnsi="Arial" w:cs="Arial"/>
          <w:lang w:eastAsia="en-GB"/>
        </w:rPr>
        <w:t>)</w:t>
      </w:r>
      <w:r w:rsidRPr="00E01AB8">
        <w:rPr>
          <w:rFonts w:ascii="Arial" w:hAnsi="Arial" w:cs="Arial"/>
          <w:lang w:eastAsia="en-GB"/>
        </w:rPr>
        <w:t xml:space="preserve">. Comparison of COVID-19 vaccination rollout approaches across Canada: case studies of four diverse provinces. </w:t>
      </w:r>
      <w:hyperlink r:id="rId14" w:history="1">
        <w:r w:rsidRPr="00E01AB8">
          <w:rPr>
            <w:rStyle w:val="Hyperlink"/>
            <w:rFonts w:ascii="Arial" w:hAnsi="Arial" w:cs="Arial"/>
            <w:lang w:eastAsia="en-GB"/>
          </w:rPr>
          <w:t>https://uregina.scholaris.ca/items/c5039951-610a-4403-96ee-8280515276da</w:t>
        </w:r>
      </w:hyperlink>
    </w:p>
    <w:p w14:paraId="57A557E7" w14:textId="74B86654" w:rsidR="00F60A11" w:rsidRPr="00E01AB8" w:rsidRDefault="00F60A11" w:rsidP="00D445DC">
      <w:pPr>
        <w:jc w:val="both"/>
        <w:rPr>
          <w:rFonts w:ascii="Arial" w:hAnsi="Arial" w:cs="Arial"/>
          <w:lang w:eastAsia="en-GB"/>
        </w:rPr>
      </w:pPr>
      <w:proofErr w:type="spellStart"/>
      <w:r w:rsidRPr="00E01AB8">
        <w:rPr>
          <w:rFonts w:ascii="Arial" w:hAnsi="Arial" w:cs="Arial"/>
          <w:lang w:eastAsia="en-GB"/>
        </w:rPr>
        <w:t>Fuentenebro</w:t>
      </w:r>
      <w:proofErr w:type="spellEnd"/>
      <w:r w:rsidRPr="00E01AB8">
        <w:rPr>
          <w:rFonts w:ascii="Arial" w:hAnsi="Arial" w:cs="Arial"/>
          <w:lang w:eastAsia="en-GB"/>
        </w:rPr>
        <w:t xml:space="preserve">, P., </w:t>
      </w:r>
      <w:r w:rsidR="00B715FF" w:rsidRPr="00E01AB8">
        <w:rPr>
          <w:rFonts w:ascii="Arial" w:hAnsi="Arial" w:cs="Arial"/>
          <w:lang w:eastAsia="en-GB"/>
        </w:rPr>
        <w:t>(</w:t>
      </w:r>
      <w:r w:rsidRPr="00E01AB8">
        <w:rPr>
          <w:rFonts w:ascii="Arial" w:hAnsi="Arial" w:cs="Arial"/>
          <w:lang w:eastAsia="en-GB"/>
        </w:rPr>
        <w:t>2022</w:t>
      </w:r>
      <w:r w:rsidR="00B715FF" w:rsidRPr="00E01AB8">
        <w:rPr>
          <w:rFonts w:ascii="Arial" w:hAnsi="Arial" w:cs="Arial"/>
          <w:lang w:eastAsia="en-GB"/>
        </w:rPr>
        <w:t>)</w:t>
      </w:r>
      <w:r w:rsidRPr="00E01AB8">
        <w:rPr>
          <w:rFonts w:ascii="Arial" w:hAnsi="Arial" w:cs="Arial"/>
          <w:lang w:eastAsia="en-GB"/>
        </w:rPr>
        <w:t>. Co-governance à la carte: The Covid-19 crisis and the failure of urban governance in Spain. </w:t>
      </w:r>
      <w:r w:rsidRPr="00E01AB8">
        <w:rPr>
          <w:rFonts w:ascii="Arial" w:hAnsi="Arial" w:cs="Arial"/>
          <w:i/>
          <w:iCs/>
          <w:lang w:eastAsia="en-GB"/>
        </w:rPr>
        <w:t>Territory, Politics, Governance</w:t>
      </w:r>
      <w:r w:rsidRPr="00E01AB8">
        <w:rPr>
          <w:rFonts w:ascii="Arial" w:hAnsi="Arial" w:cs="Arial"/>
          <w:lang w:eastAsia="en-GB"/>
        </w:rPr>
        <w:t>, </w:t>
      </w:r>
      <w:r w:rsidRPr="00E01AB8">
        <w:rPr>
          <w:rFonts w:ascii="Arial" w:hAnsi="Arial" w:cs="Arial"/>
          <w:i/>
          <w:iCs/>
          <w:lang w:eastAsia="en-GB"/>
        </w:rPr>
        <w:t>10</w:t>
      </w:r>
      <w:r w:rsidRPr="00E01AB8">
        <w:rPr>
          <w:rFonts w:ascii="Arial" w:hAnsi="Arial" w:cs="Arial"/>
          <w:lang w:eastAsia="en-GB"/>
        </w:rPr>
        <w:t xml:space="preserve">(6), pp.817-836. </w:t>
      </w:r>
      <w:hyperlink r:id="rId15" w:history="1">
        <w:r w:rsidRPr="00E01AB8">
          <w:rPr>
            <w:rStyle w:val="Hyperlink"/>
            <w:rFonts w:ascii="Arial" w:hAnsi="Arial" w:cs="Arial"/>
            <w:lang w:eastAsia="en-GB"/>
          </w:rPr>
          <w:t>https://www.tandfonline.com/doi/abs/10.1080/21622671.2022.2118823</w:t>
        </w:r>
      </w:hyperlink>
    </w:p>
    <w:p w14:paraId="23D4F22C" w14:textId="1FD9CF18" w:rsidR="009B4AC4" w:rsidRPr="00E01AB8" w:rsidRDefault="009B4AC4" w:rsidP="00D445DC">
      <w:pPr>
        <w:jc w:val="both"/>
        <w:rPr>
          <w:rFonts w:ascii="Arial" w:hAnsi="Arial" w:cs="Arial"/>
          <w:lang w:eastAsia="en-GB"/>
        </w:rPr>
      </w:pPr>
      <w:r w:rsidRPr="00E01AB8">
        <w:rPr>
          <w:rFonts w:ascii="Arial" w:hAnsi="Arial" w:cs="Arial"/>
          <w:lang w:eastAsia="en-GB"/>
        </w:rPr>
        <w:t xml:space="preserve">Galindo </w:t>
      </w:r>
      <w:proofErr w:type="spellStart"/>
      <w:r w:rsidRPr="00E01AB8">
        <w:rPr>
          <w:rFonts w:ascii="Arial" w:hAnsi="Arial" w:cs="Arial"/>
          <w:lang w:eastAsia="en-GB"/>
        </w:rPr>
        <w:t>Caldés</w:t>
      </w:r>
      <w:proofErr w:type="spellEnd"/>
      <w:r w:rsidRPr="00E01AB8">
        <w:rPr>
          <w:rFonts w:ascii="Arial" w:hAnsi="Arial" w:cs="Arial"/>
          <w:lang w:eastAsia="en-GB"/>
        </w:rPr>
        <w:t xml:space="preserve">, R., Tort </w:t>
      </w:r>
      <w:proofErr w:type="spellStart"/>
      <w:r w:rsidRPr="00E01AB8">
        <w:rPr>
          <w:rFonts w:ascii="Arial" w:hAnsi="Arial" w:cs="Arial"/>
          <w:lang w:eastAsia="en-GB"/>
        </w:rPr>
        <w:t>Donada</w:t>
      </w:r>
      <w:proofErr w:type="spellEnd"/>
      <w:r w:rsidRPr="00E01AB8">
        <w:rPr>
          <w:rFonts w:ascii="Arial" w:hAnsi="Arial" w:cs="Arial"/>
          <w:lang w:eastAsia="en-GB"/>
        </w:rPr>
        <w:t xml:space="preserve">, J. and </w:t>
      </w:r>
      <w:proofErr w:type="spellStart"/>
      <w:r w:rsidRPr="00E01AB8">
        <w:rPr>
          <w:rFonts w:ascii="Arial" w:hAnsi="Arial" w:cs="Arial"/>
          <w:lang w:eastAsia="en-GB"/>
        </w:rPr>
        <w:t>Santasusagna</w:t>
      </w:r>
      <w:proofErr w:type="spellEnd"/>
      <w:r w:rsidRPr="00E01AB8">
        <w:rPr>
          <w:rFonts w:ascii="Arial" w:hAnsi="Arial" w:cs="Arial"/>
          <w:lang w:eastAsia="en-GB"/>
        </w:rPr>
        <w:t xml:space="preserve"> Riu, A., </w:t>
      </w:r>
      <w:r w:rsidR="00B715FF" w:rsidRPr="00E01AB8">
        <w:rPr>
          <w:rFonts w:ascii="Arial" w:hAnsi="Arial" w:cs="Arial"/>
          <w:lang w:eastAsia="en-GB"/>
        </w:rPr>
        <w:t>(</w:t>
      </w:r>
      <w:r w:rsidRPr="00E01AB8">
        <w:rPr>
          <w:rFonts w:ascii="Arial" w:hAnsi="Arial" w:cs="Arial"/>
          <w:lang w:eastAsia="en-GB"/>
        </w:rPr>
        <w:t>2022</w:t>
      </w:r>
      <w:r w:rsidR="00B715FF" w:rsidRPr="00E01AB8">
        <w:rPr>
          <w:rFonts w:ascii="Arial" w:hAnsi="Arial" w:cs="Arial"/>
          <w:lang w:eastAsia="en-GB"/>
        </w:rPr>
        <w:t>)</w:t>
      </w:r>
      <w:r w:rsidRPr="00E01AB8">
        <w:rPr>
          <w:rFonts w:ascii="Arial" w:hAnsi="Arial" w:cs="Arial"/>
          <w:lang w:eastAsia="en-GB"/>
        </w:rPr>
        <w:t>. Administrative boundaries and Covid-19: the case of Catalonia, Spain. In </w:t>
      </w:r>
      <w:r w:rsidRPr="00E01AB8">
        <w:rPr>
          <w:rFonts w:ascii="Arial" w:hAnsi="Arial" w:cs="Arial"/>
          <w:i/>
          <w:iCs/>
          <w:lang w:eastAsia="en-GB"/>
        </w:rPr>
        <w:t>Local government and the Covid-19 pandemic: A global perspective</w:t>
      </w:r>
      <w:r w:rsidRPr="00E01AB8">
        <w:rPr>
          <w:rFonts w:ascii="Arial" w:hAnsi="Arial" w:cs="Arial"/>
          <w:lang w:eastAsia="en-GB"/>
        </w:rPr>
        <w:t xml:space="preserve"> (pp. 247-275). Cham: Springer International Publishing. </w:t>
      </w:r>
      <w:hyperlink r:id="rId16" w:history="1">
        <w:r w:rsidRPr="00E01AB8">
          <w:rPr>
            <w:rStyle w:val="Hyperlink"/>
            <w:rFonts w:ascii="Arial" w:hAnsi="Arial" w:cs="Arial"/>
            <w:lang w:eastAsia="en-GB"/>
          </w:rPr>
          <w:t>https://link.springer.com/chapter/10.1007/978-3-030-91112-6_10</w:t>
        </w:r>
      </w:hyperlink>
    </w:p>
    <w:p w14:paraId="6A8CC873" w14:textId="211219CE" w:rsidR="00146B08" w:rsidRPr="00E01AB8" w:rsidRDefault="00146B08" w:rsidP="00D445DC">
      <w:pPr>
        <w:jc w:val="both"/>
        <w:rPr>
          <w:rFonts w:ascii="Arial" w:hAnsi="Arial" w:cs="Arial"/>
          <w:lang w:eastAsia="en-GB"/>
        </w:rPr>
      </w:pPr>
      <w:r w:rsidRPr="00E01AB8">
        <w:rPr>
          <w:rFonts w:ascii="Arial" w:hAnsi="Arial" w:cs="Arial"/>
          <w:lang w:eastAsia="en-GB"/>
        </w:rPr>
        <w:t xml:space="preserve">Haldane, V., De Foo, C., Abdalla, S.M., Jung, A.S., Tan, M., Wu, S., Chua, A., Verma, M., Shrestha, P., Singh, S. and Perez, T., </w:t>
      </w:r>
      <w:r w:rsidR="00B715FF" w:rsidRPr="00E01AB8">
        <w:rPr>
          <w:rFonts w:ascii="Arial" w:hAnsi="Arial" w:cs="Arial"/>
          <w:lang w:eastAsia="en-GB"/>
        </w:rPr>
        <w:t>(</w:t>
      </w:r>
      <w:r w:rsidRPr="00E01AB8">
        <w:rPr>
          <w:rFonts w:ascii="Arial" w:hAnsi="Arial" w:cs="Arial"/>
          <w:lang w:eastAsia="en-GB"/>
        </w:rPr>
        <w:t>2021</w:t>
      </w:r>
      <w:r w:rsidR="00B715FF" w:rsidRPr="00E01AB8">
        <w:rPr>
          <w:rFonts w:ascii="Arial" w:hAnsi="Arial" w:cs="Arial"/>
          <w:lang w:eastAsia="en-GB"/>
        </w:rPr>
        <w:t>)</w:t>
      </w:r>
      <w:r w:rsidRPr="00E01AB8">
        <w:rPr>
          <w:rFonts w:ascii="Arial" w:hAnsi="Arial" w:cs="Arial"/>
          <w:lang w:eastAsia="en-GB"/>
        </w:rPr>
        <w:t>. Health systems resilience in managing the COVID-19 pandemic: lessons from 28 countries. </w:t>
      </w:r>
      <w:r w:rsidRPr="00E01AB8">
        <w:rPr>
          <w:rFonts w:ascii="Arial" w:hAnsi="Arial" w:cs="Arial"/>
          <w:i/>
          <w:iCs/>
          <w:lang w:eastAsia="en-GB"/>
        </w:rPr>
        <w:t>Nature medicine</w:t>
      </w:r>
      <w:r w:rsidRPr="00E01AB8">
        <w:rPr>
          <w:rFonts w:ascii="Arial" w:hAnsi="Arial" w:cs="Arial"/>
          <w:lang w:eastAsia="en-GB"/>
        </w:rPr>
        <w:t>, </w:t>
      </w:r>
      <w:r w:rsidRPr="00E01AB8">
        <w:rPr>
          <w:rFonts w:ascii="Arial" w:hAnsi="Arial" w:cs="Arial"/>
          <w:i/>
          <w:iCs/>
          <w:lang w:eastAsia="en-GB"/>
        </w:rPr>
        <w:t>27</w:t>
      </w:r>
      <w:r w:rsidRPr="00E01AB8">
        <w:rPr>
          <w:rFonts w:ascii="Arial" w:hAnsi="Arial" w:cs="Arial"/>
          <w:lang w:eastAsia="en-GB"/>
        </w:rPr>
        <w:t xml:space="preserve">(6), pp.964-980. </w:t>
      </w:r>
      <w:hyperlink r:id="rId17" w:history="1">
        <w:r w:rsidRPr="00E01AB8">
          <w:rPr>
            <w:rStyle w:val="Hyperlink"/>
            <w:rFonts w:ascii="Arial" w:hAnsi="Arial" w:cs="Arial"/>
            <w:lang w:eastAsia="en-GB"/>
          </w:rPr>
          <w:t>https://www.nature.com/articles/s41591-021-01381-y</w:t>
        </w:r>
      </w:hyperlink>
    </w:p>
    <w:p w14:paraId="26A4352E" w14:textId="6FCD07FF" w:rsidR="00BA6894" w:rsidRPr="00E01AB8" w:rsidRDefault="00BA6894" w:rsidP="00D445DC">
      <w:pPr>
        <w:jc w:val="both"/>
        <w:rPr>
          <w:rFonts w:ascii="Arial" w:hAnsi="Arial" w:cs="Arial"/>
          <w:lang w:eastAsia="en-GB"/>
        </w:rPr>
      </w:pPr>
      <w:r w:rsidRPr="00E01AB8">
        <w:rPr>
          <w:rFonts w:ascii="Arial" w:hAnsi="Arial" w:cs="Arial"/>
          <w:lang w:eastAsia="en-GB"/>
        </w:rPr>
        <w:t xml:space="preserve">Haapala, T., </w:t>
      </w:r>
      <w:r w:rsidR="00B715FF" w:rsidRPr="00E01AB8">
        <w:rPr>
          <w:rFonts w:ascii="Arial" w:hAnsi="Arial" w:cs="Arial"/>
          <w:lang w:eastAsia="en-GB"/>
        </w:rPr>
        <w:t>(</w:t>
      </w:r>
      <w:r w:rsidRPr="00E01AB8">
        <w:rPr>
          <w:rFonts w:ascii="Arial" w:hAnsi="Arial" w:cs="Arial"/>
          <w:lang w:eastAsia="en-GB"/>
        </w:rPr>
        <w:t>2024</w:t>
      </w:r>
      <w:r w:rsidR="00B715FF" w:rsidRPr="00E01AB8">
        <w:rPr>
          <w:rFonts w:ascii="Arial" w:hAnsi="Arial" w:cs="Arial"/>
          <w:lang w:eastAsia="en-GB"/>
        </w:rPr>
        <w:t>)</w:t>
      </w:r>
      <w:r w:rsidRPr="00E01AB8">
        <w:rPr>
          <w:rFonts w:ascii="Arial" w:hAnsi="Arial" w:cs="Arial"/>
          <w:lang w:eastAsia="en-GB"/>
        </w:rPr>
        <w:t>. Politicising the Pandemic Recovery? Opposition Strategies against the Spanish Government’s COVID-19 Measures. </w:t>
      </w:r>
      <w:r w:rsidRPr="00E01AB8">
        <w:rPr>
          <w:rFonts w:ascii="Arial" w:hAnsi="Arial" w:cs="Arial"/>
          <w:i/>
          <w:iCs/>
          <w:lang w:eastAsia="en-GB"/>
        </w:rPr>
        <w:t>Redescriptions: Political Thought, Conceptual History and Feminist Theory</w:t>
      </w:r>
      <w:r w:rsidRPr="00E01AB8">
        <w:rPr>
          <w:rFonts w:ascii="Arial" w:hAnsi="Arial" w:cs="Arial"/>
          <w:lang w:eastAsia="en-GB"/>
        </w:rPr>
        <w:t>, </w:t>
      </w:r>
      <w:r w:rsidRPr="00E01AB8">
        <w:rPr>
          <w:rFonts w:ascii="Arial" w:hAnsi="Arial" w:cs="Arial"/>
          <w:i/>
          <w:iCs/>
          <w:lang w:eastAsia="en-GB"/>
        </w:rPr>
        <w:t>27</w:t>
      </w:r>
      <w:r w:rsidRPr="00E01AB8">
        <w:rPr>
          <w:rFonts w:ascii="Arial" w:hAnsi="Arial" w:cs="Arial"/>
          <w:lang w:eastAsia="en-GB"/>
        </w:rPr>
        <w:t xml:space="preserve">(1). </w:t>
      </w:r>
      <w:hyperlink r:id="rId18" w:history="1">
        <w:r w:rsidRPr="00E01AB8">
          <w:rPr>
            <w:rStyle w:val="Hyperlink"/>
            <w:rFonts w:ascii="Arial" w:hAnsi="Arial" w:cs="Arial"/>
            <w:lang w:eastAsia="en-GB"/>
          </w:rPr>
          <w:t>https://journal-redescriptions.org/articles/10.33134/rds.427?_rsc=ltuy6</w:t>
        </w:r>
      </w:hyperlink>
    </w:p>
    <w:p w14:paraId="1C07D58F" w14:textId="7572AC8A" w:rsidR="00DC624D" w:rsidRPr="00E01AB8" w:rsidRDefault="00DC624D" w:rsidP="00D445DC">
      <w:pPr>
        <w:jc w:val="both"/>
        <w:rPr>
          <w:rFonts w:ascii="Arial" w:hAnsi="Arial" w:cs="Arial"/>
          <w:lang w:eastAsia="en-GB"/>
        </w:rPr>
      </w:pPr>
      <w:r w:rsidRPr="00E01AB8">
        <w:rPr>
          <w:rFonts w:ascii="Arial" w:hAnsi="Arial" w:cs="Arial"/>
          <w:lang w:eastAsia="en-GB"/>
        </w:rPr>
        <w:t xml:space="preserve">Hernández-Moreno, J. and </w:t>
      </w:r>
      <w:proofErr w:type="spellStart"/>
      <w:r w:rsidRPr="00E01AB8">
        <w:rPr>
          <w:rFonts w:ascii="Arial" w:hAnsi="Arial" w:cs="Arial"/>
          <w:lang w:eastAsia="en-GB"/>
        </w:rPr>
        <w:t>Harguindéguy</w:t>
      </w:r>
      <w:proofErr w:type="spellEnd"/>
      <w:r w:rsidRPr="00E01AB8">
        <w:rPr>
          <w:rFonts w:ascii="Arial" w:hAnsi="Arial" w:cs="Arial"/>
          <w:lang w:eastAsia="en-GB"/>
        </w:rPr>
        <w:t xml:space="preserve">, J.B., </w:t>
      </w:r>
      <w:r w:rsidR="00B715FF" w:rsidRPr="00E01AB8">
        <w:rPr>
          <w:rFonts w:ascii="Arial" w:hAnsi="Arial" w:cs="Arial"/>
          <w:lang w:eastAsia="en-GB"/>
        </w:rPr>
        <w:t>(</w:t>
      </w:r>
      <w:r w:rsidRPr="00E01AB8">
        <w:rPr>
          <w:rFonts w:ascii="Arial" w:hAnsi="Arial" w:cs="Arial"/>
          <w:lang w:eastAsia="en-GB"/>
        </w:rPr>
        <w:t>2024</w:t>
      </w:r>
      <w:r w:rsidR="00B715FF" w:rsidRPr="00E01AB8">
        <w:rPr>
          <w:rFonts w:ascii="Arial" w:hAnsi="Arial" w:cs="Arial"/>
          <w:lang w:eastAsia="en-GB"/>
        </w:rPr>
        <w:t>)</w:t>
      </w:r>
      <w:r w:rsidRPr="00E01AB8">
        <w:rPr>
          <w:rFonts w:ascii="Arial" w:hAnsi="Arial" w:cs="Arial"/>
          <w:lang w:eastAsia="en-GB"/>
        </w:rPr>
        <w:t xml:space="preserve">. COVID-19 and territorial politics: towards a redefinition of Spanish intergovernmental </w:t>
      </w:r>
      <w:proofErr w:type="gramStart"/>
      <w:r w:rsidRPr="00E01AB8">
        <w:rPr>
          <w:rFonts w:ascii="Arial" w:hAnsi="Arial" w:cs="Arial"/>
          <w:lang w:eastAsia="en-GB"/>
        </w:rPr>
        <w:t>relations?.</w:t>
      </w:r>
      <w:proofErr w:type="gramEnd"/>
      <w:r w:rsidRPr="00E01AB8">
        <w:rPr>
          <w:rFonts w:ascii="Arial" w:hAnsi="Arial" w:cs="Arial"/>
          <w:lang w:eastAsia="en-GB"/>
        </w:rPr>
        <w:t> </w:t>
      </w:r>
      <w:r w:rsidRPr="00E01AB8">
        <w:rPr>
          <w:rFonts w:ascii="Arial" w:hAnsi="Arial" w:cs="Arial"/>
          <w:i/>
          <w:iCs/>
          <w:lang w:eastAsia="en-GB"/>
        </w:rPr>
        <w:t xml:space="preserve">Regional </w:t>
      </w:r>
      <w:r w:rsidRPr="00E01AB8">
        <w:rPr>
          <w:rFonts w:ascii="Arial" w:hAnsi="Arial" w:cs="Arial"/>
          <w:i/>
          <w:iCs/>
          <w:lang w:eastAsia="en-GB"/>
        </w:rPr>
        <w:lastRenderedPageBreak/>
        <w:t>Studies, Regional Science</w:t>
      </w:r>
      <w:r w:rsidRPr="00E01AB8">
        <w:rPr>
          <w:rFonts w:ascii="Arial" w:hAnsi="Arial" w:cs="Arial"/>
          <w:lang w:eastAsia="en-GB"/>
        </w:rPr>
        <w:t>, </w:t>
      </w:r>
      <w:r w:rsidRPr="00E01AB8">
        <w:rPr>
          <w:rFonts w:ascii="Arial" w:hAnsi="Arial" w:cs="Arial"/>
          <w:i/>
          <w:iCs/>
          <w:lang w:eastAsia="en-GB"/>
        </w:rPr>
        <w:t>11</w:t>
      </w:r>
      <w:r w:rsidRPr="00E01AB8">
        <w:rPr>
          <w:rFonts w:ascii="Arial" w:hAnsi="Arial" w:cs="Arial"/>
          <w:lang w:eastAsia="en-GB"/>
        </w:rPr>
        <w:t xml:space="preserve">(1), pp.387-405. </w:t>
      </w:r>
      <w:hyperlink r:id="rId19" w:history="1">
        <w:r w:rsidRPr="00E01AB8">
          <w:rPr>
            <w:rStyle w:val="Hyperlink"/>
            <w:rFonts w:ascii="Arial" w:hAnsi="Arial" w:cs="Arial"/>
            <w:lang w:eastAsia="en-GB"/>
          </w:rPr>
          <w:t>https://www.tandfonline.com/doi/abs/10.1080/21681376.2024.2370420</w:t>
        </w:r>
      </w:hyperlink>
    </w:p>
    <w:p w14:paraId="35B8AF31" w14:textId="29969DEB" w:rsidR="00C70520" w:rsidRPr="00E01AB8" w:rsidRDefault="00C70520" w:rsidP="00D445DC">
      <w:pPr>
        <w:jc w:val="both"/>
        <w:rPr>
          <w:rFonts w:ascii="Arial" w:hAnsi="Arial" w:cs="Arial"/>
          <w:lang w:eastAsia="en-GB"/>
        </w:rPr>
      </w:pPr>
      <w:r w:rsidRPr="00E01AB8">
        <w:rPr>
          <w:rFonts w:ascii="Arial" w:hAnsi="Arial" w:cs="Arial"/>
          <w:lang w:eastAsia="en-GB"/>
        </w:rPr>
        <w:t xml:space="preserve">Jung, K., </w:t>
      </w:r>
      <w:r w:rsidR="00B715FF" w:rsidRPr="00E01AB8">
        <w:rPr>
          <w:rFonts w:ascii="Arial" w:hAnsi="Arial" w:cs="Arial"/>
          <w:lang w:eastAsia="en-GB"/>
        </w:rPr>
        <w:t>(</w:t>
      </w:r>
      <w:r w:rsidRPr="00E01AB8">
        <w:rPr>
          <w:rFonts w:ascii="Arial" w:hAnsi="Arial" w:cs="Arial"/>
          <w:lang w:eastAsia="en-GB"/>
        </w:rPr>
        <w:t>2022</w:t>
      </w:r>
      <w:r w:rsidR="00B715FF" w:rsidRPr="00E01AB8">
        <w:rPr>
          <w:rFonts w:ascii="Arial" w:hAnsi="Arial" w:cs="Arial"/>
          <w:lang w:eastAsia="en-GB"/>
        </w:rPr>
        <w:t>)</w:t>
      </w:r>
      <w:r w:rsidRPr="00E01AB8">
        <w:rPr>
          <w:rFonts w:ascii="Arial" w:hAnsi="Arial" w:cs="Arial"/>
          <w:lang w:eastAsia="en-GB"/>
        </w:rPr>
        <w:t>. Effective management of the rapid spread of the COVID-19 virus in South Korea: Social and institutional learning from MERS. </w:t>
      </w:r>
      <w:r w:rsidRPr="00E01AB8">
        <w:rPr>
          <w:rFonts w:ascii="Arial" w:hAnsi="Arial" w:cs="Arial"/>
          <w:i/>
          <w:iCs/>
          <w:lang w:eastAsia="en-GB"/>
        </w:rPr>
        <w:t>Public Administration Quarterly</w:t>
      </w:r>
      <w:r w:rsidRPr="00E01AB8">
        <w:rPr>
          <w:rFonts w:ascii="Arial" w:hAnsi="Arial" w:cs="Arial"/>
          <w:lang w:eastAsia="en-GB"/>
        </w:rPr>
        <w:t>, </w:t>
      </w:r>
      <w:r w:rsidRPr="00E01AB8">
        <w:rPr>
          <w:rFonts w:ascii="Arial" w:hAnsi="Arial" w:cs="Arial"/>
          <w:i/>
          <w:iCs/>
          <w:lang w:eastAsia="en-GB"/>
        </w:rPr>
        <w:t>46</w:t>
      </w:r>
      <w:r w:rsidRPr="00E01AB8">
        <w:rPr>
          <w:rFonts w:ascii="Arial" w:hAnsi="Arial" w:cs="Arial"/>
          <w:lang w:eastAsia="en-GB"/>
        </w:rPr>
        <w:t xml:space="preserve">(4), pp.384-405. </w:t>
      </w:r>
      <w:hyperlink r:id="rId20" w:history="1">
        <w:r w:rsidRPr="00E01AB8">
          <w:rPr>
            <w:rStyle w:val="Hyperlink"/>
            <w:rFonts w:ascii="Arial" w:hAnsi="Arial" w:cs="Arial"/>
            <w:lang w:eastAsia="en-GB"/>
          </w:rPr>
          <w:t>https://journals.sagepub.com/doi/abs/10.37808/paq.46.4.5</w:t>
        </w:r>
      </w:hyperlink>
    </w:p>
    <w:p w14:paraId="5C72A00E" w14:textId="1A7D7851" w:rsidR="009E0749" w:rsidRPr="00E01AB8" w:rsidRDefault="009E0749" w:rsidP="00D445DC">
      <w:pPr>
        <w:jc w:val="both"/>
        <w:rPr>
          <w:rFonts w:ascii="Arial" w:hAnsi="Arial" w:cs="Arial"/>
          <w:lang w:eastAsia="en-GB"/>
        </w:rPr>
      </w:pPr>
      <w:r w:rsidRPr="00E01AB8">
        <w:rPr>
          <w:rFonts w:ascii="Arial" w:hAnsi="Arial" w:cs="Arial"/>
          <w:lang w:eastAsia="en-GB"/>
        </w:rPr>
        <w:t xml:space="preserve">Kara, M., </w:t>
      </w:r>
      <w:r w:rsidR="00B715FF" w:rsidRPr="00E01AB8">
        <w:rPr>
          <w:rFonts w:ascii="Arial" w:hAnsi="Arial" w:cs="Arial"/>
          <w:lang w:eastAsia="en-GB"/>
        </w:rPr>
        <w:t>(</w:t>
      </w:r>
      <w:r w:rsidRPr="00E01AB8">
        <w:rPr>
          <w:rFonts w:ascii="Arial" w:hAnsi="Arial" w:cs="Arial"/>
          <w:lang w:eastAsia="en-GB"/>
        </w:rPr>
        <w:t>2025</w:t>
      </w:r>
      <w:r w:rsidR="00B715FF" w:rsidRPr="00E01AB8">
        <w:rPr>
          <w:rFonts w:ascii="Arial" w:hAnsi="Arial" w:cs="Arial"/>
          <w:lang w:eastAsia="en-GB"/>
        </w:rPr>
        <w:t>)</w:t>
      </w:r>
      <w:r w:rsidRPr="00E01AB8">
        <w:rPr>
          <w:rFonts w:ascii="Arial" w:hAnsi="Arial" w:cs="Arial"/>
          <w:lang w:eastAsia="en-GB"/>
        </w:rPr>
        <w:t>. To Hedge or Not to Hedge: South Korea’s Dilemma in Great Power Competition. </w:t>
      </w:r>
      <w:r w:rsidRPr="00E01AB8">
        <w:rPr>
          <w:rFonts w:ascii="Arial" w:hAnsi="Arial" w:cs="Arial"/>
          <w:i/>
          <w:iCs/>
          <w:lang w:eastAsia="en-GB"/>
        </w:rPr>
        <w:t>Asian Survey</w:t>
      </w:r>
      <w:r w:rsidRPr="00E01AB8">
        <w:rPr>
          <w:rFonts w:ascii="Arial" w:hAnsi="Arial" w:cs="Arial"/>
          <w:lang w:eastAsia="en-GB"/>
        </w:rPr>
        <w:t xml:space="preserve">, pp.1-36. </w:t>
      </w:r>
      <w:hyperlink r:id="rId21" w:history="1">
        <w:r w:rsidRPr="00E01AB8">
          <w:rPr>
            <w:rStyle w:val="Hyperlink"/>
            <w:rFonts w:ascii="Arial" w:hAnsi="Arial" w:cs="Arial"/>
            <w:lang w:eastAsia="en-GB"/>
          </w:rPr>
          <w:t>https://online.ucpress.edu/as/article/doi/10.1525/as.2025.2681731/212309</w:t>
        </w:r>
      </w:hyperlink>
    </w:p>
    <w:p w14:paraId="6164B337" w14:textId="1C0E2352" w:rsidR="007A3A7B" w:rsidRPr="00E01AB8" w:rsidRDefault="007A3A7B" w:rsidP="00D445DC">
      <w:pPr>
        <w:jc w:val="both"/>
        <w:rPr>
          <w:rFonts w:ascii="Arial" w:hAnsi="Arial" w:cs="Arial"/>
          <w:lang w:eastAsia="en-GB"/>
        </w:rPr>
      </w:pPr>
      <w:r w:rsidRPr="00E01AB8">
        <w:rPr>
          <w:rFonts w:ascii="Arial" w:hAnsi="Arial" w:cs="Arial"/>
          <w:lang w:eastAsia="en-GB"/>
        </w:rPr>
        <w:t xml:space="preserve">Kim, Y.K., Poncelet, J.L., Min, G., Lee, J. and Yang, Y., </w:t>
      </w:r>
      <w:r w:rsidR="00B715FF" w:rsidRPr="00E01AB8">
        <w:rPr>
          <w:rFonts w:ascii="Arial" w:hAnsi="Arial" w:cs="Arial"/>
          <w:lang w:eastAsia="en-GB"/>
        </w:rPr>
        <w:t>(</w:t>
      </w:r>
      <w:r w:rsidRPr="00E01AB8">
        <w:rPr>
          <w:rFonts w:ascii="Arial" w:hAnsi="Arial" w:cs="Arial"/>
          <w:lang w:eastAsia="en-GB"/>
        </w:rPr>
        <w:t>2021</w:t>
      </w:r>
      <w:r w:rsidR="00B715FF" w:rsidRPr="00E01AB8">
        <w:rPr>
          <w:rFonts w:ascii="Arial" w:hAnsi="Arial" w:cs="Arial"/>
          <w:lang w:eastAsia="en-GB"/>
        </w:rPr>
        <w:t>)</w:t>
      </w:r>
      <w:r w:rsidRPr="00E01AB8">
        <w:rPr>
          <w:rFonts w:ascii="Arial" w:hAnsi="Arial" w:cs="Arial"/>
          <w:lang w:eastAsia="en-GB"/>
        </w:rPr>
        <w:t>. COVID-19: systemic risk and response management in the Republic of Korea. </w:t>
      </w:r>
      <w:r w:rsidRPr="00E01AB8">
        <w:rPr>
          <w:rFonts w:ascii="Arial" w:hAnsi="Arial" w:cs="Arial"/>
          <w:i/>
          <w:iCs/>
          <w:lang w:eastAsia="en-GB"/>
        </w:rPr>
        <w:t>Progress in Disaster Science</w:t>
      </w:r>
      <w:r w:rsidRPr="00E01AB8">
        <w:rPr>
          <w:rFonts w:ascii="Arial" w:hAnsi="Arial" w:cs="Arial"/>
          <w:lang w:eastAsia="en-GB"/>
        </w:rPr>
        <w:t>, </w:t>
      </w:r>
      <w:r w:rsidRPr="00E01AB8">
        <w:rPr>
          <w:rFonts w:ascii="Arial" w:hAnsi="Arial" w:cs="Arial"/>
          <w:i/>
          <w:iCs/>
          <w:lang w:eastAsia="en-GB"/>
        </w:rPr>
        <w:t>12</w:t>
      </w:r>
      <w:r w:rsidRPr="00E01AB8">
        <w:rPr>
          <w:rFonts w:ascii="Arial" w:hAnsi="Arial" w:cs="Arial"/>
          <w:lang w:eastAsia="en-GB"/>
        </w:rPr>
        <w:t xml:space="preserve">, p.100200. </w:t>
      </w:r>
      <w:hyperlink r:id="rId22" w:history="1">
        <w:r w:rsidRPr="00E01AB8">
          <w:rPr>
            <w:rStyle w:val="Hyperlink"/>
            <w:rFonts w:ascii="Arial" w:hAnsi="Arial" w:cs="Arial"/>
            <w:lang w:eastAsia="en-GB"/>
          </w:rPr>
          <w:t>https://www.sciencedirect.com/science/article/pii/S2590061721000600</w:t>
        </w:r>
      </w:hyperlink>
    </w:p>
    <w:p w14:paraId="541832D1" w14:textId="3FA8E3D8" w:rsidR="00184217" w:rsidRPr="00E01AB8" w:rsidRDefault="00184217" w:rsidP="00D445DC">
      <w:pPr>
        <w:jc w:val="both"/>
        <w:rPr>
          <w:rFonts w:ascii="Arial" w:hAnsi="Arial" w:cs="Arial"/>
          <w:lang w:eastAsia="en-GB"/>
        </w:rPr>
      </w:pPr>
      <w:r w:rsidRPr="00E01AB8">
        <w:rPr>
          <w:rFonts w:ascii="Arial" w:hAnsi="Arial" w:cs="Arial"/>
          <w:lang w:eastAsia="en-GB"/>
        </w:rPr>
        <w:t xml:space="preserve">Kumar, R., </w:t>
      </w:r>
      <w:r w:rsidR="00B715FF" w:rsidRPr="00E01AB8">
        <w:rPr>
          <w:rFonts w:ascii="Arial" w:hAnsi="Arial" w:cs="Arial"/>
          <w:lang w:eastAsia="en-GB"/>
        </w:rPr>
        <w:t>(</w:t>
      </w:r>
      <w:r w:rsidRPr="00E01AB8">
        <w:rPr>
          <w:rFonts w:ascii="Arial" w:hAnsi="Arial" w:cs="Arial"/>
          <w:lang w:eastAsia="en-GB"/>
        </w:rPr>
        <w:t>2023</w:t>
      </w:r>
      <w:r w:rsidR="00B715FF" w:rsidRPr="00E01AB8">
        <w:rPr>
          <w:rFonts w:ascii="Arial" w:hAnsi="Arial" w:cs="Arial"/>
          <w:lang w:eastAsia="en-GB"/>
        </w:rPr>
        <w:t>)</w:t>
      </w:r>
      <w:r w:rsidRPr="00E01AB8">
        <w:rPr>
          <w:rFonts w:ascii="Arial" w:hAnsi="Arial" w:cs="Arial"/>
          <w:lang w:eastAsia="en-GB"/>
        </w:rPr>
        <w:t>. Taking the developmental state seriously: Why South Korea outperformed neoliberal regulatory states in rapid coronavirus disease 2019 vaccinations and saving lives. </w:t>
      </w:r>
      <w:r w:rsidRPr="00E01AB8">
        <w:rPr>
          <w:rFonts w:ascii="Arial" w:hAnsi="Arial" w:cs="Arial"/>
          <w:i/>
          <w:iCs/>
          <w:lang w:eastAsia="en-GB"/>
        </w:rPr>
        <w:t>International Area Studies Review</w:t>
      </w:r>
      <w:r w:rsidRPr="00E01AB8">
        <w:rPr>
          <w:rFonts w:ascii="Arial" w:hAnsi="Arial" w:cs="Arial"/>
          <w:lang w:eastAsia="en-GB"/>
        </w:rPr>
        <w:t>, </w:t>
      </w:r>
      <w:r w:rsidRPr="00E01AB8">
        <w:rPr>
          <w:rFonts w:ascii="Arial" w:hAnsi="Arial" w:cs="Arial"/>
          <w:i/>
          <w:iCs/>
          <w:lang w:eastAsia="en-GB"/>
        </w:rPr>
        <w:t>26</w:t>
      </w:r>
      <w:r w:rsidRPr="00E01AB8">
        <w:rPr>
          <w:rFonts w:ascii="Arial" w:hAnsi="Arial" w:cs="Arial"/>
          <w:lang w:eastAsia="en-GB"/>
        </w:rPr>
        <w:t>(4), pp.319-340.</w:t>
      </w:r>
    </w:p>
    <w:p w14:paraId="1E68B822" w14:textId="00D7CD26" w:rsidR="00A55213" w:rsidRPr="00E01AB8" w:rsidRDefault="00A55213" w:rsidP="00D445DC">
      <w:pPr>
        <w:jc w:val="both"/>
        <w:rPr>
          <w:rFonts w:ascii="Arial" w:hAnsi="Arial" w:cs="Arial"/>
          <w:lang w:eastAsia="en-GB"/>
        </w:rPr>
      </w:pPr>
      <w:r w:rsidRPr="00E01AB8">
        <w:rPr>
          <w:rFonts w:ascii="Arial" w:hAnsi="Arial" w:cs="Arial"/>
          <w:lang w:eastAsia="en-GB"/>
        </w:rPr>
        <w:t xml:space="preserve">Lee, S.C., Fleckenstein, T. and Chun, Y., 2025. From </w:t>
      </w:r>
      <w:proofErr w:type="spellStart"/>
      <w:r w:rsidRPr="00E01AB8">
        <w:rPr>
          <w:rFonts w:ascii="Arial" w:hAnsi="Arial" w:cs="Arial"/>
          <w:lang w:eastAsia="en-GB"/>
        </w:rPr>
        <w:t>labor</w:t>
      </w:r>
      <w:proofErr w:type="spellEnd"/>
      <w:r w:rsidRPr="00E01AB8">
        <w:rPr>
          <w:rFonts w:ascii="Arial" w:hAnsi="Arial" w:cs="Arial"/>
          <w:lang w:eastAsia="en-GB"/>
        </w:rPr>
        <w:t xml:space="preserve"> market dualization to inclusive growth? Trade unions and the politics of </w:t>
      </w:r>
      <w:proofErr w:type="spellStart"/>
      <w:r w:rsidRPr="00E01AB8">
        <w:rPr>
          <w:rFonts w:ascii="Arial" w:hAnsi="Arial" w:cs="Arial"/>
          <w:lang w:eastAsia="en-GB"/>
        </w:rPr>
        <w:t>labor</w:t>
      </w:r>
      <w:proofErr w:type="spellEnd"/>
      <w:r w:rsidRPr="00E01AB8">
        <w:rPr>
          <w:rFonts w:ascii="Arial" w:hAnsi="Arial" w:cs="Arial"/>
          <w:lang w:eastAsia="en-GB"/>
        </w:rPr>
        <w:t xml:space="preserve"> market reform in South Korea. </w:t>
      </w:r>
      <w:r w:rsidRPr="00E01AB8">
        <w:rPr>
          <w:rFonts w:ascii="Arial" w:hAnsi="Arial" w:cs="Arial"/>
          <w:i/>
          <w:iCs/>
          <w:lang w:eastAsia="en-GB"/>
        </w:rPr>
        <w:t>Politics &amp; Society</w:t>
      </w:r>
      <w:r w:rsidRPr="00E01AB8">
        <w:rPr>
          <w:rFonts w:ascii="Arial" w:hAnsi="Arial" w:cs="Arial"/>
          <w:lang w:eastAsia="en-GB"/>
        </w:rPr>
        <w:t xml:space="preserve">, p.00323292251325941. </w:t>
      </w:r>
      <w:hyperlink r:id="rId23" w:history="1">
        <w:r w:rsidRPr="00E01AB8">
          <w:rPr>
            <w:rStyle w:val="Hyperlink"/>
            <w:rFonts w:ascii="Arial" w:hAnsi="Arial" w:cs="Arial"/>
            <w:lang w:eastAsia="en-GB"/>
          </w:rPr>
          <w:t>https://journals.sagepub.com/doi/abs/10.1177/00323292251325941</w:t>
        </w:r>
      </w:hyperlink>
    </w:p>
    <w:p w14:paraId="7FE64E7F" w14:textId="3ACA8711" w:rsidR="00151F9C" w:rsidRPr="00E01AB8" w:rsidRDefault="00151F9C" w:rsidP="00D445DC">
      <w:pPr>
        <w:jc w:val="both"/>
        <w:rPr>
          <w:rFonts w:ascii="Arial" w:hAnsi="Arial" w:cs="Arial"/>
          <w:lang w:eastAsia="en-GB"/>
        </w:rPr>
      </w:pPr>
      <w:r w:rsidRPr="00E01AB8">
        <w:rPr>
          <w:rFonts w:ascii="Arial" w:hAnsi="Arial" w:cs="Arial"/>
          <w:lang w:eastAsia="en-GB"/>
        </w:rPr>
        <w:t xml:space="preserve">Lublin, D., </w:t>
      </w:r>
      <w:r w:rsidR="00B715FF" w:rsidRPr="00E01AB8">
        <w:rPr>
          <w:rFonts w:ascii="Arial" w:hAnsi="Arial" w:cs="Arial"/>
          <w:lang w:eastAsia="en-GB"/>
        </w:rPr>
        <w:t>(</w:t>
      </w:r>
      <w:r w:rsidRPr="00E01AB8">
        <w:rPr>
          <w:rFonts w:ascii="Arial" w:hAnsi="Arial" w:cs="Arial"/>
          <w:lang w:eastAsia="en-GB"/>
        </w:rPr>
        <w:t>2025</w:t>
      </w:r>
      <w:r w:rsidR="00B715FF" w:rsidRPr="00E01AB8">
        <w:rPr>
          <w:rFonts w:ascii="Arial" w:hAnsi="Arial" w:cs="Arial"/>
          <w:lang w:eastAsia="en-GB"/>
        </w:rPr>
        <w:t>)</w:t>
      </w:r>
      <w:r w:rsidRPr="00E01AB8">
        <w:rPr>
          <w:rFonts w:ascii="Arial" w:hAnsi="Arial" w:cs="Arial"/>
          <w:lang w:eastAsia="en-GB"/>
        </w:rPr>
        <w:t>. Extreme events, decentralisation and the effective number of parties. </w:t>
      </w:r>
      <w:r w:rsidRPr="00E01AB8">
        <w:rPr>
          <w:rFonts w:ascii="Arial" w:hAnsi="Arial" w:cs="Arial"/>
          <w:i/>
          <w:iCs/>
          <w:lang w:eastAsia="en-GB"/>
        </w:rPr>
        <w:t>Regional Studies</w:t>
      </w:r>
      <w:r w:rsidRPr="00E01AB8">
        <w:rPr>
          <w:rFonts w:ascii="Arial" w:hAnsi="Arial" w:cs="Arial"/>
          <w:lang w:eastAsia="en-GB"/>
        </w:rPr>
        <w:t>, </w:t>
      </w:r>
      <w:r w:rsidRPr="00E01AB8">
        <w:rPr>
          <w:rFonts w:ascii="Arial" w:hAnsi="Arial" w:cs="Arial"/>
          <w:i/>
          <w:iCs/>
          <w:lang w:eastAsia="en-GB"/>
        </w:rPr>
        <w:t>59</w:t>
      </w:r>
      <w:r w:rsidRPr="00E01AB8">
        <w:rPr>
          <w:rFonts w:ascii="Arial" w:hAnsi="Arial" w:cs="Arial"/>
          <w:lang w:eastAsia="en-GB"/>
        </w:rPr>
        <w:t>(1), p.2311739.</w:t>
      </w:r>
      <w:r w:rsidR="00DC744A" w:rsidRPr="00E01AB8">
        <w:rPr>
          <w:rFonts w:ascii="Arial" w:hAnsi="Arial" w:cs="Arial"/>
          <w:lang w:eastAsia="en-GB"/>
        </w:rPr>
        <w:t xml:space="preserve"> </w:t>
      </w:r>
      <w:hyperlink r:id="rId24" w:history="1">
        <w:r w:rsidR="00DC744A" w:rsidRPr="00E01AB8">
          <w:rPr>
            <w:rStyle w:val="Hyperlink"/>
            <w:rFonts w:ascii="Arial" w:hAnsi="Arial" w:cs="Arial"/>
            <w:lang w:eastAsia="en-GB"/>
          </w:rPr>
          <w:t>https://www.tandfonline.com/doi/abs/10.1080/00343404.2024.2311739</w:t>
        </w:r>
      </w:hyperlink>
    </w:p>
    <w:p w14:paraId="2D617247" w14:textId="212D8FFB" w:rsidR="00674266" w:rsidRPr="00E01AB8" w:rsidRDefault="00674266" w:rsidP="00D445DC">
      <w:pPr>
        <w:jc w:val="both"/>
        <w:rPr>
          <w:rFonts w:ascii="Arial" w:hAnsi="Arial" w:cs="Arial"/>
          <w:lang w:eastAsia="en-GB"/>
        </w:rPr>
      </w:pPr>
      <w:r w:rsidRPr="00E01AB8">
        <w:rPr>
          <w:rFonts w:ascii="Arial" w:hAnsi="Arial" w:cs="Arial"/>
          <w:lang w:eastAsia="en-GB"/>
        </w:rPr>
        <w:t xml:space="preserve">Maher, S., </w:t>
      </w:r>
      <w:r w:rsidR="00B715FF" w:rsidRPr="00E01AB8">
        <w:rPr>
          <w:rFonts w:ascii="Arial" w:hAnsi="Arial" w:cs="Arial"/>
          <w:lang w:eastAsia="en-GB"/>
        </w:rPr>
        <w:t>(</w:t>
      </w:r>
      <w:r w:rsidRPr="00E01AB8">
        <w:rPr>
          <w:rFonts w:ascii="Arial" w:hAnsi="Arial" w:cs="Arial"/>
          <w:lang w:eastAsia="en-GB"/>
        </w:rPr>
        <w:t>2024</w:t>
      </w:r>
      <w:r w:rsidR="00B715FF" w:rsidRPr="00E01AB8">
        <w:rPr>
          <w:rFonts w:ascii="Arial" w:hAnsi="Arial" w:cs="Arial"/>
          <w:lang w:eastAsia="en-GB"/>
        </w:rPr>
        <w:t>)</w:t>
      </w:r>
      <w:r w:rsidRPr="00E01AB8">
        <w:rPr>
          <w:rFonts w:ascii="Arial" w:hAnsi="Arial" w:cs="Arial"/>
          <w:lang w:eastAsia="en-GB"/>
        </w:rPr>
        <w:t>. </w:t>
      </w:r>
      <w:r w:rsidRPr="00E01AB8">
        <w:rPr>
          <w:rFonts w:ascii="Arial" w:hAnsi="Arial" w:cs="Arial"/>
          <w:i/>
          <w:iCs/>
          <w:lang w:eastAsia="en-GB"/>
        </w:rPr>
        <w:t>The prince: The turbulent reign of Justin Trudeau</w:t>
      </w:r>
      <w:r w:rsidRPr="00E01AB8">
        <w:rPr>
          <w:rFonts w:ascii="Arial" w:hAnsi="Arial" w:cs="Arial"/>
          <w:lang w:eastAsia="en-GB"/>
        </w:rPr>
        <w:t xml:space="preserve">. Simon and Schuster. </w:t>
      </w:r>
      <w:hyperlink r:id="rId25" w:history="1">
        <w:r w:rsidRPr="00E01AB8">
          <w:rPr>
            <w:rStyle w:val="Hyperlink"/>
            <w:rFonts w:ascii="Arial" w:hAnsi="Arial" w:cs="Arial"/>
            <w:lang w:eastAsia="en-GB"/>
          </w:rPr>
          <w:t>https://books.google.com/books?hl=en&amp;lr=&amp;id=lFD2EAAAQBAJ&amp;oi=fnd&amp;pg=PA1&amp;dq=Prime+Minister+Justin+Trudeau+demonstrated+a+democratic,+collaborative,+and+highly+communicative+leadership+style+during+Canada%E2%80%99s+COVID-19+response.&amp;ots=84Es5GE4RH&amp;sig=2i1AquxJhnGN30Jmfyl1AVCWfzo</w:t>
        </w:r>
      </w:hyperlink>
    </w:p>
    <w:p w14:paraId="7344E968" w14:textId="0AE32000" w:rsidR="00FC5008" w:rsidRPr="00E01AB8" w:rsidRDefault="00FC5008" w:rsidP="00D445DC">
      <w:pPr>
        <w:jc w:val="both"/>
        <w:rPr>
          <w:rFonts w:ascii="Arial" w:hAnsi="Arial" w:cs="Arial"/>
          <w:lang w:eastAsia="en-GB"/>
        </w:rPr>
      </w:pPr>
      <w:r w:rsidRPr="00E01AB8">
        <w:rPr>
          <w:rFonts w:ascii="Arial" w:hAnsi="Arial" w:cs="Arial"/>
          <w:lang w:eastAsia="en-GB"/>
        </w:rPr>
        <w:t>Majeed, A., 2021. Effective Handling of COVID-19 Pandemic: Experiences and Lessons from the Perspective of South Korea. </w:t>
      </w:r>
      <w:r w:rsidRPr="00E01AB8">
        <w:rPr>
          <w:rFonts w:ascii="Arial" w:hAnsi="Arial" w:cs="Arial"/>
          <w:i/>
          <w:iCs/>
          <w:lang w:eastAsia="en-GB"/>
        </w:rPr>
        <w:t>COVID</w:t>
      </w:r>
      <w:r w:rsidRPr="00E01AB8">
        <w:rPr>
          <w:rFonts w:ascii="Arial" w:hAnsi="Arial" w:cs="Arial"/>
          <w:lang w:eastAsia="en-GB"/>
        </w:rPr>
        <w:t>, </w:t>
      </w:r>
      <w:r w:rsidRPr="00E01AB8">
        <w:rPr>
          <w:rFonts w:ascii="Arial" w:hAnsi="Arial" w:cs="Arial"/>
          <w:i/>
          <w:iCs/>
          <w:lang w:eastAsia="en-GB"/>
        </w:rPr>
        <w:t>1</w:t>
      </w:r>
      <w:r w:rsidRPr="00E01AB8">
        <w:rPr>
          <w:rFonts w:ascii="Arial" w:hAnsi="Arial" w:cs="Arial"/>
          <w:lang w:eastAsia="en-GB"/>
        </w:rPr>
        <w:t xml:space="preserve">(1), pp.325-334. </w:t>
      </w:r>
      <w:hyperlink r:id="rId26" w:history="1">
        <w:r w:rsidRPr="00E01AB8">
          <w:rPr>
            <w:rStyle w:val="Hyperlink"/>
            <w:rFonts w:ascii="Arial" w:hAnsi="Arial" w:cs="Arial"/>
            <w:lang w:eastAsia="en-GB"/>
          </w:rPr>
          <w:t>https://www.mdpi.com/2673-8112/1/1/26</w:t>
        </w:r>
      </w:hyperlink>
    </w:p>
    <w:p w14:paraId="3A05679F" w14:textId="356EB5E5" w:rsidR="009E0749" w:rsidRPr="00E01AB8" w:rsidRDefault="009E0749" w:rsidP="00D445DC">
      <w:pPr>
        <w:jc w:val="both"/>
        <w:rPr>
          <w:rFonts w:ascii="Arial" w:hAnsi="Arial" w:cs="Arial"/>
          <w:lang w:eastAsia="en-GB"/>
        </w:rPr>
      </w:pPr>
      <w:r w:rsidRPr="00E01AB8">
        <w:rPr>
          <w:rFonts w:ascii="Arial" w:hAnsi="Arial" w:cs="Arial"/>
          <w:lang w:eastAsia="en-GB"/>
        </w:rPr>
        <w:t xml:space="preserve">Milani, M., </w:t>
      </w:r>
      <w:r w:rsidR="00B715FF" w:rsidRPr="00E01AB8">
        <w:rPr>
          <w:rFonts w:ascii="Arial" w:hAnsi="Arial" w:cs="Arial"/>
          <w:lang w:eastAsia="en-GB"/>
        </w:rPr>
        <w:t>(</w:t>
      </w:r>
      <w:r w:rsidRPr="00E01AB8">
        <w:rPr>
          <w:rFonts w:ascii="Arial" w:hAnsi="Arial" w:cs="Arial"/>
          <w:lang w:eastAsia="en-GB"/>
        </w:rPr>
        <w:t>2022</w:t>
      </w:r>
      <w:r w:rsidR="00B715FF" w:rsidRPr="00E01AB8">
        <w:rPr>
          <w:rFonts w:ascii="Arial" w:hAnsi="Arial" w:cs="Arial"/>
          <w:lang w:eastAsia="en-GB"/>
        </w:rPr>
        <w:t>)</w:t>
      </w:r>
      <w:r w:rsidRPr="00E01AB8">
        <w:rPr>
          <w:rFonts w:ascii="Arial" w:hAnsi="Arial" w:cs="Arial"/>
          <w:lang w:eastAsia="en-GB"/>
        </w:rPr>
        <w:t>. Korean Peninsula 2021: Managing the crisis and adapting to new situations. </w:t>
      </w:r>
      <w:r w:rsidRPr="00E01AB8">
        <w:rPr>
          <w:rFonts w:ascii="Arial" w:hAnsi="Arial" w:cs="Arial"/>
          <w:i/>
          <w:iCs/>
          <w:lang w:eastAsia="en-GB"/>
        </w:rPr>
        <w:t>Asia Maior</w:t>
      </w:r>
      <w:r w:rsidRPr="00E01AB8">
        <w:rPr>
          <w:rFonts w:ascii="Arial" w:hAnsi="Arial" w:cs="Arial"/>
          <w:lang w:eastAsia="en-GB"/>
        </w:rPr>
        <w:t>, </w:t>
      </w:r>
      <w:r w:rsidRPr="00E01AB8">
        <w:rPr>
          <w:rFonts w:ascii="Arial" w:hAnsi="Arial" w:cs="Arial"/>
          <w:i/>
          <w:iCs/>
          <w:lang w:eastAsia="en-GB"/>
        </w:rPr>
        <w:t>32</w:t>
      </w:r>
      <w:r w:rsidRPr="00E01AB8">
        <w:rPr>
          <w:rFonts w:ascii="Arial" w:hAnsi="Arial" w:cs="Arial"/>
          <w:lang w:eastAsia="en-GB"/>
        </w:rPr>
        <w:t xml:space="preserve">, pp.95-124. </w:t>
      </w:r>
      <w:hyperlink r:id="rId27" w:history="1">
        <w:r w:rsidRPr="00E01AB8">
          <w:rPr>
            <w:rStyle w:val="Hyperlink"/>
            <w:rFonts w:ascii="Arial" w:hAnsi="Arial" w:cs="Arial"/>
            <w:lang w:eastAsia="en-GB"/>
          </w:rPr>
          <w:t>https://cris.unibo.it/handle/11585/907574</w:t>
        </w:r>
      </w:hyperlink>
    </w:p>
    <w:p w14:paraId="1A338025" w14:textId="53E4DCAF" w:rsidR="0019154E" w:rsidRPr="00E01AB8" w:rsidRDefault="0019154E" w:rsidP="00D445DC">
      <w:pPr>
        <w:jc w:val="both"/>
        <w:rPr>
          <w:rFonts w:ascii="Arial" w:hAnsi="Arial" w:cs="Arial"/>
          <w:lang w:eastAsia="en-GB"/>
        </w:rPr>
      </w:pPr>
      <w:r w:rsidRPr="00E01AB8">
        <w:rPr>
          <w:rFonts w:ascii="Arial" w:hAnsi="Arial" w:cs="Arial"/>
          <w:lang w:eastAsia="en-GB"/>
        </w:rPr>
        <w:t xml:space="preserve">McSween-Cadieux, E., Lane, J., Hong, Q.N., Houle, A.A., Lauzier-Jobin, F., Saint-Pierre Mousset, E., Prigent, O., Ziam, S., Poder, T., Lesage, A. and Dagenais, P., </w:t>
      </w:r>
      <w:r w:rsidR="00B715FF" w:rsidRPr="00E01AB8">
        <w:rPr>
          <w:rFonts w:ascii="Arial" w:hAnsi="Arial" w:cs="Arial"/>
          <w:lang w:eastAsia="en-GB"/>
        </w:rPr>
        <w:t>(</w:t>
      </w:r>
      <w:r w:rsidRPr="00E01AB8">
        <w:rPr>
          <w:rFonts w:ascii="Arial" w:hAnsi="Arial" w:cs="Arial"/>
          <w:lang w:eastAsia="en-GB"/>
        </w:rPr>
        <w:t>2024</w:t>
      </w:r>
      <w:r w:rsidR="00B715FF" w:rsidRPr="00E01AB8">
        <w:rPr>
          <w:rFonts w:ascii="Arial" w:hAnsi="Arial" w:cs="Arial"/>
          <w:lang w:eastAsia="en-GB"/>
        </w:rPr>
        <w:t>)</w:t>
      </w:r>
      <w:r w:rsidRPr="00E01AB8">
        <w:rPr>
          <w:rFonts w:ascii="Arial" w:hAnsi="Arial" w:cs="Arial"/>
          <w:lang w:eastAsia="en-GB"/>
        </w:rPr>
        <w:t xml:space="preserve">. Production and use of rapid responses during the COVID-19 pandemic in Quebec (Canada): perspectives from evidence synthesis producers and decision </w:t>
      </w:r>
      <w:r w:rsidRPr="00E01AB8">
        <w:rPr>
          <w:rFonts w:ascii="Arial" w:hAnsi="Arial" w:cs="Arial"/>
          <w:lang w:eastAsia="en-GB"/>
        </w:rPr>
        <w:lastRenderedPageBreak/>
        <w:t>makers. </w:t>
      </w:r>
      <w:r w:rsidRPr="00E01AB8">
        <w:rPr>
          <w:rFonts w:ascii="Arial" w:hAnsi="Arial" w:cs="Arial"/>
          <w:i/>
          <w:iCs/>
          <w:lang w:eastAsia="en-GB"/>
        </w:rPr>
        <w:t>Health Research Policy and Systems</w:t>
      </w:r>
      <w:r w:rsidRPr="00E01AB8">
        <w:rPr>
          <w:rFonts w:ascii="Arial" w:hAnsi="Arial" w:cs="Arial"/>
          <w:lang w:eastAsia="en-GB"/>
        </w:rPr>
        <w:t>, </w:t>
      </w:r>
      <w:r w:rsidRPr="00E01AB8">
        <w:rPr>
          <w:rFonts w:ascii="Arial" w:hAnsi="Arial" w:cs="Arial"/>
          <w:i/>
          <w:iCs/>
          <w:lang w:eastAsia="en-GB"/>
        </w:rPr>
        <w:t>22</w:t>
      </w:r>
      <w:r w:rsidRPr="00E01AB8">
        <w:rPr>
          <w:rFonts w:ascii="Arial" w:hAnsi="Arial" w:cs="Arial"/>
          <w:lang w:eastAsia="en-GB"/>
        </w:rPr>
        <w:t xml:space="preserve">(1), p.22. </w:t>
      </w:r>
      <w:hyperlink r:id="rId28" w:history="1">
        <w:r w:rsidRPr="00E01AB8">
          <w:rPr>
            <w:rStyle w:val="Hyperlink"/>
            <w:rFonts w:ascii="Arial" w:hAnsi="Arial" w:cs="Arial"/>
            <w:lang w:eastAsia="en-GB"/>
          </w:rPr>
          <w:t>https://link.springer.com/article/10.1186/s12961-024-01105-x</w:t>
        </w:r>
      </w:hyperlink>
    </w:p>
    <w:p w14:paraId="0C0D0065" w14:textId="3F1D8D18" w:rsidR="004A6955" w:rsidRPr="00E01AB8" w:rsidRDefault="004A6955" w:rsidP="00D445DC">
      <w:pPr>
        <w:jc w:val="both"/>
        <w:rPr>
          <w:rFonts w:ascii="Arial" w:hAnsi="Arial" w:cs="Arial"/>
          <w:lang w:eastAsia="en-GB"/>
        </w:rPr>
      </w:pPr>
      <w:r w:rsidRPr="00E01AB8">
        <w:rPr>
          <w:rFonts w:ascii="Arial" w:hAnsi="Arial" w:cs="Arial"/>
          <w:lang w:eastAsia="en-GB"/>
        </w:rPr>
        <w:t xml:space="preserve">Melnyk, A., </w:t>
      </w:r>
      <w:proofErr w:type="spellStart"/>
      <w:r w:rsidRPr="00E01AB8">
        <w:rPr>
          <w:rFonts w:ascii="Arial" w:hAnsi="Arial" w:cs="Arial"/>
          <w:lang w:eastAsia="en-GB"/>
        </w:rPr>
        <w:t>Kozarov</w:t>
      </w:r>
      <w:proofErr w:type="spellEnd"/>
      <w:r w:rsidRPr="00E01AB8">
        <w:rPr>
          <w:rFonts w:ascii="Arial" w:hAnsi="Arial" w:cs="Arial"/>
          <w:lang w:eastAsia="en-GB"/>
        </w:rPr>
        <w:t xml:space="preserve">, L. and Wachsmann-Hogiu, S., </w:t>
      </w:r>
      <w:r w:rsidR="00B715FF" w:rsidRPr="00E01AB8">
        <w:rPr>
          <w:rFonts w:ascii="Arial" w:hAnsi="Arial" w:cs="Arial"/>
          <w:lang w:eastAsia="en-GB"/>
        </w:rPr>
        <w:t>(</w:t>
      </w:r>
      <w:r w:rsidRPr="00E01AB8">
        <w:rPr>
          <w:rFonts w:ascii="Arial" w:hAnsi="Arial" w:cs="Arial"/>
          <w:lang w:eastAsia="en-GB"/>
        </w:rPr>
        <w:t>2023</w:t>
      </w:r>
      <w:r w:rsidR="00B715FF" w:rsidRPr="00E01AB8">
        <w:rPr>
          <w:rFonts w:ascii="Arial" w:hAnsi="Arial" w:cs="Arial"/>
          <w:lang w:eastAsia="en-GB"/>
        </w:rPr>
        <w:t>)</w:t>
      </w:r>
      <w:r w:rsidRPr="00E01AB8">
        <w:rPr>
          <w:rFonts w:ascii="Arial" w:hAnsi="Arial" w:cs="Arial"/>
          <w:lang w:eastAsia="en-GB"/>
        </w:rPr>
        <w:t>. A deconvolution approach to modelling surges in COVID-19 cases and deaths. </w:t>
      </w:r>
      <w:r w:rsidRPr="00E01AB8">
        <w:rPr>
          <w:rFonts w:ascii="Arial" w:hAnsi="Arial" w:cs="Arial"/>
          <w:i/>
          <w:iCs/>
          <w:lang w:eastAsia="en-GB"/>
        </w:rPr>
        <w:t>Scientific Reports</w:t>
      </w:r>
      <w:r w:rsidRPr="00E01AB8">
        <w:rPr>
          <w:rFonts w:ascii="Arial" w:hAnsi="Arial" w:cs="Arial"/>
          <w:lang w:eastAsia="en-GB"/>
        </w:rPr>
        <w:t>, </w:t>
      </w:r>
      <w:r w:rsidRPr="00E01AB8">
        <w:rPr>
          <w:rFonts w:ascii="Arial" w:hAnsi="Arial" w:cs="Arial"/>
          <w:i/>
          <w:iCs/>
          <w:lang w:eastAsia="en-GB"/>
        </w:rPr>
        <w:t>13</w:t>
      </w:r>
      <w:r w:rsidRPr="00E01AB8">
        <w:rPr>
          <w:rFonts w:ascii="Arial" w:hAnsi="Arial" w:cs="Arial"/>
          <w:lang w:eastAsia="en-GB"/>
        </w:rPr>
        <w:t xml:space="preserve">(1), p.2361. </w:t>
      </w:r>
      <w:hyperlink r:id="rId29" w:history="1">
        <w:r w:rsidRPr="00E01AB8">
          <w:rPr>
            <w:rStyle w:val="Hyperlink"/>
            <w:rFonts w:ascii="Arial" w:hAnsi="Arial" w:cs="Arial"/>
            <w:lang w:eastAsia="en-GB"/>
          </w:rPr>
          <w:t>https://www.nature.com/articles/s41598-023-29198-4</w:t>
        </w:r>
      </w:hyperlink>
    </w:p>
    <w:p w14:paraId="1F36FEDD" w14:textId="7115787C" w:rsidR="00E72EB7" w:rsidRPr="00E01AB8" w:rsidRDefault="00E72EB7" w:rsidP="00D445DC">
      <w:pPr>
        <w:jc w:val="both"/>
        <w:rPr>
          <w:rFonts w:ascii="Arial" w:hAnsi="Arial" w:cs="Arial"/>
          <w:lang w:eastAsia="en-GB"/>
        </w:rPr>
      </w:pPr>
      <w:r w:rsidRPr="00E01AB8">
        <w:rPr>
          <w:rFonts w:ascii="Arial" w:hAnsi="Arial" w:cs="Arial"/>
          <w:lang w:eastAsia="en-GB"/>
        </w:rPr>
        <w:t xml:space="preserve">Michaud, N., </w:t>
      </w:r>
      <w:r w:rsidR="00B715FF" w:rsidRPr="00E01AB8">
        <w:rPr>
          <w:rFonts w:ascii="Arial" w:hAnsi="Arial" w:cs="Arial"/>
          <w:lang w:eastAsia="en-GB"/>
        </w:rPr>
        <w:t>(</w:t>
      </w:r>
      <w:r w:rsidRPr="00E01AB8">
        <w:rPr>
          <w:rFonts w:ascii="Arial" w:hAnsi="Arial" w:cs="Arial"/>
          <w:lang w:eastAsia="en-GB"/>
        </w:rPr>
        <w:t>2021</w:t>
      </w:r>
      <w:r w:rsidR="00B715FF" w:rsidRPr="00E01AB8">
        <w:rPr>
          <w:rFonts w:ascii="Arial" w:hAnsi="Arial" w:cs="Arial"/>
          <w:lang w:eastAsia="en-GB"/>
        </w:rPr>
        <w:t>)</w:t>
      </w:r>
      <w:r w:rsidRPr="00E01AB8">
        <w:rPr>
          <w:rFonts w:ascii="Arial" w:hAnsi="Arial" w:cs="Arial"/>
          <w:lang w:eastAsia="en-GB"/>
        </w:rPr>
        <w:t>. Balancing interests and constraints: The role of provinces in the shaping of Canadian foreign policy. In </w:t>
      </w:r>
      <w:r w:rsidRPr="00E01AB8">
        <w:rPr>
          <w:rFonts w:ascii="Arial" w:hAnsi="Arial" w:cs="Arial"/>
          <w:i/>
          <w:iCs/>
          <w:lang w:eastAsia="en-GB"/>
        </w:rPr>
        <w:t>Political Turmoil in a Tumultuous World: Canada Among Nations 2020</w:t>
      </w:r>
      <w:r w:rsidRPr="00E01AB8">
        <w:rPr>
          <w:rFonts w:ascii="Arial" w:hAnsi="Arial" w:cs="Arial"/>
          <w:lang w:eastAsia="en-GB"/>
        </w:rPr>
        <w:t> (pp. 77-104). Cham: Springer International Publishing.</w:t>
      </w:r>
      <w:r w:rsidR="0031025B" w:rsidRPr="00E01AB8">
        <w:rPr>
          <w:rFonts w:ascii="Arial" w:hAnsi="Arial" w:cs="Arial"/>
          <w:lang w:eastAsia="en-GB"/>
        </w:rPr>
        <w:t xml:space="preserve"> </w:t>
      </w:r>
      <w:hyperlink r:id="rId30" w:history="1">
        <w:r w:rsidR="0031025B" w:rsidRPr="00E01AB8">
          <w:rPr>
            <w:rStyle w:val="Hyperlink"/>
            <w:rFonts w:ascii="Arial" w:hAnsi="Arial" w:cs="Arial"/>
            <w:lang w:eastAsia="en-GB"/>
          </w:rPr>
          <w:t>https://link.springer.com/chapter/10.1007/978-3-030-70686-9_4</w:t>
        </w:r>
      </w:hyperlink>
    </w:p>
    <w:p w14:paraId="372EA394" w14:textId="4E1E64A8" w:rsidR="009B4AC4" w:rsidRPr="00E01AB8" w:rsidRDefault="009B4AC4" w:rsidP="00D445DC">
      <w:pPr>
        <w:jc w:val="both"/>
        <w:rPr>
          <w:rFonts w:ascii="Arial" w:hAnsi="Arial" w:cs="Arial"/>
        </w:rPr>
      </w:pPr>
      <w:proofErr w:type="spellStart"/>
      <w:r w:rsidRPr="00E01AB8">
        <w:rPr>
          <w:rFonts w:ascii="Arial" w:hAnsi="Arial" w:cs="Arial"/>
          <w:lang w:eastAsia="en-GB"/>
        </w:rPr>
        <w:t>Podadera</w:t>
      </w:r>
      <w:proofErr w:type="spellEnd"/>
      <w:r w:rsidRPr="00E01AB8">
        <w:rPr>
          <w:rFonts w:ascii="Arial" w:hAnsi="Arial" w:cs="Arial"/>
          <w:lang w:eastAsia="en-GB"/>
        </w:rPr>
        <w:t xml:space="preserve">, P. and </w:t>
      </w:r>
      <w:proofErr w:type="spellStart"/>
      <w:r w:rsidRPr="00E01AB8">
        <w:rPr>
          <w:rFonts w:ascii="Arial" w:hAnsi="Arial" w:cs="Arial"/>
          <w:lang w:eastAsia="en-GB"/>
        </w:rPr>
        <w:t>Colomina</w:t>
      </w:r>
      <w:proofErr w:type="spellEnd"/>
      <w:r w:rsidRPr="00E01AB8">
        <w:rPr>
          <w:rFonts w:ascii="Arial" w:hAnsi="Arial" w:cs="Arial"/>
          <w:lang w:eastAsia="en-GB"/>
        </w:rPr>
        <w:t xml:space="preserve"> </w:t>
      </w:r>
      <w:proofErr w:type="spellStart"/>
      <w:r w:rsidRPr="00E01AB8">
        <w:rPr>
          <w:rFonts w:ascii="Arial" w:hAnsi="Arial" w:cs="Arial"/>
          <w:lang w:eastAsia="en-GB"/>
        </w:rPr>
        <w:t>Limonero</w:t>
      </w:r>
      <w:proofErr w:type="spellEnd"/>
      <w:r w:rsidRPr="00E01AB8">
        <w:rPr>
          <w:rFonts w:ascii="Arial" w:hAnsi="Arial" w:cs="Arial"/>
          <w:lang w:eastAsia="en-GB"/>
        </w:rPr>
        <w:t xml:space="preserve">, I., </w:t>
      </w:r>
      <w:r w:rsidR="00B715FF" w:rsidRPr="00E01AB8">
        <w:rPr>
          <w:rFonts w:ascii="Arial" w:hAnsi="Arial" w:cs="Arial"/>
          <w:lang w:eastAsia="en-GB"/>
        </w:rPr>
        <w:t>(</w:t>
      </w:r>
      <w:r w:rsidRPr="00E01AB8">
        <w:rPr>
          <w:rFonts w:ascii="Arial" w:hAnsi="Arial" w:cs="Arial"/>
          <w:lang w:eastAsia="en-GB"/>
        </w:rPr>
        <w:t>2025</w:t>
      </w:r>
      <w:r w:rsidR="00B715FF" w:rsidRPr="00E01AB8">
        <w:rPr>
          <w:rFonts w:ascii="Arial" w:hAnsi="Arial" w:cs="Arial"/>
          <w:lang w:eastAsia="en-GB"/>
        </w:rPr>
        <w:t>)</w:t>
      </w:r>
      <w:r w:rsidRPr="00E01AB8">
        <w:rPr>
          <w:rFonts w:ascii="Arial" w:hAnsi="Arial" w:cs="Arial"/>
          <w:lang w:eastAsia="en-GB"/>
        </w:rPr>
        <w:t>. Spain: Horizontal Coordination and the Autonomous Communities. In </w:t>
      </w:r>
      <w:r w:rsidRPr="00E01AB8">
        <w:rPr>
          <w:rFonts w:ascii="Arial" w:hAnsi="Arial" w:cs="Arial"/>
          <w:i/>
          <w:iCs/>
          <w:lang w:eastAsia="en-GB"/>
        </w:rPr>
        <w:t>Horizontal Intergovernmental Coordination at Local and Regional Levels: Evidence from Europe and Beyond</w:t>
      </w:r>
      <w:r w:rsidRPr="00E01AB8">
        <w:rPr>
          <w:rFonts w:ascii="Arial" w:hAnsi="Arial" w:cs="Arial"/>
          <w:lang w:eastAsia="en-GB"/>
        </w:rPr>
        <w:t xml:space="preserve"> (pp. 309-326). Cham: Springer Nature Switzerland. </w:t>
      </w:r>
      <w:hyperlink r:id="rId31" w:anchor="page=328" w:history="1">
        <w:r w:rsidRPr="00E01AB8">
          <w:rPr>
            <w:rStyle w:val="Hyperlink"/>
            <w:rFonts w:ascii="Arial" w:hAnsi="Arial" w:cs="Arial"/>
            <w:lang w:eastAsia="en-GB"/>
          </w:rPr>
          <w:t>https://library.oapen.org/bitstream/handle/20.500.12657/107669/9783031835674.pdf?sequence=1#page=328</w:t>
        </w:r>
      </w:hyperlink>
    </w:p>
    <w:p w14:paraId="59679583" w14:textId="7E569165" w:rsidR="00467AD9" w:rsidRPr="00E01AB8" w:rsidRDefault="00467AD9" w:rsidP="00D445DC">
      <w:pPr>
        <w:jc w:val="both"/>
        <w:rPr>
          <w:rFonts w:ascii="Arial" w:hAnsi="Arial" w:cs="Arial"/>
          <w:lang w:eastAsia="en-GB"/>
        </w:rPr>
      </w:pPr>
      <w:r w:rsidRPr="00E01AB8">
        <w:rPr>
          <w:rFonts w:ascii="Arial" w:hAnsi="Arial" w:cs="Arial"/>
          <w:lang w:eastAsia="en-GB"/>
        </w:rPr>
        <w:t xml:space="preserve">Osuna, J.J.O., </w:t>
      </w:r>
      <w:r w:rsidR="00B715FF" w:rsidRPr="00E01AB8">
        <w:rPr>
          <w:rFonts w:ascii="Arial" w:hAnsi="Arial" w:cs="Arial"/>
          <w:lang w:eastAsia="en-GB"/>
        </w:rPr>
        <w:t>(</w:t>
      </w:r>
      <w:r w:rsidRPr="00E01AB8">
        <w:rPr>
          <w:rFonts w:ascii="Arial" w:hAnsi="Arial" w:cs="Arial"/>
          <w:lang w:eastAsia="en-GB"/>
        </w:rPr>
        <w:t>2024</w:t>
      </w:r>
      <w:r w:rsidR="00B715FF" w:rsidRPr="00E01AB8">
        <w:rPr>
          <w:rFonts w:ascii="Arial" w:hAnsi="Arial" w:cs="Arial"/>
          <w:lang w:eastAsia="en-GB"/>
        </w:rPr>
        <w:t>)</w:t>
      </w:r>
      <w:r w:rsidRPr="00E01AB8">
        <w:rPr>
          <w:rFonts w:ascii="Arial" w:hAnsi="Arial" w:cs="Arial"/>
          <w:lang w:eastAsia="en-GB"/>
        </w:rPr>
        <w:t>. Times of Crises: Ideology and Party System Transformations in Spain. </w:t>
      </w:r>
      <w:proofErr w:type="spellStart"/>
      <w:r w:rsidRPr="00E01AB8">
        <w:rPr>
          <w:rFonts w:ascii="Arial" w:hAnsi="Arial" w:cs="Arial"/>
          <w:i/>
          <w:iCs/>
          <w:lang w:eastAsia="en-GB"/>
        </w:rPr>
        <w:t>Partecipazione</w:t>
      </w:r>
      <w:proofErr w:type="spellEnd"/>
      <w:r w:rsidRPr="00E01AB8">
        <w:rPr>
          <w:rFonts w:ascii="Arial" w:hAnsi="Arial" w:cs="Arial"/>
          <w:i/>
          <w:iCs/>
          <w:lang w:eastAsia="en-GB"/>
        </w:rPr>
        <w:t xml:space="preserve"> e </w:t>
      </w:r>
      <w:proofErr w:type="spellStart"/>
      <w:r w:rsidRPr="00E01AB8">
        <w:rPr>
          <w:rFonts w:ascii="Arial" w:hAnsi="Arial" w:cs="Arial"/>
          <w:i/>
          <w:iCs/>
          <w:lang w:eastAsia="en-GB"/>
        </w:rPr>
        <w:t>Conflitto</w:t>
      </w:r>
      <w:proofErr w:type="spellEnd"/>
      <w:r w:rsidRPr="00E01AB8">
        <w:rPr>
          <w:rFonts w:ascii="Arial" w:hAnsi="Arial" w:cs="Arial"/>
          <w:i/>
          <w:iCs/>
          <w:lang w:eastAsia="en-GB"/>
        </w:rPr>
        <w:t xml:space="preserve"> (PACO)</w:t>
      </w:r>
      <w:r w:rsidRPr="00E01AB8">
        <w:rPr>
          <w:rFonts w:ascii="Arial" w:hAnsi="Arial" w:cs="Arial"/>
          <w:lang w:eastAsia="en-GB"/>
        </w:rPr>
        <w:t xml:space="preserve">. </w:t>
      </w:r>
      <w:hyperlink r:id="rId32" w:history="1">
        <w:r w:rsidRPr="00E01AB8">
          <w:rPr>
            <w:rStyle w:val="Hyperlink"/>
            <w:rFonts w:ascii="Arial" w:hAnsi="Arial" w:cs="Arial"/>
            <w:lang w:eastAsia="en-GB"/>
          </w:rPr>
          <w:t>https://www.academia.edu/download/120127038/Campolongo_and_Olivas_Osuna_Times_of_Crises_2024.pdf</w:t>
        </w:r>
      </w:hyperlink>
    </w:p>
    <w:p w14:paraId="007E56F7" w14:textId="6CE285A4" w:rsidR="00C70520" w:rsidRPr="00E01AB8" w:rsidRDefault="00C70520" w:rsidP="00D445DC">
      <w:pPr>
        <w:jc w:val="both"/>
        <w:rPr>
          <w:rFonts w:ascii="Arial" w:hAnsi="Arial" w:cs="Arial"/>
          <w:lang w:eastAsia="en-GB"/>
        </w:rPr>
      </w:pPr>
      <w:r w:rsidRPr="00E01AB8">
        <w:rPr>
          <w:rFonts w:ascii="Arial" w:hAnsi="Arial" w:cs="Arial"/>
          <w:lang w:eastAsia="en-GB"/>
        </w:rPr>
        <w:t xml:space="preserve">Osewe, P.L., </w:t>
      </w:r>
      <w:r w:rsidR="00B715FF" w:rsidRPr="00E01AB8">
        <w:rPr>
          <w:rFonts w:ascii="Arial" w:hAnsi="Arial" w:cs="Arial"/>
          <w:lang w:eastAsia="en-GB"/>
        </w:rPr>
        <w:t>(</w:t>
      </w:r>
      <w:r w:rsidRPr="00E01AB8">
        <w:rPr>
          <w:rFonts w:ascii="Arial" w:hAnsi="Arial" w:cs="Arial"/>
          <w:lang w:eastAsia="en-GB"/>
        </w:rPr>
        <w:t>2021</w:t>
      </w:r>
      <w:r w:rsidR="00B715FF" w:rsidRPr="00E01AB8">
        <w:rPr>
          <w:rFonts w:ascii="Arial" w:hAnsi="Arial" w:cs="Arial"/>
          <w:lang w:eastAsia="en-GB"/>
        </w:rPr>
        <w:t>)</w:t>
      </w:r>
      <w:r w:rsidRPr="00E01AB8">
        <w:rPr>
          <w:rFonts w:ascii="Arial" w:hAnsi="Arial" w:cs="Arial"/>
          <w:lang w:eastAsia="en-GB"/>
        </w:rPr>
        <w:t>. </w:t>
      </w:r>
      <w:r w:rsidRPr="00E01AB8">
        <w:rPr>
          <w:rFonts w:ascii="Arial" w:hAnsi="Arial" w:cs="Arial"/>
          <w:i/>
          <w:iCs/>
          <w:lang w:eastAsia="en-GB"/>
        </w:rPr>
        <w:t>Pandemic preparedness and response strategies: COVID-19 Lessons from the Republic of Korea, Thailand, and Viet Nam</w:t>
      </w:r>
      <w:r w:rsidRPr="00E01AB8">
        <w:rPr>
          <w:rFonts w:ascii="Arial" w:hAnsi="Arial" w:cs="Arial"/>
          <w:lang w:eastAsia="en-GB"/>
        </w:rPr>
        <w:t xml:space="preserve">. Asian Development Bank. </w:t>
      </w:r>
      <w:hyperlink r:id="rId33" w:history="1">
        <w:r w:rsidRPr="00E01AB8">
          <w:rPr>
            <w:rStyle w:val="Hyperlink"/>
            <w:rFonts w:ascii="Arial" w:hAnsi="Arial" w:cs="Arial"/>
            <w:lang w:eastAsia="en-GB"/>
          </w:rPr>
          <w:t>https://www.adb.org/sites/default/files/publication/743746/pandemic-preparedness-covid-19-lessons.pdf</w:t>
        </w:r>
      </w:hyperlink>
    </w:p>
    <w:p w14:paraId="08D348EC" w14:textId="7E951682" w:rsidR="00B65269" w:rsidRPr="00E01AB8" w:rsidRDefault="00B65269" w:rsidP="00D445DC">
      <w:pPr>
        <w:jc w:val="both"/>
        <w:rPr>
          <w:rFonts w:ascii="Arial" w:hAnsi="Arial" w:cs="Arial"/>
          <w:lang w:eastAsia="en-GB"/>
        </w:rPr>
      </w:pPr>
      <w:r w:rsidRPr="00E01AB8">
        <w:rPr>
          <w:rFonts w:ascii="Arial" w:hAnsi="Arial" w:cs="Arial"/>
          <w:lang w:eastAsia="en-GB"/>
        </w:rPr>
        <w:t xml:space="preserve">Rallo, H., Sánchez, A., Canals, L. and Amante, B., </w:t>
      </w:r>
      <w:r w:rsidR="00B715FF" w:rsidRPr="00E01AB8">
        <w:rPr>
          <w:rFonts w:ascii="Arial" w:hAnsi="Arial" w:cs="Arial"/>
          <w:lang w:eastAsia="en-GB"/>
        </w:rPr>
        <w:t>(</w:t>
      </w:r>
      <w:r w:rsidRPr="00E01AB8">
        <w:rPr>
          <w:rFonts w:ascii="Arial" w:hAnsi="Arial" w:cs="Arial"/>
          <w:lang w:eastAsia="en-GB"/>
        </w:rPr>
        <w:t>2022</w:t>
      </w:r>
      <w:r w:rsidR="00B715FF" w:rsidRPr="00E01AB8">
        <w:rPr>
          <w:rFonts w:ascii="Arial" w:hAnsi="Arial" w:cs="Arial"/>
          <w:lang w:eastAsia="en-GB"/>
        </w:rPr>
        <w:t>)</w:t>
      </w:r>
      <w:r w:rsidRPr="00E01AB8">
        <w:rPr>
          <w:rFonts w:ascii="Arial" w:hAnsi="Arial" w:cs="Arial"/>
          <w:lang w:eastAsia="en-GB"/>
        </w:rPr>
        <w:t>. Battery dismantling centre in Europe: A centralized vs decentralized analysis. </w:t>
      </w:r>
      <w:r w:rsidRPr="00E01AB8">
        <w:rPr>
          <w:rFonts w:ascii="Arial" w:hAnsi="Arial" w:cs="Arial"/>
          <w:i/>
          <w:iCs/>
          <w:lang w:eastAsia="en-GB"/>
        </w:rPr>
        <w:t>Resources, conservation &amp; recycling advances</w:t>
      </w:r>
      <w:r w:rsidRPr="00E01AB8">
        <w:rPr>
          <w:rFonts w:ascii="Arial" w:hAnsi="Arial" w:cs="Arial"/>
          <w:lang w:eastAsia="en-GB"/>
        </w:rPr>
        <w:t>, </w:t>
      </w:r>
      <w:r w:rsidRPr="00E01AB8">
        <w:rPr>
          <w:rFonts w:ascii="Arial" w:hAnsi="Arial" w:cs="Arial"/>
          <w:i/>
          <w:iCs/>
          <w:lang w:eastAsia="en-GB"/>
        </w:rPr>
        <w:t>15</w:t>
      </w:r>
      <w:r w:rsidRPr="00E01AB8">
        <w:rPr>
          <w:rFonts w:ascii="Arial" w:hAnsi="Arial" w:cs="Arial"/>
          <w:lang w:eastAsia="en-GB"/>
        </w:rPr>
        <w:t xml:space="preserve">, p.200087. </w:t>
      </w:r>
      <w:hyperlink r:id="rId34" w:history="1">
        <w:r w:rsidRPr="00E01AB8">
          <w:rPr>
            <w:rStyle w:val="Hyperlink"/>
            <w:rFonts w:ascii="Arial" w:hAnsi="Arial" w:cs="Arial"/>
            <w:lang w:eastAsia="en-GB"/>
          </w:rPr>
          <w:t>https://www.sciencedirect.com/science/article/pii/S2667378922000256</w:t>
        </w:r>
      </w:hyperlink>
    </w:p>
    <w:p w14:paraId="21DC23E1" w14:textId="26E85DBE" w:rsidR="00467AD9" w:rsidRPr="00E01AB8" w:rsidRDefault="00467AD9" w:rsidP="00D445DC">
      <w:pPr>
        <w:jc w:val="both"/>
        <w:rPr>
          <w:rFonts w:ascii="Arial" w:hAnsi="Arial" w:cs="Arial"/>
          <w:lang w:eastAsia="en-GB"/>
        </w:rPr>
      </w:pPr>
      <w:r w:rsidRPr="00E01AB8">
        <w:rPr>
          <w:rFonts w:ascii="Arial" w:hAnsi="Arial" w:cs="Arial"/>
          <w:lang w:eastAsia="en-GB"/>
        </w:rPr>
        <w:t xml:space="preserve">Sánchez, M.Á. and Latorre, M., </w:t>
      </w:r>
      <w:r w:rsidR="00B715FF" w:rsidRPr="00E01AB8">
        <w:rPr>
          <w:rFonts w:ascii="Arial" w:hAnsi="Arial" w:cs="Arial"/>
          <w:lang w:eastAsia="en-GB"/>
        </w:rPr>
        <w:t>(</w:t>
      </w:r>
      <w:r w:rsidRPr="00E01AB8">
        <w:rPr>
          <w:rFonts w:ascii="Arial" w:hAnsi="Arial" w:cs="Arial"/>
          <w:lang w:eastAsia="en-GB"/>
        </w:rPr>
        <w:t>2022</w:t>
      </w:r>
      <w:r w:rsidR="00B715FF" w:rsidRPr="00E01AB8">
        <w:rPr>
          <w:rFonts w:ascii="Arial" w:hAnsi="Arial" w:cs="Arial"/>
          <w:lang w:eastAsia="en-GB"/>
        </w:rPr>
        <w:t>)</w:t>
      </w:r>
      <w:r w:rsidRPr="00E01AB8">
        <w:rPr>
          <w:rFonts w:ascii="Arial" w:hAnsi="Arial" w:cs="Arial"/>
          <w:lang w:eastAsia="en-GB"/>
        </w:rPr>
        <w:t>. “Everything will be alright”: Emotion rules, the institutional framework and social mobilisation during the COVID-19 pandemic in Spain. In </w:t>
      </w:r>
      <w:r w:rsidRPr="00E01AB8">
        <w:rPr>
          <w:rFonts w:ascii="Arial" w:hAnsi="Arial" w:cs="Arial"/>
          <w:i/>
          <w:iCs/>
          <w:lang w:eastAsia="en-GB"/>
        </w:rPr>
        <w:t>COVID-19 and Social Change in Spain</w:t>
      </w:r>
      <w:r w:rsidRPr="00E01AB8">
        <w:rPr>
          <w:rFonts w:ascii="Arial" w:hAnsi="Arial" w:cs="Arial"/>
          <w:lang w:eastAsia="en-GB"/>
        </w:rPr>
        <w:t xml:space="preserve"> (pp. 47-59). Routledge. </w:t>
      </w:r>
      <w:hyperlink r:id="rId35" w:history="1">
        <w:r w:rsidRPr="00E01AB8">
          <w:rPr>
            <w:rStyle w:val="Hyperlink"/>
            <w:rFonts w:ascii="Arial" w:hAnsi="Arial" w:cs="Arial"/>
            <w:lang w:eastAsia="en-GB"/>
          </w:rPr>
          <w:t>https://www.taylorfrancis.com/chapters/edit/10.4324/9781003281719-6/everything-alright-miguel-%C3%A1ngel-s%C3%A1nchez-marta-latorre</w:t>
        </w:r>
      </w:hyperlink>
    </w:p>
    <w:p w14:paraId="46ABB6EE" w14:textId="12A59671" w:rsidR="0019154E" w:rsidRPr="00E01AB8" w:rsidRDefault="0019154E" w:rsidP="00D445DC">
      <w:pPr>
        <w:jc w:val="both"/>
        <w:rPr>
          <w:rFonts w:ascii="Arial" w:hAnsi="Arial" w:cs="Arial"/>
          <w:lang w:eastAsia="en-GB"/>
        </w:rPr>
      </w:pPr>
      <w:r w:rsidRPr="00E01AB8">
        <w:rPr>
          <w:rFonts w:ascii="Arial" w:hAnsi="Arial" w:cs="Arial"/>
          <w:lang w:eastAsia="en-GB"/>
        </w:rPr>
        <w:t xml:space="preserve">Sundquist, S., Batist, G., Brodeur-Robb, K., Dyck, K., </w:t>
      </w:r>
      <w:proofErr w:type="spellStart"/>
      <w:r w:rsidRPr="00E01AB8">
        <w:rPr>
          <w:rFonts w:ascii="Arial" w:hAnsi="Arial" w:cs="Arial"/>
          <w:lang w:eastAsia="en-GB"/>
        </w:rPr>
        <w:t>Eigl</w:t>
      </w:r>
      <w:proofErr w:type="spellEnd"/>
      <w:r w:rsidRPr="00E01AB8">
        <w:rPr>
          <w:rFonts w:ascii="Arial" w:hAnsi="Arial" w:cs="Arial"/>
          <w:lang w:eastAsia="en-GB"/>
        </w:rPr>
        <w:t xml:space="preserve">, B.J., Lee, D.K., Limoges, J., Longstaff, H., </w:t>
      </w:r>
      <w:proofErr w:type="spellStart"/>
      <w:r w:rsidRPr="00E01AB8">
        <w:rPr>
          <w:rFonts w:ascii="Arial" w:hAnsi="Arial" w:cs="Arial"/>
          <w:lang w:eastAsia="en-GB"/>
        </w:rPr>
        <w:t>Pankovich</w:t>
      </w:r>
      <w:proofErr w:type="spellEnd"/>
      <w:r w:rsidRPr="00E01AB8">
        <w:rPr>
          <w:rFonts w:ascii="Arial" w:hAnsi="Arial" w:cs="Arial"/>
          <w:lang w:eastAsia="en-GB"/>
        </w:rPr>
        <w:t xml:space="preserve">, J., Sadura, A. and Sullivan, P., </w:t>
      </w:r>
      <w:r w:rsidR="00B715FF" w:rsidRPr="00E01AB8">
        <w:rPr>
          <w:rFonts w:ascii="Arial" w:hAnsi="Arial" w:cs="Arial"/>
          <w:lang w:eastAsia="en-GB"/>
        </w:rPr>
        <w:t>(</w:t>
      </w:r>
      <w:r w:rsidRPr="00E01AB8">
        <w:rPr>
          <w:rFonts w:ascii="Arial" w:hAnsi="Arial" w:cs="Arial"/>
          <w:lang w:eastAsia="en-GB"/>
        </w:rPr>
        <w:t>2021</w:t>
      </w:r>
      <w:r w:rsidR="00B715FF" w:rsidRPr="00E01AB8">
        <w:rPr>
          <w:rFonts w:ascii="Arial" w:hAnsi="Arial" w:cs="Arial"/>
          <w:lang w:eastAsia="en-GB"/>
        </w:rPr>
        <w:t>)</w:t>
      </w:r>
      <w:r w:rsidRPr="00E01AB8">
        <w:rPr>
          <w:rFonts w:ascii="Arial" w:hAnsi="Arial" w:cs="Arial"/>
          <w:lang w:eastAsia="en-GB"/>
        </w:rPr>
        <w:t>. CRAFT—A proposed framework for decentralized clinical trials participation in Canada. </w:t>
      </w:r>
      <w:r w:rsidRPr="00E01AB8">
        <w:rPr>
          <w:rFonts w:ascii="Arial" w:hAnsi="Arial" w:cs="Arial"/>
          <w:i/>
          <w:iCs/>
          <w:lang w:eastAsia="en-GB"/>
        </w:rPr>
        <w:t>Current Oncology</w:t>
      </w:r>
      <w:r w:rsidRPr="00E01AB8">
        <w:rPr>
          <w:rFonts w:ascii="Arial" w:hAnsi="Arial" w:cs="Arial"/>
          <w:lang w:eastAsia="en-GB"/>
        </w:rPr>
        <w:t>, </w:t>
      </w:r>
      <w:r w:rsidRPr="00E01AB8">
        <w:rPr>
          <w:rFonts w:ascii="Arial" w:hAnsi="Arial" w:cs="Arial"/>
          <w:i/>
          <w:iCs/>
          <w:lang w:eastAsia="en-GB"/>
        </w:rPr>
        <w:t>28</w:t>
      </w:r>
      <w:r w:rsidRPr="00E01AB8">
        <w:rPr>
          <w:rFonts w:ascii="Arial" w:hAnsi="Arial" w:cs="Arial"/>
          <w:lang w:eastAsia="en-GB"/>
        </w:rPr>
        <w:t xml:space="preserve">(5), pp.3857-3865. </w:t>
      </w:r>
      <w:hyperlink r:id="rId36" w:history="1">
        <w:r w:rsidRPr="00E01AB8">
          <w:rPr>
            <w:rStyle w:val="Hyperlink"/>
            <w:rFonts w:ascii="Arial" w:hAnsi="Arial" w:cs="Arial"/>
            <w:lang w:eastAsia="en-GB"/>
          </w:rPr>
          <w:t>https://www.mdpi.com/1718-7729/28/5/329</w:t>
        </w:r>
      </w:hyperlink>
    </w:p>
    <w:p w14:paraId="7CA60A80" w14:textId="5144991B" w:rsidR="00175560" w:rsidRPr="00E01AB8" w:rsidRDefault="00175560" w:rsidP="00D445DC">
      <w:pPr>
        <w:jc w:val="both"/>
        <w:rPr>
          <w:rFonts w:ascii="Arial" w:hAnsi="Arial" w:cs="Arial"/>
          <w:lang w:eastAsia="en-GB"/>
        </w:rPr>
      </w:pPr>
      <w:r w:rsidRPr="00E01AB8">
        <w:rPr>
          <w:rFonts w:ascii="Arial" w:hAnsi="Arial" w:cs="Arial"/>
          <w:lang w:eastAsia="en-GB"/>
        </w:rPr>
        <w:t xml:space="preserve">Tercan, C., </w:t>
      </w:r>
      <w:r w:rsidR="00675363" w:rsidRPr="00E01AB8">
        <w:rPr>
          <w:rFonts w:ascii="Arial" w:hAnsi="Arial" w:cs="Arial"/>
          <w:lang w:eastAsia="en-GB"/>
        </w:rPr>
        <w:t>(</w:t>
      </w:r>
      <w:r w:rsidRPr="00E01AB8">
        <w:rPr>
          <w:rFonts w:ascii="Arial" w:hAnsi="Arial" w:cs="Arial"/>
          <w:lang w:eastAsia="en-GB"/>
        </w:rPr>
        <w:t>2024</w:t>
      </w:r>
      <w:r w:rsidR="00675363" w:rsidRPr="00E01AB8">
        <w:rPr>
          <w:rFonts w:ascii="Arial" w:hAnsi="Arial" w:cs="Arial"/>
          <w:lang w:eastAsia="en-GB"/>
        </w:rPr>
        <w:t>)</w:t>
      </w:r>
      <w:r w:rsidRPr="00E01AB8">
        <w:rPr>
          <w:rFonts w:ascii="Arial" w:hAnsi="Arial" w:cs="Arial"/>
          <w:lang w:eastAsia="en-GB"/>
        </w:rPr>
        <w:t xml:space="preserve">. THE ERA OF PRESIDENT PEDRO SANCHEZ IN SPAIN: ECONOMY, PROTESTS, CATALAN AMNESTY, LAWFARE AND FAR RIGHT </w:t>
      </w:r>
      <w:r w:rsidRPr="00E01AB8">
        <w:rPr>
          <w:rFonts w:ascii="Arial" w:hAnsi="Arial" w:cs="Arial"/>
          <w:lang w:eastAsia="en-GB"/>
        </w:rPr>
        <w:lastRenderedPageBreak/>
        <w:t>WINGS. </w:t>
      </w:r>
      <w:r w:rsidRPr="00E01AB8">
        <w:rPr>
          <w:rFonts w:ascii="Arial" w:hAnsi="Arial" w:cs="Arial"/>
          <w:i/>
          <w:iCs/>
          <w:lang w:eastAsia="en-GB"/>
        </w:rPr>
        <w:t xml:space="preserve">Akademik </w:t>
      </w:r>
      <w:proofErr w:type="spellStart"/>
      <w:r w:rsidRPr="00E01AB8">
        <w:rPr>
          <w:rFonts w:ascii="Arial" w:hAnsi="Arial" w:cs="Arial"/>
          <w:i/>
          <w:iCs/>
          <w:lang w:eastAsia="en-GB"/>
        </w:rPr>
        <w:t>Düşünce</w:t>
      </w:r>
      <w:proofErr w:type="spellEnd"/>
      <w:r w:rsidRPr="00E01AB8">
        <w:rPr>
          <w:rFonts w:ascii="Arial" w:hAnsi="Arial" w:cs="Arial"/>
          <w:i/>
          <w:iCs/>
          <w:lang w:eastAsia="en-GB"/>
        </w:rPr>
        <w:t xml:space="preserve"> </w:t>
      </w:r>
      <w:proofErr w:type="spellStart"/>
      <w:r w:rsidRPr="00E01AB8">
        <w:rPr>
          <w:rFonts w:ascii="Arial" w:hAnsi="Arial" w:cs="Arial"/>
          <w:i/>
          <w:iCs/>
          <w:lang w:eastAsia="en-GB"/>
        </w:rPr>
        <w:t>Dergisi</w:t>
      </w:r>
      <w:proofErr w:type="spellEnd"/>
      <w:r w:rsidRPr="00E01AB8">
        <w:rPr>
          <w:rFonts w:ascii="Arial" w:hAnsi="Arial" w:cs="Arial"/>
          <w:lang w:eastAsia="en-GB"/>
        </w:rPr>
        <w:t xml:space="preserve">, (10), pp.45-70. </w:t>
      </w:r>
      <w:hyperlink r:id="rId37" w:history="1">
        <w:r w:rsidRPr="00E01AB8">
          <w:rPr>
            <w:rStyle w:val="Hyperlink"/>
            <w:rFonts w:ascii="Arial" w:hAnsi="Arial" w:cs="Arial"/>
            <w:lang w:eastAsia="en-GB"/>
          </w:rPr>
          <w:t>https://dergipark.org.tr/en/doi/10.53507/akademikdusunce.1584010</w:t>
        </w:r>
      </w:hyperlink>
    </w:p>
    <w:p w14:paraId="583B513A" w14:textId="0F6DE914" w:rsidR="00ED2384" w:rsidRPr="00E01AB8" w:rsidRDefault="00ED2384" w:rsidP="00D445DC">
      <w:pPr>
        <w:jc w:val="both"/>
        <w:rPr>
          <w:rFonts w:ascii="Arial" w:hAnsi="Arial" w:cs="Arial"/>
          <w:lang w:eastAsia="en-GB"/>
        </w:rPr>
      </w:pPr>
      <w:r w:rsidRPr="00E01AB8">
        <w:rPr>
          <w:rFonts w:ascii="Arial" w:hAnsi="Arial" w:cs="Arial"/>
          <w:lang w:eastAsia="en-GB"/>
        </w:rPr>
        <w:t xml:space="preserve">Thakur, D.J., Verma, P. and Sharma, D., </w:t>
      </w:r>
      <w:r w:rsidR="00675363" w:rsidRPr="00E01AB8">
        <w:rPr>
          <w:rFonts w:ascii="Arial" w:hAnsi="Arial" w:cs="Arial"/>
          <w:lang w:eastAsia="en-GB"/>
        </w:rPr>
        <w:t>(</w:t>
      </w:r>
      <w:r w:rsidRPr="00E01AB8">
        <w:rPr>
          <w:rFonts w:ascii="Arial" w:hAnsi="Arial" w:cs="Arial"/>
          <w:lang w:eastAsia="en-GB"/>
        </w:rPr>
        <w:t>2019</w:t>
      </w:r>
      <w:r w:rsidR="00675363" w:rsidRPr="00E01AB8">
        <w:rPr>
          <w:rFonts w:ascii="Arial" w:hAnsi="Arial" w:cs="Arial"/>
          <w:lang w:eastAsia="en-GB"/>
        </w:rPr>
        <w:t>)</w:t>
      </w:r>
      <w:r w:rsidRPr="00E01AB8">
        <w:rPr>
          <w:rFonts w:ascii="Arial" w:hAnsi="Arial" w:cs="Arial"/>
          <w:lang w:eastAsia="en-GB"/>
        </w:rPr>
        <w:t>. Influence of leadership style: A review. </w:t>
      </w:r>
      <w:r w:rsidRPr="00E01AB8">
        <w:rPr>
          <w:rFonts w:ascii="Arial" w:hAnsi="Arial" w:cs="Arial"/>
          <w:i/>
          <w:iCs/>
          <w:lang w:eastAsia="en-GB"/>
        </w:rPr>
        <w:t>International Journal of Advanced Science and Technology</w:t>
      </w:r>
      <w:r w:rsidRPr="00E01AB8">
        <w:rPr>
          <w:rFonts w:ascii="Arial" w:hAnsi="Arial" w:cs="Arial"/>
          <w:lang w:eastAsia="en-GB"/>
        </w:rPr>
        <w:t>, </w:t>
      </w:r>
      <w:r w:rsidRPr="00E01AB8">
        <w:rPr>
          <w:rFonts w:ascii="Arial" w:hAnsi="Arial" w:cs="Arial"/>
          <w:i/>
          <w:iCs/>
          <w:lang w:eastAsia="en-GB"/>
        </w:rPr>
        <w:t>28</w:t>
      </w:r>
      <w:r w:rsidRPr="00E01AB8">
        <w:rPr>
          <w:rFonts w:ascii="Arial" w:hAnsi="Arial" w:cs="Arial"/>
          <w:lang w:eastAsia="en-GB"/>
        </w:rPr>
        <w:t xml:space="preserve">(20), pp.945-952. </w:t>
      </w:r>
      <w:hyperlink r:id="rId38" w:history="1">
        <w:r w:rsidRPr="00E01AB8">
          <w:rPr>
            <w:rStyle w:val="Hyperlink"/>
            <w:rFonts w:ascii="Arial" w:hAnsi="Arial" w:cs="Arial"/>
            <w:lang w:eastAsia="en-GB"/>
          </w:rPr>
          <w:t>https://www.researchgate.net/profile/Pooja-Verma-14/publication/340600493_Influence_of_Leadership_Style_A_Review/links/64cf779c40a524707b9a1230/Influence-of-Leadership-Style-A-Review.pdf</w:t>
        </w:r>
      </w:hyperlink>
    </w:p>
    <w:p w14:paraId="531CA164" w14:textId="2265807C" w:rsidR="00AF17F3" w:rsidRPr="00E01AB8" w:rsidRDefault="00AF17F3" w:rsidP="00D445DC">
      <w:pPr>
        <w:jc w:val="both"/>
        <w:rPr>
          <w:rFonts w:ascii="Arial" w:hAnsi="Arial" w:cs="Arial"/>
          <w:lang w:eastAsia="en-GB"/>
        </w:rPr>
      </w:pPr>
      <w:r w:rsidRPr="00E01AB8">
        <w:rPr>
          <w:rFonts w:ascii="Arial" w:hAnsi="Arial" w:cs="Arial"/>
          <w:lang w:eastAsia="en-GB"/>
        </w:rPr>
        <w:t>Whitelaw, S., Mamas, M.A., Topol, E. and Van Spall, H.G., 2020. Applications of digital technology in COVID-19 pandemic planning and response. </w:t>
      </w:r>
      <w:r w:rsidRPr="00E01AB8">
        <w:rPr>
          <w:rFonts w:ascii="Arial" w:hAnsi="Arial" w:cs="Arial"/>
          <w:i/>
          <w:iCs/>
          <w:lang w:eastAsia="en-GB"/>
        </w:rPr>
        <w:t>The Lancet Digital Health</w:t>
      </w:r>
      <w:r w:rsidRPr="00E01AB8">
        <w:rPr>
          <w:rFonts w:ascii="Arial" w:hAnsi="Arial" w:cs="Arial"/>
          <w:lang w:eastAsia="en-GB"/>
        </w:rPr>
        <w:t>, </w:t>
      </w:r>
      <w:r w:rsidRPr="00E01AB8">
        <w:rPr>
          <w:rFonts w:ascii="Arial" w:hAnsi="Arial" w:cs="Arial"/>
          <w:i/>
          <w:iCs/>
          <w:lang w:eastAsia="en-GB"/>
        </w:rPr>
        <w:t>2</w:t>
      </w:r>
      <w:r w:rsidRPr="00E01AB8">
        <w:rPr>
          <w:rFonts w:ascii="Arial" w:hAnsi="Arial" w:cs="Arial"/>
          <w:lang w:eastAsia="en-GB"/>
        </w:rPr>
        <w:t xml:space="preserve">(8), </w:t>
      </w:r>
      <w:proofErr w:type="gramStart"/>
      <w:r w:rsidRPr="00E01AB8">
        <w:rPr>
          <w:rFonts w:ascii="Arial" w:hAnsi="Arial" w:cs="Arial"/>
          <w:lang w:eastAsia="en-GB"/>
        </w:rPr>
        <w:t>pp.e</w:t>
      </w:r>
      <w:proofErr w:type="gramEnd"/>
      <w:r w:rsidRPr="00E01AB8">
        <w:rPr>
          <w:rFonts w:ascii="Arial" w:hAnsi="Arial" w:cs="Arial"/>
          <w:lang w:eastAsia="en-GB"/>
        </w:rPr>
        <w:t xml:space="preserve">435-e440. </w:t>
      </w:r>
      <w:hyperlink r:id="rId39" w:history="1">
        <w:r w:rsidRPr="00E01AB8">
          <w:rPr>
            <w:rStyle w:val="Hyperlink"/>
            <w:rFonts w:ascii="Arial" w:hAnsi="Arial" w:cs="Arial"/>
            <w:lang w:eastAsia="en-GB"/>
          </w:rPr>
          <w:t>https://www.thelancet.com/journals/landig/article/PIIS2589-7500%2820%2930142-4/fulltext?ref=hackernoon.com</w:t>
        </w:r>
      </w:hyperlink>
    </w:p>
    <w:p w14:paraId="12584542" w14:textId="644556B7" w:rsidR="00B65269" w:rsidRPr="00E01AB8" w:rsidRDefault="002822AC" w:rsidP="00D445DC">
      <w:pPr>
        <w:jc w:val="both"/>
        <w:rPr>
          <w:rFonts w:ascii="Arial" w:hAnsi="Arial" w:cs="Arial"/>
          <w:lang w:eastAsia="en-GB"/>
        </w:rPr>
      </w:pPr>
      <w:r w:rsidRPr="00E01AB8">
        <w:rPr>
          <w:rFonts w:ascii="Arial" w:hAnsi="Arial" w:cs="Arial"/>
          <w:lang w:eastAsia="en-GB"/>
        </w:rPr>
        <w:t xml:space="preserve">Yuan, E.J., </w:t>
      </w:r>
      <w:r w:rsidR="00675363" w:rsidRPr="00E01AB8">
        <w:rPr>
          <w:rFonts w:ascii="Arial" w:hAnsi="Arial" w:cs="Arial"/>
          <w:lang w:eastAsia="en-GB"/>
        </w:rPr>
        <w:t>(</w:t>
      </w:r>
      <w:r w:rsidRPr="00E01AB8">
        <w:rPr>
          <w:rFonts w:ascii="Arial" w:hAnsi="Arial" w:cs="Arial"/>
          <w:lang w:eastAsia="en-GB"/>
        </w:rPr>
        <w:t>2021</w:t>
      </w:r>
      <w:r w:rsidR="00675363" w:rsidRPr="00E01AB8">
        <w:rPr>
          <w:rFonts w:ascii="Arial" w:hAnsi="Arial" w:cs="Arial"/>
          <w:lang w:eastAsia="en-GB"/>
        </w:rPr>
        <w:t>)</w:t>
      </w:r>
      <w:r w:rsidRPr="00E01AB8">
        <w:rPr>
          <w:rFonts w:ascii="Arial" w:hAnsi="Arial" w:cs="Arial"/>
          <w:lang w:eastAsia="en-GB"/>
        </w:rPr>
        <w:t>. Governing risk society: the socio-technological experiences of China and South Korea in the COVID-19 pandemic. </w:t>
      </w:r>
      <w:r w:rsidRPr="00E01AB8">
        <w:rPr>
          <w:rFonts w:ascii="Arial" w:hAnsi="Arial" w:cs="Arial"/>
          <w:i/>
          <w:iCs/>
          <w:lang w:eastAsia="en-GB"/>
        </w:rPr>
        <w:t>Asian Journal of Communication</w:t>
      </w:r>
      <w:r w:rsidRPr="00E01AB8">
        <w:rPr>
          <w:rFonts w:ascii="Arial" w:hAnsi="Arial" w:cs="Arial"/>
          <w:lang w:eastAsia="en-GB"/>
        </w:rPr>
        <w:t>, </w:t>
      </w:r>
      <w:r w:rsidRPr="00E01AB8">
        <w:rPr>
          <w:rFonts w:ascii="Arial" w:hAnsi="Arial" w:cs="Arial"/>
          <w:i/>
          <w:iCs/>
          <w:lang w:eastAsia="en-GB"/>
        </w:rPr>
        <w:t>31</w:t>
      </w:r>
      <w:r w:rsidRPr="00E01AB8">
        <w:rPr>
          <w:rFonts w:ascii="Arial" w:hAnsi="Arial" w:cs="Arial"/>
          <w:lang w:eastAsia="en-GB"/>
        </w:rPr>
        <w:t xml:space="preserve">(5), pp.322-336. </w:t>
      </w:r>
      <w:hyperlink r:id="rId40" w:history="1">
        <w:r w:rsidRPr="00E01AB8">
          <w:rPr>
            <w:rStyle w:val="Hyperlink"/>
            <w:rFonts w:ascii="Arial" w:hAnsi="Arial" w:cs="Arial"/>
            <w:lang w:eastAsia="en-GB"/>
          </w:rPr>
          <w:t>https://www.tandfonline.com/doi/abs/10.1080/01292986.2021.1913620</w:t>
        </w:r>
      </w:hyperlink>
    </w:p>
    <w:p w14:paraId="4C5417D6" w14:textId="3F8E6ABD" w:rsidR="005B4F28" w:rsidRPr="00E01AB8" w:rsidRDefault="005B4F28" w:rsidP="00D445DC">
      <w:pPr>
        <w:jc w:val="both"/>
        <w:rPr>
          <w:rFonts w:ascii="Arial" w:hAnsi="Arial" w:cs="Arial"/>
          <w:lang w:eastAsia="en-GB"/>
        </w:rPr>
      </w:pPr>
      <w:proofErr w:type="spellStart"/>
      <w:r w:rsidRPr="00E01AB8">
        <w:rPr>
          <w:rFonts w:ascii="Arial" w:hAnsi="Arial" w:cs="Arial"/>
          <w:lang w:eastAsia="en-GB"/>
        </w:rPr>
        <w:t>Zubcoff</w:t>
      </w:r>
      <w:proofErr w:type="spellEnd"/>
      <w:r w:rsidRPr="00E01AB8">
        <w:rPr>
          <w:rFonts w:ascii="Arial" w:hAnsi="Arial" w:cs="Arial"/>
          <w:lang w:eastAsia="en-GB"/>
        </w:rPr>
        <w:t xml:space="preserve">, J.J., </w:t>
      </w:r>
      <w:proofErr w:type="spellStart"/>
      <w:r w:rsidRPr="00E01AB8">
        <w:rPr>
          <w:rFonts w:ascii="Arial" w:hAnsi="Arial" w:cs="Arial"/>
          <w:lang w:eastAsia="en-GB"/>
        </w:rPr>
        <w:t>Olcina</w:t>
      </w:r>
      <w:proofErr w:type="spellEnd"/>
      <w:r w:rsidRPr="00E01AB8">
        <w:rPr>
          <w:rFonts w:ascii="Arial" w:hAnsi="Arial" w:cs="Arial"/>
          <w:lang w:eastAsia="en-GB"/>
        </w:rPr>
        <w:t xml:space="preserve">, J., Morales, J., </w:t>
      </w:r>
      <w:proofErr w:type="spellStart"/>
      <w:r w:rsidRPr="00E01AB8">
        <w:rPr>
          <w:rFonts w:ascii="Arial" w:hAnsi="Arial" w:cs="Arial"/>
          <w:lang w:eastAsia="en-GB"/>
        </w:rPr>
        <w:t>Mazón</w:t>
      </w:r>
      <w:proofErr w:type="spellEnd"/>
      <w:r w:rsidRPr="00E01AB8">
        <w:rPr>
          <w:rFonts w:ascii="Arial" w:hAnsi="Arial" w:cs="Arial"/>
          <w:lang w:eastAsia="en-GB"/>
        </w:rPr>
        <w:t>, J.N. and Mayoral, A.M., 2023. Usefulness of open data to determine the incidence of COVID-19 and its relationship with atmospheric variables in Spain during the 2020 lockdown. </w:t>
      </w:r>
      <w:r w:rsidRPr="00E01AB8">
        <w:rPr>
          <w:rFonts w:ascii="Arial" w:hAnsi="Arial" w:cs="Arial"/>
          <w:i/>
          <w:iCs/>
          <w:lang w:eastAsia="en-GB"/>
        </w:rPr>
        <w:t>Technological Forecasting and Social Change</w:t>
      </w:r>
      <w:r w:rsidRPr="00E01AB8">
        <w:rPr>
          <w:rFonts w:ascii="Arial" w:hAnsi="Arial" w:cs="Arial"/>
          <w:lang w:eastAsia="en-GB"/>
        </w:rPr>
        <w:t>, </w:t>
      </w:r>
      <w:r w:rsidRPr="00E01AB8">
        <w:rPr>
          <w:rFonts w:ascii="Arial" w:hAnsi="Arial" w:cs="Arial"/>
          <w:i/>
          <w:iCs/>
          <w:lang w:eastAsia="en-GB"/>
        </w:rPr>
        <w:t>186</w:t>
      </w:r>
      <w:r w:rsidRPr="00E01AB8">
        <w:rPr>
          <w:rFonts w:ascii="Arial" w:hAnsi="Arial" w:cs="Arial"/>
          <w:lang w:eastAsia="en-GB"/>
        </w:rPr>
        <w:t xml:space="preserve">, p.122108. </w:t>
      </w:r>
      <w:hyperlink r:id="rId41" w:history="1">
        <w:r w:rsidRPr="00E01AB8">
          <w:rPr>
            <w:rStyle w:val="Hyperlink"/>
            <w:rFonts w:ascii="Arial" w:hAnsi="Arial" w:cs="Arial"/>
            <w:lang w:eastAsia="en-GB"/>
          </w:rPr>
          <w:t>https://www.sciencedirect.com/science/article/pii/S0040162522006291</w:t>
        </w:r>
      </w:hyperlink>
    </w:p>
    <w:p w14:paraId="04B351A7" w14:textId="77777777" w:rsidR="005B4F28" w:rsidRPr="00E01AB8" w:rsidRDefault="005B4F28" w:rsidP="00D445DC">
      <w:pPr>
        <w:jc w:val="both"/>
        <w:rPr>
          <w:rFonts w:ascii="Arial" w:hAnsi="Arial" w:cs="Arial"/>
          <w:lang w:eastAsia="en-GB"/>
        </w:rPr>
      </w:pPr>
    </w:p>
    <w:p w14:paraId="3BD35030" w14:textId="77777777" w:rsidR="002822AC" w:rsidRPr="00E01AB8" w:rsidRDefault="002822AC" w:rsidP="00D445DC">
      <w:pPr>
        <w:jc w:val="both"/>
        <w:rPr>
          <w:rFonts w:ascii="Arial" w:hAnsi="Arial" w:cs="Arial"/>
          <w:lang w:eastAsia="en-GB"/>
        </w:rPr>
      </w:pPr>
    </w:p>
    <w:p w14:paraId="2E838CA4" w14:textId="77777777" w:rsidR="009B4AC4" w:rsidRPr="00E01AB8" w:rsidRDefault="009B4AC4" w:rsidP="00D445DC">
      <w:pPr>
        <w:jc w:val="both"/>
        <w:rPr>
          <w:rFonts w:ascii="Arial" w:hAnsi="Arial" w:cs="Arial"/>
          <w:lang w:eastAsia="en-GB"/>
        </w:rPr>
      </w:pPr>
    </w:p>
    <w:p w14:paraId="507C1899" w14:textId="77777777" w:rsidR="00146B08" w:rsidRPr="00E01AB8" w:rsidRDefault="00146B08" w:rsidP="00D445DC">
      <w:pPr>
        <w:jc w:val="both"/>
        <w:rPr>
          <w:rFonts w:ascii="Arial" w:hAnsi="Arial" w:cs="Arial"/>
          <w:lang w:eastAsia="en-GB"/>
        </w:rPr>
      </w:pPr>
    </w:p>
    <w:sectPr w:rsidR="00146B08" w:rsidRPr="00E01AB8" w:rsidSect="00E01AB8">
      <w:footerReference w:type="default" r:id="rId42"/>
      <w:pgSz w:w="11906" w:h="16838"/>
      <w:pgMar w:top="1440" w:right="1440" w:bottom="1440" w:left="144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7C218" w14:textId="77777777" w:rsidR="00F84D9D" w:rsidRDefault="00F84D9D" w:rsidP="00E01AB8">
      <w:pPr>
        <w:spacing w:after="0" w:line="240" w:lineRule="auto"/>
      </w:pPr>
      <w:r>
        <w:separator/>
      </w:r>
    </w:p>
  </w:endnote>
  <w:endnote w:type="continuationSeparator" w:id="0">
    <w:p w14:paraId="68AFEA1B" w14:textId="77777777" w:rsidR="00F84D9D" w:rsidRDefault="00F84D9D" w:rsidP="00E01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829644"/>
      <w:docPartObj>
        <w:docPartGallery w:val="Page Numbers (Bottom of Page)"/>
        <w:docPartUnique/>
      </w:docPartObj>
    </w:sdtPr>
    <w:sdtEndPr/>
    <w:sdtContent>
      <w:p w14:paraId="4AB153BC" w14:textId="0C5B8985" w:rsidR="00E01AB8" w:rsidRDefault="00E01AB8">
        <w:pPr>
          <w:pStyle w:val="Footer"/>
          <w:jc w:val="right"/>
        </w:pPr>
        <w:r>
          <w:fldChar w:fldCharType="begin"/>
        </w:r>
        <w:r>
          <w:instrText>PAGE   \* MERGEFORMAT</w:instrText>
        </w:r>
        <w:r>
          <w:fldChar w:fldCharType="separate"/>
        </w:r>
        <w:r>
          <w:t>2</w:t>
        </w:r>
        <w:r>
          <w:fldChar w:fldCharType="end"/>
        </w:r>
      </w:p>
    </w:sdtContent>
  </w:sdt>
  <w:p w14:paraId="422EF79C" w14:textId="77777777" w:rsidR="00E01AB8" w:rsidRDefault="00E01A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A1246" w14:textId="77777777" w:rsidR="00F84D9D" w:rsidRDefault="00F84D9D" w:rsidP="00E01AB8">
      <w:pPr>
        <w:spacing w:after="0" w:line="240" w:lineRule="auto"/>
      </w:pPr>
      <w:r>
        <w:separator/>
      </w:r>
    </w:p>
  </w:footnote>
  <w:footnote w:type="continuationSeparator" w:id="0">
    <w:p w14:paraId="1EED94DF" w14:textId="77777777" w:rsidR="00F84D9D" w:rsidRDefault="00F84D9D" w:rsidP="00E01A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45F"/>
    <w:rsid w:val="000232B3"/>
    <w:rsid w:val="000926DA"/>
    <w:rsid w:val="00146B08"/>
    <w:rsid w:val="00151F9C"/>
    <w:rsid w:val="001565A7"/>
    <w:rsid w:val="00175560"/>
    <w:rsid w:val="00184217"/>
    <w:rsid w:val="0019154E"/>
    <w:rsid w:val="001A1D8D"/>
    <w:rsid w:val="001C48F9"/>
    <w:rsid w:val="001E5F5C"/>
    <w:rsid w:val="002207E6"/>
    <w:rsid w:val="00232559"/>
    <w:rsid w:val="00261E7B"/>
    <w:rsid w:val="002822AC"/>
    <w:rsid w:val="002A6759"/>
    <w:rsid w:val="002F3255"/>
    <w:rsid w:val="0031025B"/>
    <w:rsid w:val="00310E2A"/>
    <w:rsid w:val="003D6FBD"/>
    <w:rsid w:val="0040603E"/>
    <w:rsid w:val="00426821"/>
    <w:rsid w:val="00461C50"/>
    <w:rsid w:val="00467AD9"/>
    <w:rsid w:val="004A6955"/>
    <w:rsid w:val="004B050F"/>
    <w:rsid w:val="004C7EC8"/>
    <w:rsid w:val="0050713B"/>
    <w:rsid w:val="00543313"/>
    <w:rsid w:val="005562B3"/>
    <w:rsid w:val="005B4F28"/>
    <w:rsid w:val="005F1F71"/>
    <w:rsid w:val="00666DA7"/>
    <w:rsid w:val="00674266"/>
    <w:rsid w:val="00675363"/>
    <w:rsid w:val="006A3D81"/>
    <w:rsid w:val="006F502F"/>
    <w:rsid w:val="0073296C"/>
    <w:rsid w:val="007360BB"/>
    <w:rsid w:val="00781A11"/>
    <w:rsid w:val="007A3A7B"/>
    <w:rsid w:val="007A4BC8"/>
    <w:rsid w:val="007B1941"/>
    <w:rsid w:val="007C0CB6"/>
    <w:rsid w:val="00806EE1"/>
    <w:rsid w:val="00817E31"/>
    <w:rsid w:val="00891628"/>
    <w:rsid w:val="008A08D4"/>
    <w:rsid w:val="008A7B27"/>
    <w:rsid w:val="008D47EB"/>
    <w:rsid w:val="008D6DFE"/>
    <w:rsid w:val="00902B36"/>
    <w:rsid w:val="00903671"/>
    <w:rsid w:val="0091438A"/>
    <w:rsid w:val="00931F1C"/>
    <w:rsid w:val="0093658E"/>
    <w:rsid w:val="009B4AC4"/>
    <w:rsid w:val="009B5473"/>
    <w:rsid w:val="009C1F3F"/>
    <w:rsid w:val="009C2C1D"/>
    <w:rsid w:val="009C4C63"/>
    <w:rsid w:val="009E0749"/>
    <w:rsid w:val="009F264A"/>
    <w:rsid w:val="00A051D1"/>
    <w:rsid w:val="00A50949"/>
    <w:rsid w:val="00A526B5"/>
    <w:rsid w:val="00A55213"/>
    <w:rsid w:val="00A85B59"/>
    <w:rsid w:val="00A97408"/>
    <w:rsid w:val="00AA5B84"/>
    <w:rsid w:val="00AD26E6"/>
    <w:rsid w:val="00AF17F3"/>
    <w:rsid w:val="00AF3C08"/>
    <w:rsid w:val="00B62364"/>
    <w:rsid w:val="00B65269"/>
    <w:rsid w:val="00B715FF"/>
    <w:rsid w:val="00B7251F"/>
    <w:rsid w:val="00B730FE"/>
    <w:rsid w:val="00B855AA"/>
    <w:rsid w:val="00BA6894"/>
    <w:rsid w:val="00BA7B3C"/>
    <w:rsid w:val="00BF6341"/>
    <w:rsid w:val="00C70520"/>
    <w:rsid w:val="00C82724"/>
    <w:rsid w:val="00C95E32"/>
    <w:rsid w:val="00CD10CE"/>
    <w:rsid w:val="00D445DC"/>
    <w:rsid w:val="00D60FB4"/>
    <w:rsid w:val="00D6145F"/>
    <w:rsid w:val="00D744C2"/>
    <w:rsid w:val="00DC624D"/>
    <w:rsid w:val="00DC744A"/>
    <w:rsid w:val="00DD4488"/>
    <w:rsid w:val="00E01AB8"/>
    <w:rsid w:val="00E34877"/>
    <w:rsid w:val="00E4374E"/>
    <w:rsid w:val="00E61A8C"/>
    <w:rsid w:val="00E72EB7"/>
    <w:rsid w:val="00EB0768"/>
    <w:rsid w:val="00EC4F79"/>
    <w:rsid w:val="00ED2384"/>
    <w:rsid w:val="00ED7BE7"/>
    <w:rsid w:val="00F0751B"/>
    <w:rsid w:val="00F10D38"/>
    <w:rsid w:val="00F60A11"/>
    <w:rsid w:val="00F84D9D"/>
    <w:rsid w:val="00FC08A7"/>
    <w:rsid w:val="00FC4BF4"/>
    <w:rsid w:val="00FC5008"/>
    <w:rsid w:val="00FD5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613924"/>
  <w15:chartTrackingRefBased/>
  <w15:docId w15:val="{E8FE68DE-5C52-45F5-B56C-96F546964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3658E"/>
    <w:pPr>
      <w:keepNext/>
      <w:keepLines/>
      <w:spacing w:before="240" w:after="0" w:line="259" w:lineRule="auto"/>
      <w:outlineLvl w:val="0"/>
    </w:pPr>
    <w:rPr>
      <w:rFonts w:ascii="Arial" w:eastAsiaTheme="majorEastAsia" w:hAnsi="Arial" w:cstheme="majorBidi"/>
      <w:b/>
      <w:color w:val="000000" w:themeColor="text1"/>
      <w:kern w:val="0"/>
      <w:sz w:val="28"/>
      <w:szCs w:val="32"/>
      <w:lang w:eastAsia="en-GB"/>
      <w14:ligatures w14:val="none"/>
    </w:rPr>
  </w:style>
  <w:style w:type="paragraph" w:styleId="Heading2">
    <w:name w:val="heading 2"/>
    <w:next w:val="Normal"/>
    <w:link w:val="Heading2Char"/>
    <w:autoRedefine/>
    <w:uiPriority w:val="9"/>
    <w:unhideWhenUsed/>
    <w:qFormat/>
    <w:rsid w:val="00EB0768"/>
    <w:pPr>
      <w:keepNext/>
      <w:keepLines/>
      <w:spacing w:after="152" w:line="265" w:lineRule="auto"/>
      <w:ind w:left="10" w:right="2" w:hanging="10"/>
      <w:outlineLvl w:val="1"/>
    </w:pPr>
    <w:rPr>
      <w:rFonts w:ascii="Arial" w:eastAsia="Times New Roman" w:hAnsi="Arial" w:cs="Times New Roman"/>
      <w:b/>
      <w:color w:val="000000"/>
    </w:rPr>
  </w:style>
  <w:style w:type="paragraph" w:styleId="Heading3">
    <w:name w:val="heading 3"/>
    <w:basedOn w:val="Normal"/>
    <w:next w:val="Normal"/>
    <w:link w:val="Heading3Char"/>
    <w:uiPriority w:val="9"/>
    <w:semiHidden/>
    <w:unhideWhenUsed/>
    <w:qFormat/>
    <w:rsid w:val="00D614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14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14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14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14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14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14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58E"/>
    <w:rPr>
      <w:rFonts w:ascii="Arial" w:eastAsiaTheme="majorEastAsia" w:hAnsi="Arial" w:cstheme="majorBidi"/>
      <w:b/>
      <w:color w:val="000000" w:themeColor="text1"/>
      <w:kern w:val="0"/>
      <w:sz w:val="28"/>
      <w:szCs w:val="32"/>
      <w:lang w:eastAsia="en-GB"/>
      <w14:ligatures w14:val="none"/>
    </w:rPr>
  </w:style>
  <w:style w:type="character" w:customStyle="1" w:styleId="Heading2Char">
    <w:name w:val="Heading 2 Char"/>
    <w:basedOn w:val="DefaultParagraphFont"/>
    <w:link w:val="Heading2"/>
    <w:uiPriority w:val="9"/>
    <w:rsid w:val="00EB0768"/>
    <w:rPr>
      <w:rFonts w:ascii="Arial" w:eastAsia="Times New Roman" w:hAnsi="Arial" w:cs="Times New Roman"/>
      <w:b/>
      <w:color w:val="000000"/>
    </w:rPr>
  </w:style>
  <w:style w:type="character" w:customStyle="1" w:styleId="Heading3Char">
    <w:name w:val="Heading 3 Char"/>
    <w:basedOn w:val="DefaultParagraphFont"/>
    <w:link w:val="Heading3"/>
    <w:uiPriority w:val="9"/>
    <w:semiHidden/>
    <w:rsid w:val="00D614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14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14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14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14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14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145F"/>
    <w:rPr>
      <w:rFonts w:eastAsiaTheme="majorEastAsia" w:cstheme="majorBidi"/>
      <w:color w:val="272727" w:themeColor="text1" w:themeTint="D8"/>
    </w:rPr>
  </w:style>
  <w:style w:type="paragraph" w:styleId="Title">
    <w:name w:val="Title"/>
    <w:basedOn w:val="Normal"/>
    <w:next w:val="Normal"/>
    <w:link w:val="TitleChar"/>
    <w:uiPriority w:val="10"/>
    <w:qFormat/>
    <w:rsid w:val="00D614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4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4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4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145F"/>
    <w:pPr>
      <w:spacing w:before="160"/>
      <w:jc w:val="center"/>
    </w:pPr>
    <w:rPr>
      <w:i/>
      <w:iCs/>
      <w:color w:val="404040" w:themeColor="text1" w:themeTint="BF"/>
    </w:rPr>
  </w:style>
  <w:style w:type="character" w:customStyle="1" w:styleId="QuoteChar">
    <w:name w:val="Quote Char"/>
    <w:basedOn w:val="DefaultParagraphFont"/>
    <w:link w:val="Quote"/>
    <w:uiPriority w:val="29"/>
    <w:rsid w:val="00D6145F"/>
    <w:rPr>
      <w:i/>
      <w:iCs/>
      <w:color w:val="404040" w:themeColor="text1" w:themeTint="BF"/>
    </w:rPr>
  </w:style>
  <w:style w:type="paragraph" w:styleId="ListParagraph">
    <w:name w:val="List Paragraph"/>
    <w:basedOn w:val="Normal"/>
    <w:uiPriority w:val="34"/>
    <w:qFormat/>
    <w:rsid w:val="00D6145F"/>
    <w:pPr>
      <w:ind w:left="720"/>
      <w:contextualSpacing/>
    </w:pPr>
  </w:style>
  <w:style w:type="character" w:styleId="IntenseEmphasis">
    <w:name w:val="Intense Emphasis"/>
    <w:basedOn w:val="DefaultParagraphFont"/>
    <w:uiPriority w:val="21"/>
    <w:qFormat/>
    <w:rsid w:val="00D6145F"/>
    <w:rPr>
      <w:i/>
      <w:iCs/>
      <w:color w:val="0F4761" w:themeColor="accent1" w:themeShade="BF"/>
    </w:rPr>
  </w:style>
  <w:style w:type="paragraph" w:styleId="IntenseQuote">
    <w:name w:val="Intense Quote"/>
    <w:basedOn w:val="Normal"/>
    <w:next w:val="Normal"/>
    <w:link w:val="IntenseQuoteChar"/>
    <w:uiPriority w:val="30"/>
    <w:qFormat/>
    <w:rsid w:val="00D614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145F"/>
    <w:rPr>
      <w:i/>
      <w:iCs/>
      <w:color w:val="0F4761" w:themeColor="accent1" w:themeShade="BF"/>
    </w:rPr>
  </w:style>
  <w:style w:type="character" w:styleId="IntenseReference">
    <w:name w:val="Intense Reference"/>
    <w:basedOn w:val="DefaultParagraphFont"/>
    <w:uiPriority w:val="32"/>
    <w:qFormat/>
    <w:rsid w:val="00D6145F"/>
    <w:rPr>
      <w:b/>
      <w:bCs/>
      <w:smallCaps/>
      <w:color w:val="0F4761" w:themeColor="accent1" w:themeShade="BF"/>
      <w:spacing w:val="5"/>
    </w:rPr>
  </w:style>
  <w:style w:type="character" w:styleId="Hyperlink">
    <w:name w:val="Hyperlink"/>
    <w:basedOn w:val="DefaultParagraphFont"/>
    <w:uiPriority w:val="99"/>
    <w:unhideWhenUsed/>
    <w:rsid w:val="00146B08"/>
    <w:rPr>
      <w:color w:val="467886" w:themeColor="hyperlink"/>
      <w:u w:val="single"/>
    </w:rPr>
  </w:style>
  <w:style w:type="character" w:styleId="UnresolvedMention">
    <w:name w:val="Unresolved Mention"/>
    <w:basedOn w:val="DefaultParagraphFont"/>
    <w:uiPriority w:val="99"/>
    <w:semiHidden/>
    <w:unhideWhenUsed/>
    <w:rsid w:val="00146B08"/>
    <w:rPr>
      <w:color w:val="605E5C"/>
      <w:shd w:val="clear" w:color="auto" w:fill="E1DFDD"/>
    </w:rPr>
  </w:style>
  <w:style w:type="paragraph" w:styleId="Header">
    <w:name w:val="header"/>
    <w:basedOn w:val="Normal"/>
    <w:link w:val="HeaderChar"/>
    <w:uiPriority w:val="99"/>
    <w:unhideWhenUsed/>
    <w:rsid w:val="00E01A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AB8"/>
  </w:style>
  <w:style w:type="paragraph" w:styleId="Footer">
    <w:name w:val="footer"/>
    <w:basedOn w:val="Normal"/>
    <w:link w:val="FooterChar"/>
    <w:uiPriority w:val="99"/>
    <w:unhideWhenUsed/>
    <w:rsid w:val="00E01A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AB8"/>
  </w:style>
  <w:style w:type="paragraph" w:styleId="TOCHeading">
    <w:name w:val="TOC Heading"/>
    <w:basedOn w:val="Heading1"/>
    <w:next w:val="Normal"/>
    <w:uiPriority w:val="39"/>
    <w:unhideWhenUsed/>
    <w:qFormat/>
    <w:rsid w:val="00E01AB8"/>
    <w:pPr>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E01AB8"/>
    <w:pPr>
      <w:spacing w:after="100"/>
    </w:pPr>
  </w:style>
  <w:style w:type="paragraph" w:styleId="TOC2">
    <w:name w:val="toc 2"/>
    <w:basedOn w:val="Normal"/>
    <w:next w:val="Normal"/>
    <w:autoRedefine/>
    <w:uiPriority w:val="39"/>
    <w:unhideWhenUsed/>
    <w:rsid w:val="00E01AB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ruor.uottawa.ca/items/87113486-a26d-482c-a0e3-032fbfa23805" TargetMode="External"/><Relationship Id="rId18" Type="http://schemas.openxmlformats.org/officeDocument/2006/relationships/hyperlink" Target="https://journal-redescriptions.org/articles/10.33134/rds.427?_rsc=ltuy6" TargetMode="External"/><Relationship Id="rId26" Type="http://schemas.openxmlformats.org/officeDocument/2006/relationships/hyperlink" Target="https://www.mdpi.com/2673-8112/1/1/26" TargetMode="External"/><Relationship Id="rId39" Type="http://schemas.openxmlformats.org/officeDocument/2006/relationships/hyperlink" Target="https://www.thelancet.com/journals/landig/article/PIIS2589-7500%2820%2930142-4/fulltext?ref=hackernoon.com" TargetMode="External"/><Relationship Id="rId3" Type="http://schemas.openxmlformats.org/officeDocument/2006/relationships/webSettings" Target="webSettings.xml"/><Relationship Id="rId21" Type="http://schemas.openxmlformats.org/officeDocument/2006/relationships/hyperlink" Target="https://online.ucpress.edu/as/article/doi/10.1525/as.2025.2681731/212309" TargetMode="External"/><Relationship Id="rId34" Type="http://schemas.openxmlformats.org/officeDocument/2006/relationships/hyperlink" Target="https://www.sciencedirect.com/science/article/pii/S2667378922000256" TargetMode="External"/><Relationship Id="rId42" Type="http://schemas.openxmlformats.org/officeDocument/2006/relationships/footer" Target="footer1.xml"/><Relationship Id="rId7" Type="http://schemas.openxmlformats.org/officeDocument/2006/relationships/image" Target="media/image2.jpeg"/><Relationship Id="rId12" Type="http://schemas.openxmlformats.org/officeDocument/2006/relationships/hyperlink" Target="https://www.tandfonline.com/doi/abs/10.1080/00343404.2020.1863940" TargetMode="External"/><Relationship Id="rId17" Type="http://schemas.openxmlformats.org/officeDocument/2006/relationships/hyperlink" Target="https://www.nature.com/articles/s41591-021-01381-y" TargetMode="External"/><Relationship Id="rId25" Type="http://schemas.openxmlformats.org/officeDocument/2006/relationships/hyperlink" Target="https://books.google.com/books?hl=en&amp;lr=&amp;id=lFD2EAAAQBAJ&amp;oi=fnd&amp;pg=PA1&amp;dq=Prime+Minister+Justin+Trudeau+demonstrated+a+democratic,+collaborative,+and+highly+communicative+leadership+style+during+Canada%E2%80%99s+COVID-19+response.&amp;ots=84Es5GE4RH&amp;sig=2i1AquxJhnGN30Jmfyl1AVCWfzo" TargetMode="External"/><Relationship Id="rId33" Type="http://schemas.openxmlformats.org/officeDocument/2006/relationships/hyperlink" Target="https://www.adb.org/sites/default/files/publication/743746/pandemic-preparedness-covid-19-lessons.pdf" TargetMode="External"/><Relationship Id="rId38" Type="http://schemas.openxmlformats.org/officeDocument/2006/relationships/hyperlink" Target="https://www.researchgate.net/profile/Pooja-Verma-14/publication/340600493_Influence_of_Leadership_Style_A_Review/links/64cf779c40a524707b9a1230/Influence-of-Leadership-Style-A-Review.pdf" TargetMode="External"/><Relationship Id="rId2" Type="http://schemas.openxmlformats.org/officeDocument/2006/relationships/settings" Target="settings.xml"/><Relationship Id="rId16" Type="http://schemas.openxmlformats.org/officeDocument/2006/relationships/hyperlink" Target="https://link.springer.com/chapter/10.1007/978-3-030-91112-6_10" TargetMode="External"/><Relationship Id="rId20" Type="http://schemas.openxmlformats.org/officeDocument/2006/relationships/hyperlink" Target="https://journals.sagepub.com/doi/abs/10.37808/paq.46.4.5" TargetMode="External"/><Relationship Id="rId29" Type="http://schemas.openxmlformats.org/officeDocument/2006/relationships/hyperlink" Target="https://www.nature.com/articles/s41598-023-29198-4" TargetMode="External"/><Relationship Id="rId41" Type="http://schemas.openxmlformats.org/officeDocument/2006/relationships/hyperlink" Target="https://www.sciencedirect.com/science/article/pii/S0040162522006291"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ciencedirect.com/science/article/pii/S2211883721001179" TargetMode="External"/><Relationship Id="rId24" Type="http://schemas.openxmlformats.org/officeDocument/2006/relationships/hyperlink" Target="https://www.tandfonline.com/doi/abs/10.1080/00343404.2024.2311739" TargetMode="External"/><Relationship Id="rId32" Type="http://schemas.openxmlformats.org/officeDocument/2006/relationships/hyperlink" Target="https://www.academia.edu/download/120127038/Campolongo_and_Olivas_Osuna_Times_of_Crises_2024.pdf" TargetMode="External"/><Relationship Id="rId37" Type="http://schemas.openxmlformats.org/officeDocument/2006/relationships/hyperlink" Target="https://dergipark.org.tr/en/doi/10.53507/akademikdusunce.1584010" TargetMode="External"/><Relationship Id="rId40" Type="http://schemas.openxmlformats.org/officeDocument/2006/relationships/hyperlink" Target="https://www.tandfonline.com/doi/abs/10.1080/01292986.2021.1913620" TargetMode="External"/><Relationship Id="rId5" Type="http://schemas.openxmlformats.org/officeDocument/2006/relationships/endnotes" Target="endnotes.xml"/><Relationship Id="rId15" Type="http://schemas.openxmlformats.org/officeDocument/2006/relationships/hyperlink" Target="https://www.tandfonline.com/doi/abs/10.1080/21622671.2022.2118823" TargetMode="External"/><Relationship Id="rId23" Type="http://schemas.openxmlformats.org/officeDocument/2006/relationships/hyperlink" Target="https://journals.sagepub.com/doi/abs/10.1177/00323292251325941" TargetMode="External"/><Relationship Id="rId28" Type="http://schemas.openxmlformats.org/officeDocument/2006/relationships/hyperlink" Target="https://link.springer.com/article/10.1186/s12961-024-01105-x" TargetMode="External"/><Relationship Id="rId36" Type="http://schemas.openxmlformats.org/officeDocument/2006/relationships/hyperlink" Target="https://www.mdpi.com/1718-7729/28/5/329" TargetMode="External"/><Relationship Id="rId10" Type="http://schemas.openxmlformats.org/officeDocument/2006/relationships/hyperlink" Target="https://utppublishing.com/doi/pdf/10.3138/9781487548117" TargetMode="External"/><Relationship Id="rId19" Type="http://schemas.openxmlformats.org/officeDocument/2006/relationships/hyperlink" Target="https://www.tandfonline.com/doi/abs/10.1080/21681376.2024.2370420" TargetMode="External"/><Relationship Id="rId31" Type="http://schemas.openxmlformats.org/officeDocument/2006/relationships/hyperlink" Target="https://library.oapen.org/bitstream/handle/20.500.12657/107669/9783031835674.pdf?sequence=1"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uregina.scholaris.ca/items/c5039951-610a-4403-96ee-8280515276da" TargetMode="External"/><Relationship Id="rId22" Type="http://schemas.openxmlformats.org/officeDocument/2006/relationships/hyperlink" Target="https://www.sciencedirect.com/science/article/pii/S2590061721000600" TargetMode="External"/><Relationship Id="rId27" Type="http://schemas.openxmlformats.org/officeDocument/2006/relationships/hyperlink" Target="https://cris.unibo.it/handle/11585/907574" TargetMode="External"/><Relationship Id="rId30" Type="http://schemas.openxmlformats.org/officeDocument/2006/relationships/hyperlink" Target="https://link.springer.com/chapter/10.1007/978-3-030-70686-9_4" TargetMode="External"/><Relationship Id="rId35" Type="http://schemas.openxmlformats.org/officeDocument/2006/relationships/hyperlink" Target="https://www.taylorfrancis.com/chapters/edit/10.4324/9781003281719-6/everything-alright-miguel-%C3%A1ngel-s%C3%A1nchez-marta-latorre"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23</Pages>
  <Words>8089</Words>
  <Characters>46113</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GAZALA SHAHJADA</dc:creator>
  <cp:keywords/>
  <dc:description/>
  <cp:lastModifiedBy>Drashti Akshay Patel</cp:lastModifiedBy>
  <cp:revision>2</cp:revision>
  <dcterms:created xsi:type="dcterms:W3CDTF">2025-11-18T15:33:00Z</dcterms:created>
  <dcterms:modified xsi:type="dcterms:W3CDTF">2025-11-18T15:33:00Z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4db389bc-0efc-4be4-a5fd-205d3530b3eb</vt:lpwstr>
  </property>
</Properties>
</file>