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Factors Affecting Second Language Learning</w:t>
      </w:r>
    </w:p>
    <w:p>
      <w:pPr>
        <w:spacing w:line="360" w:lineRule="auto"/>
        <w:jc w:val="center"/>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Xueting Xiong</w:t>
      </w:r>
    </w:p>
    <w:p>
      <w:pPr>
        <w:spacing w:line="360" w:lineRule="auto"/>
        <w:jc w:val="center"/>
        <w:rPr>
          <w:rFonts w:hint="default" w:ascii="Times New Roman Bold" w:hAnsi="Times New Roman Bold" w:cs="Times New Roman Bold"/>
          <w:b/>
          <w:bCs/>
          <w:sz w:val="24"/>
          <w:szCs w:val="24"/>
        </w:rPr>
      </w:pPr>
    </w:p>
    <w:p>
      <w:pPr>
        <w:numPr>
          <w:ilvl w:val="0"/>
          <w:numId w:val="1"/>
        </w:numPr>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Introduction</w:t>
      </w:r>
    </w:p>
    <w:p>
      <w:pPr>
        <w:numPr>
          <w:numId w:val="0"/>
        </w:numPr>
        <w:spacing w:line="360" w:lineRule="auto"/>
        <w:rPr>
          <w:rFonts w:hint="default" w:ascii="Times New Roman Bold" w:hAnsi="Times New Roman Bold" w:cs="Times New Roman Bold"/>
          <w:b/>
          <w:bCs/>
          <w:sz w:val="24"/>
          <w:szCs w:val="24"/>
        </w:rPr>
      </w:pPr>
    </w:p>
    <w:p>
      <w:pPr>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     There is a general consensus among teachers and researchers dedicated to language teaching and studying about the complex process of learning the second language. Second language learners are also often perplexed and frustrated by the fact that their language fluency and proficiency can never </w:t>
      </w:r>
      <w:r>
        <w:rPr>
          <w:rFonts w:hint="default" w:ascii="Times New Roman Regular" w:hAnsi="Times New Roman Regular" w:cs="Times New Roman Regular"/>
          <w:sz w:val="24"/>
          <w:szCs w:val="24"/>
        </w:rPr>
        <w:t>reach</w:t>
      </w:r>
      <w:r>
        <w:rPr>
          <w:rFonts w:hint="default" w:ascii="Times New Roman Regular" w:hAnsi="Times New Roman Regular" w:cs="Times New Roman Regular"/>
          <w:sz w:val="24"/>
          <w:szCs w:val="24"/>
        </w:rPr>
        <w:t xml:space="preserve"> the level as they previously expected even though they have poured sufficient time and energy into learning it. In order to help teachers improve their effectiveness and efficiency of teaching the second language and dispel learners’ perplexities to some extent, a wide range of studies both theoretically and empirically have been conducted to delve into factors affecting second language learning. It has been generally postulated that six main factors can be further researched based on more empirical evidences to account for the effect of second language learning. Specifically, intelligence,aptitude,personality,motivation and attitudes, learners’ beliefs and preferences as well as age constitute those six main factors (M. Ligntbrown&amp;Spada, 2000). In this essay, the overview and evaluation of those factors will be presented. Moreover, motivation and attitudes will be elaborated with the support of recent studies, which can give both teachers and learners new insights into second language learning.</w:t>
      </w:r>
    </w:p>
    <w:p>
      <w:pPr>
        <w:spacing w:line="360" w:lineRule="auto"/>
        <w:rPr>
          <w:rFonts w:hint="default" w:ascii="Times New Roman Regular" w:hAnsi="Times New Roman Regular" w:cs="Times New Roman Regular"/>
          <w:sz w:val="24"/>
          <w:szCs w:val="24"/>
        </w:rPr>
      </w:pPr>
    </w:p>
    <w:p>
      <w:pPr>
        <w:numPr>
          <w:ilvl w:val="0"/>
          <w:numId w:val="2"/>
        </w:numPr>
        <w:spacing w:line="360" w:lineRule="auto"/>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rPr>
        <w:t>Overview of Six Main Factors Affecting Second Language Learning</w:t>
      </w:r>
    </w:p>
    <w:p>
      <w:pPr>
        <w:numPr>
          <w:numId w:val="0"/>
        </w:numPr>
        <w:spacing w:line="360" w:lineRule="auto"/>
        <w:rPr>
          <w:rFonts w:hint="default" w:ascii="Times New Roman Bold" w:hAnsi="Times New Roman Bold" w:cs="Times New Roman Bold"/>
          <w:b/>
          <w:bCs/>
          <w:sz w:val="24"/>
          <w:szCs w:val="24"/>
          <w:lang w:val="en-US"/>
        </w:rPr>
      </w:pPr>
    </w:p>
    <w:p>
      <w:pPr>
        <w:spacing w:line="360" w:lineRule="auto"/>
        <w:ind w:firstLine="600" w:firstLineChars="25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Intelligence is usually associated with the success of second language learning, which is often assessed by a diversity of intelligence(‘IQ’)tests and a range of approaches. This can be typically exemplified by a famous study with Canadian students engaged in the French immersion program, showing that intelligence played a crucial role in the language skills of reading,grammar and vocabulary rather than oral productive skills (Genesee,1976,quoted in M. Ligntbrown&amp;Spada, 2000). Therefore, it can be indicated from those studies that language analysis and rule learning are much more correlated with intelligence, while communicative competence is not.</w:t>
      </w:r>
    </w:p>
    <w:p>
      <w:pPr>
        <w:spacing w:line="360" w:lineRule="auto"/>
        <w:ind w:firstLine="600" w:firstLineChars="250"/>
        <w:rPr>
          <w:rFonts w:hint="default" w:ascii="Times New Roman Regular" w:hAnsi="Times New Roman Regular" w:cs="Times New Roman Regular"/>
          <w:sz w:val="24"/>
          <w:szCs w:val="24"/>
        </w:rPr>
      </w:pPr>
    </w:p>
    <w:p>
      <w:pPr>
        <w:spacing w:line="360" w:lineRule="auto"/>
        <w:ind w:firstLine="600" w:firstLineChars="25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Aptitude is another similar element linked to second language learning, but it is prominently featured by quick learning. Modern Language Aptitude Test(MLAT) and Pimsleur Language Aptitude Battery(PLAB) are two most widely used aptitude tests to predict whether the efficiency of second language learning can be attained in a classroom setting. Various kinds of abilities are involved to be tested, including  identification and memorization of new sounds, understanding of words’ particular function in sentences,selection of grammatical rules from language samples as well as memory for new words. (M. Ligntbrown&amp;Spada, 2000) A case in point of such studies is that some Canadian adult learners of French were recruited in an instructional program, who were assigned to different teaching settings based on the result of the aptitude test. It was reported that when students could be engaged in a congenial teaching environment, a high level of student and teacher satisfaction could be obtained. (Wesche,1981,quoted in M. Ligntbrown&amp;Spada, 2000) So it is obvious that those aptitude tests can help teachers plan and organise appropriate classroom activities to cater to the demand of different groups of students.</w:t>
      </w:r>
    </w:p>
    <w:p>
      <w:pPr>
        <w:spacing w:line="360" w:lineRule="auto"/>
        <w:ind w:firstLine="600" w:firstLineChars="250"/>
        <w:rPr>
          <w:rFonts w:hint="default" w:ascii="Times New Roman Regular" w:hAnsi="Times New Roman Regular" w:cs="Times New Roman Regular"/>
          <w:sz w:val="24"/>
          <w:szCs w:val="24"/>
        </w:rPr>
      </w:pPr>
    </w:p>
    <w:p>
      <w:pPr>
        <w:spacing w:line="360" w:lineRule="auto"/>
        <w:ind w:firstLine="600" w:firstLineChars="25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It has often been proposed that personality probably exerts tremendous influence on second language learning, however, this effect can not be easily be demonstrated empirically. This is due to the fact that even different studies measuring a similar personality trait yield different results. For example, some studies have revealed that extroverted learners are not necessarily successful language learners and some learners who are proficient in second language learning do not always gain high scores on measures of extroversion. This can also be applicable to some other characteristics, such as self-esteem,empathy and dominance and so on. Despite the complexity and difficulty of examining the impact of personality on second language learning, it is undeniable that its influence can never be underestimated,particularly when it is integrated with other factors.( M. Ligntbrown&amp;Spada, 2000)</w:t>
      </w:r>
    </w:p>
    <w:p>
      <w:pPr>
        <w:spacing w:line="360" w:lineRule="auto"/>
        <w:ind w:firstLine="600" w:firstLineChars="250"/>
        <w:rPr>
          <w:rFonts w:hint="default" w:ascii="Times New Roman Regular" w:hAnsi="Times New Roman Regular" w:cs="Times New Roman Regular"/>
          <w:sz w:val="24"/>
          <w:szCs w:val="24"/>
        </w:rPr>
      </w:pPr>
    </w:p>
    <w:p>
      <w:pPr>
        <w:spacing w:line="360" w:lineRule="auto"/>
        <w:ind w:firstLine="600" w:firstLineChars="25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Motivation and attitudes have been generally proved to have positive effects on second language learning(Gardner, 1985, quoted in M. Ligntbrown&amp;Spada, 2000).However, the causal relationship between motivation and second language learning cannot be elucidated precisely because of the complexity of motivation. This can be mainly defined by two factors involving learners’ communicative needs and their attitudes towards the second language community. If learners use second language learning for immediate or practical goals,such as passing exams, their motivation can be categorised as instrumental motivation. By contrast, if learners learn the second language with the purpose of long-term personal growth and cultural enrichment, their motivation belongs to integrative motivation.(Gardner&amp;Lambert,1972, quoted in M. Ligntbrown&amp;Spada, 2000) Moreover, social dynamics or power relationship between the languages is another factor affecting motivation as both children and adults are sensitive to this. More importantly, studies concerning motivation can provide teachers with practical pedagogical implication. It has been identified that certain pedagogical practices are beneficial to the increase of levels of motivation(Crookes and Schmidt,1991, quoted in M. Ligntbrown&amp;Spada, 2000). However, the way how pedagogy interacts with motivation in second language classrooms has not been investigated in a wide range of studies. So more corresponding compelling evidences are preferred to be presented in the future research .</w:t>
      </w:r>
    </w:p>
    <w:p>
      <w:pPr>
        <w:spacing w:line="360" w:lineRule="auto"/>
        <w:ind w:firstLine="600" w:firstLineChars="250"/>
        <w:rPr>
          <w:rFonts w:hint="default" w:ascii="Times New Roman Regular" w:hAnsi="Times New Roman Regular" w:cs="Times New Roman Regular"/>
          <w:sz w:val="24"/>
          <w:szCs w:val="24"/>
        </w:rPr>
      </w:pPr>
    </w:p>
    <w:p>
      <w:pPr>
        <w:spacing w:line="360" w:lineRule="auto"/>
        <w:ind w:firstLine="600" w:firstLineChars="25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Learner preferences and beliefs belong to the internally cognitive factor.While learner preferences are related to individual learning styles,such as visual,aural and kinesthetic learners, learner beliefs refer to strong beliefs and opinions about how their instruction should be delivered,which are often held by older learners.However, little research has been done to investigate the interaction between a variety of styles and success in SLA and examine the effectiveness of learners’ assumptions that a particular type of instruction is the best suitable for them, which are often based on their previous learning experiences. Despite the lack of </w:t>
      </w:r>
      <w:r>
        <w:rPr>
          <w:rFonts w:hint="default" w:ascii="Times New Roman Regular" w:hAnsi="Times New Roman Regular" w:cs="Times New Roman Regular"/>
          <w:sz w:val="24"/>
          <w:szCs w:val="24"/>
        </w:rPr>
        <w:t>comp</w:t>
      </w:r>
      <w:r>
        <w:rPr>
          <w:rFonts w:hint="default" w:ascii="Times New Roman Regular" w:hAnsi="Times New Roman Regular" w:cs="Times New Roman Regular"/>
          <w:sz w:val="24"/>
          <w:szCs w:val="24"/>
        </w:rPr>
        <w:t>e</w:t>
      </w:r>
      <w:r>
        <w:rPr>
          <w:rFonts w:hint="default" w:ascii="Times New Roman Regular" w:hAnsi="Times New Roman Regular" w:cs="Times New Roman Regular"/>
          <w:sz w:val="24"/>
          <w:szCs w:val="24"/>
        </w:rPr>
        <w:t>lling</w:t>
      </w:r>
      <w:r>
        <w:rPr>
          <w:rFonts w:hint="default" w:ascii="Times New Roman Regular" w:hAnsi="Times New Roman Regular" w:cs="Times New Roman Regular"/>
          <w:sz w:val="24"/>
          <w:szCs w:val="24"/>
        </w:rPr>
        <w:t xml:space="preserve"> evidences, teachers can still develop teaching strategies to approach those learners’ language learning with reference to their preferences and beliefs. (M. Ligntbrown &amp; Spada, 2000)</w:t>
      </w:r>
    </w:p>
    <w:p>
      <w:pPr>
        <w:spacing w:line="360" w:lineRule="auto"/>
        <w:ind w:firstLine="600" w:firstLineChars="250"/>
        <w:rPr>
          <w:rFonts w:hint="default" w:ascii="Times New Roman Regular" w:hAnsi="Times New Roman Regular" w:cs="Times New Roman Regular"/>
          <w:sz w:val="24"/>
          <w:szCs w:val="24"/>
        </w:rPr>
      </w:pPr>
    </w:p>
    <w:p>
      <w:pPr>
        <w:spacing w:line="360" w:lineRule="auto"/>
        <w:ind w:firstLine="600" w:firstLineChars="25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Age is the final factor mentioned, which plays a pivotal role in second language learning. Although it is easier to be measured compared with some other factors, its influence on learners’ potential for success in SLA has triggered considerable controversy since there are numerous successful examples of achieving </w:t>
      </w:r>
      <w:r>
        <w:rPr>
          <w:rFonts w:hint="default" w:ascii="Times New Roman Regular" w:hAnsi="Times New Roman Regular" w:cs="Times New Roman Regular"/>
          <w:sz w:val="24"/>
          <w:szCs w:val="24"/>
        </w:rPr>
        <w:t>advanced</w:t>
      </w:r>
      <w:r>
        <w:rPr>
          <w:rFonts w:hint="default" w:ascii="Times New Roman Regular" w:hAnsi="Times New Roman Regular" w:cs="Times New Roman Regular"/>
          <w:sz w:val="24"/>
          <w:szCs w:val="24"/>
        </w:rPr>
        <w:t xml:space="preserve"> levels of second language both among children and adults.The Critical Period Hypothesis, suggesting that there is a time in human development when the brain is predisposed for success in language learning and puberty is usually regarded as the ending period, has also been challenged in recent years from a diversity of perspectives. there are some influential studies confirming that younger learners take more advantages in developing native-like mastery of a second language, applying not only to accent, but also to other aspects,such as grammar.(Johnson&amp;Newport, 1989, quoted in M. Ligntbrown&amp;Spada, 2000) Nevertheless, some other studies have demonstrated that older learners are more efficient than younger learners at least in the early stages of SLA. Additionally, a huge number of anecdotes about older learners who could achieve high levels of fluency and proficiency in a second language can be noticed as well. It is then concluded that learners should take the learning objectives into account.If they desire to develop native-like mastery of the target language, it is preferable for them to be immersed in this language as early as possible.On the contrary, when they learn the second language for the sake of enhancing basic communicative competence particularly in a school setting, they can start later. (M. Ligntbrown&amp;Spada, 2000)</w:t>
      </w:r>
    </w:p>
    <w:p>
      <w:pPr>
        <w:spacing w:line="360" w:lineRule="auto"/>
        <w:ind w:firstLine="600" w:firstLineChars="250"/>
        <w:rPr>
          <w:rFonts w:hint="default" w:ascii="Times New Roman Regular" w:hAnsi="Times New Roman Regular" w:cs="Times New Roman Regular"/>
          <w:sz w:val="24"/>
          <w:szCs w:val="24"/>
        </w:rPr>
      </w:pPr>
    </w:p>
    <w:p>
      <w:pPr>
        <w:spacing w:line="360" w:lineRule="auto"/>
        <w:ind w:firstLine="600" w:firstLineChars="25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In conclusion, all the above six main factors can exert significant influence on second language learning to some extent and they are inextricably entwined during this complex process. </w:t>
      </w:r>
    </w:p>
    <w:p>
      <w:pPr>
        <w:spacing w:line="360" w:lineRule="auto"/>
        <w:ind w:firstLine="600" w:firstLineChars="250"/>
        <w:rPr>
          <w:rFonts w:hint="default" w:ascii="Times New Roman Regular" w:hAnsi="Times New Roman Regular" w:cs="Times New Roman Regular"/>
          <w:sz w:val="24"/>
          <w:szCs w:val="24"/>
        </w:rPr>
      </w:pPr>
    </w:p>
    <w:p>
      <w:pPr>
        <w:numPr>
          <w:ilvl w:val="0"/>
          <w:numId w:val="3"/>
        </w:numPr>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 xml:space="preserve"> Detailed Analysis of Motivation and Attitudes Based on Related SLA Theories and Studies</w:t>
      </w:r>
    </w:p>
    <w:p>
      <w:pPr>
        <w:numPr>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ind w:firstLine="48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Undeniably, motivation and attitudes constitute the key element affecting the dynamic and complex process of second language learning. It is noted that five classes of variable are highly evaluated:integrativeness, attitudes toward the learning situation,motivation,language anxiety and instrumental orientation, which have been identified on the basis of socio-educational model.This model claims that language aptitude and motivation play a facilitating role in second language acquisition, while language anxiety exerts a debilitating effect.(Gardner, 1985,2000) In addition, the Attitude Motivation Test Battery(AMTB), involving 11 scales, has been frequently used in related empirical studies to assess important variables of motivation and attitudes.(Gardner,1985)</w:t>
      </w:r>
    </w:p>
    <w:p>
      <w:pPr>
        <w:numPr>
          <w:ilvl w:val="0"/>
          <w:numId w:val="0"/>
        </w:numPr>
        <w:spacing w:line="360" w:lineRule="auto"/>
        <w:ind w:firstLine="480"/>
        <w:rPr>
          <w:rFonts w:hint="default" w:ascii="Times New Roman" w:hAnsi="Times New Roman" w:cs="Times New Roman"/>
          <w:b w:val="0"/>
          <w:bCs w:val="0"/>
          <w:sz w:val="24"/>
          <w:szCs w:val="24"/>
        </w:rPr>
      </w:pPr>
    </w:p>
    <w:p>
      <w:pPr>
        <w:numPr>
          <w:ilvl w:val="0"/>
          <w:numId w:val="0"/>
        </w:numPr>
        <w:spacing w:line="360" w:lineRule="auto"/>
        <w:ind w:firstLine="600" w:firstLineChars="25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Gardner (2010) also postulates that integrative motivation,a multi-dimensional component, should be comprised of motivation,integrativeness,attitudes toward the learning situation and language anxiety which can be analysed affectively,cognitively and behaviourally. Furthermore, he also draws the conclusion that it “can be measured as the sum of Integrativeness plus Attitudes toward the Learning Situation plus Motivation minus Language Anxiety”(Gardner, 2012, p.218). In order to provide more compelling evidences, Gardner made use of this formula to mainly “assess the correlation of the integrative motivation score with grades in English in two samples of students in Poland ”(Gardner, 2012, p.219) and the result showed a strong degree of association.</w:t>
      </w:r>
    </w:p>
    <w:p>
      <w:pPr>
        <w:numPr>
          <w:ilvl w:val="0"/>
          <w:numId w:val="0"/>
        </w:numPr>
        <w:spacing w:line="360" w:lineRule="auto"/>
        <w:ind w:firstLine="600" w:firstLineChars="250"/>
        <w:rPr>
          <w:rFonts w:hint="default" w:ascii="Times New Roman" w:hAnsi="Times New Roman" w:cs="Times New Roman"/>
          <w:b w:val="0"/>
          <w:bCs w:val="0"/>
          <w:sz w:val="24"/>
          <w:szCs w:val="24"/>
        </w:rPr>
      </w:pPr>
    </w:p>
    <w:p>
      <w:pPr>
        <w:numPr>
          <w:ilvl w:val="0"/>
          <w:numId w:val="0"/>
        </w:numPr>
        <w:spacing w:line="360" w:lineRule="auto"/>
        <w:ind w:firstLine="480"/>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 In recent studies, greater emphasis has been placed on teacher’s contribution to the learning situation,which can play an essential role in shaping students’ attitudes toward this. This has resulted in a </w:t>
      </w:r>
      <w:r>
        <w:rPr>
          <w:rFonts w:hint="default" w:ascii="Times New Roman" w:hAnsi="Times New Roman" w:cs="Times New Roman"/>
          <w:b w:val="0"/>
          <w:bCs w:val="0"/>
          <w:sz w:val="24"/>
          <w:szCs w:val="24"/>
        </w:rPr>
        <w:t>variety</w:t>
      </w:r>
      <w:r>
        <w:rPr>
          <w:rFonts w:hint="default" w:ascii="Times New Roman" w:hAnsi="Times New Roman" w:cs="Times New Roman"/>
          <w:b w:val="0"/>
          <w:bCs w:val="0"/>
          <w:sz w:val="24"/>
          <w:szCs w:val="24"/>
        </w:rPr>
        <w:t xml:space="preserve"> of suggestions and strategies </w:t>
      </w:r>
      <w:r>
        <w:rPr>
          <w:rFonts w:hint="default" w:ascii="Times New Roman" w:hAnsi="Times New Roman" w:cs="Times New Roman"/>
          <w:b w:val="0"/>
          <w:bCs w:val="0"/>
          <w:sz w:val="24"/>
          <w:szCs w:val="24"/>
        </w:rPr>
        <w:t>advocated</w:t>
      </w:r>
      <w:r>
        <w:rPr>
          <w:rFonts w:hint="default" w:ascii="Times New Roman" w:hAnsi="Times New Roman" w:cs="Times New Roman"/>
          <w:b w:val="0"/>
          <w:bCs w:val="0"/>
          <w:sz w:val="24"/>
          <w:szCs w:val="24"/>
        </w:rPr>
        <w:t xml:space="preserve"> by researchers, which have been exemplified in some typical studies (Dornyei,2001). Dornyei(2005) underlines the importance of sufficient motivation, without which even the most intelligent and competent students cannot a</w:t>
      </w:r>
      <w:r>
        <w:rPr>
          <w:rFonts w:hint="default" w:ascii="Times New Roman" w:hAnsi="Times New Roman" w:cs="Times New Roman"/>
          <w:b w:val="0"/>
          <w:bCs w:val="0"/>
          <w:sz w:val="24"/>
          <w:szCs w:val="24"/>
        </w:rPr>
        <w:t>chieve</w:t>
      </w:r>
      <w:r>
        <w:rPr>
          <w:rFonts w:hint="default" w:ascii="Times New Roman" w:hAnsi="Times New Roman" w:cs="Times New Roman"/>
          <w:b w:val="0"/>
          <w:bCs w:val="0"/>
          <w:sz w:val="24"/>
          <w:szCs w:val="24"/>
        </w:rPr>
        <w:t xml:space="preserve"> their goals in the long run, and neither are appropriate curricula and excellent teaching enough to guarantee their accomplishment.Since students’ motivation is </w:t>
      </w:r>
      <w:r>
        <w:rPr>
          <w:rFonts w:hint="default" w:ascii="Times New Roman" w:hAnsi="Times New Roman" w:cs="Times New Roman"/>
          <w:b w:val="0"/>
          <w:bCs w:val="0"/>
          <w:sz w:val="24"/>
          <w:szCs w:val="24"/>
        </w:rPr>
        <w:t>inter</w:t>
      </w:r>
      <w:r>
        <w:rPr>
          <w:rFonts w:hint="default" w:ascii="Times New Roman" w:hAnsi="Times New Roman" w:cs="Times New Roman"/>
          <w:b w:val="0"/>
          <w:bCs w:val="0"/>
          <w:sz w:val="24"/>
          <w:szCs w:val="24"/>
        </w:rPr>
        <w:t xml:space="preserve">related with their attitudes toward the learning situation, teachers’ conceptions concerning student motivation and their motivating practices can contribute tremendously to students’ attitudes and motivation.Although very few studies have been conducted to directly examine the desired effect of those strategies on students’ motivation, a recent exploratory study demonstrates that </w:t>
      </w:r>
      <w:r>
        <w:rPr>
          <w:rFonts w:hint="default" w:ascii="Times New Roman" w:hAnsi="Times New Roman" w:cs="Times New Roman"/>
          <w:b w:val="0"/>
          <w:bCs w:val="0"/>
          <w:sz w:val="24"/>
          <w:szCs w:val="24"/>
        </w:rPr>
        <w:t xml:space="preserve">students are </w:t>
      </w:r>
      <w:r>
        <w:rPr>
          <w:rFonts w:hint="default" w:ascii="Times New Roman" w:hAnsi="Times New Roman" w:cs="Times New Roman"/>
          <w:b w:val="0"/>
          <w:bCs w:val="0"/>
          <w:sz w:val="24"/>
          <w:szCs w:val="24"/>
        </w:rPr>
        <w:t xml:space="preserve">more cooperative in the classroom </w:t>
      </w:r>
      <w:r>
        <w:rPr>
          <w:rFonts w:hint="default" w:ascii="Times New Roman" w:hAnsi="Times New Roman" w:cs="Times New Roman"/>
          <w:b w:val="0"/>
          <w:bCs w:val="0"/>
          <w:sz w:val="24"/>
          <w:szCs w:val="24"/>
        </w:rPr>
        <w:t>and more willing to take the initiative to learn after class if their</w:t>
      </w:r>
      <w:r>
        <w:rPr>
          <w:rFonts w:hint="default" w:ascii="Times New Roman" w:hAnsi="Times New Roman" w:cs="Times New Roman"/>
          <w:b w:val="0"/>
          <w:bCs w:val="0"/>
          <w:sz w:val="24"/>
          <w:szCs w:val="24"/>
        </w:rPr>
        <w:t xml:space="preserve"> teacher</w:t>
      </w:r>
      <w:r>
        <w:rPr>
          <w:rFonts w:hint="default" w:ascii="Times New Roman" w:hAnsi="Times New Roman" w:cs="Times New Roman"/>
          <w:b w:val="0"/>
          <w:bCs w:val="0"/>
          <w:sz w:val="24"/>
          <w:szCs w:val="24"/>
        </w:rPr>
        <w:t>s</w:t>
      </w:r>
      <w:r>
        <w:rPr>
          <w:rFonts w:hint="default" w:ascii="Times New Roman" w:hAnsi="Times New Roman" w:cs="Times New Roman"/>
          <w:b w:val="0"/>
          <w:bCs w:val="0"/>
          <w:sz w:val="24"/>
          <w:szCs w:val="24"/>
        </w:rPr>
        <w:t xml:space="preserve"> </w:t>
      </w:r>
      <w:r>
        <w:rPr>
          <w:rFonts w:hint="default" w:ascii="Times New Roman" w:hAnsi="Times New Roman" w:cs="Times New Roman"/>
          <w:b w:val="0"/>
          <w:bCs w:val="0"/>
          <w:sz w:val="24"/>
          <w:szCs w:val="24"/>
        </w:rPr>
        <w:t xml:space="preserve">can establish </w:t>
      </w:r>
      <w:r>
        <w:rPr>
          <w:rFonts w:hint="default" w:ascii="Times New Roman" w:hAnsi="Times New Roman" w:cs="Times New Roman"/>
          <w:b w:val="0"/>
          <w:bCs w:val="0"/>
          <w:sz w:val="24"/>
          <w:szCs w:val="24"/>
        </w:rPr>
        <w:t xml:space="preserve"> highly empathetic relationship with </w:t>
      </w:r>
      <w:r>
        <w:rPr>
          <w:rFonts w:hint="default" w:ascii="Times New Roman" w:hAnsi="Times New Roman" w:cs="Times New Roman"/>
          <w:b w:val="0"/>
          <w:bCs w:val="0"/>
          <w:sz w:val="24"/>
          <w:szCs w:val="24"/>
        </w:rPr>
        <w:t>them</w:t>
      </w:r>
      <w:r>
        <w:rPr>
          <w:rFonts w:hint="default" w:ascii="Times New Roman" w:hAnsi="Times New Roman" w:cs="Times New Roman"/>
          <w:b w:val="0"/>
          <w:bCs w:val="0"/>
          <w:sz w:val="24"/>
          <w:szCs w:val="24"/>
        </w:rPr>
        <w:t>,</w:t>
      </w:r>
      <w:r>
        <w:rPr>
          <w:rFonts w:hint="default" w:ascii="Times New Roman" w:hAnsi="Times New Roman" w:cs="Times New Roman"/>
          <w:b w:val="0"/>
          <w:bCs w:val="0"/>
          <w:sz w:val="24"/>
          <w:szCs w:val="24"/>
        </w:rPr>
        <w:t xml:space="preserve"> which is usually </w:t>
      </w:r>
      <w:r>
        <w:rPr>
          <w:rFonts w:hint="default" w:ascii="Times New Roman" w:hAnsi="Times New Roman" w:cs="Times New Roman"/>
          <w:b w:val="0"/>
          <w:bCs w:val="0"/>
          <w:sz w:val="24"/>
          <w:szCs w:val="24"/>
        </w:rPr>
        <w:t xml:space="preserve">based on </w:t>
      </w:r>
      <w:r>
        <w:rPr>
          <w:rFonts w:hint="default" w:ascii="Times New Roman" w:hAnsi="Times New Roman" w:cs="Times New Roman"/>
          <w:b w:val="0"/>
          <w:bCs w:val="0"/>
          <w:sz w:val="24"/>
          <w:szCs w:val="24"/>
        </w:rPr>
        <w:t xml:space="preserve">effective </w:t>
      </w:r>
      <w:r>
        <w:rPr>
          <w:rFonts w:hint="default" w:ascii="Times New Roman" w:hAnsi="Times New Roman" w:cs="Times New Roman"/>
          <w:b w:val="0"/>
          <w:bCs w:val="0"/>
          <w:sz w:val="24"/>
          <w:szCs w:val="24"/>
        </w:rPr>
        <w:t xml:space="preserve">communication and </w:t>
      </w:r>
      <w:r>
        <w:rPr>
          <w:rFonts w:hint="default" w:ascii="Times New Roman" w:hAnsi="Times New Roman" w:cs="Times New Roman"/>
          <w:b w:val="0"/>
          <w:bCs w:val="0"/>
          <w:sz w:val="24"/>
          <w:szCs w:val="24"/>
        </w:rPr>
        <w:t xml:space="preserve">overall </w:t>
      </w:r>
      <w:r>
        <w:rPr>
          <w:rFonts w:hint="default" w:ascii="Times New Roman" w:hAnsi="Times New Roman" w:cs="Times New Roman"/>
          <w:b w:val="0"/>
          <w:bCs w:val="0"/>
          <w:sz w:val="24"/>
          <w:szCs w:val="24"/>
        </w:rPr>
        <w:t>knowledge of their background and personal interests</w:t>
      </w:r>
      <w:r>
        <w:rPr>
          <w:rFonts w:hint="default" w:ascii="Times New Roman" w:hAnsi="Times New Roman" w:cs="Times New Roman"/>
          <w:b w:val="0"/>
          <w:bCs w:val="0"/>
          <w:sz w:val="24"/>
          <w:szCs w:val="24"/>
        </w:rPr>
        <w:t>.</w:t>
      </w:r>
      <w:r>
        <w:rPr>
          <w:rFonts w:hint="default" w:ascii="Times New Roman" w:hAnsi="Times New Roman" w:cs="Times New Roman"/>
          <w:b w:val="0"/>
          <w:bCs w:val="0"/>
          <w:sz w:val="24"/>
          <w:szCs w:val="24"/>
        </w:rPr>
        <w:t>(Munoz &amp; Ramirez, 2015). Meanwhile, clarity of instruction and positive feedback have also been observed to promote students’ communicative competence. Moreover, the multimedia wed-based intervention of incentive strategies has also been explored to see its impact on the motivation of second language learning with four factors,including</w:t>
      </w:r>
      <w:r>
        <w:rPr>
          <w:rFonts w:hint="default" w:ascii="Times New Roman" w:hAnsi="Times New Roman" w:cs="Times New Roman"/>
          <w:b w:val="0"/>
          <w:bCs w:val="0"/>
          <w:sz w:val="24"/>
          <w:szCs w:val="24"/>
        </w:rPr>
        <w:t xml:space="preserve"> </w:t>
      </w:r>
      <w:r>
        <w:rPr>
          <w:rFonts w:hint="default" w:ascii="Times New Roman" w:hAnsi="Times New Roman" w:cs="Times New Roman"/>
          <w:b w:val="0"/>
          <w:bCs w:val="0"/>
          <w:sz w:val="24"/>
          <w:szCs w:val="24"/>
        </w:rPr>
        <w:t>cognition,emotion,social environment and learners’ characteristics.</w:t>
      </w:r>
      <w:r>
        <w:rPr>
          <w:rFonts w:hint="default" w:ascii="Times New Roman" w:hAnsi="Times New Roman" w:cs="Times New Roman"/>
          <w:b w:val="0"/>
          <w:bCs w:val="0"/>
          <w:sz w:val="24"/>
          <w:szCs w:val="24"/>
        </w:rPr>
        <w:t xml:space="preserve"> </w:t>
      </w:r>
      <w:r>
        <w:rPr>
          <w:rFonts w:hint="default" w:ascii="Times New Roman" w:hAnsi="Times New Roman" w:cs="Times New Roman"/>
          <w:b w:val="0"/>
          <w:bCs w:val="0"/>
          <w:sz w:val="24"/>
          <w:szCs w:val="24"/>
        </w:rPr>
        <w:t>And the positive effect has been found in this study.(Meng et al., 2020)</w:t>
      </w:r>
    </w:p>
    <w:p>
      <w:pPr>
        <w:numPr>
          <w:ilvl w:val="0"/>
          <w:numId w:val="0"/>
        </w:numPr>
        <w:spacing w:line="360" w:lineRule="auto"/>
        <w:ind w:firstLine="480"/>
        <w:rPr>
          <w:rFonts w:hint="default" w:ascii="Times New Roman" w:hAnsi="Times New Roman" w:cs="Times New Roman"/>
          <w:b w:val="0"/>
          <w:bCs w:val="0"/>
          <w:sz w:val="24"/>
          <w:szCs w:val="24"/>
          <w:lang w:val="en-US"/>
        </w:rPr>
      </w:pPr>
    </w:p>
    <w:p>
      <w:pPr>
        <w:numPr>
          <w:ilvl w:val="0"/>
          <w:numId w:val="0"/>
        </w:numPr>
        <w:spacing w:line="360" w:lineRule="auto"/>
        <w:ind w:firstLine="667" w:firstLineChars="278"/>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As a college English teacher with 10 years’ teaching experience, I take intense interest in this domain since I firmly believe that teachers’ teaching beliefs and strategies are integral in shaping students’ attitudes toward the learning situation,especially when students are at the early stage of learning the second language. With the burgeoning demand of blended learning and teaching, instructors should take full advantage of virtual network learning and the complementary merits of traditional classroom learning to stimulate students’ learning motivation. Therefore, feasible teaching strategies concluded from previous studies can serve as guidelines to develop innovative teaching.</w:t>
      </w:r>
    </w:p>
    <w:p>
      <w:pPr>
        <w:numPr>
          <w:ilvl w:val="0"/>
          <w:numId w:val="3"/>
        </w:numPr>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Conclusion</w:t>
      </w:r>
    </w:p>
    <w:p>
      <w:pPr>
        <w:numPr>
          <w:numId w:val="0"/>
        </w:numPr>
        <w:spacing w:line="360" w:lineRule="auto"/>
        <w:rPr>
          <w:rFonts w:hint="default" w:ascii="Times New Roman Bold" w:hAnsi="Times New Roman Bold" w:cs="Times New Roman Bold"/>
          <w:b/>
          <w:bCs/>
          <w:sz w:val="24"/>
          <w:szCs w:val="24"/>
        </w:rPr>
      </w:pPr>
      <w:bookmarkStart w:id="0" w:name="_GoBack"/>
      <w:bookmarkEnd w:id="0"/>
    </w:p>
    <w:p>
      <w:pPr>
        <w:numPr>
          <w:ilvl w:val="0"/>
          <w:numId w:val="0"/>
        </w:numPr>
        <w:spacing w:line="360" w:lineRule="auto"/>
        <w:rPr>
          <w:rFonts w:hint="default" w:ascii="Times New Roman" w:hAnsi="Times New Roman" w:cs="Times New Roman"/>
          <w:b w:val="0"/>
          <w:bCs w:val="0"/>
          <w:sz w:val="24"/>
          <w:szCs w:val="24"/>
        </w:rPr>
      </w:pPr>
      <w:r>
        <w:rPr>
          <w:rFonts w:hint="default" w:ascii="Times New Roman Bold" w:hAnsi="Times New Roman Bold" w:cs="Times New Roman Bold"/>
          <w:b/>
          <w:bCs/>
          <w:sz w:val="24"/>
          <w:szCs w:val="24"/>
        </w:rPr>
        <w:t xml:space="preserve">      </w:t>
      </w:r>
      <w:r>
        <w:rPr>
          <w:rFonts w:hint="default" w:ascii="Times New Roman" w:hAnsi="Times New Roman" w:cs="Times New Roman"/>
          <w:b w:val="0"/>
          <w:bCs w:val="0"/>
          <w:sz w:val="24"/>
          <w:szCs w:val="24"/>
        </w:rPr>
        <w:t xml:space="preserve">It can be concluded from the above analysis that there are six main factors playing </w:t>
      </w:r>
      <w:r>
        <w:rPr>
          <w:rFonts w:hint="default" w:ascii="Times New Roman" w:hAnsi="Times New Roman" w:cs="Times New Roman"/>
          <w:b w:val="0"/>
          <w:bCs w:val="0"/>
          <w:sz w:val="24"/>
          <w:szCs w:val="24"/>
        </w:rPr>
        <w:t>irreplaceable</w:t>
      </w:r>
      <w:r>
        <w:rPr>
          <w:rFonts w:hint="default" w:ascii="Times New Roman" w:hAnsi="Times New Roman" w:cs="Times New Roman"/>
          <w:b w:val="0"/>
          <w:bCs w:val="0"/>
          <w:sz w:val="24"/>
          <w:szCs w:val="24"/>
        </w:rPr>
        <w:t xml:space="preserve"> roles in second language learning,which is a complex process cognitively,emotionally and socially. Among those six factors, intelligence,aptitude,personality and age are more correlated with innate factors which are of tremendous difficulties to be changed .By contrast, learners’ preferences and beliefs, together with motivation and attitudes are more likely to vary with the influence of social environment. And motivation and attitudes have consistently been prevalent among the studies of second language learning,which ha</w:t>
      </w:r>
      <w:r>
        <w:rPr>
          <w:rFonts w:hint="default" w:ascii="Times New Roman" w:hAnsi="Times New Roman" w:cs="Times New Roman"/>
          <w:b w:val="0"/>
          <w:bCs w:val="0"/>
          <w:sz w:val="24"/>
          <w:szCs w:val="24"/>
        </w:rPr>
        <w:t>ve</w:t>
      </w:r>
      <w:r>
        <w:rPr>
          <w:rFonts w:hint="default" w:ascii="Times New Roman" w:hAnsi="Times New Roman" w:cs="Times New Roman"/>
          <w:b w:val="0"/>
          <w:bCs w:val="0"/>
          <w:sz w:val="24"/>
          <w:szCs w:val="24"/>
        </w:rPr>
        <w:t xml:space="preserve"> also been elaborated in this essay with the support of SLA theories and studies. </w:t>
      </w:r>
    </w:p>
    <w:p>
      <w:pPr>
        <w:numPr>
          <w:ilvl w:val="0"/>
          <w:numId w:val="0"/>
        </w:numPr>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 xml:space="preserve">     </w:t>
      </w:r>
    </w:p>
    <w:p>
      <w:pPr>
        <w:numPr>
          <w:ilvl w:val="0"/>
          <w:numId w:val="0"/>
        </w:numPr>
        <w:spacing w:line="360" w:lineRule="auto"/>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     </w:t>
      </w:r>
    </w:p>
    <w:p>
      <w:pPr>
        <w:numPr>
          <w:ilvl w:val="0"/>
          <w:numId w:val="0"/>
        </w:numPr>
        <w:spacing w:line="360" w:lineRule="auto"/>
        <w:rPr>
          <w:rFonts w:hint="default" w:ascii="Times New Roman Regular" w:hAnsi="Times New Roman Regular" w:cs="Times New Roman Regular"/>
          <w:sz w:val="24"/>
          <w:szCs w:val="24"/>
        </w:rPr>
      </w:pPr>
    </w:p>
    <w:p>
      <w:pPr>
        <w:numPr>
          <w:ilvl w:val="0"/>
          <w:numId w:val="0"/>
        </w:numPr>
        <w:spacing w:line="360" w:lineRule="auto"/>
        <w:rPr>
          <w:rFonts w:hint="default" w:ascii="Times New Roman Regular" w:hAnsi="Times New Roman Regular" w:cs="Times New Roman Regular"/>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p>
    <w:p>
      <w:pPr>
        <w:numPr>
          <w:ilvl w:val="0"/>
          <w:numId w:val="0"/>
        </w:numPr>
        <w:spacing w:line="360" w:lineRule="auto"/>
        <w:rPr>
          <w:rFonts w:hint="default" w:ascii="Times New Roman Bold" w:hAnsi="Times New Roman Bold" w:cs="Times New Roman Bold"/>
          <w:b/>
          <w:bCs/>
          <w:sz w:val="24"/>
          <w:szCs w:val="24"/>
        </w:rPr>
      </w:pPr>
      <w:r>
        <w:rPr>
          <w:rFonts w:hint="default" w:ascii="Times New Roman Bold" w:hAnsi="Times New Roman Bold" w:cs="Times New Roman Bold"/>
          <w:b/>
          <w:bCs/>
          <w:sz w:val="24"/>
          <w:szCs w:val="24"/>
        </w:rPr>
        <w:t>Bibliography</w:t>
      </w:r>
    </w:p>
    <w:p>
      <w:pPr>
        <w:numPr>
          <w:ilvl w:val="0"/>
          <w:numId w:val="0"/>
        </w:numPr>
        <w:spacing w:line="360" w:lineRule="auto"/>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Dornyei, Z. 2001. </w:t>
      </w:r>
      <w:r>
        <w:rPr>
          <w:rFonts w:hint="default" w:ascii="Times New Roman Italic" w:hAnsi="Times New Roman Italic" w:cs="Times New Roman Italic"/>
          <w:b w:val="0"/>
          <w:bCs w:val="0"/>
          <w:i/>
          <w:iCs/>
          <w:sz w:val="24"/>
          <w:szCs w:val="24"/>
        </w:rPr>
        <w:t>Teaching an researching motivation.</w:t>
      </w:r>
      <w:r>
        <w:rPr>
          <w:rFonts w:hint="default" w:ascii="Times New Roman" w:hAnsi="Times New Roman" w:cs="Times New Roman"/>
          <w:b w:val="0"/>
          <w:bCs w:val="0"/>
          <w:sz w:val="24"/>
          <w:szCs w:val="24"/>
        </w:rPr>
        <w:t xml:space="preserve"> Essex: Longman.</w:t>
      </w:r>
    </w:p>
    <w:p>
      <w:pPr>
        <w:numPr>
          <w:ilvl w:val="0"/>
          <w:numId w:val="0"/>
        </w:numPr>
        <w:spacing w:line="360" w:lineRule="auto"/>
        <w:rPr>
          <w:rFonts w:hint="default" w:ascii="Times New Roman" w:hAnsi="Times New Roman" w:cs="Times New Roman"/>
          <w:b w:val="0"/>
          <w:bCs w:val="0"/>
          <w:sz w:val="24"/>
          <w:szCs w:val="24"/>
        </w:rPr>
      </w:pPr>
    </w:p>
    <w:p>
      <w:pPr>
        <w:numPr>
          <w:ilvl w:val="0"/>
          <w:numId w:val="0"/>
        </w:numPr>
        <w:spacing w:line="360" w:lineRule="auto"/>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 xml:space="preserve">Dornyei, Z. 2005. </w:t>
      </w:r>
      <w:r>
        <w:rPr>
          <w:rFonts w:hint="default" w:ascii="Times New Roman Italic" w:hAnsi="Times New Roman Italic" w:cs="Times New Roman Italic"/>
          <w:b w:val="0"/>
          <w:bCs w:val="0"/>
          <w:i/>
          <w:iCs/>
          <w:sz w:val="24"/>
          <w:szCs w:val="24"/>
        </w:rPr>
        <w:t xml:space="preserve">The psychology of the language learner.Individual differences in second language acquisition. </w:t>
      </w:r>
      <w:r>
        <w:rPr>
          <w:rFonts w:hint="default" w:ascii="Times New Roman" w:hAnsi="Times New Roman" w:cs="Times New Roman"/>
          <w:b w:val="0"/>
          <w:bCs w:val="0"/>
          <w:sz w:val="24"/>
          <w:szCs w:val="24"/>
        </w:rPr>
        <w:t>Mahwah,NJ:Lawrence Erlbaum.</w:t>
      </w:r>
    </w:p>
    <w:p>
      <w:pPr>
        <w:numPr>
          <w:ilvl w:val="0"/>
          <w:numId w:val="0"/>
        </w:numPr>
        <w:spacing w:line="360" w:lineRule="auto"/>
        <w:rPr>
          <w:rFonts w:hint="default" w:ascii="Times New Roman" w:hAnsi="Times New Roman" w:cs="Times New Roman"/>
          <w:b w:val="0"/>
          <w:b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Regular" w:hAnsi="Times New Roman Regular" w:cs="Times New Roman Regular"/>
          <w:sz w:val="24"/>
          <w:szCs w:val="24"/>
        </w:rPr>
        <w:t>Gardner, R. C.</w:t>
      </w:r>
      <w:r>
        <w:rPr>
          <w:rFonts w:hint="default" w:ascii="Times New Roman" w:hAnsi="Times New Roman" w:cs="Times New Roman"/>
          <w:i w:val="0"/>
          <w:iCs w:val="0"/>
          <w:sz w:val="24"/>
          <w:szCs w:val="24"/>
        </w:rPr>
        <w:t xml:space="preserve"> 1985. </w:t>
      </w:r>
      <w:r>
        <w:rPr>
          <w:rFonts w:hint="default" w:ascii="Times New Roman Italic" w:hAnsi="Times New Roman Italic" w:cs="Times New Roman Italic"/>
          <w:i/>
          <w:iCs/>
          <w:sz w:val="24"/>
          <w:szCs w:val="24"/>
        </w:rPr>
        <w:t>Social psychology and second language learning:The role of attitudes and motivation.</w:t>
      </w:r>
      <w:r>
        <w:rPr>
          <w:rFonts w:hint="default" w:ascii="Times New Roman" w:hAnsi="Times New Roman" w:cs="Times New Roman"/>
          <w:i w:val="0"/>
          <w:iCs w:val="0"/>
          <w:sz w:val="24"/>
          <w:szCs w:val="24"/>
        </w:rPr>
        <w:t xml:space="preserve"> London:Arnold.</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Regular" w:hAnsi="Times New Roman Regular" w:cs="Times New Roman Regular"/>
          <w:sz w:val="24"/>
          <w:szCs w:val="24"/>
        </w:rPr>
        <w:t>Gardner, R. C.</w:t>
      </w:r>
      <w:r>
        <w:rPr>
          <w:rFonts w:hint="default" w:ascii="Times New Roman" w:hAnsi="Times New Roman" w:cs="Times New Roman"/>
          <w:i w:val="0"/>
          <w:iCs w:val="0"/>
          <w:sz w:val="24"/>
          <w:szCs w:val="24"/>
        </w:rPr>
        <w:t xml:space="preserve"> 2000. Correlation,causation,motivation and second language acquisition. </w:t>
      </w:r>
      <w:r>
        <w:rPr>
          <w:rFonts w:hint="default" w:ascii="Times New Roman Italic" w:hAnsi="Times New Roman Italic" w:cs="Times New Roman Italic"/>
          <w:i/>
          <w:iCs/>
          <w:sz w:val="24"/>
          <w:szCs w:val="24"/>
        </w:rPr>
        <w:t>Canadian Psychology</w:t>
      </w:r>
      <w:r>
        <w:rPr>
          <w:rFonts w:hint="default" w:ascii="Times New Roman" w:hAnsi="Times New Roman" w:cs="Times New Roman"/>
          <w:i w:val="0"/>
          <w:iCs w:val="0"/>
          <w:sz w:val="24"/>
          <w:szCs w:val="24"/>
        </w:rPr>
        <w:t>. [E-journal]. 41(1), pp. 10-24. Accessed 14</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February 2021.</w:t>
      </w:r>
    </w:p>
    <w:p>
      <w:pPr>
        <w:numPr>
          <w:ilvl w:val="0"/>
          <w:numId w:val="0"/>
        </w:numPr>
        <w:spacing w:line="360" w:lineRule="auto"/>
        <w:rPr>
          <w:rFonts w:hint="default" w:ascii="Times New Roman" w:hAnsi="Times New Roman" w:cs="Times New Roman"/>
          <w:b w:val="0"/>
          <w:b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Regular" w:hAnsi="Times New Roman Regular" w:cs="Times New Roman Regular"/>
          <w:sz w:val="24"/>
          <w:szCs w:val="24"/>
        </w:rPr>
        <w:t xml:space="preserve">Gardner, R. C., </w:t>
      </w:r>
      <w:r>
        <w:rPr>
          <w:rFonts w:hint="default" w:ascii="Times New Roman" w:hAnsi="Times New Roman" w:cs="Times New Roman"/>
          <w:i w:val="0"/>
          <w:iCs w:val="0"/>
          <w:sz w:val="24"/>
          <w:szCs w:val="24"/>
        </w:rPr>
        <w:t xml:space="preserve">Masgoret, A.-M., Tennant J. &amp; Mihic L. </w:t>
      </w:r>
      <w:r>
        <w:rPr>
          <w:rFonts w:hint="default" w:ascii="Times New Roman Regular" w:hAnsi="Times New Roman Regular" w:cs="Times New Roman Regular"/>
          <w:sz w:val="24"/>
          <w:szCs w:val="24"/>
        </w:rPr>
        <w:t xml:space="preserve">2004. Integrative motivation: a year-long intermediate-level language course. </w:t>
      </w:r>
      <w:r>
        <w:rPr>
          <w:rFonts w:hint="default" w:ascii="Times New Roman Italic" w:hAnsi="Times New Roman Italic" w:cs="Times New Roman Italic"/>
          <w:i/>
          <w:iCs/>
          <w:sz w:val="24"/>
          <w:szCs w:val="24"/>
        </w:rPr>
        <w:t xml:space="preserve">Language Learning. </w:t>
      </w:r>
      <w:r>
        <w:rPr>
          <w:rFonts w:hint="default" w:ascii="Times New Roman" w:hAnsi="Times New Roman" w:cs="Times New Roman"/>
          <w:i w:val="0"/>
          <w:iCs w:val="0"/>
          <w:sz w:val="24"/>
          <w:szCs w:val="24"/>
        </w:rPr>
        <w:t xml:space="preserve">[E-journal]. 54(1), pp. 1-34. 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https://doi-org.ezproxy.uwtsd.ac.uk/10.1111/j.1467-9922.2004.00247.x.</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14</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February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Regular" w:hAnsi="Times New Roman Regular" w:cs="Times New Roman Regular"/>
          <w:sz w:val="24"/>
          <w:szCs w:val="24"/>
        </w:rPr>
        <w:t>Gardner, R. C.</w:t>
      </w:r>
      <w:r>
        <w:rPr>
          <w:rFonts w:hint="default" w:ascii="Times New Roman" w:hAnsi="Times New Roman" w:cs="Times New Roman"/>
          <w:i w:val="0"/>
          <w:iCs w:val="0"/>
          <w:sz w:val="24"/>
          <w:szCs w:val="24"/>
        </w:rPr>
        <w:t xml:space="preserve"> 2010. </w:t>
      </w:r>
      <w:r>
        <w:rPr>
          <w:rFonts w:hint="default" w:ascii="Times New Roman Italic" w:hAnsi="Times New Roman Italic" w:cs="Times New Roman Italic"/>
          <w:i/>
          <w:iCs/>
          <w:sz w:val="24"/>
          <w:szCs w:val="24"/>
        </w:rPr>
        <w:t>Motivation and second language acquisition: The socio-educational model.</w:t>
      </w:r>
      <w:r>
        <w:rPr>
          <w:rFonts w:hint="default" w:ascii="Times New Roman" w:hAnsi="Times New Roman" w:cs="Times New Roman"/>
          <w:i w:val="0"/>
          <w:iCs w:val="0"/>
          <w:sz w:val="24"/>
          <w:szCs w:val="24"/>
        </w:rPr>
        <w:t xml:space="preserve"> New York: Peter Lang.</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Regular" w:hAnsi="Times New Roman Regular" w:cs="Times New Roman Regular"/>
          <w:sz w:val="24"/>
          <w:szCs w:val="24"/>
        </w:rPr>
        <w:t xml:space="preserve">Gardner, R. C. 2012.Integrative motivation and global language(English) acquisition in Poland. </w:t>
      </w:r>
      <w:r>
        <w:rPr>
          <w:rFonts w:hint="default" w:ascii="Times New Roman Italic" w:hAnsi="Times New Roman Italic" w:cs="Times New Roman Italic"/>
          <w:i/>
          <w:iCs/>
          <w:sz w:val="24"/>
          <w:szCs w:val="24"/>
        </w:rPr>
        <w:t>Studies in Second Language Learning and Teaching.</w:t>
      </w:r>
      <w:r>
        <w:rPr>
          <w:rFonts w:hint="default" w:ascii="Times New Roman" w:hAnsi="Times New Roman" w:cs="Times New Roman"/>
          <w:i w:val="0"/>
          <w:iCs w:val="0"/>
          <w:sz w:val="24"/>
          <w:szCs w:val="24"/>
        </w:rPr>
        <w:t xml:space="preserve">[E-journal]. 2(2), pp. 215-226. 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"http://www.ssllt.amu.edu.pl."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http://www.ssllt.amu.edu.pl.</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14</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February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Kormos, J.,Kiddle, T. &amp; Csizer, K. 2011. Systems of goals,attitudes,and self-related beliefs in second-language-learning motivation. </w:t>
      </w:r>
      <w:r>
        <w:rPr>
          <w:rFonts w:hint="default" w:ascii="Times New Roman Italic" w:hAnsi="Times New Roman Italic" w:cs="Times New Roman Italic"/>
          <w:i/>
          <w:iCs/>
          <w:sz w:val="24"/>
          <w:szCs w:val="24"/>
        </w:rPr>
        <w:t>Applied Linguistics.</w:t>
      </w:r>
      <w:r>
        <w:rPr>
          <w:rFonts w:hint="default" w:ascii="Times New Roman" w:hAnsi="Times New Roman" w:cs="Times New Roman"/>
          <w:i w:val="0"/>
          <w:iCs w:val="0"/>
          <w:sz w:val="24"/>
          <w:szCs w:val="24"/>
        </w:rPr>
        <w:t xml:space="preserve"> [E-journal]. 32(5), pp. 495-516. Available at: 10.1093/applin/amr019. Accessed 14</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February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eastAsia"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Lightbown, P.M. &amp; Spada, N. 2000. Factors affecting second language learning. In: Candlin, C.N. &amp; Mercer, N. </w:t>
      </w:r>
      <w:r>
        <w:rPr>
          <w:rFonts w:hint="default" w:ascii="Times New Roman Italic" w:hAnsi="Times New Roman Italic" w:cs="Times New Roman Italic"/>
          <w:i/>
          <w:iCs/>
          <w:sz w:val="24"/>
          <w:szCs w:val="24"/>
        </w:rPr>
        <w:t>English Language Teaching in its Social Context,</w:t>
      </w:r>
      <w:r>
        <w:rPr>
          <w:rFonts w:hint="default" w:ascii="Times New Roman Regular" w:hAnsi="Times New Roman Regular" w:cs="Times New Roman Regular"/>
          <w:sz w:val="24"/>
          <w:szCs w:val="24"/>
        </w:rPr>
        <w:t xml:space="preserve"> London: Routledge. </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Masgoret, A.-M. &amp; </w:t>
      </w:r>
      <w:r>
        <w:rPr>
          <w:rFonts w:hint="default" w:ascii="Times New Roman Regular" w:hAnsi="Times New Roman Regular" w:cs="Times New Roman Regular"/>
          <w:sz w:val="24"/>
          <w:szCs w:val="24"/>
        </w:rPr>
        <w:t>Gardner, R. C</w:t>
      </w:r>
      <w:r>
        <w:rPr>
          <w:rFonts w:hint="default" w:ascii="Times New Roman" w:hAnsi="Times New Roman" w:cs="Times New Roman"/>
          <w:i w:val="0"/>
          <w:iCs w:val="0"/>
          <w:sz w:val="24"/>
          <w:szCs w:val="24"/>
        </w:rPr>
        <w:t xml:space="preserve">. 2003. Attitudes, Motivation, and Second Language Learning: A meta-analysis of studies conducted by Gardner and associates. </w:t>
      </w:r>
      <w:r>
        <w:rPr>
          <w:rFonts w:hint="default" w:ascii="Times New Roman Italic" w:hAnsi="Times New Roman Italic" w:cs="Times New Roman Italic"/>
          <w:i/>
          <w:iCs/>
          <w:sz w:val="24"/>
          <w:szCs w:val="24"/>
        </w:rPr>
        <w:t xml:space="preserve">Language Learning. </w:t>
      </w:r>
      <w:r>
        <w:rPr>
          <w:rFonts w:hint="default" w:ascii="Times New Roman" w:hAnsi="Times New Roman" w:cs="Times New Roman"/>
          <w:i w:val="0"/>
          <w:iCs w:val="0"/>
          <w:sz w:val="24"/>
          <w:szCs w:val="24"/>
        </w:rPr>
        <w:t xml:space="preserve">[E-journal]. 53(S1), pp. 167-210. 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"https://doi-org.ezproxy.uwtsd.ac.uk/10.1111/1467-9922.00227."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https://doi-org.ezproxy.uwtsd.ac.uk/10.1111/1467-9922.00227.</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14</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February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Munoz, A. &amp; Ramirez, M. 2015. Teachers’ conceptions of motivation and motivating practices in second-language learning:A self-determination theory perspective. </w:t>
      </w:r>
      <w:r>
        <w:rPr>
          <w:rFonts w:hint="default" w:ascii="Times New Roman Italic" w:hAnsi="Times New Roman Italic" w:cs="Times New Roman Italic"/>
          <w:i/>
          <w:iCs/>
          <w:sz w:val="24"/>
          <w:szCs w:val="24"/>
        </w:rPr>
        <w:t>Theory and Research in Education.</w:t>
      </w:r>
      <w:r>
        <w:rPr>
          <w:rFonts w:hint="default" w:ascii="Times New Roman" w:hAnsi="Times New Roman" w:cs="Times New Roman"/>
          <w:i w:val="0"/>
          <w:iCs w:val="0"/>
          <w:sz w:val="24"/>
          <w:szCs w:val="24"/>
        </w:rPr>
        <w:t>[E-journal]. 13(2), pp. 198-220. Available at:10.1177/1477878515593885. Accessed 14</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February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Meng, D., meng, C. &amp; Macleod, M. 2020. Multimedia wed-based intervention and implementation of motivational factors in incentive strategies on learning motivation. </w:t>
      </w:r>
      <w:r>
        <w:rPr>
          <w:rFonts w:hint="default" w:ascii="Times New Roman Italic" w:hAnsi="Times New Roman Italic" w:cs="Times New Roman Italic"/>
          <w:i/>
          <w:iCs/>
          <w:sz w:val="24"/>
          <w:szCs w:val="24"/>
        </w:rPr>
        <w:t>Multimedia Tools and Applications.</w:t>
      </w:r>
      <w:r>
        <w:rPr>
          <w:rFonts w:hint="default" w:ascii="Times New Roman" w:hAnsi="Times New Roman" w:cs="Times New Roman"/>
          <w:i w:val="0"/>
          <w:iCs w:val="0"/>
          <w:sz w:val="24"/>
          <w:szCs w:val="24"/>
        </w:rPr>
        <w:t xml:space="preserve">[E-journal]. 79, pp. 10915-10933. 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"https://doi-org.ezproxy.uwtsd.ac.uk/10.1111/1467-9922.00227."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https://doi.org/10.1007/s11042-019-07972-9.</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14</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February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Regular" w:hAnsi="Times New Roman Regular" w:cs="Times New Roman Regular"/>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AEFPCL+TimesNewRoman">
    <w:altName w:val="苹方-简"/>
    <w:panose1 w:val="00000000000000000000"/>
    <w:charset w:val="00"/>
    <w:family w:val="roman"/>
    <w:pitch w:val="default"/>
    <w:sig w:usb0="00000000" w:usb1="00000000" w:usb2="00000010" w:usb3="00000000" w:csb0="00040000" w:csb1="00000000"/>
  </w:font>
  <w:font w:name="PMingLiU">
    <w:altName w:val="宋体-繁"/>
    <w:panose1 w:val="02020500000000000000"/>
    <w:charset w:val="00"/>
    <w:family w:val="roman"/>
    <w:pitch w:val="default"/>
    <w:sig w:usb0="00000000" w:usb1="00000000" w:usb2="00000016" w:usb3="00000000" w:csb0="00100001" w:csb1="00000000"/>
  </w:font>
  <w:font w:name="Comic Sans MS">
    <w:panose1 w:val="030F0902030302020204"/>
    <w:charset w:val="00"/>
    <w:family w:val="script"/>
    <w:pitch w:val="default"/>
    <w:sig w:usb0="00000287" w:usb1="00000000" w:usb2="00000000" w:usb3="00000000" w:csb0="2000009F" w:csb1="00000000"/>
  </w:font>
  <w:font w:name="Cheltenham-Book">
    <w:altName w:val="苹方-简"/>
    <w:panose1 w:val="00000000000000000000"/>
    <w:charset w:val="00"/>
    <w:family w:val="roman"/>
    <w:pitch w:val="default"/>
    <w:sig w:usb0="00000000" w:usb1="00000000" w:usb2="00000000" w:usb3="00000000" w:csb0="00000001" w:csb1="00000000"/>
  </w:font>
  <w:font w:name="宋体-繁">
    <w:panose1 w:val="02010600040101010101"/>
    <w:charset w:val="86"/>
    <w:family w:val="auto"/>
    <w:pitch w:val="default"/>
    <w:sig w:usb0="00000287" w:usb1="080F0000" w:usb2="00000000" w:usb3="00000000" w:csb0="0004009F" w:csb1="DFD70000"/>
  </w:font>
  <w:font w:name="Comic Sans MS Regular">
    <w:panose1 w:val="030F0902030302020204"/>
    <w:charset w:val="00"/>
    <w:family w:val="auto"/>
    <w:pitch w:val="default"/>
    <w:sig w:usb0="00000287" w:usb1="00000000" w:usb2="00000000" w:usb3="00000000" w:csb0="2000009F" w:csb1="00000000"/>
  </w:font>
  <w:font w:name="Times New Roman Regular">
    <w:panose1 w:val="02020503050405090304"/>
    <w:charset w:val="00"/>
    <w:family w:val="auto"/>
    <w:pitch w:val="default"/>
    <w:sig w:usb0="E0000AFF" w:usb1="00007843" w:usb2="00000001" w:usb3="00000000" w:csb0="400001BF" w:csb1="DFF70000"/>
  </w:font>
  <w:font w:name="冬青黑体简体中文">
    <w:panose1 w:val="020B0300000000000000"/>
    <w:charset w:val="86"/>
    <w:family w:val="auto"/>
    <w:pitch w:val="default"/>
    <w:sig w:usb0="A00002BF" w:usb1="1ACF7CFA" w:usb2="00000016" w:usb3="00000000" w:csb0="00060007" w:csb1="00000000"/>
  </w:font>
  <w:font w:name="Times New Roman Bold">
    <w:panose1 w:val="02020503050405090304"/>
    <w:charset w:val="00"/>
    <w:family w:val="auto"/>
    <w:pitch w:val="default"/>
    <w:sig w:usb0="E0000AFF" w:usb1="00007843" w:usb2="00000001" w:usb3="00000000" w:csb0="400001BF" w:csb1="DFF70000"/>
  </w:font>
  <w:font w:name="Times New Roman Italic">
    <w:panose1 w:val="02020503050405090304"/>
    <w:charset w:val="00"/>
    <w:family w:val="auto"/>
    <w:pitch w:val="default"/>
    <w:sig w:usb0="E0000AFF" w:usb1="00007843" w:usb2="00000001" w:usb3="00000000" w:csb0="400001BF" w:csb1="DFF7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046E840"/>
    <w:multiLevelType w:val="singleLevel"/>
    <w:tmpl w:val="6046E840"/>
    <w:lvl w:ilvl="0" w:tentative="0">
      <w:start w:val="3"/>
      <w:numFmt w:val="decimal"/>
      <w:suff w:val="nothing"/>
      <w:lvlText w:val="%1."/>
      <w:lvlJc w:val="left"/>
    </w:lvl>
  </w:abstractNum>
  <w:abstractNum w:abstractNumId="1">
    <w:nsid w:val="6049CFB0"/>
    <w:multiLevelType w:val="singleLevel"/>
    <w:tmpl w:val="6049CFB0"/>
    <w:lvl w:ilvl="0" w:tentative="0">
      <w:start w:val="2"/>
      <w:numFmt w:val="decimal"/>
      <w:suff w:val="space"/>
      <w:lvlText w:val="%1."/>
      <w:lvlJc w:val="left"/>
    </w:lvl>
  </w:abstractNum>
  <w:abstractNum w:abstractNumId="2">
    <w:nsid w:val="604C2C0A"/>
    <w:multiLevelType w:val="singleLevel"/>
    <w:tmpl w:val="604C2C0A"/>
    <w:lvl w:ilvl="0" w:tentative="0">
      <w:start w:val="1"/>
      <w:numFmt w:val="decimal"/>
      <w:suff w:val="space"/>
      <w:lvlText w:val="%1."/>
      <w:lvlJc w:val="left"/>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7"/>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B7DC409"/>
    <w:rsid w:val="2B7DC409"/>
    <w:rsid w:val="2EFDE6B3"/>
    <w:rsid w:val="33E7DB89"/>
    <w:rsid w:val="36BFE795"/>
    <w:rsid w:val="3BDF6048"/>
    <w:rsid w:val="53E7D517"/>
    <w:rsid w:val="63FE646C"/>
    <w:rsid w:val="7B6B4DEA"/>
    <w:rsid w:val="7D598D85"/>
    <w:rsid w:val="7F6758EE"/>
    <w:rsid w:val="BDBEDD4F"/>
    <w:rsid w:val="BE4FDBD9"/>
    <w:rsid w:val="CD78046A"/>
    <w:rsid w:val="D7DB776A"/>
    <w:rsid w:val="F37EF905"/>
    <w:rsid w:val="FC1BAF91"/>
    <w:rsid w:val="FDFF6632"/>
    <w:rsid w:val="FFFF9A0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character" w:styleId="3">
    <w:name w:val="Hyperlink"/>
    <w:basedOn w:val="2"/>
    <w:qFormat/>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Office_2.6.1.4274_F1E327BC-269C-435d-A152-05C5408002CA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2020-10-03T02:44:00Z</dcterms:created>
  <dc:creator>wangyuwen</dc:creator>
  <cp:lastModifiedBy>wangyuwen</cp:lastModifiedBy>
  <dcterms:modified xsi:type="dcterms:W3CDTF">2021-03-25T10:36:37Z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2052-2.6.1.4274</vt:lpwstr>
  </property>
</Properties>
</file>