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9648E" w14:textId="77777777" w:rsidR="00DC7ADE" w:rsidRPr="00954BA5" w:rsidRDefault="004002FA">
      <w:pPr>
        <w:jc w:val="center"/>
        <w:rPr>
          <w:rFonts w:eastAsia="Times New Roman"/>
          <w:b/>
          <w:bCs/>
          <w:lang w:val="en-GB"/>
        </w:rPr>
      </w:pPr>
      <w:r w:rsidRPr="00954BA5">
        <w:rPr>
          <w:noProof/>
          <w:lang w:val="en-IN"/>
        </w:rPr>
        <w:drawing>
          <wp:anchor distT="0" distB="0" distL="114300" distR="114300" simplePos="0" relativeHeight="251658240" behindDoc="0" locked="0" layoutInCell="1" allowOverlap="1" wp14:anchorId="0006C3D4" wp14:editId="1E93533D">
            <wp:simplePos x="0" y="0"/>
            <wp:positionH relativeFrom="column">
              <wp:posOffset>1618615</wp:posOffset>
            </wp:positionH>
            <wp:positionV relativeFrom="paragraph">
              <wp:posOffset>0</wp:posOffset>
            </wp:positionV>
            <wp:extent cx="2695575" cy="1152525"/>
            <wp:effectExtent l="152400" t="76200" r="352425" b="23812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2695575" cy="11525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02C388E9" w14:textId="77777777" w:rsidR="00DC7ADE" w:rsidRPr="00954BA5" w:rsidRDefault="00DC7ADE">
      <w:pPr>
        <w:jc w:val="center"/>
        <w:rPr>
          <w:rFonts w:eastAsia="Times New Roman"/>
          <w:b/>
          <w:bCs/>
          <w:lang w:val="en-GB"/>
        </w:rPr>
      </w:pPr>
    </w:p>
    <w:p w14:paraId="226806A6" w14:textId="77777777" w:rsidR="00DC7ADE" w:rsidRPr="00954BA5" w:rsidRDefault="00DC7ADE">
      <w:pPr>
        <w:jc w:val="center"/>
        <w:rPr>
          <w:rFonts w:eastAsia="Times New Roman"/>
          <w:b/>
          <w:bCs/>
          <w:lang w:val="en-GB"/>
        </w:rPr>
      </w:pPr>
    </w:p>
    <w:p w14:paraId="0BD3C409" w14:textId="77777777" w:rsidR="00DC7ADE" w:rsidRPr="00954BA5" w:rsidRDefault="00DC7ADE">
      <w:pPr>
        <w:jc w:val="center"/>
        <w:rPr>
          <w:rFonts w:eastAsia="Times New Roman"/>
          <w:b/>
          <w:bCs/>
          <w:lang w:val="en-GB"/>
        </w:rPr>
      </w:pPr>
    </w:p>
    <w:p w14:paraId="56143A73" w14:textId="77777777" w:rsidR="00DC7ADE" w:rsidRPr="00954BA5" w:rsidRDefault="00DC7ADE">
      <w:pPr>
        <w:jc w:val="center"/>
        <w:rPr>
          <w:rFonts w:eastAsia="Times New Roman"/>
          <w:b/>
          <w:bCs/>
          <w:lang w:val="en-GB"/>
        </w:rPr>
      </w:pPr>
    </w:p>
    <w:p w14:paraId="61133BEC" w14:textId="77777777" w:rsidR="00231F8C" w:rsidRPr="00954BA5" w:rsidRDefault="00231F8C">
      <w:pPr>
        <w:jc w:val="center"/>
        <w:rPr>
          <w:rFonts w:eastAsia="Times New Roman"/>
          <w:b/>
          <w:bCs/>
          <w:lang w:val="en-GB"/>
        </w:rPr>
      </w:pPr>
    </w:p>
    <w:p w14:paraId="39EEA706" w14:textId="77777777" w:rsidR="00231F8C" w:rsidRPr="00954BA5" w:rsidRDefault="00231F8C" w:rsidP="00231F8C">
      <w:pPr>
        <w:spacing w:line="480" w:lineRule="auto"/>
        <w:jc w:val="center"/>
        <w:rPr>
          <w:rFonts w:eastAsia="Times New Roman"/>
          <w:b/>
          <w:bCs/>
          <w:lang w:val="en-GB"/>
        </w:rPr>
      </w:pPr>
    </w:p>
    <w:p w14:paraId="138A664D" w14:textId="77777777" w:rsidR="00231F8C" w:rsidRPr="00954BA5" w:rsidRDefault="00231F8C" w:rsidP="00231F8C">
      <w:pPr>
        <w:spacing w:line="480" w:lineRule="auto"/>
        <w:jc w:val="center"/>
        <w:rPr>
          <w:rFonts w:eastAsia="Times New Roman"/>
          <w:b/>
          <w:bCs/>
          <w:lang w:val="en-GB"/>
        </w:rPr>
      </w:pPr>
    </w:p>
    <w:p w14:paraId="3F8358A3" w14:textId="77777777" w:rsidR="00231F8C" w:rsidRPr="00954BA5" w:rsidRDefault="004002FA" w:rsidP="00231F8C">
      <w:pPr>
        <w:spacing w:line="480" w:lineRule="auto"/>
        <w:jc w:val="center"/>
        <w:rPr>
          <w:rFonts w:eastAsia="Times New Roman"/>
          <w:b/>
          <w:bCs/>
          <w:sz w:val="32"/>
          <w:szCs w:val="32"/>
          <w:lang w:val="en-GB"/>
        </w:rPr>
      </w:pPr>
      <w:r w:rsidRPr="00954BA5">
        <w:rPr>
          <w:rFonts w:eastAsia="Times New Roman"/>
          <w:b/>
          <w:bCs/>
          <w:sz w:val="32"/>
          <w:szCs w:val="32"/>
          <w:lang w:val="en-GB"/>
        </w:rPr>
        <w:t xml:space="preserve">Student Name: </w:t>
      </w:r>
      <w:r w:rsidRPr="00954BA5">
        <w:rPr>
          <w:rFonts w:eastAsia="Times New Roman"/>
          <w:bCs/>
          <w:sz w:val="32"/>
          <w:szCs w:val="32"/>
          <w:lang w:val="en-GB"/>
        </w:rPr>
        <w:t xml:space="preserve">Edwige Taty - </w:t>
      </w:r>
      <w:proofErr w:type="spellStart"/>
      <w:r w:rsidRPr="00954BA5">
        <w:rPr>
          <w:rFonts w:eastAsia="Times New Roman"/>
          <w:bCs/>
          <w:sz w:val="32"/>
          <w:szCs w:val="32"/>
          <w:lang w:val="en-GB"/>
        </w:rPr>
        <w:t>Bitemo</w:t>
      </w:r>
      <w:proofErr w:type="spellEnd"/>
    </w:p>
    <w:p w14:paraId="2CEC35B0" w14:textId="2DB9D8C0" w:rsidR="00231F8C" w:rsidRPr="00954BA5" w:rsidRDefault="004002FA" w:rsidP="00231F8C">
      <w:pPr>
        <w:spacing w:line="480" w:lineRule="auto"/>
        <w:jc w:val="center"/>
        <w:rPr>
          <w:rFonts w:eastAsia="Times New Roman"/>
          <w:b/>
          <w:bCs/>
          <w:sz w:val="32"/>
          <w:szCs w:val="32"/>
          <w:lang w:val="en-GB"/>
        </w:rPr>
      </w:pPr>
      <w:r w:rsidRPr="00954BA5">
        <w:rPr>
          <w:rFonts w:eastAsia="Times New Roman"/>
          <w:b/>
          <w:bCs/>
          <w:sz w:val="32"/>
          <w:szCs w:val="32"/>
          <w:lang w:val="en-GB"/>
        </w:rPr>
        <w:t>Student ID Number:</w:t>
      </w:r>
      <w:r w:rsidR="00ED3EBD">
        <w:rPr>
          <w:rFonts w:eastAsia="Times New Roman"/>
          <w:b/>
          <w:bCs/>
          <w:sz w:val="32"/>
          <w:szCs w:val="32"/>
          <w:lang w:val="en-GB"/>
        </w:rPr>
        <w:t xml:space="preserve"> 2511480</w:t>
      </w:r>
    </w:p>
    <w:p w14:paraId="7CD47DEC" w14:textId="77777777" w:rsidR="00DC7ADE" w:rsidRPr="00954BA5" w:rsidRDefault="00DC7ADE" w:rsidP="00231F8C">
      <w:pPr>
        <w:spacing w:line="480" w:lineRule="auto"/>
        <w:jc w:val="center"/>
        <w:rPr>
          <w:rFonts w:eastAsia="Times New Roman"/>
          <w:b/>
          <w:bCs/>
          <w:sz w:val="32"/>
          <w:szCs w:val="32"/>
          <w:lang w:val="en-GB"/>
        </w:rPr>
      </w:pPr>
    </w:p>
    <w:p w14:paraId="7EEFB088" w14:textId="77777777" w:rsidR="00231F8C" w:rsidRPr="00954BA5" w:rsidRDefault="00231F8C" w:rsidP="00231F8C">
      <w:pPr>
        <w:spacing w:line="480" w:lineRule="auto"/>
        <w:jc w:val="center"/>
        <w:rPr>
          <w:rFonts w:eastAsia="Times New Roman"/>
          <w:b/>
          <w:bCs/>
          <w:sz w:val="32"/>
          <w:szCs w:val="32"/>
          <w:lang w:val="en-GB"/>
        </w:rPr>
      </w:pPr>
    </w:p>
    <w:p w14:paraId="4C543D87" w14:textId="77777777" w:rsidR="00231F8C" w:rsidRPr="00954BA5" w:rsidRDefault="00231F8C" w:rsidP="00231F8C">
      <w:pPr>
        <w:spacing w:line="480" w:lineRule="auto"/>
        <w:jc w:val="center"/>
        <w:rPr>
          <w:rFonts w:eastAsia="Times New Roman"/>
          <w:b/>
          <w:bCs/>
          <w:sz w:val="32"/>
          <w:szCs w:val="32"/>
          <w:lang w:val="en-GB"/>
        </w:rPr>
      </w:pPr>
    </w:p>
    <w:p w14:paraId="56C94214" w14:textId="77777777" w:rsidR="00231F8C" w:rsidRPr="00954BA5" w:rsidRDefault="004002FA" w:rsidP="00231F8C">
      <w:pPr>
        <w:spacing w:line="480" w:lineRule="auto"/>
        <w:jc w:val="center"/>
        <w:rPr>
          <w:rFonts w:eastAsia="Times New Roman"/>
          <w:b/>
          <w:bCs/>
          <w:sz w:val="32"/>
          <w:szCs w:val="32"/>
          <w:lang w:val="en-GB"/>
        </w:rPr>
      </w:pPr>
      <w:r w:rsidRPr="00954BA5">
        <w:rPr>
          <w:rFonts w:eastAsia="Times New Roman"/>
          <w:b/>
          <w:bCs/>
          <w:sz w:val="32"/>
          <w:szCs w:val="32"/>
          <w:lang w:val="en-GB"/>
        </w:rPr>
        <w:t xml:space="preserve">Module Code: </w:t>
      </w:r>
      <w:r w:rsidRPr="00954BA5">
        <w:rPr>
          <w:rFonts w:eastAsia="Times New Roman"/>
          <w:bCs/>
          <w:sz w:val="32"/>
          <w:szCs w:val="32"/>
          <w:lang w:val="en-GB"/>
        </w:rPr>
        <w:t>BMHP5023</w:t>
      </w:r>
    </w:p>
    <w:p w14:paraId="01F8D189" w14:textId="77777777" w:rsidR="00DC7ADE" w:rsidRPr="00954BA5" w:rsidRDefault="004002FA" w:rsidP="00231F8C">
      <w:pPr>
        <w:spacing w:line="480" w:lineRule="auto"/>
        <w:jc w:val="center"/>
        <w:rPr>
          <w:rFonts w:eastAsia="Times New Roman"/>
          <w:b/>
          <w:bCs/>
          <w:sz w:val="32"/>
          <w:szCs w:val="32"/>
          <w:lang w:val="en-GB"/>
        </w:rPr>
      </w:pPr>
      <w:r w:rsidRPr="00954BA5">
        <w:rPr>
          <w:rFonts w:eastAsia="Times New Roman"/>
          <w:b/>
          <w:bCs/>
          <w:sz w:val="32"/>
          <w:szCs w:val="32"/>
          <w:lang w:val="en-GB"/>
        </w:rPr>
        <w:t xml:space="preserve">Module Title: </w:t>
      </w:r>
      <w:r w:rsidR="004C4236" w:rsidRPr="00954BA5">
        <w:rPr>
          <w:rFonts w:eastAsia="Times New Roman"/>
          <w:bCs/>
          <w:sz w:val="32"/>
          <w:szCs w:val="32"/>
          <w:lang w:val="en-GB"/>
        </w:rPr>
        <w:t>Introduction to Physiology</w:t>
      </w:r>
    </w:p>
    <w:p w14:paraId="418B2732" w14:textId="77777777" w:rsidR="00231F8C" w:rsidRPr="00954BA5" w:rsidRDefault="00231F8C" w:rsidP="00231F8C">
      <w:pPr>
        <w:spacing w:line="480" w:lineRule="auto"/>
        <w:jc w:val="center"/>
        <w:rPr>
          <w:rFonts w:eastAsia="Times New Roman"/>
          <w:b/>
          <w:bCs/>
          <w:sz w:val="32"/>
          <w:szCs w:val="32"/>
          <w:lang w:val="en-GB"/>
        </w:rPr>
      </w:pPr>
    </w:p>
    <w:p w14:paraId="126B8C60" w14:textId="77777777" w:rsidR="00231F8C" w:rsidRPr="00954BA5" w:rsidRDefault="00231F8C" w:rsidP="00231F8C">
      <w:pPr>
        <w:spacing w:line="480" w:lineRule="auto"/>
        <w:jc w:val="center"/>
        <w:rPr>
          <w:rFonts w:eastAsia="Times New Roman"/>
          <w:b/>
          <w:bCs/>
          <w:sz w:val="32"/>
          <w:szCs w:val="32"/>
          <w:lang w:val="en-GB"/>
        </w:rPr>
      </w:pPr>
    </w:p>
    <w:p w14:paraId="42F4F5DF" w14:textId="77777777" w:rsidR="00231F8C" w:rsidRPr="00954BA5" w:rsidRDefault="00231F8C" w:rsidP="00231F8C">
      <w:pPr>
        <w:spacing w:line="480" w:lineRule="auto"/>
        <w:jc w:val="center"/>
        <w:rPr>
          <w:rFonts w:eastAsia="Times New Roman"/>
          <w:b/>
          <w:bCs/>
          <w:sz w:val="32"/>
          <w:szCs w:val="32"/>
          <w:lang w:val="en-GB"/>
        </w:rPr>
      </w:pPr>
    </w:p>
    <w:p w14:paraId="4A89524A" w14:textId="77777777" w:rsidR="00231F8C" w:rsidRPr="00954BA5" w:rsidRDefault="004002FA" w:rsidP="00231F8C">
      <w:pPr>
        <w:spacing w:line="480" w:lineRule="auto"/>
        <w:jc w:val="center"/>
        <w:rPr>
          <w:bCs/>
          <w:sz w:val="32"/>
          <w:szCs w:val="32"/>
          <w:lang w:val="en-GB"/>
        </w:rPr>
      </w:pPr>
      <w:r w:rsidRPr="00954BA5">
        <w:rPr>
          <w:rFonts w:eastAsia="Times New Roman"/>
          <w:b/>
          <w:bCs/>
          <w:sz w:val="32"/>
          <w:szCs w:val="32"/>
          <w:lang w:val="en-GB"/>
        </w:rPr>
        <w:t>Assignment Title:</w:t>
      </w:r>
      <w:r w:rsidR="00BE747D" w:rsidRPr="00954BA5">
        <w:rPr>
          <w:rFonts w:eastAsia="Times New Roman"/>
          <w:b/>
          <w:bCs/>
          <w:sz w:val="32"/>
          <w:szCs w:val="32"/>
          <w:lang w:val="en-GB"/>
        </w:rPr>
        <w:t xml:space="preserve"> </w:t>
      </w:r>
      <w:r w:rsidR="00BE747D" w:rsidRPr="00954BA5">
        <w:rPr>
          <w:sz w:val="32"/>
          <w:szCs w:val="32"/>
          <w:lang w:val="en-GB"/>
        </w:rPr>
        <w:t>Component 1: Written Assignment (</w:t>
      </w:r>
      <w:r w:rsidR="00BE747D" w:rsidRPr="00954BA5">
        <w:rPr>
          <w:bCs/>
          <w:sz w:val="32"/>
          <w:szCs w:val="32"/>
          <w:lang w:val="en-GB"/>
        </w:rPr>
        <w:t>Case Study Report)</w:t>
      </w:r>
      <w:r w:rsidR="00472184">
        <w:rPr>
          <w:bCs/>
          <w:sz w:val="32"/>
          <w:szCs w:val="32"/>
          <w:lang w:val="en-GB"/>
        </w:rPr>
        <w:t xml:space="preserve"> (Case Study 1)</w:t>
      </w:r>
    </w:p>
    <w:p w14:paraId="1126B867" w14:textId="77777777" w:rsidR="00842EFE" w:rsidRPr="00954BA5" w:rsidRDefault="00842EFE">
      <w:pPr>
        <w:rPr>
          <w:bCs/>
          <w:sz w:val="32"/>
          <w:szCs w:val="32"/>
          <w:lang w:val="en-GB"/>
        </w:rPr>
      </w:pPr>
      <w:r w:rsidRPr="00954BA5">
        <w:rPr>
          <w:bCs/>
          <w:sz w:val="32"/>
          <w:szCs w:val="32"/>
          <w:lang w:val="en-GB"/>
        </w:rPr>
        <w:br w:type="page"/>
      </w:r>
    </w:p>
    <w:sdt>
      <w:sdtPr>
        <w:rPr>
          <w:rFonts w:ascii="Arial" w:eastAsia="Arial" w:hAnsi="Arial" w:cs="Arial"/>
          <w:color w:val="auto"/>
          <w:sz w:val="22"/>
          <w:szCs w:val="22"/>
          <w:lang w:val="en-GB" w:eastAsia="en-IN"/>
        </w:rPr>
        <w:id w:val="-2146964829"/>
        <w:docPartObj>
          <w:docPartGallery w:val="Table of Contents"/>
          <w:docPartUnique/>
        </w:docPartObj>
      </w:sdtPr>
      <w:sdtEndPr>
        <w:rPr>
          <w:b/>
          <w:bCs/>
          <w:noProof/>
        </w:rPr>
      </w:sdtEndPr>
      <w:sdtContent>
        <w:p w14:paraId="157D00E4" w14:textId="77777777" w:rsidR="00842EFE" w:rsidRPr="00954BA5" w:rsidRDefault="00842EFE" w:rsidP="00842EFE">
          <w:pPr>
            <w:pStyle w:val="TOCHeading"/>
            <w:spacing w:line="360" w:lineRule="auto"/>
            <w:jc w:val="center"/>
            <w:rPr>
              <w:rFonts w:ascii="Arial" w:hAnsi="Arial" w:cs="Arial"/>
              <w:b/>
              <w:color w:val="000000" w:themeColor="text1"/>
              <w:sz w:val="28"/>
              <w:szCs w:val="24"/>
              <w:u w:val="single"/>
              <w:lang w:val="en-GB"/>
            </w:rPr>
          </w:pPr>
          <w:r w:rsidRPr="00954BA5">
            <w:rPr>
              <w:rFonts w:ascii="Arial" w:hAnsi="Arial" w:cs="Arial"/>
              <w:b/>
              <w:color w:val="000000" w:themeColor="text1"/>
              <w:sz w:val="28"/>
              <w:szCs w:val="24"/>
              <w:u w:val="single"/>
              <w:lang w:val="en-GB"/>
            </w:rPr>
            <w:t>Table of Contents</w:t>
          </w:r>
        </w:p>
        <w:p w14:paraId="7797EA84"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r w:rsidRPr="00954BA5">
            <w:rPr>
              <w:color w:val="000000" w:themeColor="text1"/>
              <w:szCs w:val="24"/>
              <w:lang w:val="en-GB"/>
            </w:rPr>
            <w:fldChar w:fldCharType="begin"/>
          </w:r>
          <w:r w:rsidRPr="00954BA5">
            <w:rPr>
              <w:color w:val="000000" w:themeColor="text1"/>
              <w:szCs w:val="24"/>
              <w:lang w:val="en-GB"/>
            </w:rPr>
            <w:instrText xml:space="preserve"> TOC \o "1-3" \h \z \u </w:instrText>
          </w:r>
          <w:r w:rsidRPr="00954BA5">
            <w:rPr>
              <w:color w:val="000000" w:themeColor="text1"/>
              <w:szCs w:val="24"/>
              <w:lang w:val="en-GB"/>
            </w:rPr>
            <w:fldChar w:fldCharType="separate"/>
          </w:r>
          <w:hyperlink w:anchor="_Toc240885361" w:history="1">
            <w:r w:rsidRPr="00954BA5">
              <w:rPr>
                <w:rStyle w:val="Hyperlink"/>
                <w:noProof/>
                <w:color w:val="000000" w:themeColor="text1"/>
                <w:szCs w:val="24"/>
                <w:lang w:val="en-GB"/>
              </w:rPr>
              <w:t>1. Introduction</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_Toc240885361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3</w:t>
            </w:r>
            <w:r w:rsidRPr="00954BA5">
              <w:rPr>
                <w:noProof/>
                <w:webHidden/>
                <w:color w:val="000000" w:themeColor="text1"/>
                <w:szCs w:val="24"/>
                <w:lang w:val="en-GB"/>
              </w:rPr>
              <w:fldChar w:fldCharType="end"/>
            </w:r>
          </w:hyperlink>
        </w:p>
        <w:p w14:paraId="1A0CB2EE"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hyperlink w:anchor="_Toc240885362" w:history="1">
            <w:r w:rsidRPr="00954BA5">
              <w:rPr>
                <w:rStyle w:val="Hyperlink"/>
                <w:noProof/>
                <w:color w:val="000000" w:themeColor="text1"/>
                <w:szCs w:val="24"/>
                <w:lang w:val="en-GB"/>
              </w:rPr>
              <w:t>2. Maintenance of Blood Sugar Levels</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_Toc240885362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3</w:t>
            </w:r>
            <w:r w:rsidRPr="00954BA5">
              <w:rPr>
                <w:noProof/>
                <w:webHidden/>
                <w:color w:val="000000" w:themeColor="text1"/>
                <w:szCs w:val="24"/>
                <w:lang w:val="en-GB"/>
              </w:rPr>
              <w:fldChar w:fldCharType="end"/>
            </w:r>
          </w:hyperlink>
        </w:p>
        <w:p w14:paraId="74391A5E"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hyperlink w:anchor="_Toc240885363" w:history="1">
            <w:r w:rsidRPr="00954BA5">
              <w:rPr>
                <w:rStyle w:val="Hyperlink"/>
                <w:noProof/>
                <w:color w:val="000000" w:themeColor="text1"/>
                <w:szCs w:val="24"/>
                <w:lang w:val="en-GB"/>
              </w:rPr>
              <w:t>3. Oxygen, Glucose, and Cellular Energy Production</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_Toc240885363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4</w:t>
            </w:r>
            <w:r w:rsidRPr="00954BA5">
              <w:rPr>
                <w:noProof/>
                <w:webHidden/>
                <w:color w:val="000000" w:themeColor="text1"/>
                <w:szCs w:val="24"/>
                <w:lang w:val="en-GB"/>
              </w:rPr>
              <w:fldChar w:fldCharType="end"/>
            </w:r>
          </w:hyperlink>
        </w:p>
        <w:p w14:paraId="4DB5740B"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hyperlink w:anchor="_Toc240885364" w:history="1">
            <w:r w:rsidRPr="00954BA5">
              <w:rPr>
                <w:rStyle w:val="Hyperlink"/>
                <w:noProof/>
                <w:color w:val="000000" w:themeColor="text1"/>
                <w:szCs w:val="24"/>
                <w:lang w:val="en-GB"/>
              </w:rPr>
              <w:t>4. Recording and Tracking Blood Sugar Levels in Type 2 Diabetes</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_Toc240885364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5</w:t>
            </w:r>
            <w:r w:rsidRPr="00954BA5">
              <w:rPr>
                <w:noProof/>
                <w:webHidden/>
                <w:color w:val="000000" w:themeColor="text1"/>
                <w:szCs w:val="24"/>
                <w:lang w:val="en-GB"/>
              </w:rPr>
              <w:fldChar w:fldCharType="end"/>
            </w:r>
          </w:hyperlink>
        </w:p>
        <w:p w14:paraId="4531B96A"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hyperlink w:anchor="_Toc240885365" w:history="1">
            <w:r w:rsidRPr="00954BA5">
              <w:rPr>
                <w:rStyle w:val="Hyperlink"/>
                <w:noProof/>
                <w:color w:val="000000" w:themeColor="text1"/>
                <w:szCs w:val="24"/>
                <w:lang w:val="en-GB"/>
              </w:rPr>
              <w:t>5. Evidence-Based Lifestyle Recommendations</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_Toc240885365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6</w:t>
            </w:r>
            <w:r w:rsidRPr="00954BA5">
              <w:rPr>
                <w:noProof/>
                <w:webHidden/>
                <w:color w:val="000000" w:themeColor="text1"/>
                <w:szCs w:val="24"/>
                <w:lang w:val="en-GB"/>
              </w:rPr>
              <w:fldChar w:fldCharType="end"/>
            </w:r>
          </w:hyperlink>
        </w:p>
        <w:p w14:paraId="1FA2F52C"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hyperlink w:anchor="_Toc240885366" w:history="1">
            <w:r w:rsidRPr="00954BA5">
              <w:rPr>
                <w:rStyle w:val="Hyperlink"/>
                <w:noProof/>
                <w:color w:val="000000" w:themeColor="text1"/>
                <w:szCs w:val="24"/>
                <w:lang w:val="en-GB"/>
              </w:rPr>
              <w:t>6. Conclusion</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_Toc240885366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7</w:t>
            </w:r>
            <w:r w:rsidRPr="00954BA5">
              <w:rPr>
                <w:noProof/>
                <w:webHidden/>
                <w:color w:val="000000" w:themeColor="text1"/>
                <w:szCs w:val="24"/>
                <w:lang w:val="en-GB"/>
              </w:rPr>
              <w:fldChar w:fldCharType="end"/>
            </w:r>
          </w:hyperlink>
        </w:p>
        <w:p w14:paraId="49A44E68" w14:textId="77777777" w:rsidR="00842EFE" w:rsidRPr="00954BA5" w:rsidRDefault="00842EFE" w:rsidP="00842EFE">
          <w:pPr>
            <w:pStyle w:val="TOC1"/>
            <w:tabs>
              <w:tab w:val="right" w:leader="dot" w:pos="9350"/>
            </w:tabs>
            <w:spacing w:line="360" w:lineRule="auto"/>
            <w:jc w:val="both"/>
            <w:rPr>
              <w:noProof/>
              <w:color w:val="000000" w:themeColor="text1"/>
              <w:szCs w:val="24"/>
              <w:lang w:val="en-GB"/>
            </w:rPr>
          </w:pPr>
          <w:hyperlink w:anchor="_Toc240885367" w:history="1">
            <w:r w:rsidRPr="00954BA5">
              <w:rPr>
                <w:rStyle w:val="Hyperlink"/>
                <w:noProof/>
                <w:color w:val="000000" w:themeColor="text1"/>
                <w:szCs w:val="24"/>
                <w:lang w:val="en-GB"/>
              </w:rPr>
              <w:t>Reference List</w:t>
            </w:r>
            <w:r w:rsidRPr="00954BA5">
              <w:rPr>
                <w:noProof/>
                <w:webHidden/>
                <w:color w:val="000000" w:themeColor="text1"/>
                <w:szCs w:val="24"/>
                <w:lang w:val="en-GB"/>
              </w:rPr>
              <w:tab/>
            </w:r>
            <w:r w:rsidRPr="00954BA5">
              <w:rPr>
                <w:noProof/>
                <w:webHidden/>
                <w:color w:val="000000" w:themeColor="text1"/>
                <w:szCs w:val="24"/>
                <w:lang w:val="en-GB"/>
              </w:rPr>
              <w:fldChar w:fldCharType="begin"/>
            </w:r>
            <w:r w:rsidRPr="00954BA5">
              <w:rPr>
                <w:noProof/>
                <w:webHidden/>
                <w:color w:val="000000" w:themeColor="text1"/>
                <w:szCs w:val="24"/>
                <w:lang w:val="en-GB"/>
              </w:rPr>
              <w:instrText xml:space="preserve"> PAGEREF _Toc240885367 \h </w:instrText>
            </w:r>
            <w:r w:rsidRPr="00954BA5">
              <w:rPr>
                <w:noProof/>
                <w:webHidden/>
                <w:color w:val="000000" w:themeColor="text1"/>
                <w:szCs w:val="24"/>
                <w:lang w:val="en-GB"/>
              </w:rPr>
            </w:r>
            <w:r w:rsidRPr="00954BA5">
              <w:rPr>
                <w:noProof/>
                <w:webHidden/>
                <w:color w:val="000000" w:themeColor="text1"/>
                <w:szCs w:val="24"/>
                <w:lang w:val="en-GB"/>
              </w:rPr>
              <w:fldChar w:fldCharType="separate"/>
            </w:r>
            <w:r w:rsidRPr="00954BA5">
              <w:rPr>
                <w:noProof/>
                <w:webHidden/>
                <w:color w:val="000000" w:themeColor="text1"/>
                <w:szCs w:val="24"/>
                <w:lang w:val="en-GB"/>
              </w:rPr>
              <w:t>9</w:t>
            </w:r>
            <w:r w:rsidRPr="00954BA5">
              <w:rPr>
                <w:noProof/>
                <w:webHidden/>
                <w:color w:val="000000" w:themeColor="text1"/>
                <w:szCs w:val="24"/>
                <w:lang w:val="en-GB"/>
              </w:rPr>
              <w:fldChar w:fldCharType="end"/>
            </w:r>
          </w:hyperlink>
        </w:p>
        <w:p w14:paraId="3F60D92D" w14:textId="77777777" w:rsidR="00842EFE" w:rsidRPr="00954BA5" w:rsidRDefault="00842EFE" w:rsidP="00842EFE">
          <w:pPr>
            <w:spacing w:line="360" w:lineRule="auto"/>
            <w:jc w:val="both"/>
            <w:rPr>
              <w:lang w:val="en-GB"/>
            </w:rPr>
          </w:pPr>
          <w:r w:rsidRPr="00954BA5">
            <w:rPr>
              <w:b/>
              <w:bCs/>
              <w:noProof/>
              <w:color w:val="000000" w:themeColor="text1"/>
              <w:szCs w:val="24"/>
              <w:lang w:val="en-GB"/>
            </w:rPr>
            <w:fldChar w:fldCharType="end"/>
          </w:r>
        </w:p>
      </w:sdtContent>
    </w:sdt>
    <w:p w14:paraId="017874AF" w14:textId="77777777" w:rsidR="00842EFE" w:rsidRPr="00954BA5" w:rsidRDefault="00842EFE" w:rsidP="00231F8C">
      <w:pPr>
        <w:spacing w:line="480" w:lineRule="auto"/>
        <w:jc w:val="center"/>
        <w:rPr>
          <w:rFonts w:eastAsia="Times New Roman"/>
          <w:bCs/>
          <w:sz w:val="32"/>
          <w:szCs w:val="32"/>
          <w:lang w:val="en-GB"/>
        </w:rPr>
      </w:pPr>
    </w:p>
    <w:p w14:paraId="05210F2E" w14:textId="77777777" w:rsidR="00DC7ADE" w:rsidRPr="00954BA5" w:rsidRDefault="004002FA">
      <w:pPr>
        <w:jc w:val="center"/>
        <w:rPr>
          <w:rFonts w:eastAsia="Times New Roman"/>
          <w:b/>
          <w:bCs/>
          <w:lang w:val="en-GB"/>
        </w:rPr>
      </w:pPr>
      <w:r w:rsidRPr="00954BA5">
        <w:rPr>
          <w:lang w:val="en-GB"/>
        </w:rPr>
        <w:br w:type="page"/>
      </w:r>
    </w:p>
    <w:p w14:paraId="605014A1" w14:textId="77777777" w:rsidR="00472184" w:rsidRPr="00472184" w:rsidRDefault="00472184" w:rsidP="00472184">
      <w:pPr>
        <w:jc w:val="center"/>
        <w:rPr>
          <w:b/>
          <w:sz w:val="30"/>
          <w:szCs w:val="30"/>
          <w:u w:val="single"/>
        </w:rPr>
      </w:pPr>
      <w:bookmarkStart w:id="0" w:name="_Toc240885361"/>
      <w:r w:rsidRPr="00472184">
        <w:rPr>
          <w:b/>
          <w:sz w:val="30"/>
          <w:szCs w:val="30"/>
          <w:u w:val="single"/>
        </w:rPr>
        <w:lastRenderedPageBreak/>
        <w:t>Case Study 1</w:t>
      </w:r>
    </w:p>
    <w:p w14:paraId="7B343D4F" w14:textId="77777777" w:rsidR="00DC7ADE" w:rsidRPr="00954BA5" w:rsidRDefault="004002FA" w:rsidP="00842EFE">
      <w:pPr>
        <w:pStyle w:val="Heading1"/>
        <w:rPr>
          <w:lang w:val="en-GB"/>
        </w:rPr>
      </w:pPr>
      <w:r w:rsidRPr="00954BA5">
        <w:rPr>
          <w:lang w:val="en-GB"/>
        </w:rPr>
        <w:t>1. Introduction</w:t>
      </w:r>
      <w:bookmarkEnd w:id="0"/>
    </w:p>
    <w:p w14:paraId="1E20F1F8" w14:textId="77777777" w:rsidR="00DC7ADE" w:rsidRPr="00954BA5" w:rsidRDefault="004002FA">
      <w:pPr>
        <w:spacing w:line="360" w:lineRule="auto"/>
        <w:jc w:val="both"/>
        <w:rPr>
          <w:rFonts w:eastAsia="Times New Roman"/>
          <w:lang w:val="en-GB"/>
        </w:rPr>
      </w:pPr>
      <w:r w:rsidRPr="00954BA5">
        <w:rPr>
          <w:rFonts w:eastAsia="Times New Roman"/>
          <w:lang w:val="en-GB"/>
        </w:rPr>
        <w:t>Diabetes is an endocrine disorder that entails high amounts of blood sugar. This is due to low amounts of insulin in the bodies of children, teenagers, and adults. Insulin aids in the passage of glucose into the cells so that energy is generated. Excess amounts of glucose within the bloodstream can influence the heart, eyes, kidneys, and nerves. According to a 2022 WHO report, the number of people affected by diabetes was 830 million in the world. Insulin production in type 1 diabetes is very low, and insulin is required in the body. In type 2 diabetes, there is resistance to insulin. It represents approximately 90% of the diagnosed cases in the UK.</w:t>
      </w:r>
    </w:p>
    <w:p w14:paraId="70EF6AB7" w14:textId="77777777" w:rsidR="00DC7ADE" w:rsidRPr="00954BA5" w:rsidRDefault="004002FA">
      <w:pPr>
        <w:spacing w:line="360" w:lineRule="auto"/>
        <w:jc w:val="both"/>
        <w:rPr>
          <w:rFonts w:eastAsia="Times New Roman"/>
          <w:lang w:val="en-GB"/>
        </w:rPr>
      </w:pPr>
      <w:r w:rsidRPr="00954BA5">
        <w:rPr>
          <w:rFonts w:eastAsia="Times New Roman"/>
          <w:lang w:val="en-GB"/>
        </w:rPr>
        <w:t>Gestational diabetes occurs during pregnancy and is associated with the risk of developing Type 2 diabetes after birth. Risk factors include the following: overweight or obesity, low physical activity, age and family history, as well as high blood pressure. Diabetes people say that having a family member who has Type 2 diabetes will double a person's risk, or even</w:t>
      </w:r>
      <w:r w:rsidR="005B1427">
        <w:rPr>
          <w:rFonts w:eastAsia="Times New Roman"/>
          <w:lang w:val="en-GB"/>
        </w:rPr>
        <w:t xml:space="preserve"> increase the risk by six-fold.</w:t>
      </w:r>
    </w:p>
    <w:p w14:paraId="2BDDF474" w14:textId="77777777" w:rsidR="00DC7ADE" w:rsidRPr="00954BA5" w:rsidRDefault="004002FA" w:rsidP="00842EFE">
      <w:pPr>
        <w:pStyle w:val="Heading1"/>
        <w:rPr>
          <w:lang w:val="en-GB"/>
        </w:rPr>
      </w:pPr>
      <w:bookmarkStart w:id="1" w:name="_Toc240885362"/>
      <w:r w:rsidRPr="00954BA5">
        <w:rPr>
          <w:lang w:val="en-GB"/>
        </w:rPr>
        <w:t>2. Maintenance of Blood Sugar Levels</w:t>
      </w:r>
      <w:bookmarkEnd w:id="1"/>
    </w:p>
    <w:p w14:paraId="7CF7D749"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Normal Blood Glucose Regulation</w:t>
      </w:r>
    </w:p>
    <w:p w14:paraId="4B0B00DB"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 xml:space="preserve">Glucose regulation involves controlling blood glucose levels, which ensures that the glucose levels in the bloodstream are within a healthy range, neither too high nor too low. The carbohydrates consumed in meals are metabolised to glucose. This results in an increase in glucose levels. Increased blood glucose levels cause insulin release in a normal person (Michael, 2022). Blood glucose levels decrease when feeding stops. In such a case, the body uses the stored glucose to generate energy for various metabolic activities. Glucose level regulation is crucial because it is the major source of energy for many bodily functions, especially the brain. </w:t>
      </w:r>
      <w:r w:rsidRPr="00954BA5">
        <w:rPr>
          <w:rFonts w:eastAsia="Times New Roman"/>
          <w:b/>
          <w:bCs/>
          <w:i/>
          <w:iCs/>
          <w:lang w:val="en-GB"/>
        </w:rPr>
        <w:t>Fasting Plasma Glucose</w:t>
      </w:r>
      <w:r w:rsidRPr="00954BA5">
        <w:rPr>
          <w:rFonts w:eastAsia="Times New Roman"/>
          <w:lang w:val="en-GB"/>
        </w:rPr>
        <w:t xml:space="preserve"> (FPG) is 7.0 mmol/L or above in WHO guidelines (National Health Service, 2022).</w:t>
      </w:r>
    </w:p>
    <w:p w14:paraId="002CBCC9"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Role of the Pancreas and Insulin</w:t>
      </w:r>
    </w:p>
    <w:p w14:paraId="4F531BB9"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Islets of Langerhans are known as clusters of cells in the pancreas. With an increase in the concentration of glucose in the blood, insulin is released from the beta cells of the islets. The presence of insulin makes it possible for glucose to enter the muscles and other cells in the body from the blood, and hence glucose is transported into the cells by virtue of insulin (</w:t>
      </w:r>
      <w:r w:rsidRPr="00954BA5">
        <w:rPr>
          <w:rFonts w:eastAsia="Times New Roman"/>
          <w:color w:val="222222"/>
          <w:lang w:val="en-GB"/>
        </w:rPr>
        <w:t xml:space="preserve">Veer </w:t>
      </w:r>
      <w:r w:rsidRPr="00954BA5">
        <w:rPr>
          <w:rFonts w:eastAsia="Times New Roman"/>
          <w:i/>
          <w:iCs/>
          <w:color w:val="222222"/>
          <w:lang w:val="en-GB"/>
        </w:rPr>
        <w:t>et al</w:t>
      </w:r>
      <w:r w:rsidRPr="00954BA5">
        <w:rPr>
          <w:rFonts w:eastAsia="Times New Roman"/>
          <w:color w:val="222222"/>
          <w:lang w:val="en-GB"/>
        </w:rPr>
        <w:t>., 2022</w:t>
      </w:r>
      <w:r w:rsidRPr="00954BA5">
        <w:rPr>
          <w:rFonts w:eastAsia="Times New Roman"/>
          <w:lang w:val="en-GB"/>
        </w:rPr>
        <w:t>). This implies that there is a conversion of glucose to glycogen.</w:t>
      </w:r>
    </w:p>
    <w:p w14:paraId="425B6498"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lastRenderedPageBreak/>
        <w:t>Role of Glucagon in Blood Glucose Regulation</w:t>
      </w:r>
    </w:p>
    <w:p w14:paraId="472F0205"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In contrast, glucagon has an anti-diabetogenic effect to insulin. As blood glucose decreases, glucagon is secreted by the pancreatic alpha cells. The primary effect of glucagon is to increase the release of glucose from glycogen in the liver (</w:t>
      </w:r>
      <w:proofErr w:type="spellStart"/>
      <w:r w:rsidRPr="00954BA5">
        <w:rPr>
          <w:rFonts w:eastAsia="Times New Roman"/>
          <w:color w:val="222222"/>
          <w:lang w:val="en-GB"/>
        </w:rPr>
        <w:t>Richalet</w:t>
      </w:r>
      <w:proofErr w:type="spellEnd"/>
      <w:r w:rsidRPr="00954BA5">
        <w:rPr>
          <w:rFonts w:eastAsia="Times New Roman"/>
          <w:color w:val="222222"/>
          <w:lang w:val="en-GB"/>
        </w:rPr>
        <w:t xml:space="preserve"> </w:t>
      </w:r>
      <w:r w:rsidRPr="00954BA5">
        <w:rPr>
          <w:rFonts w:eastAsia="Times New Roman"/>
          <w:i/>
          <w:iCs/>
          <w:color w:val="222222"/>
          <w:lang w:val="en-GB"/>
        </w:rPr>
        <w:t>et al</w:t>
      </w:r>
      <w:r w:rsidRPr="00954BA5">
        <w:rPr>
          <w:rFonts w:eastAsia="Times New Roman"/>
          <w:color w:val="222222"/>
          <w:lang w:val="en-GB"/>
        </w:rPr>
        <w:t>., 2024</w:t>
      </w:r>
      <w:r w:rsidRPr="00954BA5">
        <w:rPr>
          <w:rFonts w:eastAsia="Times New Roman"/>
          <w:lang w:val="en-GB"/>
        </w:rPr>
        <w:t>). It is also a precursor in the biosynthetic pathway of glucose from other sources during a shortage of stored glycogen. This is a feedback response which helps to keep blood glucose from dropping excessively between meals and/or when energy is needed (Newman, 2017).</w:t>
      </w:r>
    </w:p>
    <w:p w14:paraId="716D5BBF"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Homeostasis and Safe Blood Glucose Levels</w:t>
      </w:r>
    </w:p>
    <w:p w14:paraId="0B6597BD"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There exists an antagonistic relationship between insulin and glucagon to allow for a negative feedback system for glucose regulation. The more glucose there is in the body, the higher the level of insulin, and hence the activity of insulin increases with an increase in glucose (</w:t>
      </w:r>
      <w:r w:rsidRPr="00954BA5">
        <w:rPr>
          <w:rFonts w:eastAsia="Times New Roman"/>
          <w:color w:val="222222"/>
          <w:lang w:val="en-GB"/>
        </w:rPr>
        <w:t xml:space="preserve">Shomali </w:t>
      </w:r>
      <w:r w:rsidRPr="00954BA5">
        <w:rPr>
          <w:rFonts w:eastAsia="Times New Roman"/>
          <w:i/>
          <w:iCs/>
          <w:color w:val="222222"/>
          <w:lang w:val="en-GB"/>
        </w:rPr>
        <w:t>et al</w:t>
      </w:r>
      <w:r w:rsidRPr="00954BA5">
        <w:rPr>
          <w:rFonts w:eastAsia="Times New Roman"/>
          <w:color w:val="222222"/>
          <w:lang w:val="en-GB"/>
        </w:rPr>
        <w:t>., 2022</w:t>
      </w:r>
      <w:r w:rsidRPr="00954BA5">
        <w:rPr>
          <w:rFonts w:eastAsia="Times New Roman"/>
          <w:lang w:val="en-GB"/>
        </w:rPr>
        <w:t>). On the other hand, when the glucose level goes down, the activity of insulin goes down. The use of HbA1c is useful because it gives an estimate of the average amount of blood glucose in the body for two to three months (</w:t>
      </w:r>
      <w:r w:rsidRPr="00954BA5">
        <w:rPr>
          <w:rFonts w:eastAsia="Times New Roman"/>
          <w:color w:val="222222"/>
          <w:lang w:val="en-GB"/>
        </w:rPr>
        <w:t xml:space="preserve">Wang </w:t>
      </w:r>
      <w:r w:rsidRPr="00954BA5">
        <w:rPr>
          <w:rFonts w:eastAsia="Times New Roman"/>
          <w:i/>
          <w:iCs/>
          <w:color w:val="222222"/>
          <w:lang w:val="en-GB"/>
        </w:rPr>
        <w:t>et al</w:t>
      </w:r>
      <w:r w:rsidRPr="00954BA5">
        <w:rPr>
          <w:rFonts w:eastAsia="Times New Roman"/>
          <w:color w:val="222222"/>
          <w:lang w:val="en-GB"/>
        </w:rPr>
        <w:t>., 2023</w:t>
      </w:r>
      <w:r w:rsidRPr="00954BA5">
        <w:rPr>
          <w:rFonts w:eastAsia="Times New Roman"/>
          <w:lang w:val="en-GB"/>
        </w:rPr>
        <w:t xml:space="preserve">). For adults with type 2 diabetes, NICE recommends that </w:t>
      </w:r>
      <w:proofErr w:type="spellStart"/>
      <w:r w:rsidRPr="00954BA5">
        <w:rPr>
          <w:rFonts w:eastAsia="Times New Roman"/>
          <w:lang w:val="en-GB"/>
        </w:rPr>
        <w:t>HbA</w:t>
      </w:r>
      <w:r w:rsidRPr="00954BA5">
        <w:rPr>
          <w:rFonts w:ascii="Cambria Math" w:eastAsia="Times New Roman" w:hAnsi="Cambria Math" w:cs="Cambria Math"/>
          <w:lang w:val="en-GB"/>
        </w:rPr>
        <w:t>₁</w:t>
      </w:r>
      <w:r w:rsidRPr="00954BA5">
        <w:rPr>
          <w:rFonts w:eastAsia="Times New Roman"/>
          <w:lang w:val="en-GB"/>
        </w:rPr>
        <w:t>c</w:t>
      </w:r>
      <w:proofErr w:type="spellEnd"/>
      <w:r w:rsidRPr="00954BA5">
        <w:rPr>
          <w:rFonts w:eastAsia="Times New Roman"/>
          <w:lang w:val="en-GB"/>
        </w:rPr>
        <w:t xml:space="preserve"> should be targeted individually</w:t>
      </w:r>
    </w:p>
    <w:p w14:paraId="537AF01F"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Blood Glucose Regulation in Type 2 Diabetes</w:t>
      </w:r>
    </w:p>
    <w:p w14:paraId="2E5AB386"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 xml:space="preserve">Type 2 diabetes is marked by a condition called insulin resistance, which happens when body cells develop a lack of sensitivity to insulin. At first, there could be too much production of insulin by the pancreas, but then it will start producing less than it requires. This way, glucose remains in the bloodstream for longer than expected and results in </w:t>
      </w:r>
      <w:proofErr w:type="spellStart"/>
      <w:r w:rsidRPr="00954BA5">
        <w:rPr>
          <w:rFonts w:eastAsia="Times New Roman"/>
          <w:lang w:val="en-GB"/>
        </w:rPr>
        <w:t>hyperglycemia</w:t>
      </w:r>
      <w:proofErr w:type="spellEnd"/>
      <w:r w:rsidRPr="00954BA5">
        <w:rPr>
          <w:rFonts w:eastAsia="Times New Roman"/>
          <w:lang w:val="en-GB"/>
        </w:rPr>
        <w:t xml:space="preserve"> (</w:t>
      </w:r>
      <w:r w:rsidRPr="00954BA5">
        <w:rPr>
          <w:rFonts w:eastAsia="Times New Roman"/>
          <w:color w:val="222222"/>
          <w:lang w:val="en-GB"/>
        </w:rPr>
        <w:t xml:space="preserve">Liu </w:t>
      </w:r>
      <w:r w:rsidRPr="00954BA5">
        <w:rPr>
          <w:rFonts w:eastAsia="Times New Roman"/>
          <w:i/>
          <w:iCs/>
          <w:color w:val="222222"/>
          <w:lang w:val="en-GB"/>
        </w:rPr>
        <w:t>et al</w:t>
      </w:r>
      <w:r w:rsidRPr="00954BA5">
        <w:rPr>
          <w:rFonts w:eastAsia="Times New Roman"/>
          <w:color w:val="222222"/>
          <w:lang w:val="en-GB"/>
        </w:rPr>
        <w:t>., 2023</w:t>
      </w:r>
      <w:r w:rsidRPr="00954BA5">
        <w:rPr>
          <w:rFonts w:eastAsia="Times New Roman"/>
          <w:lang w:val="en-GB"/>
        </w:rPr>
        <w:t>). Hypertension results in damage to blood vessels, nerves, kidneys, and the eyes. Effective management should focus on glucose management through the right lifestyle choices.</w:t>
      </w:r>
    </w:p>
    <w:p w14:paraId="68A5E27C" w14:textId="77777777" w:rsidR="00DC7ADE" w:rsidRPr="00954BA5" w:rsidRDefault="004002FA" w:rsidP="00842EFE">
      <w:pPr>
        <w:pStyle w:val="Heading1"/>
        <w:rPr>
          <w:lang w:val="en-GB"/>
        </w:rPr>
      </w:pPr>
      <w:bookmarkStart w:id="2" w:name="_Toc240885363"/>
      <w:r w:rsidRPr="00954BA5">
        <w:rPr>
          <w:lang w:val="en-GB"/>
        </w:rPr>
        <w:t>3. Oxygen, Glucose, and Cellular Energy Production</w:t>
      </w:r>
      <w:bookmarkEnd w:id="2"/>
    </w:p>
    <w:p w14:paraId="3EEEA1D6"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Role of Glucose and Oxygen in Cellular Energy</w:t>
      </w:r>
    </w:p>
    <w:p w14:paraId="63C37312"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Another very vital source of energy in the human body is glucose. Glucose is supplied to the body through blood and is used as stored energy. Oxygen is required in cellular respiration because it acts as the final electron acceptor in the electron transport chain process; hence, much energy is produced as ATP (</w:t>
      </w:r>
      <w:r w:rsidRPr="00954BA5">
        <w:rPr>
          <w:rFonts w:eastAsia="Times New Roman"/>
          <w:color w:val="222222"/>
          <w:lang w:val="en-GB"/>
        </w:rPr>
        <w:t xml:space="preserve">Hawryluk </w:t>
      </w:r>
      <w:r w:rsidRPr="00954BA5">
        <w:rPr>
          <w:rFonts w:eastAsia="Times New Roman"/>
          <w:i/>
          <w:iCs/>
          <w:color w:val="222222"/>
          <w:lang w:val="en-GB"/>
        </w:rPr>
        <w:t>et al</w:t>
      </w:r>
      <w:r w:rsidRPr="00954BA5">
        <w:rPr>
          <w:rFonts w:eastAsia="Times New Roman"/>
          <w:color w:val="222222"/>
          <w:lang w:val="en-GB"/>
        </w:rPr>
        <w:t>., 2022</w:t>
      </w:r>
      <w:r w:rsidRPr="00954BA5">
        <w:rPr>
          <w:rFonts w:eastAsia="Times New Roman"/>
          <w:lang w:val="en-GB"/>
        </w:rPr>
        <w:t>). Energy production takes place mainly in the mitochondria. Brain cells and muscles require much energy, so they always need a steady supply of oxygen and glucose (National Health Service, 2022).</w:t>
      </w:r>
    </w:p>
    <w:p w14:paraId="5C225BB2"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Cellular Respiration</w:t>
      </w:r>
    </w:p>
    <w:p w14:paraId="2D24938E"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lastRenderedPageBreak/>
        <w:t>Steps of reactions which involve chemical reactions associated with the conversion of glucose to energy by the cells. The steps include glycolysis, metabolism of pyruvate, Krebs cycle, and oxidative phosphorylation. In the case of aerobic respiration, glucose undergoes a series of steps, where oxygen is used as the final electron acceptor (</w:t>
      </w:r>
      <w:proofErr w:type="spellStart"/>
      <w:r w:rsidRPr="00954BA5">
        <w:rPr>
          <w:rFonts w:eastAsia="Times New Roman"/>
          <w:color w:val="222222"/>
          <w:lang w:val="en-GB"/>
        </w:rPr>
        <w:t>Ritterhoff</w:t>
      </w:r>
      <w:proofErr w:type="spellEnd"/>
      <w:r w:rsidRPr="00954BA5">
        <w:rPr>
          <w:rFonts w:eastAsia="Times New Roman"/>
          <w:color w:val="222222"/>
          <w:lang w:val="en-GB"/>
        </w:rPr>
        <w:t xml:space="preserve"> and Tian, 2023</w:t>
      </w:r>
      <w:r w:rsidRPr="00954BA5">
        <w:rPr>
          <w:rFonts w:eastAsia="Times New Roman"/>
          <w:lang w:val="en-GB"/>
        </w:rPr>
        <w:t>). The products obtained include carbon dioxide and water. As a result, the cell is capable of harnessing the energy from glucose step by step.</w:t>
      </w:r>
    </w:p>
    <w:p w14:paraId="6F3D8AE5"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Glycolysis</w:t>
      </w:r>
    </w:p>
    <w:p w14:paraId="27066B01"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Glycolysis is the first part of glucose being broken down, which happens in the cytoplasm. It produces 2 molecules of Pyruvate from 1 molecule of 6-carbon glucose. It creates two ATP molecules and then consumes two ATP molecules, resulting in a net production of 2 ATP molecules. It also generates two molecules of NADH that will undergo further stages where high-energy electrons will be deposited (</w:t>
      </w:r>
      <w:r w:rsidRPr="00954BA5">
        <w:rPr>
          <w:rFonts w:eastAsia="Times New Roman"/>
          <w:color w:val="222222"/>
          <w:lang w:val="en-GB"/>
        </w:rPr>
        <w:t>Samson and Yosten, 2022</w:t>
      </w:r>
      <w:r w:rsidRPr="00954BA5">
        <w:rPr>
          <w:rFonts w:eastAsia="Times New Roman"/>
          <w:lang w:val="en-GB"/>
        </w:rPr>
        <w:t>). Glycolysis produces pyruvic acid in the absence of oxygen, but if oxygen is present, pyruvic acid can enter aerobic respiration.</w:t>
      </w:r>
    </w:p>
    <w:p w14:paraId="3C43C9EC"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 xml:space="preserve">Krebs </w:t>
      </w:r>
      <w:r w:rsidR="00424D62" w:rsidRPr="00954BA5">
        <w:rPr>
          <w:rFonts w:eastAsia="Times New Roman"/>
          <w:b/>
          <w:bCs/>
          <w:i/>
          <w:iCs/>
          <w:color w:val="000000"/>
          <w:lang w:val="en-GB"/>
        </w:rPr>
        <w:t>cycle</w:t>
      </w:r>
      <w:r w:rsidRPr="00954BA5">
        <w:rPr>
          <w:rFonts w:eastAsia="Times New Roman"/>
          <w:b/>
          <w:bCs/>
          <w:i/>
          <w:iCs/>
          <w:color w:val="000000"/>
          <w:lang w:val="en-GB"/>
        </w:rPr>
        <w:t xml:space="preserve"> and Electron Transport Chain</w:t>
      </w:r>
    </w:p>
    <w:p w14:paraId="0FA6444B"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Oxidation of pyruvate to acetyl CoA in the presence of oxygen leads to the entry of the acetyl CoA molecule into the Krebs cycle. During this phase, the formation of ATP, NADH, and FADH2 takes place. Ultimately, the electrons of NADH and FADH2 are transferred to the electron transport chain(s), which is located on the inner mitochondrial membrane (</w:t>
      </w:r>
      <w:r w:rsidRPr="00954BA5">
        <w:rPr>
          <w:rFonts w:eastAsia="Times New Roman"/>
          <w:color w:val="222222"/>
          <w:lang w:val="en-GB"/>
        </w:rPr>
        <w:t xml:space="preserve">Garofalo </w:t>
      </w:r>
      <w:r w:rsidRPr="00954BA5">
        <w:rPr>
          <w:rFonts w:eastAsia="Times New Roman"/>
          <w:i/>
          <w:iCs/>
          <w:color w:val="222222"/>
          <w:lang w:val="en-GB"/>
        </w:rPr>
        <w:t>et al</w:t>
      </w:r>
      <w:r w:rsidRPr="00954BA5">
        <w:rPr>
          <w:rFonts w:eastAsia="Times New Roman"/>
          <w:color w:val="222222"/>
          <w:lang w:val="en-GB"/>
        </w:rPr>
        <w:t>., 2024</w:t>
      </w:r>
      <w:r w:rsidRPr="00954BA5">
        <w:rPr>
          <w:rFonts w:eastAsia="Times New Roman"/>
          <w:lang w:val="en-GB"/>
        </w:rPr>
        <w:t>). A proton gradient is developed due to the movement of electrons, which helps in generating ATP. Oxygen is the electron acceptor that accepts hydrogen and forms water.</w:t>
      </w:r>
    </w:p>
    <w:p w14:paraId="7896B7C0" w14:textId="77777777" w:rsidR="00DC7ADE" w:rsidRPr="00954BA5" w:rsidRDefault="004002FA">
      <w:pPr>
        <w:spacing w:line="360" w:lineRule="auto"/>
        <w:jc w:val="both"/>
        <w:rPr>
          <w:rFonts w:eastAsia="Times New Roman"/>
          <w:lang w:val="en-GB"/>
        </w:rPr>
      </w:pPr>
      <w:r w:rsidRPr="00954BA5">
        <w:rPr>
          <w:rFonts w:eastAsia="Times New Roman"/>
          <w:b/>
          <w:bCs/>
          <w:i/>
          <w:iCs/>
          <w:color w:val="000000"/>
          <w:lang w:val="en-GB"/>
        </w:rPr>
        <w:t>Production and Importance of ATP</w:t>
      </w:r>
    </w:p>
    <w:p w14:paraId="49143E08" w14:textId="77777777" w:rsidR="00DC7ADE" w:rsidRPr="00954BA5" w:rsidRDefault="004002FA">
      <w:pPr>
        <w:spacing w:line="360" w:lineRule="auto"/>
        <w:jc w:val="both"/>
        <w:rPr>
          <w:rFonts w:eastAsia="Times New Roman"/>
          <w:lang w:val="en-GB"/>
        </w:rPr>
      </w:pPr>
      <w:r w:rsidRPr="00954BA5">
        <w:rPr>
          <w:rFonts w:eastAsia="Times New Roman"/>
          <w:lang w:val="en-GB"/>
        </w:rPr>
        <w:t>A cell requires a first source of energy known as ATP or Adenosine Triphosphate. Energy generated through ATP is employed in muscle contractions, active transport, metabolic activities, and other cell activities (National Health Service, 2022). Calculations and figures of energy generation through ATP and information regarding the process of transportation are quite variable in different books because of various conditions of cells (</w:t>
      </w:r>
      <w:r w:rsidRPr="00954BA5">
        <w:rPr>
          <w:rFonts w:eastAsia="Times New Roman"/>
          <w:color w:val="222222"/>
          <w:lang w:val="en-GB"/>
        </w:rPr>
        <w:t xml:space="preserve">Pryor </w:t>
      </w:r>
      <w:r w:rsidRPr="00954BA5">
        <w:rPr>
          <w:rFonts w:eastAsia="Times New Roman"/>
          <w:i/>
          <w:iCs/>
          <w:color w:val="222222"/>
          <w:lang w:val="en-GB"/>
        </w:rPr>
        <w:t>et al</w:t>
      </w:r>
      <w:r w:rsidRPr="00954BA5">
        <w:rPr>
          <w:rFonts w:eastAsia="Times New Roman"/>
          <w:color w:val="222222"/>
          <w:lang w:val="en-GB"/>
        </w:rPr>
        <w:t>., 2022</w:t>
      </w:r>
      <w:r w:rsidRPr="00954BA5">
        <w:rPr>
          <w:rFonts w:eastAsia="Times New Roman"/>
          <w:lang w:val="en-GB"/>
        </w:rPr>
        <w:t>). According to OpenStax, the net energy generation through glucose by using a physiology-based model of a human is 36 ATP molecules. The theoretical maximum is 38 ATP molecules per glucose.</w:t>
      </w:r>
    </w:p>
    <w:p w14:paraId="289C875C" w14:textId="77777777" w:rsidR="00DC7ADE" w:rsidRPr="00954BA5" w:rsidRDefault="004002FA" w:rsidP="00842EFE">
      <w:pPr>
        <w:pStyle w:val="Heading1"/>
        <w:rPr>
          <w:lang w:val="en-GB"/>
        </w:rPr>
      </w:pPr>
      <w:bookmarkStart w:id="3" w:name="_Toc240885364"/>
      <w:r w:rsidRPr="00954BA5">
        <w:rPr>
          <w:lang w:val="en-GB"/>
        </w:rPr>
        <w:t>4. Recording and Tracking Blood Sugar Levels in Type 2 Diabetes</w:t>
      </w:r>
      <w:bookmarkEnd w:id="3"/>
    </w:p>
    <w:p w14:paraId="18018EB8"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Importance of Blood Glucose Monitoring</w:t>
      </w:r>
    </w:p>
    <w:p w14:paraId="0ECCE876" w14:textId="77777777" w:rsidR="00DC7ADE" w:rsidRPr="00954BA5" w:rsidRDefault="004002FA">
      <w:pPr>
        <w:spacing w:line="360" w:lineRule="auto"/>
        <w:jc w:val="both"/>
        <w:rPr>
          <w:rFonts w:eastAsia="Times New Roman"/>
          <w:b/>
          <w:bCs/>
          <w:i/>
          <w:iCs/>
          <w:lang w:val="en-GB"/>
        </w:rPr>
      </w:pPr>
      <w:r w:rsidRPr="00954BA5">
        <w:rPr>
          <w:rFonts w:eastAsia="Gungsuh"/>
          <w:lang w:val="en-GB"/>
        </w:rPr>
        <w:t xml:space="preserve">Blood glucose surveillance can be used to determine if Type 2 diabetes is controlled. A physician can immediately see the results of capillary blood glucose testing, and the HbA1c test can reflect </w:t>
      </w:r>
      <w:r w:rsidRPr="00954BA5">
        <w:rPr>
          <w:rFonts w:eastAsia="Gungsuh"/>
          <w:lang w:val="en-GB"/>
        </w:rPr>
        <w:lastRenderedPageBreak/>
        <w:t>average blood glucose during the past 2 to 3 months. According to WHO, an HbA1c level of ≥6.5% (48 mmol/mol) can be used to support a diagnosis of diabetes. Treatments that may lead to hypoglycaemia, for example, insulin and certain medications used to lower blood sugar, are especially important to monitor (</w:t>
      </w:r>
      <w:r w:rsidRPr="00954BA5">
        <w:rPr>
          <w:rFonts w:eastAsia="Times New Roman"/>
          <w:color w:val="222222"/>
          <w:lang w:val="en-GB"/>
        </w:rPr>
        <w:t xml:space="preserve">Shaffer </w:t>
      </w:r>
      <w:r w:rsidRPr="00954BA5">
        <w:rPr>
          <w:rFonts w:eastAsia="Times New Roman"/>
          <w:i/>
          <w:iCs/>
          <w:color w:val="222222"/>
          <w:lang w:val="en-GB"/>
        </w:rPr>
        <w:t>et al</w:t>
      </w:r>
      <w:r w:rsidRPr="00954BA5">
        <w:rPr>
          <w:rFonts w:eastAsia="Times New Roman"/>
          <w:color w:val="222222"/>
          <w:lang w:val="en-GB"/>
        </w:rPr>
        <w:t>., 2023</w:t>
      </w:r>
      <w:r w:rsidRPr="00954BA5">
        <w:rPr>
          <w:rFonts w:eastAsia="Times New Roman"/>
          <w:lang w:val="en-GB"/>
        </w:rPr>
        <w:t>).</w:t>
      </w:r>
    </w:p>
    <w:p w14:paraId="65FEB282"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Recording and Tracking Changes Over Time</w:t>
      </w:r>
    </w:p>
    <w:p w14:paraId="7713158B" w14:textId="77777777" w:rsidR="00121365" w:rsidRPr="00954BA5" w:rsidRDefault="004002FA">
      <w:pPr>
        <w:spacing w:line="360" w:lineRule="auto"/>
        <w:jc w:val="both"/>
        <w:rPr>
          <w:rFonts w:eastAsia="Times New Roman"/>
          <w:lang w:val="en-GB"/>
        </w:rPr>
      </w:pPr>
      <w:r w:rsidRPr="00954BA5">
        <w:rPr>
          <w:rFonts w:eastAsia="Times New Roman"/>
          <w:lang w:val="en-GB"/>
        </w:rPr>
        <w:t>The changes in blood sugar level can be monitored through periodic recordings. The findings will be evaluated in relation to meals taken, exercise, sicknesses, and any drugs consumed (Newman, 2017). If one has elevated levels of sugar in their bloodstream even after meals, then such findings can be an indication that their body is not well managed and therefore requires a visit to the doctor’s office (</w:t>
      </w:r>
      <w:proofErr w:type="spellStart"/>
      <w:r w:rsidRPr="00954BA5">
        <w:rPr>
          <w:rFonts w:eastAsia="Times New Roman"/>
          <w:color w:val="222222"/>
          <w:lang w:val="en-GB"/>
        </w:rPr>
        <w:t>Milosic</w:t>
      </w:r>
      <w:proofErr w:type="spellEnd"/>
      <w:r w:rsidRPr="00954BA5">
        <w:rPr>
          <w:rFonts w:eastAsia="Times New Roman"/>
          <w:color w:val="222222"/>
          <w:lang w:val="en-GB"/>
        </w:rPr>
        <w:t xml:space="preserve"> </w:t>
      </w:r>
      <w:r w:rsidRPr="00954BA5">
        <w:rPr>
          <w:rFonts w:eastAsia="Times New Roman"/>
          <w:i/>
          <w:iCs/>
          <w:color w:val="222222"/>
          <w:lang w:val="en-GB"/>
        </w:rPr>
        <w:t>et al</w:t>
      </w:r>
      <w:r w:rsidRPr="00954BA5">
        <w:rPr>
          <w:rFonts w:eastAsia="Times New Roman"/>
          <w:color w:val="222222"/>
          <w:lang w:val="en-GB"/>
        </w:rPr>
        <w:t>., 2024</w:t>
      </w:r>
      <w:r w:rsidRPr="00954BA5">
        <w:rPr>
          <w:rFonts w:eastAsia="Times New Roman"/>
          <w:lang w:val="en-GB"/>
        </w:rPr>
        <w:t>). Proper examination of the complications of glucose control is encouraged by WHO.</w:t>
      </w:r>
    </w:p>
    <w:p w14:paraId="322E5A0D" w14:textId="77777777" w:rsidR="00121365" w:rsidRPr="00954BA5" w:rsidRDefault="00121365" w:rsidP="00954BA5">
      <w:pPr>
        <w:spacing w:line="360" w:lineRule="auto"/>
        <w:jc w:val="center"/>
        <w:rPr>
          <w:rFonts w:eastAsia="Times New Roman"/>
          <w:lang w:val="en-GB"/>
        </w:rPr>
      </w:pPr>
      <w:r w:rsidRPr="00954BA5">
        <w:rPr>
          <w:noProof/>
          <w:lang w:val="en-IN"/>
        </w:rPr>
        <w:drawing>
          <wp:inline distT="0" distB="0" distL="0" distR="0" wp14:anchorId="40DDE73D" wp14:editId="099A5775">
            <wp:extent cx="4896885" cy="3689405"/>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7030" cy="3697048"/>
                    </a:xfrm>
                    <a:prstGeom prst="rect">
                      <a:avLst/>
                    </a:prstGeom>
                  </pic:spPr>
                </pic:pic>
              </a:graphicData>
            </a:graphic>
          </wp:inline>
        </w:drawing>
      </w:r>
    </w:p>
    <w:p w14:paraId="37417592" w14:textId="77777777" w:rsidR="00121365" w:rsidRPr="00954BA5" w:rsidRDefault="00121365" w:rsidP="00121365">
      <w:pPr>
        <w:spacing w:line="360" w:lineRule="auto"/>
        <w:jc w:val="center"/>
        <w:rPr>
          <w:rFonts w:eastAsia="Times New Roman"/>
          <w:b/>
          <w:lang w:val="en-GB"/>
        </w:rPr>
      </w:pPr>
      <w:r w:rsidRPr="00954BA5">
        <w:rPr>
          <w:rFonts w:eastAsia="Times New Roman"/>
          <w:b/>
          <w:lang w:val="en-GB"/>
        </w:rPr>
        <w:t>Figure: Smart way of Tracking Blood Sugar levels for Type 2 Diabetes</w:t>
      </w:r>
    </w:p>
    <w:p w14:paraId="65483B80" w14:textId="77777777" w:rsidR="00121365" w:rsidRPr="00954BA5" w:rsidRDefault="00121365" w:rsidP="00121365">
      <w:pPr>
        <w:spacing w:line="360" w:lineRule="auto"/>
        <w:jc w:val="center"/>
        <w:rPr>
          <w:rFonts w:eastAsia="Times New Roman"/>
          <w:lang w:val="en-GB"/>
        </w:rPr>
      </w:pPr>
      <w:r w:rsidRPr="00954BA5">
        <w:rPr>
          <w:rFonts w:eastAsia="Times New Roman"/>
          <w:lang w:val="en-GB"/>
        </w:rPr>
        <w:t xml:space="preserve">(Source: </w:t>
      </w:r>
      <w:proofErr w:type="spellStart"/>
      <w:r w:rsidRPr="00954BA5">
        <w:rPr>
          <w:lang w:val="en-GB"/>
        </w:rPr>
        <w:t>Rghioui</w:t>
      </w:r>
      <w:proofErr w:type="spellEnd"/>
      <w:r w:rsidRPr="00954BA5">
        <w:rPr>
          <w:lang w:val="en-GB"/>
        </w:rPr>
        <w:t xml:space="preserve"> </w:t>
      </w:r>
      <w:r w:rsidRPr="00954BA5">
        <w:rPr>
          <w:i/>
          <w:lang w:val="en-GB"/>
        </w:rPr>
        <w:t>et al</w:t>
      </w:r>
      <w:r w:rsidRPr="00954BA5">
        <w:rPr>
          <w:lang w:val="en-GB"/>
        </w:rPr>
        <w:t>., 2020</w:t>
      </w:r>
      <w:r w:rsidRPr="00954BA5">
        <w:rPr>
          <w:rFonts w:eastAsia="Times New Roman"/>
          <w:lang w:val="en-GB"/>
        </w:rPr>
        <w:t>)</w:t>
      </w:r>
    </w:p>
    <w:p w14:paraId="1F1F990F"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t>Supporting Diabetes Self-Management and Care Plans</w:t>
      </w:r>
    </w:p>
    <w:p w14:paraId="1A3F9C15"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Recorded results will be helpful for reviews and care planning relating to diabetes. Glucose can be used in conjunction with HbA1c to evaluate the response to treatment and adjust either lifestyle or medicine (</w:t>
      </w:r>
      <w:r w:rsidRPr="00954BA5">
        <w:rPr>
          <w:rFonts w:eastAsia="Times New Roman"/>
          <w:color w:val="222222"/>
          <w:lang w:val="en-GB"/>
        </w:rPr>
        <w:t xml:space="preserve">Belizaire </w:t>
      </w:r>
      <w:r w:rsidRPr="00954BA5">
        <w:rPr>
          <w:rFonts w:eastAsia="Times New Roman"/>
          <w:i/>
          <w:iCs/>
          <w:color w:val="222222"/>
          <w:lang w:val="en-GB"/>
        </w:rPr>
        <w:t>et al</w:t>
      </w:r>
      <w:r w:rsidRPr="00954BA5">
        <w:rPr>
          <w:rFonts w:eastAsia="Times New Roman"/>
          <w:color w:val="222222"/>
          <w:lang w:val="en-GB"/>
        </w:rPr>
        <w:t>., 2023</w:t>
      </w:r>
      <w:r w:rsidRPr="00954BA5">
        <w:rPr>
          <w:rFonts w:eastAsia="Times New Roman"/>
          <w:lang w:val="en-GB"/>
        </w:rPr>
        <w:t>). The NICE states that HbA1c should generally be taken every 3-6 months until it is stable, and every 6 months after stability.</w:t>
      </w:r>
    </w:p>
    <w:p w14:paraId="15539DFC" w14:textId="77777777" w:rsidR="00DC7ADE" w:rsidRPr="00954BA5" w:rsidRDefault="004002FA">
      <w:pPr>
        <w:spacing w:line="360" w:lineRule="auto"/>
        <w:jc w:val="both"/>
        <w:rPr>
          <w:rFonts w:eastAsia="Times New Roman"/>
          <w:b/>
          <w:bCs/>
          <w:i/>
          <w:iCs/>
          <w:lang w:val="en-GB"/>
        </w:rPr>
      </w:pPr>
      <w:r w:rsidRPr="00954BA5">
        <w:rPr>
          <w:rFonts w:eastAsia="Times New Roman"/>
          <w:b/>
          <w:bCs/>
          <w:i/>
          <w:iCs/>
          <w:color w:val="000000"/>
          <w:lang w:val="en-GB"/>
        </w:rPr>
        <w:lastRenderedPageBreak/>
        <w:t>Identifying Risks and Supporting Safe Management</w:t>
      </w:r>
    </w:p>
    <w:p w14:paraId="43E0838B" w14:textId="77777777" w:rsidR="00DC7ADE" w:rsidRPr="00954BA5" w:rsidRDefault="004002FA">
      <w:pPr>
        <w:spacing w:line="360" w:lineRule="auto"/>
        <w:jc w:val="both"/>
        <w:rPr>
          <w:rFonts w:eastAsia="Times New Roman"/>
          <w:b/>
          <w:bCs/>
          <w:i/>
          <w:iCs/>
          <w:lang w:val="en-GB"/>
        </w:rPr>
      </w:pPr>
      <w:r w:rsidRPr="00954BA5">
        <w:rPr>
          <w:rFonts w:eastAsia="Times New Roman"/>
          <w:lang w:val="en-GB"/>
        </w:rPr>
        <w:t>Use of tracking can monitor for persistent hyperglycaemia and potential hypoglycaemia. There is a risk of blood vessel damage, nerve damage, kidney damage and eye damage with long-term high glucose (Newman, 2017). But not everyone with Type 2 diabetes needs to monitor their blood sugar regularly. NICE does not recommend routine capillary monitoring with no specific risks or treatment requirements (</w:t>
      </w:r>
      <w:proofErr w:type="spellStart"/>
      <w:r w:rsidRPr="00954BA5">
        <w:rPr>
          <w:rFonts w:eastAsia="Times New Roman"/>
          <w:color w:val="222222"/>
          <w:lang w:val="en-GB"/>
        </w:rPr>
        <w:t>Vosugh</w:t>
      </w:r>
      <w:proofErr w:type="spellEnd"/>
      <w:r w:rsidRPr="00954BA5">
        <w:rPr>
          <w:rFonts w:eastAsia="Times New Roman"/>
          <w:color w:val="222222"/>
          <w:lang w:val="en-GB"/>
        </w:rPr>
        <w:t xml:space="preserve"> </w:t>
      </w:r>
      <w:r w:rsidRPr="00954BA5">
        <w:rPr>
          <w:rFonts w:eastAsia="Times New Roman"/>
          <w:i/>
          <w:iCs/>
          <w:color w:val="222222"/>
          <w:lang w:val="en-GB"/>
        </w:rPr>
        <w:t>et al</w:t>
      </w:r>
      <w:r w:rsidRPr="00954BA5">
        <w:rPr>
          <w:rFonts w:eastAsia="Times New Roman"/>
          <w:color w:val="222222"/>
          <w:lang w:val="en-GB"/>
        </w:rPr>
        <w:t>., 2023</w:t>
      </w:r>
      <w:r w:rsidRPr="00954BA5">
        <w:rPr>
          <w:rFonts w:eastAsia="Times New Roman"/>
          <w:lang w:val="en-GB"/>
        </w:rPr>
        <w:t>). Monitoring should be individualised according to each patient's clinical requirements.</w:t>
      </w:r>
    </w:p>
    <w:p w14:paraId="172351C7" w14:textId="77777777" w:rsidR="00DC7ADE" w:rsidRPr="00954BA5" w:rsidRDefault="004002FA" w:rsidP="00842EFE">
      <w:pPr>
        <w:pStyle w:val="Heading1"/>
        <w:rPr>
          <w:lang w:val="en-GB"/>
        </w:rPr>
      </w:pPr>
      <w:bookmarkStart w:id="4" w:name="_Toc240885365"/>
      <w:r w:rsidRPr="00954BA5">
        <w:rPr>
          <w:lang w:val="en-GB"/>
        </w:rPr>
        <w:t>5. Evidence-Based Lifestyle Recommendations</w:t>
      </w:r>
      <w:bookmarkEnd w:id="4"/>
    </w:p>
    <w:p w14:paraId="4104F072" w14:textId="77777777" w:rsidR="00DC7ADE" w:rsidRPr="00954BA5" w:rsidRDefault="004002FA">
      <w:pPr>
        <w:spacing w:line="360" w:lineRule="auto"/>
        <w:jc w:val="both"/>
        <w:rPr>
          <w:rFonts w:eastAsia="Times New Roman"/>
          <w:lang w:val="en-GB"/>
        </w:rPr>
      </w:pPr>
      <w:r w:rsidRPr="00954BA5">
        <w:rPr>
          <w:rFonts w:eastAsia="Times New Roman"/>
          <w:lang w:val="en-GB"/>
        </w:rPr>
        <w:t>The evidence-based lifestyle recommendations are as follows:</w:t>
      </w:r>
    </w:p>
    <w:p w14:paraId="7589253F" w14:textId="77777777" w:rsidR="00DC7ADE" w:rsidRPr="00954BA5" w:rsidRDefault="004002FA">
      <w:pPr>
        <w:numPr>
          <w:ilvl w:val="0"/>
          <w:numId w:val="1"/>
        </w:numPr>
        <w:spacing w:line="360" w:lineRule="auto"/>
        <w:jc w:val="both"/>
        <w:rPr>
          <w:rFonts w:eastAsia="Times New Roman"/>
          <w:lang w:val="en-GB"/>
        </w:rPr>
      </w:pPr>
      <w:r w:rsidRPr="00954BA5">
        <w:rPr>
          <w:rFonts w:eastAsia="Times New Roman"/>
          <w:lang w:val="en-GB"/>
        </w:rPr>
        <w:t xml:space="preserve">A person who suffers from Type 2 diabetes must ensure that they have a healthy and balanced diet, high in vegetables, </w:t>
      </w:r>
      <w:r w:rsidR="00954BA5" w:rsidRPr="00954BA5">
        <w:rPr>
          <w:rFonts w:eastAsia="Times New Roman"/>
          <w:lang w:val="en-GB"/>
        </w:rPr>
        <w:t>wholegrain</w:t>
      </w:r>
      <w:r w:rsidRPr="00954BA5">
        <w:rPr>
          <w:rFonts w:eastAsia="Times New Roman"/>
          <w:lang w:val="en-GB"/>
        </w:rPr>
        <w:t>, pulses, fruits, lean proteins and good fats. The individual must reduce intake of foods containing free sugars, saturated fats, and processed food items. According to WHO, proper nutrition is considered an important component of prevention and control of Type 2 diabetes (</w:t>
      </w:r>
      <w:proofErr w:type="spellStart"/>
      <w:r w:rsidRPr="00954BA5">
        <w:rPr>
          <w:rFonts w:eastAsia="Times New Roman"/>
          <w:color w:val="222222"/>
          <w:lang w:val="en-GB"/>
        </w:rPr>
        <w:t>Yperman</w:t>
      </w:r>
      <w:proofErr w:type="spellEnd"/>
      <w:r w:rsidRPr="00954BA5">
        <w:rPr>
          <w:rFonts w:eastAsia="Times New Roman"/>
          <w:color w:val="222222"/>
          <w:lang w:val="en-GB"/>
        </w:rPr>
        <w:t xml:space="preserve"> and Kuijpers, 2023</w:t>
      </w:r>
      <w:r w:rsidRPr="00954BA5">
        <w:rPr>
          <w:rFonts w:eastAsia="Times New Roman"/>
          <w:lang w:val="en-GB"/>
        </w:rPr>
        <w:t>). Healthy nutrition requires consideration of the nutritional needs and cultural foods of individuals.</w:t>
      </w:r>
    </w:p>
    <w:p w14:paraId="2966C7F1" w14:textId="77777777" w:rsidR="00DC7ADE" w:rsidRPr="00954BA5" w:rsidRDefault="004002FA">
      <w:pPr>
        <w:numPr>
          <w:ilvl w:val="0"/>
          <w:numId w:val="1"/>
        </w:numPr>
        <w:spacing w:line="360" w:lineRule="auto"/>
        <w:jc w:val="both"/>
        <w:rPr>
          <w:rFonts w:eastAsia="Times New Roman"/>
          <w:lang w:val="en-GB"/>
        </w:rPr>
      </w:pPr>
      <w:r w:rsidRPr="00954BA5">
        <w:rPr>
          <w:rFonts w:eastAsia="Times New Roman"/>
          <w:lang w:val="en-GB"/>
        </w:rPr>
        <w:t>Moreover, additional portions should be limited in order to reduce the problem of excess weight caused by excess consumption of calories, resulting in insulin resistance. For instance, an easy way to achieve this goal is to drink water rather than beverages containing excessive amounts of sugar (</w:t>
      </w:r>
      <w:r w:rsidRPr="00954BA5">
        <w:rPr>
          <w:rFonts w:eastAsia="Times New Roman"/>
          <w:color w:val="222222"/>
          <w:lang w:val="en-GB"/>
        </w:rPr>
        <w:t xml:space="preserve">Wu </w:t>
      </w:r>
      <w:r w:rsidRPr="00954BA5">
        <w:rPr>
          <w:rFonts w:eastAsia="Times New Roman"/>
          <w:i/>
          <w:iCs/>
          <w:color w:val="222222"/>
          <w:lang w:val="en-GB"/>
        </w:rPr>
        <w:t>et al</w:t>
      </w:r>
      <w:r w:rsidRPr="00954BA5">
        <w:rPr>
          <w:rFonts w:eastAsia="Times New Roman"/>
          <w:color w:val="222222"/>
          <w:lang w:val="en-GB"/>
        </w:rPr>
        <w:t>., 2024</w:t>
      </w:r>
      <w:r w:rsidRPr="00954BA5">
        <w:rPr>
          <w:rFonts w:eastAsia="Times New Roman"/>
          <w:lang w:val="en-GB"/>
        </w:rPr>
        <w:t>). The following recommendations regarding individual dietary needs are made by NICE in order to help with managing blood glucose, blood pressure and cardiovascular risks.</w:t>
      </w:r>
    </w:p>
    <w:p w14:paraId="67112B4F" w14:textId="77777777" w:rsidR="00DC7ADE" w:rsidRPr="00954BA5" w:rsidRDefault="004002FA">
      <w:pPr>
        <w:numPr>
          <w:ilvl w:val="0"/>
          <w:numId w:val="1"/>
        </w:numPr>
        <w:spacing w:line="360" w:lineRule="auto"/>
        <w:jc w:val="both"/>
        <w:rPr>
          <w:rFonts w:eastAsia="Times New Roman"/>
          <w:lang w:val="en-GB"/>
        </w:rPr>
      </w:pPr>
      <w:r w:rsidRPr="00954BA5">
        <w:rPr>
          <w:rFonts w:eastAsia="Times New Roman"/>
          <w:lang w:val="en-GB"/>
        </w:rPr>
        <w:t>Physical activity should be considered as a part of diabetes management. There are WHO recommendations for more than 150 minutes of moderate exercise per week for adults. This can be obtained in five days of brisk walking for 30 minutes a day. This includes muscle strengthening activities, which should also take place on at least two days a week.</w:t>
      </w:r>
    </w:p>
    <w:p w14:paraId="18B76FD6" w14:textId="77777777" w:rsidR="00DC7ADE" w:rsidRPr="00954BA5" w:rsidRDefault="004002FA">
      <w:pPr>
        <w:numPr>
          <w:ilvl w:val="0"/>
          <w:numId w:val="1"/>
        </w:numPr>
        <w:spacing w:line="360" w:lineRule="auto"/>
        <w:jc w:val="both"/>
        <w:rPr>
          <w:rFonts w:eastAsia="Times New Roman"/>
          <w:lang w:val="en-GB"/>
        </w:rPr>
      </w:pPr>
      <w:r w:rsidRPr="00954BA5">
        <w:rPr>
          <w:rFonts w:eastAsia="Times New Roman"/>
          <w:lang w:val="en-GB"/>
        </w:rPr>
        <w:t>Strongly encourage smoking cessation, as some of the effects of smoking put pressure on the cardiovascular system and are associated with increased Type 2 diabetes risk (</w:t>
      </w:r>
      <w:r w:rsidRPr="00954BA5">
        <w:rPr>
          <w:rFonts w:eastAsia="Times New Roman"/>
          <w:color w:val="222222"/>
          <w:lang w:val="en-GB"/>
        </w:rPr>
        <w:t>van Aken, 2024</w:t>
      </w:r>
      <w:r w:rsidRPr="00954BA5">
        <w:rPr>
          <w:rFonts w:eastAsia="Times New Roman"/>
          <w:lang w:val="en-GB"/>
        </w:rPr>
        <w:t xml:space="preserve">). Healthcare providers should give a smoker the appropriate </w:t>
      </w:r>
      <w:r w:rsidRPr="00954BA5">
        <w:rPr>
          <w:rFonts w:eastAsia="Times New Roman"/>
          <w:i/>
          <w:iCs/>
          <w:lang w:val="en-GB"/>
        </w:rPr>
        <w:t>“cigarette-free”</w:t>
      </w:r>
      <w:r w:rsidRPr="00954BA5">
        <w:rPr>
          <w:rFonts w:eastAsia="Times New Roman"/>
          <w:lang w:val="en-GB"/>
        </w:rPr>
        <w:t xml:space="preserve"> treatment. WHO named avoiding tobacco as one of the important measures of prevention of diabetes.</w:t>
      </w:r>
    </w:p>
    <w:p w14:paraId="504A1B11" w14:textId="77777777" w:rsidR="00DC7ADE" w:rsidRPr="00954BA5" w:rsidRDefault="004002FA">
      <w:pPr>
        <w:numPr>
          <w:ilvl w:val="0"/>
          <w:numId w:val="1"/>
        </w:numPr>
        <w:spacing w:line="360" w:lineRule="auto"/>
        <w:jc w:val="both"/>
        <w:rPr>
          <w:rFonts w:eastAsia="Times New Roman"/>
          <w:lang w:val="en-GB"/>
        </w:rPr>
      </w:pPr>
      <w:r w:rsidRPr="00954BA5">
        <w:rPr>
          <w:rFonts w:eastAsia="Times New Roman"/>
          <w:lang w:val="en-GB"/>
        </w:rPr>
        <w:lastRenderedPageBreak/>
        <w:t>A healthy body weight is important, as obesity and fat around the waistline are positively correlated with the risk of Type 2 diabetes. In those who are overweight, enhanced insulin sensitivity and better glucose control can be observed through weight reduction (National Health Service, 2022). It is therefore important to pursue a combination of an energy-reducing diet, regular exercise, and all possible professional help to develop a combined strategy rather than pursue a single lifestyle change.</w:t>
      </w:r>
    </w:p>
    <w:p w14:paraId="45FD291A" w14:textId="77777777" w:rsidR="00DC7ADE" w:rsidRPr="00954BA5" w:rsidRDefault="004002FA" w:rsidP="00842EFE">
      <w:pPr>
        <w:pStyle w:val="Heading1"/>
        <w:rPr>
          <w:lang w:val="en-GB"/>
        </w:rPr>
      </w:pPr>
      <w:bookmarkStart w:id="5" w:name="_Toc240885366"/>
      <w:r w:rsidRPr="00954BA5">
        <w:rPr>
          <w:lang w:val="en-GB"/>
        </w:rPr>
        <w:t>6. Conclusion</w:t>
      </w:r>
      <w:bookmarkEnd w:id="5"/>
    </w:p>
    <w:p w14:paraId="1C1EA0B1" w14:textId="77777777" w:rsidR="00DC7ADE" w:rsidRPr="00954BA5" w:rsidRDefault="004002FA">
      <w:pPr>
        <w:spacing w:line="360" w:lineRule="auto"/>
        <w:jc w:val="both"/>
        <w:rPr>
          <w:rFonts w:eastAsia="Times New Roman"/>
          <w:lang w:val="en-GB"/>
        </w:rPr>
      </w:pPr>
      <w:r w:rsidRPr="00954BA5">
        <w:rPr>
          <w:rFonts w:eastAsia="Times New Roman"/>
          <w:lang w:val="en-GB"/>
        </w:rPr>
        <w:t>Diabetes is a long-term disease that occurs when the blood glucose level is higher than normal due to a lack of sufficient insulin production or its inadequate use. The most prevalent type is Type 2 diabetes, which makes up over 95% of diabetes cases, as indicated by the WHO. Excess weight, low physical activity, and getting older are key risk factors. Once food is consumed, the pancreatic beta cells secrete insulin that facilitates the uptake of glucose and thus facilitates storage as glycogen. If the blood glucose level decreases, then glucagon stimulates the release of glucose from the liver. In type 2 diabetes, a high blood glucose level may be caused by insulin resistance and may harm blood vessels, nerves, the kidneys, and the eyes.</w:t>
      </w:r>
    </w:p>
    <w:p w14:paraId="5E075C66" w14:textId="77777777" w:rsidR="00DC7ADE" w:rsidRPr="00954BA5" w:rsidRDefault="004002FA">
      <w:pPr>
        <w:spacing w:line="360" w:lineRule="auto"/>
        <w:jc w:val="both"/>
        <w:rPr>
          <w:rFonts w:eastAsia="Times New Roman"/>
          <w:lang w:val="en-GB"/>
        </w:rPr>
      </w:pPr>
      <w:r w:rsidRPr="00954BA5">
        <w:rPr>
          <w:rFonts w:eastAsia="Times New Roman"/>
          <w:lang w:val="en-GB"/>
        </w:rPr>
        <w:t xml:space="preserve">Glucose and oxygen are needed to generate energy in the cell. Two molecules of pyruvic acid are generated, and two molecules of ATP are generated net from one molecule of glucose in the pathway of glycolysis. Mitochondrial reactions then generate </w:t>
      </w:r>
      <w:r w:rsidRPr="00954BA5">
        <w:rPr>
          <w:rFonts w:eastAsia="Times New Roman"/>
          <w:i/>
          <w:iCs/>
          <w:lang w:val="en-GB"/>
        </w:rPr>
        <w:t>“electron carriers”</w:t>
      </w:r>
      <w:r w:rsidRPr="00954BA5">
        <w:rPr>
          <w:rFonts w:eastAsia="Times New Roman"/>
          <w:lang w:val="en-GB"/>
        </w:rPr>
        <w:t>, which are used as sources for ATP generation, with oxygen as an assistant. ATP is a source of energy that can be used for energy-related functions in a cell. HbA1c should be used to monitor the condition every 3 to 6 months until the condition is stable, and every 6 months after that, as recommended.</w:t>
      </w:r>
    </w:p>
    <w:p w14:paraId="5B709470" w14:textId="77777777" w:rsidR="00DC7ADE" w:rsidRPr="00954BA5" w:rsidRDefault="004002FA">
      <w:pPr>
        <w:spacing w:line="360" w:lineRule="auto"/>
        <w:jc w:val="both"/>
        <w:rPr>
          <w:rFonts w:eastAsia="Times New Roman"/>
          <w:lang w:val="en-GB"/>
        </w:rPr>
      </w:pPr>
      <w:r w:rsidRPr="00954BA5">
        <w:rPr>
          <w:lang w:val="en-GB"/>
        </w:rPr>
        <w:br w:type="page"/>
      </w:r>
    </w:p>
    <w:p w14:paraId="08FB6F4C" w14:textId="77777777" w:rsidR="00DC7ADE" w:rsidRPr="00954BA5" w:rsidRDefault="004002FA" w:rsidP="00842EFE">
      <w:pPr>
        <w:pStyle w:val="Heading1"/>
        <w:rPr>
          <w:lang w:val="en-GB"/>
        </w:rPr>
      </w:pPr>
      <w:bookmarkStart w:id="6" w:name="_Toc240885367"/>
      <w:r w:rsidRPr="00954BA5">
        <w:rPr>
          <w:lang w:val="en-GB"/>
        </w:rPr>
        <w:lastRenderedPageBreak/>
        <w:t>Reference List</w:t>
      </w:r>
      <w:bookmarkEnd w:id="6"/>
    </w:p>
    <w:p w14:paraId="30E96B96"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Belizaire, R., Wong, W.J., Robinette, M.L. and Ebert, B.L. (2023). Clonal haematopoiesis and dysregulation of the immune system. </w:t>
      </w:r>
      <w:r w:rsidRPr="00954BA5">
        <w:rPr>
          <w:rFonts w:eastAsia="Times New Roman"/>
          <w:i/>
          <w:iCs/>
          <w:lang w:val="en-GB"/>
        </w:rPr>
        <w:t>Nature Reviews Immunology</w:t>
      </w:r>
      <w:r w:rsidRPr="00954BA5">
        <w:rPr>
          <w:rFonts w:eastAsia="Times New Roman"/>
          <w:lang w:val="en-GB"/>
        </w:rPr>
        <w:t xml:space="preserve">, </w:t>
      </w:r>
      <w:r w:rsidRPr="00954BA5">
        <w:rPr>
          <w:rFonts w:eastAsia="Times New Roman"/>
          <w:i/>
          <w:iCs/>
          <w:lang w:val="en-GB"/>
        </w:rPr>
        <w:t>23</w:t>
      </w:r>
      <w:r w:rsidRPr="00954BA5">
        <w:rPr>
          <w:rFonts w:eastAsia="Times New Roman"/>
          <w:lang w:val="en-GB"/>
        </w:rPr>
        <w:t>(9), pp.595-610.  Available at: https://www.nature.com/articles/s41577-023-00843-3 [Accessed on: 21</w:t>
      </w:r>
      <w:r w:rsidRPr="00954BA5">
        <w:rPr>
          <w:rFonts w:eastAsia="Times New Roman"/>
          <w:vertAlign w:val="superscript"/>
          <w:lang w:val="en-GB"/>
        </w:rPr>
        <w:t>st</w:t>
      </w:r>
      <w:r w:rsidRPr="00954BA5">
        <w:rPr>
          <w:rFonts w:eastAsia="Times New Roman"/>
          <w:lang w:val="en-GB"/>
        </w:rPr>
        <w:t xml:space="preserve"> Sep 2026]</w:t>
      </w:r>
    </w:p>
    <w:p w14:paraId="05D11D15"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Garofalo, S.P., Giannico, V., Lorente, B., García, A.J.G., Vivaldi, G.A., Thameur, A. and Salcedo, F.P. (2024). Predicting carob tree physiological parameters under different irrigation systems using Random Forest and Planet satellite images. </w:t>
      </w:r>
      <w:r w:rsidRPr="00954BA5">
        <w:rPr>
          <w:rFonts w:eastAsia="Times New Roman"/>
          <w:i/>
          <w:iCs/>
          <w:lang w:val="en-GB"/>
        </w:rPr>
        <w:t>Frontiers in Plant Science</w:t>
      </w:r>
      <w:r w:rsidRPr="00954BA5">
        <w:rPr>
          <w:rFonts w:eastAsia="Times New Roman"/>
          <w:lang w:val="en-GB"/>
        </w:rPr>
        <w:t xml:space="preserve">, </w:t>
      </w:r>
      <w:r w:rsidRPr="00954BA5">
        <w:rPr>
          <w:rFonts w:eastAsia="Times New Roman"/>
          <w:i/>
          <w:iCs/>
          <w:lang w:val="en-GB"/>
        </w:rPr>
        <w:t>15</w:t>
      </w:r>
      <w:r w:rsidRPr="00954BA5">
        <w:rPr>
          <w:rFonts w:eastAsia="Times New Roman"/>
          <w:lang w:val="en-GB"/>
        </w:rPr>
        <w:t>, pp.1302435.  Available at: https://www.frontiersin.org/journals/plant-science/articles/10.3389/fpls.2024.1302435/full [Accessed on: 21</w:t>
      </w:r>
      <w:r w:rsidRPr="00954BA5">
        <w:rPr>
          <w:rFonts w:eastAsia="Times New Roman"/>
          <w:vertAlign w:val="superscript"/>
          <w:lang w:val="en-GB"/>
        </w:rPr>
        <w:t>st</w:t>
      </w:r>
      <w:r w:rsidRPr="00954BA5">
        <w:rPr>
          <w:rFonts w:eastAsia="Times New Roman"/>
          <w:lang w:val="en-GB"/>
        </w:rPr>
        <w:t xml:space="preserve"> Sep 2026]</w:t>
      </w:r>
    </w:p>
    <w:p w14:paraId="42555BF6"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Hawryluk, G.W., </w:t>
      </w:r>
      <w:proofErr w:type="spellStart"/>
      <w:r w:rsidRPr="00954BA5">
        <w:rPr>
          <w:rFonts w:eastAsia="Times New Roman"/>
          <w:color w:val="222222"/>
          <w:lang w:val="en-GB"/>
        </w:rPr>
        <w:t>Citerio</w:t>
      </w:r>
      <w:proofErr w:type="spellEnd"/>
      <w:r w:rsidRPr="00954BA5">
        <w:rPr>
          <w:rFonts w:eastAsia="Times New Roman"/>
          <w:color w:val="222222"/>
          <w:lang w:val="en-GB"/>
        </w:rPr>
        <w:t xml:space="preserve">, G., Hutchinson, P., Kolias, A., Meyfroidt, G., Robba, C., Stocchetti, N. and </w:t>
      </w:r>
      <w:proofErr w:type="spellStart"/>
      <w:r w:rsidRPr="00954BA5">
        <w:rPr>
          <w:rFonts w:eastAsia="Times New Roman"/>
          <w:color w:val="222222"/>
          <w:lang w:val="en-GB"/>
        </w:rPr>
        <w:t>Chesnut</w:t>
      </w:r>
      <w:proofErr w:type="spellEnd"/>
      <w:r w:rsidRPr="00954BA5">
        <w:rPr>
          <w:rFonts w:eastAsia="Times New Roman"/>
          <w:color w:val="222222"/>
          <w:lang w:val="en-GB"/>
        </w:rPr>
        <w:t xml:space="preserve">, R. (2022). Intracranial pressure: current perspectives on physiology and monitoring. </w:t>
      </w:r>
      <w:r w:rsidRPr="00954BA5">
        <w:rPr>
          <w:rFonts w:eastAsia="Times New Roman"/>
          <w:i/>
          <w:iCs/>
          <w:lang w:val="en-GB"/>
        </w:rPr>
        <w:t>Intensive Care Medicine</w:t>
      </w:r>
      <w:r w:rsidRPr="00954BA5">
        <w:rPr>
          <w:rFonts w:eastAsia="Times New Roman"/>
          <w:lang w:val="en-GB"/>
        </w:rPr>
        <w:t xml:space="preserve">, </w:t>
      </w:r>
      <w:r w:rsidRPr="00954BA5">
        <w:rPr>
          <w:rFonts w:eastAsia="Times New Roman"/>
          <w:i/>
          <w:iCs/>
          <w:lang w:val="en-GB"/>
        </w:rPr>
        <w:t>48</w:t>
      </w:r>
      <w:r w:rsidRPr="00954BA5">
        <w:rPr>
          <w:rFonts w:eastAsia="Times New Roman"/>
          <w:lang w:val="en-GB"/>
        </w:rPr>
        <w:t>(10), pp.1471-1481.  Available at: https://books.google.com/books?hl=en&amp;lr=&amp;id [Accessed on: 21</w:t>
      </w:r>
      <w:r w:rsidRPr="00954BA5">
        <w:rPr>
          <w:rFonts w:eastAsia="Times New Roman"/>
          <w:vertAlign w:val="superscript"/>
          <w:lang w:val="en-GB"/>
        </w:rPr>
        <w:t>st</w:t>
      </w:r>
      <w:r w:rsidRPr="00954BA5">
        <w:rPr>
          <w:rFonts w:eastAsia="Times New Roman"/>
          <w:lang w:val="en-GB"/>
        </w:rPr>
        <w:t xml:space="preserve"> Sep 2026]</w:t>
      </w:r>
    </w:p>
    <w:p w14:paraId="5FB5C215"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Liu, H., Wang, X., Gao, H., Yang, C. and Xie, C. (2023). Physiological and pathological characteristics of vascular endothelial injury in diabetes and the regulatory mechanism of autophagy. </w:t>
      </w:r>
      <w:r w:rsidRPr="00954BA5">
        <w:rPr>
          <w:rFonts w:eastAsia="Times New Roman"/>
          <w:i/>
          <w:iCs/>
          <w:lang w:val="en-GB"/>
        </w:rPr>
        <w:t>Frontiers in Endocrinology</w:t>
      </w:r>
      <w:r w:rsidRPr="00954BA5">
        <w:rPr>
          <w:rFonts w:eastAsia="Times New Roman"/>
          <w:lang w:val="en-GB"/>
        </w:rPr>
        <w:t xml:space="preserve">, </w:t>
      </w:r>
      <w:r w:rsidRPr="00954BA5">
        <w:rPr>
          <w:rFonts w:eastAsia="Times New Roman"/>
          <w:i/>
          <w:iCs/>
          <w:lang w:val="en-GB"/>
        </w:rPr>
        <w:t>14</w:t>
      </w:r>
      <w:r w:rsidRPr="00954BA5">
        <w:rPr>
          <w:rFonts w:eastAsia="Times New Roman"/>
          <w:lang w:val="en-GB"/>
        </w:rPr>
        <w:t>, pp.1191426.  Available at: https://www.frontiersin.org/journals/endocrinology/articles/10.3389/fendo.2023.1191426/full [Accessed on: 21</w:t>
      </w:r>
      <w:r w:rsidRPr="00954BA5">
        <w:rPr>
          <w:rFonts w:eastAsia="Times New Roman"/>
          <w:vertAlign w:val="superscript"/>
          <w:lang w:val="en-GB"/>
        </w:rPr>
        <w:t>st</w:t>
      </w:r>
      <w:r w:rsidRPr="00954BA5">
        <w:rPr>
          <w:rFonts w:eastAsia="Times New Roman"/>
          <w:lang w:val="en-GB"/>
        </w:rPr>
        <w:t xml:space="preserve"> Sep 2026]</w:t>
      </w:r>
    </w:p>
    <w:p w14:paraId="5AE3980A"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Michael, J. (2022). Use of core concepts of physiology can facilitate student transfer of learning. </w:t>
      </w:r>
      <w:r w:rsidRPr="00954BA5">
        <w:rPr>
          <w:rFonts w:eastAsia="Times New Roman"/>
          <w:i/>
          <w:iCs/>
          <w:lang w:val="en-GB"/>
        </w:rPr>
        <w:t>Advances in Physiology Education</w:t>
      </w:r>
      <w:r w:rsidRPr="00954BA5">
        <w:rPr>
          <w:rFonts w:eastAsia="Times New Roman"/>
          <w:lang w:val="en-GB"/>
        </w:rPr>
        <w:t xml:space="preserve">, </w:t>
      </w:r>
      <w:r w:rsidRPr="00954BA5">
        <w:rPr>
          <w:rFonts w:eastAsia="Times New Roman"/>
          <w:i/>
          <w:iCs/>
          <w:lang w:val="en-GB"/>
        </w:rPr>
        <w:t>46</w:t>
      </w:r>
      <w:r w:rsidRPr="00954BA5">
        <w:rPr>
          <w:rFonts w:eastAsia="Times New Roman"/>
          <w:lang w:val="en-GB"/>
        </w:rPr>
        <w:t>(3), pp.438-442.  Available at: https://journals.physiology.org/doi/abs/10.1152/advan.00005.2022?af=R&amp;utm_source=TrendMD&amp;utm [Accessed on: 21</w:t>
      </w:r>
      <w:r w:rsidRPr="00954BA5">
        <w:rPr>
          <w:rFonts w:eastAsia="Times New Roman"/>
          <w:vertAlign w:val="superscript"/>
          <w:lang w:val="en-GB"/>
        </w:rPr>
        <w:t>st</w:t>
      </w:r>
      <w:r w:rsidRPr="00954BA5">
        <w:rPr>
          <w:rFonts w:eastAsia="Times New Roman"/>
          <w:lang w:val="en-GB"/>
        </w:rPr>
        <w:t xml:space="preserve"> Sep 2026]</w:t>
      </w:r>
    </w:p>
    <w:p w14:paraId="684C8D80" w14:textId="77777777" w:rsidR="00FD57AE" w:rsidRPr="00954BA5" w:rsidRDefault="00FD57AE" w:rsidP="00FD57AE">
      <w:pPr>
        <w:spacing w:after="160" w:line="360" w:lineRule="auto"/>
        <w:jc w:val="both"/>
        <w:rPr>
          <w:rFonts w:eastAsia="Times New Roman"/>
          <w:lang w:val="en-GB"/>
        </w:rPr>
      </w:pPr>
      <w:proofErr w:type="spellStart"/>
      <w:r w:rsidRPr="00954BA5">
        <w:rPr>
          <w:rFonts w:eastAsia="Times New Roman"/>
          <w:color w:val="222222"/>
          <w:lang w:val="en-GB"/>
        </w:rPr>
        <w:t>Milosic</w:t>
      </w:r>
      <w:proofErr w:type="spellEnd"/>
      <w:r w:rsidRPr="00954BA5">
        <w:rPr>
          <w:rFonts w:eastAsia="Times New Roman"/>
          <w:color w:val="222222"/>
          <w:lang w:val="en-GB"/>
        </w:rPr>
        <w:t xml:space="preserve">, F., </w:t>
      </w:r>
      <w:proofErr w:type="spellStart"/>
      <w:r w:rsidRPr="00954BA5">
        <w:rPr>
          <w:rFonts w:eastAsia="Times New Roman"/>
          <w:color w:val="222222"/>
          <w:lang w:val="en-GB"/>
        </w:rPr>
        <w:t>Hengstschläger</w:t>
      </w:r>
      <w:proofErr w:type="spellEnd"/>
      <w:r w:rsidRPr="00954BA5">
        <w:rPr>
          <w:rFonts w:eastAsia="Times New Roman"/>
          <w:color w:val="222222"/>
          <w:lang w:val="en-GB"/>
        </w:rPr>
        <w:t xml:space="preserve">, M. and </w:t>
      </w:r>
      <w:proofErr w:type="spellStart"/>
      <w:r w:rsidRPr="00954BA5">
        <w:rPr>
          <w:rFonts w:eastAsia="Times New Roman"/>
          <w:color w:val="222222"/>
          <w:lang w:val="en-GB"/>
        </w:rPr>
        <w:t>Osmanagic</w:t>
      </w:r>
      <w:proofErr w:type="spellEnd"/>
      <w:r w:rsidRPr="00954BA5">
        <w:rPr>
          <w:rFonts w:eastAsia="Times New Roman"/>
          <w:color w:val="222222"/>
          <w:lang w:val="en-GB"/>
        </w:rPr>
        <w:t xml:space="preserve">-Myers, S. (2024). Premature ageing in genetic diseases: what conclusions can be drawn for physiological ageing. </w:t>
      </w:r>
      <w:r w:rsidRPr="00954BA5">
        <w:rPr>
          <w:rFonts w:eastAsia="Times New Roman"/>
          <w:i/>
          <w:iCs/>
          <w:lang w:val="en-GB"/>
        </w:rPr>
        <w:t>Frontiers in Ageing</w:t>
      </w:r>
      <w:r w:rsidRPr="00954BA5">
        <w:rPr>
          <w:rFonts w:eastAsia="Times New Roman"/>
          <w:lang w:val="en-GB"/>
        </w:rPr>
        <w:t xml:space="preserve">, </w:t>
      </w:r>
      <w:r w:rsidRPr="00954BA5">
        <w:rPr>
          <w:rFonts w:eastAsia="Times New Roman"/>
          <w:i/>
          <w:iCs/>
          <w:lang w:val="en-GB"/>
        </w:rPr>
        <w:t>4</w:t>
      </w:r>
      <w:r w:rsidRPr="00954BA5">
        <w:rPr>
          <w:rFonts w:eastAsia="Times New Roman"/>
          <w:lang w:val="en-GB"/>
        </w:rPr>
        <w:t>, pp.1327833.  Available at: https://www.frontiersin.org/journals/aging/articles/10.3389/fragi.2023.1327833/full [Accessed on: 21</w:t>
      </w:r>
      <w:r w:rsidRPr="00954BA5">
        <w:rPr>
          <w:rFonts w:eastAsia="Times New Roman"/>
          <w:vertAlign w:val="superscript"/>
          <w:lang w:val="en-GB"/>
        </w:rPr>
        <w:t>st</w:t>
      </w:r>
      <w:r w:rsidRPr="00954BA5">
        <w:rPr>
          <w:rFonts w:eastAsia="Times New Roman"/>
          <w:lang w:val="en-GB"/>
        </w:rPr>
        <w:t xml:space="preserve"> Sep 2026]</w:t>
      </w:r>
    </w:p>
    <w:p w14:paraId="5BDD477B" w14:textId="77777777" w:rsidR="00FD57AE" w:rsidRPr="00954BA5" w:rsidRDefault="00FD57AE" w:rsidP="00FD57AE">
      <w:pPr>
        <w:spacing w:after="240" w:line="360" w:lineRule="auto"/>
        <w:jc w:val="both"/>
        <w:rPr>
          <w:rFonts w:eastAsia="Times New Roman"/>
          <w:color w:val="222222"/>
          <w:lang w:val="en-GB"/>
        </w:rPr>
      </w:pPr>
      <w:r w:rsidRPr="00954BA5">
        <w:rPr>
          <w:rFonts w:eastAsia="Times New Roman"/>
          <w:lang w:val="en-GB"/>
        </w:rPr>
        <w:t xml:space="preserve">National Health Service (2022). </w:t>
      </w:r>
      <w:r w:rsidRPr="00954BA5">
        <w:rPr>
          <w:rFonts w:eastAsia="Times New Roman"/>
          <w:i/>
          <w:iCs/>
          <w:lang w:val="en-GB"/>
        </w:rPr>
        <w:t>Hyperglycaemia (high blood sugar)</w:t>
      </w:r>
      <w:r w:rsidRPr="00954BA5">
        <w:rPr>
          <w:rFonts w:eastAsia="Times New Roman"/>
          <w:lang w:val="en-GB"/>
        </w:rPr>
        <w:t xml:space="preserve">. [online] NHS. Available at: https://www.nhs.uk/conditions/high-blood-sugar-hyperglycaemia/ </w:t>
      </w:r>
      <w:r w:rsidRPr="00954BA5">
        <w:rPr>
          <w:rFonts w:eastAsia="Times New Roman"/>
          <w:color w:val="222222"/>
          <w:lang w:val="en-GB"/>
        </w:rPr>
        <w:t>[Accessed on: 21</w:t>
      </w:r>
      <w:r w:rsidRPr="00954BA5">
        <w:rPr>
          <w:rFonts w:eastAsia="Times New Roman"/>
          <w:color w:val="222222"/>
          <w:vertAlign w:val="superscript"/>
          <w:lang w:val="en-GB"/>
        </w:rPr>
        <w:t>st</w:t>
      </w:r>
      <w:r w:rsidRPr="00954BA5">
        <w:rPr>
          <w:rFonts w:eastAsia="Times New Roman"/>
          <w:color w:val="222222"/>
          <w:lang w:val="en-GB"/>
        </w:rPr>
        <w:t xml:space="preserve"> Sep 2026].</w:t>
      </w:r>
    </w:p>
    <w:p w14:paraId="530C2DAC" w14:textId="77777777" w:rsidR="00FD57AE" w:rsidRPr="00954BA5" w:rsidRDefault="00FD57AE" w:rsidP="00FD57AE">
      <w:pPr>
        <w:spacing w:after="240" w:line="360" w:lineRule="auto"/>
        <w:jc w:val="both"/>
        <w:rPr>
          <w:rFonts w:eastAsia="Times New Roman"/>
          <w:lang w:val="en-GB"/>
        </w:rPr>
      </w:pPr>
      <w:r w:rsidRPr="00954BA5">
        <w:rPr>
          <w:rFonts w:eastAsia="Times New Roman"/>
          <w:lang w:val="en-GB"/>
        </w:rPr>
        <w:lastRenderedPageBreak/>
        <w:t xml:space="preserve">Newman, T. (2017). </w:t>
      </w:r>
      <w:r w:rsidRPr="00954BA5">
        <w:rPr>
          <w:rFonts w:eastAsia="Times New Roman"/>
          <w:i/>
          <w:iCs/>
          <w:lang w:val="en-GB"/>
        </w:rPr>
        <w:t>Introduction to physiology: History, biological systems, and branches</w:t>
      </w:r>
      <w:r w:rsidRPr="00954BA5">
        <w:rPr>
          <w:rFonts w:eastAsia="Times New Roman"/>
          <w:lang w:val="en-GB"/>
        </w:rPr>
        <w:t xml:space="preserve">. [online]. www.medicalnewstoday.com. Available at: https://www.medicalnewstoday.com/articles/248791 </w:t>
      </w:r>
      <w:r w:rsidRPr="00954BA5">
        <w:rPr>
          <w:rFonts w:eastAsia="Times New Roman"/>
          <w:color w:val="222222"/>
          <w:lang w:val="en-GB"/>
        </w:rPr>
        <w:t>[Accessed on: 21</w:t>
      </w:r>
      <w:r w:rsidRPr="00954BA5">
        <w:rPr>
          <w:rFonts w:eastAsia="Times New Roman"/>
          <w:color w:val="222222"/>
          <w:vertAlign w:val="superscript"/>
          <w:lang w:val="en-GB"/>
        </w:rPr>
        <w:t>st</w:t>
      </w:r>
      <w:r w:rsidRPr="00954BA5">
        <w:rPr>
          <w:rFonts w:eastAsia="Times New Roman"/>
          <w:color w:val="222222"/>
          <w:lang w:val="en-GB"/>
        </w:rPr>
        <w:t xml:space="preserve"> Sep 2026].</w:t>
      </w:r>
    </w:p>
    <w:p w14:paraId="15410038"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Pryor, J.T., Cowley, L.O. and Simonds, S.E. (2022). The physiological effects of air pollution: particulate matter, physiology and disease. </w:t>
      </w:r>
      <w:r w:rsidRPr="00954BA5">
        <w:rPr>
          <w:rFonts w:eastAsia="Times New Roman"/>
          <w:i/>
          <w:iCs/>
          <w:lang w:val="en-GB"/>
        </w:rPr>
        <w:t>Frontiers in Public Health</w:t>
      </w:r>
      <w:r w:rsidRPr="00954BA5">
        <w:rPr>
          <w:rFonts w:eastAsia="Times New Roman"/>
          <w:lang w:val="en-GB"/>
        </w:rPr>
        <w:t xml:space="preserve">, </w:t>
      </w:r>
      <w:r w:rsidRPr="00954BA5">
        <w:rPr>
          <w:rFonts w:eastAsia="Times New Roman"/>
          <w:i/>
          <w:iCs/>
          <w:lang w:val="en-GB"/>
        </w:rPr>
        <w:t>10</w:t>
      </w:r>
      <w:r w:rsidRPr="00954BA5">
        <w:rPr>
          <w:rFonts w:eastAsia="Times New Roman"/>
          <w:lang w:val="en-GB"/>
        </w:rPr>
        <w:t>, pp.882569.  Available at: https://www.frontiersin.org/journals/public-health/articles/10.3389/fpubh.2022.882569/full [Accessed on: 21</w:t>
      </w:r>
      <w:r w:rsidRPr="00954BA5">
        <w:rPr>
          <w:rFonts w:eastAsia="Times New Roman"/>
          <w:vertAlign w:val="superscript"/>
          <w:lang w:val="en-GB"/>
        </w:rPr>
        <w:t>st</w:t>
      </w:r>
      <w:r w:rsidRPr="00954BA5">
        <w:rPr>
          <w:rFonts w:eastAsia="Times New Roman"/>
          <w:lang w:val="en-GB"/>
        </w:rPr>
        <w:t xml:space="preserve"> Sep 2026]</w:t>
      </w:r>
    </w:p>
    <w:p w14:paraId="79B22AEC" w14:textId="77777777" w:rsidR="00FD57AE" w:rsidRPr="00954BA5" w:rsidRDefault="00FD57AE" w:rsidP="00FD57AE">
      <w:pPr>
        <w:pStyle w:val="NormalWeb"/>
        <w:spacing w:before="0" w:beforeAutospacing="0" w:after="240" w:afterAutospacing="0" w:line="360" w:lineRule="auto"/>
        <w:rPr>
          <w:rFonts w:ascii="Arial" w:hAnsi="Arial" w:cs="Arial"/>
          <w:sz w:val="22"/>
          <w:szCs w:val="22"/>
          <w:lang w:val="en-GB"/>
        </w:rPr>
      </w:pPr>
      <w:proofErr w:type="spellStart"/>
      <w:r w:rsidRPr="00954BA5">
        <w:rPr>
          <w:rFonts w:ascii="Arial" w:hAnsi="Arial" w:cs="Arial"/>
          <w:sz w:val="22"/>
          <w:szCs w:val="22"/>
          <w:lang w:val="en-GB"/>
        </w:rPr>
        <w:t>Rghioui</w:t>
      </w:r>
      <w:proofErr w:type="spellEnd"/>
      <w:r w:rsidRPr="00954BA5">
        <w:rPr>
          <w:rFonts w:ascii="Arial" w:hAnsi="Arial" w:cs="Arial"/>
          <w:sz w:val="22"/>
          <w:szCs w:val="22"/>
          <w:lang w:val="en-GB"/>
        </w:rPr>
        <w:t xml:space="preserve">, A., Lloret, J., Harane, M. and </w:t>
      </w:r>
      <w:proofErr w:type="spellStart"/>
      <w:r w:rsidRPr="00954BA5">
        <w:rPr>
          <w:rFonts w:ascii="Arial" w:hAnsi="Arial" w:cs="Arial"/>
          <w:sz w:val="22"/>
          <w:szCs w:val="22"/>
          <w:lang w:val="en-GB"/>
        </w:rPr>
        <w:t>Oumnad</w:t>
      </w:r>
      <w:proofErr w:type="spellEnd"/>
      <w:r w:rsidRPr="00954BA5">
        <w:rPr>
          <w:rFonts w:ascii="Arial" w:hAnsi="Arial" w:cs="Arial"/>
          <w:sz w:val="22"/>
          <w:szCs w:val="22"/>
          <w:lang w:val="en-GB"/>
        </w:rPr>
        <w:t xml:space="preserve">, A. (2020). A smart glucose monitoring system for diabetic patient. </w:t>
      </w:r>
      <w:r w:rsidRPr="00954BA5">
        <w:rPr>
          <w:rFonts w:ascii="Arial" w:hAnsi="Arial" w:cs="Arial"/>
          <w:i/>
          <w:iCs/>
          <w:sz w:val="22"/>
          <w:szCs w:val="22"/>
          <w:lang w:val="en-GB"/>
        </w:rPr>
        <w:t>Electronics</w:t>
      </w:r>
      <w:r w:rsidRPr="00954BA5">
        <w:rPr>
          <w:rFonts w:ascii="Arial" w:hAnsi="Arial" w:cs="Arial"/>
          <w:sz w:val="22"/>
          <w:szCs w:val="22"/>
          <w:lang w:val="en-GB"/>
        </w:rPr>
        <w:t>, 9(4), p.678. doi:10.3390/electronics9040678. [Accessed on: 21</w:t>
      </w:r>
      <w:r w:rsidRPr="00954BA5">
        <w:rPr>
          <w:rFonts w:ascii="Arial" w:hAnsi="Arial" w:cs="Arial"/>
          <w:sz w:val="22"/>
          <w:szCs w:val="22"/>
          <w:vertAlign w:val="superscript"/>
          <w:lang w:val="en-GB"/>
        </w:rPr>
        <w:t>st</w:t>
      </w:r>
      <w:r w:rsidRPr="00954BA5">
        <w:rPr>
          <w:rFonts w:ascii="Arial" w:hAnsi="Arial" w:cs="Arial"/>
          <w:sz w:val="22"/>
          <w:szCs w:val="22"/>
          <w:lang w:val="en-GB"/>
        </w:rPr>
        <w:t xml:space="preserve"> Sep 2026]</w:t>
      </w:r>
    </w:p>
    <w:p w14:paraId="4325A3FC"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Richalet, J.P., </w:t>
      </w:r>
      <w:proofErr w:type="spellStart"/>
      <w:r w:rsidRPr="00954BA5">
        <w:rPr>
          <w:rFonts w:eastAsia="Times New Roman"/>
          <w:color w:val="222222"/>
          <w:lang w:val="en-GB"/>
        </w:rPr>
        <w:t>Hermand</w:t>
      </w:r>
      <w:proofErr w:type="spellEnd"/>
      <w:r w:rsidRPr="00954BA5">
        <w:rPr>
          <w:rFonts w:eastAsia="Times New Roman"/>
          <w:color w:val="222222"/>
          <w:lang w:val="en-GB"/>
        </w:rPr>
        <w:t xml:space="preserve">, E. and </w:t>
      </w:r>
      <w:proofErr w:type="spellStart"/>
      <w:r w:rsidRPr="00954BA5">
        <w:rPr>
          <w:rFonts w:eastAsia="Times New Roman"/>
          <w:color w:val="222222"/>
          <w:lang w:val="en-GB"/>
        </w:rPr>
        <w:t>Lhuissier</w:t>
      </w:r>
      <w:proofErr w:type="spellEnd"/>
      <w:r w:rsidRPr="00954BA5">
        <w:rPr>
          <w:rFonts w:eastAsia="Times New Roman"/>
          <w:color w:val="222222"/>
          <w:lang w:val="en-GB"/>
        </w:rPr>
        <w:t xml:space="preserve">, F.J. (2024). Cardiovascular physiology and pathophysiology at high altitude. </w:t>
      </w:r>
      <w:r w:rsidRPr="00954BA5">
        <w:rPr>
          <w:rFonts w:eastAsia="Times New Roman"/>
          <w:i/>
          <w:iCs/>
          <w:lang w:val="en-GB"/>
        </w:rPr>
        <w:t>Nature Reviews Cardiology</w:t>
      </w:r>
      <w:r w:rsidRPr="00954BA5">
        <w:rPr>
          <w:rFonts w:eastAsia="Times New Roman"/>
          <w:lang w:val="en-GB"/>
        </w:rPr>
        <w:t xml:space="preserve">, </w:t>
      </w:r>
      <w:r w:rsidRPr="00954BA5">
        <w:rPr>
          <w:rFonts w:eastAsia="Times New Roman"/>
          <w:i/>
          <w:iCs/>
          <w:lang w:val="en-GB"/>
        </w:rPr>
        <w:t>21</w:t>
      </w:r>
      <w:r w:rsidRPr="00954BA5">
        <w:rPr>
          <w:rFonts w:eastAsia="Times New Roman"/>
          <w:lang w:val="en-GB"/>
        </w:rPr>
        <w:t>(2), pp.75-88.  Available at: https://www.nature.com/articles/s41569-023-00924-9 [Accessed on: 21</w:t>
      </w:r>
      <w:r w:rsidRPr="00954BA5">
        <w:rPr>
          <w:rFonts w:eastAsia="Times New Roman"/>
          <w:vertAlign w:val="superscript"/>
          <w:lang w:val="en-GB"/>
        </w:rPr>
        <w:t>st</w:t>
      </w:r>
      <w:r w:rsidRPr="00954BA5">
        <w:rPr>
          <w:rFonts w:eastAsia="Times New Roman"/>
          <w:lang w:val="en-GB"/>
        </w:rPr>
        <w:t xml:space="preserve"> Sep 2026]</w:t>
      </w:r>
    </w:p>
    <w:p w14:paraId="1610C4F4"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Ritterhoff, J. and Tian, R. (2023). Metabolic mechanisms in physiological and pathological cardiac hypertrophy: new paradigms and challenges. </w:t>
      </w:r>
      <w:r w:rsidRPr="00954BA5">
        <w:rPr>
          <w:rFonts w:eastAsia="Times New Roman"/>
          <w:i/>
          <w:iCs/>
          <w:lang w:val="en-GB"/>
        </w:rPr>
        <w:t>Nature Reviews Cardiology</w:t>
      </w:r>
      <w:r w:rsidRPr="00954BA5">
        <w:rPr>
          <w:rFonts w:eastAsia="Times New Roman"/>
          <w:lang w:val="en-GB"/>
        </w:rPr>
        <w:t xml:space="preserve">, </w:t>
      </w:r>
      <w:r w:rsidRPr="00954BA5">
        <w:rPr>
          <w:rFonts w:eastAsia="Times New Roman"/>
          <w:i/>
          <w:iCs/>
          <w:lang w:val="en-GB"/>
        </w:rPr>
        <w:t>20</w:t>
      </w:r>
      <w:r w:rsidRPr="00954BA5">
        <w:rPr>
          <w:rFonts w:eastAsia="Times New Roman"/>
          <w:lang w:val="en-GB"/>
        </w:rPr>
        <w:t>(12), pp.812-829.  Available at: https://www.nature.com/articles/s41569-023-00887-x [Accessed on: 21</w:t>
      </w:r>
      <w:r w:rsidRPr="00954BA5">
        <w:rPr>
          <w:rFonts w:eastAsia="Times New Roman"/>
          <w:vertAlign w:val="superscript"/>
          <w:lang w:val="en-GB"/>
        </w:rPr>
        <w:t>st</w:t>
      </w:r>
      <w:r w:rsidRPr="00954BA5">
        <w:rPr>
          <w:rFonts w:eastAsia="Times New Roman"/>
          <w:lang w:val="en-GB"/>
        </w:rPr>
        <w:t xml:space="preserve"> Sep 2026]</w:t>
      </w:r>
    </w:p>
    <w:p w14:paraId="1C608648"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Samson, W.K. and Yosten, G.L. (2022). A comprehensive review of the neuroscience of ingestion: the physiological control of eating: signals, neurons, and networks. </w:t>
      </w:r>
      <w:r w:rsidRPr="00954BA5">
        <w:rPr>
          <w:rFonts w:eastAsia="Times New Roman"/>
          <w:i/>
          <w:iCs/>
          <w:lang w:val="en-GB"/>
        </w:rPr>
        <w:t>Physiological Reviews</w:t>
      </w:r>
      <w:r w:rsidRPr="00954BA5">
        <w:rPr>
          <w:rFonts w:eastAsia="Times New Roman"/>
          <w:lang w:val="en-GB"/>
        </w:rPr>
        <w:t xml:space="preserve">, </w:t>
      </w:r>
      <w:r w:rsidRPr="00954BA5">
        <w:rPr>
          <w:rFonts w:eastAsia="Times New Roman"/>
          <w:i/>
          <w:iCs/>
          <w:lang w:val="en-GB"/>
        </w:rPr>
        <w:t>102</w:t>
      </w:r>
      <w:r w:rsidRPr="00954BA5">
        <w:rPr>
          <w:rFonts w:eastAsia="Times New Roman"/>
          <w:lang w:val="en-GB"/>
        </w:rPr>
        <w:t>(1), pp.319-322.  Available at: https://journals.physiology.org/doi/pdf/10.1152/physrev.00035.2021?download=true [Accessed on: 21</w:t>
      </w:r>
      <w:r w:rsidRPr="00954BA5">
        <w:rPr>
          <w:rFonts w:eastAsia="Times New Roman"/>
          <w:vertAlign w:val="superscript"/>
          <w:lang w:val="en-GB"/>
        </w:rPr>
        <w:t>st</w:t>
      </w:r>
      <w:r w:rsidRPr="00954BA5">
        <w:rPr>
          <w:rFonts w:eastAsia="Times New Roman"/>
          <w:lang w:val="en-GB"/>
        </w:rPr>
        <w:t xml:space="preserve"> Sep 2026]</w:t>
      </w:r>
    </w:p>
    <w:p w14:paraId="3E0C3021"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Shaffer, J.F., Schriner, S.E., Loudon, C., Dacanay, S.J., Alam, U., Dang, J.V., Aguilar-Roca, N., </w:t>
      </w:r>
      <w:proofErr w:type="spellStart"/>
      <w:r w:rsidRPr="00954BA5">
        <w:rPr>
          <w:rFonts w:eastAsia="Times New Roman"/>
          <w:color w:val="222222"/>
          <w:lang w:val="en-GB"/>
        </w:rPr>
        <w:t>Kadandale</w:t>
      </w:r>
      <w:proofErr w:type="spellEnd"/>
      <w:r w:rsidRPr="00954BA5">
        <w:rPr>
          <w:rFonts w:eastAsia="Times New Roman"/>
          <w:color w:val="222222"/>
          <w:lang w:val="en-GB"/>
        </w:rPr>
        <w:t xml:space="preserve">, P. and Sato, B.K. (2023). The impact of physiology prerequisites on future anatomy and physiology courses. </w:t>
      </w:r>
      <w:r w:rsidRPr="00954BA5">
        <w:rPr>
          <w:rFonts w:eastAsia="Times New Roman"/>
          <w:i/>
          <w:iCs/>
          <w:lang w:val="en-GB"/>
        </w:rPr>
        <w:t>HAPS Educator</w:t>
      </w:r>
      <w:r w:rsidRPr="00954BA5">
        <w:rPr>
          <w:rFonts w:eastAsia="Times New Roman"/>
          <w:lang w:val="en-GB"/>
        </w:rPr>
        <w:t xml:space="preserve">, </w:t>
      </w:r>
      <w:r w:rsidRPr="00954BA5">
        <w:rPr>
          <w:rFonts w:eastAsia="Times New Roman"/>
          <w:i/>
          <w:iCs/>
          <w:lang w:val="en-GB"/>
        </w:rPr>
        <w:t>22</w:t>
      </w:r>
      <w:r w:rsidRPr="00954BA5">
        <w:rPr>
          <w:rFonts w:eastAsia="Times New Roman"/>
          <w:lang w:val="en-GB"/>
        </w:rPr>
        <w:t>(3), pp.199-207.  Available at: https://escholarship.org/uc/item/1371h2mp [Accessed on: 21</w:t>
      </w:r>
      <w:r w:rsidRPr="00954BA5">
        <w:rPr>
          <w:rFonts w:eastAsia="Times New Roman"/>
          <w:vertAlign w:val="superscript"/>
          <w:lang w:val="en-GB"/>
        </w:rPr>
        <w:t>st</w:t>
      </w:r>
      <w:r w:rsidRPr="00954BA5">
        <w:rPr>
          <w:rFonts w:eastAsia="Times New Roman"/>
          <w:lang w:val="en-GB"/>
        </w:rPr>
        <w:t xml:space="preserve"> Sep 2026]</w:t>
      </w:r>
    </w:p>
    <w:p w14:paraId="749F2FC3"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Shomali, A., Das, S., Arif, N., Sarraf, M., Zahra, N., Yadav, V., Aliniaeifard, S., Chauhan, D.K. and </w:t>
      </w:r>
      <w:proofErr w:type="spellStart"/>
      <w:r w:rsidRPr="00954BA5">
        <w:rPr>
          <w:rFonts w:eastAsia="Times New Roman"/>
          <w:color w:val="222222"/>
          <w:lang w:val="en-GB"/>
        </w:rPr>
        <w:t>Hasanuzzaman</w:t>
      </w:r>
      <w:proofErr w:type="spellEnd"/>
      <w:r w:rsidRPr="00954BA5">
        <w:rPr>
          <w:rFonts w:eastAsia="Times New Roman"/>
          <w:color w:val="222222"/>
          <w:lang w:val="en-GB"/>
        </w:rPr>
        <w:t xml:space="preserve">, M. (2022). Diverse physiological roles of flavonoids in plant environmental stress responses and tolerance. </w:t>
      </w:r>
      <w:r w:rsidRPr="00954BA5">
        <w:rPr>
          <w:rFonts w:eastAsia="Times New Roman"/>
          <w:i/>
          <w:iCs/>
          <w:lang w:val="en-GB"/>
        </w:rPr>
        <w:t>Plants</w:t>
      </w:r>
      <w:r w:rsidRPr="00954BA5">
        <w:rPr>
          <w:rFonts w:eastAsia="Times New Roman"/>
          <w:lang w:val="en-GB"/>
        </w:rPr>
        <w:t xml:space="preserve">, </w:t>
      </w:r>
      <w:r w:rsidRPr="00954BA5">
        <w:rPr>
          <w:rFonts w:eastAsia="Times New Roman"/>
          <w:i/>
          <w:iCs/>
          <w:lang w:val="en-GB"/>
        </w:rPr>
        <w:t>11</w:t>
      </w:r>
      <w:r w:rsidRPr="00954BA5">
        <w:rPr>
          <w:rFonts w:eastAsia="Times New Roman"/>
          <w:lang w:val="en-GB"/>
        </w:rPr>
        <w:t>(22), pp.31-58.  Available at: https://www.mdpi.com/2223-7747/11/22/3158 [Accessed on: 21</w:t>
      </w:r>
      <w:r w:rsidRPr="00954BA5">
        <w:rPr>
          <w:rFonts w:eastAsia="Times New Roman"/>
          <w:vertAlign w:val="superscript"/>
          <w:lang w:val="en-GB"/>
        </w:rPr>
        <w:t>st</w:t>
      </w:r>
      <w:r w:rsidRPr="00954BA5">
        <w:rPr>
          <w:rFonts w:eastAsia="Times New Roman"/>
          <w:lang w:val="en-GB"/>
        </w:rPr>
        <w:t xml:space="preserve"> Sep 2026]</w:t>
      </w:r>
    </w:p>
    <w:p w14:paraId="19F83A83"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lastRenderedPageBreak/>
        <w:t xml:space="preserve">van Aken, G.A. (2024). Computer modelling of digestive processes in the alimentary tract and their physiological regulation mechanisms: closing the gap between digestion models and in vivo behaviour. </w:t>
      </w:r>
      <w:r w:rsidRPr="00954BA5">
        <w:rPr>
          <w:rFonts w:eastAsia="Times New Roman"/>
          <w:i/>
          <w:iCs/>
          <w:lang w:val="en-GB"/>
        </w:rPr>
        <w:t>Frontiers in Nutrition</w:t>
      </w:r>
      <w:r w:rsidRPr="00954BA5">
        <w:rPr>
          <w:rFonts w:eastAsia="Times New Roman"/>
          <w:lang w:val="en-GB"/>
        </w:rPr>
        <w:t xml:space="preserve">, </w:t>
      </w:r>
      <w:r w:rsidRPr="00954BA5">
        <w:rPr>
          <w:rFonts w:eastAsia="Times New Roman"/>
          <w:i/>
          <w:iCs/>
          <w:lang w:val="en-GB"/>
        </w:rPr>
        <w:t>11</w:t>
      </w:r>
      <w:r w:rsidRPr="00954BA5">
        <w:rPr>
          <w:rFonts w:eastAsia="Times New Roman"/>
          <w:lang w:val="en-GB"/>
        </w:rPr>
        <w:t>, pp.1339711.  Available at: https://www.frontiersin.org/journals/nutrition/articles/10.3389/fnut.2024.1339711/full [Accessed on: 21</w:t>
      </w:r>
      <w:r w:rsidRPr="00954BA5">
        <w:rPr>
          <w:rFonts w:eastAsia="Times New Roman"/>
          <w:vertAlign w:val="superscript"/>
          <w:lang w:val="en-GB"/>
        </w:rPr>
        <w:t>st</w:t>
      </w:r>
      <w:r w:rsidRPr="00954BA5">
        <w:rPr>
          <w:rFonts w:eastAsia="Times New Roman"/>
          <w:lang w:val="en-GB"/>
        </w:rPr>
        <w:t xml:space="preserve"> Sep 2026]</w:t>
      </w:r>
    </w:p>
    <w:p w14:paraId="62E97201"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Veer, V., Phelps, C. and Moro, C. (2022). Incorporating mixed reality for knowledge retention in physiology, anatomy, pathology, and pharmacology interdisciplinary education: a randomised controlled trial. </w:t>
      </w:r>
      <w:r w:rsidRPr="00954BA5">
        <w:rPr>
          <w:rFonts w:eastAsia="Times New Roman"/>
          <w:i/>
          <w:iCs/>
          <w:lang w:val="en-GB"/>
        </w:rPr>
        <w:t>Medical Science Educator</w:t>
      </w:r>
      <w:r w:rsidRPr="00954BA5">
        <w:rPr>
          <w:rFonts w:eastAsia="Times New Roman"/>
          <w:lang w:val="en-GB"/>
        </w:rPr>
        <w:t xml:space="preserve">, </w:t>
      </w:r>
      <w:r w:rsidRPr="00954BA5">
        <w:rPr>
          <w:rFonts w:eastAsia="Times New Roman"/>
          <w:i/>
          <w:iCs/>
          <w:lang w:val="en-GB"/>
        </w:rPr>
        <w:t>32</w:t>
      </w:r>
      <w:r w:rsidRPr="00954BA5">
        <w:rPr>
          <w:rFonts w:eastAsia="Times New Roman"/>
          <w:lang w:val="en-GB"/>
        </w:rPr>
        <w:t>(6), pp.1579-1586.  Available at: https://link.springer.com/article/10.1007/s40670-022-01635-5 [Accessed on: 21</w:t>
      </w:r>
      <w:r w:rsidRPr="00954BA5">
        <w:rPr>
          <w:rFonts w:eastAsia="Times New Roman"/>
          <w:vertAlign w:val="superscript"/>
          <w:lang w:val="en-GB"/>
        </w:rPr>
        <w:t>st</w:t>
      </w:r>
      <w:r w:rsidRPr="00954BA5">
        <w:rPr>
          <w:rFonts w:eastAsia="Times New Roman"/>
          <w:lang w:val="en-GB"/>
        </w:rPr>
        <w:t xml:space="preserve"> Sep 2026]</w:t>
      </w:r>
    </w:p>
    <w:p w14:paraId="30C775F8" w14:textId="77777777" w:rsidR="00FD57AE" w:rsidRPr="00954BA5" w:rsidRDefault="00FD57AE" w:rsidP="00FD57AE">
      <w:pPr>
        <w:spacing w:after="160" w:line="360" w:lineRule="auto"/>
        <w:jc w:val="both"/>
        <w:rPr>
          <w:rFonts w:eastAsia="Times New Roman"/>
          <w:lang w:val="en-GB"/>
        </w:rPr>
      </w:pPr>
      <w:proofErr w:type="spellStart"/>
      <w:r w:rsidRPr="00954BA5">
        <w:rPr>
          <w:rFonts w:eastAsia="Times New Roman"/>
          <w:color w:val="222222"/>
          <w:lang w:val="en-GB"/>
        </w:rPr>
        <w:t>Vosugh</w:t>
      </w:r>
      <w:proofErr w:type="spellEnd"/>
      <w:r w:rsidRPr="00954BA5">
        <w:rPr>
          <w:rFonts w:eastAsia="Times New Roman"/>
          <w:color w:val="222222"/>
          <w:lang w:val="en-GB"/>
        </w:rPr>
        <w:t xml:space="preserve">, N., Bahmani, Z. and Mohammadian, A. (2023). Distracted driving recognition based on functional connectivity analysis between physiological signals and perinasal perspiration index. </w:t>
      </w:r>
      <w:r w:rsidRPr="00954BA5">
        <w:rPr>
          <w:rFonts w:eastAsia="Times New Roman"/>
          <w:i/>
          <w:iCs/>
          <w:lang w:val="en-GB"/>
        </w:rPr>
        <w:t>Expert Systems with Applications</w:t>
      </w:r>
      <w:r w:rsidRPr="00954BA5">
        <w:rPr>
          <w:rFonts w:eastAsia="Times New Roman"/>
          <w:lang w:val="en-GB"/>
        </w:rPr>
        <w:t xml:space="preserve">, </w:t>
      </w:r>
      <w:r w:rsidRPr="00954BA5">
        <w:rPr>
          <w:rFonts w:eastAsia="Times New Roman"/>
          <w:i/>
          <w:iCs/>
          <w:lang w:val="en-GB"/>
        </w:rPr>
        <w:t>231</w:t>
      </w:r>
      <w:r w:rsidRPr="00954BA5">
        <w:rPr>
          <w:rFonts w:eastAsia="Times New Roman"/>
          <w:lang w:val="en-GB"/>
        </w:rPr>
        <w:t>, pp.120-707.  Available at: https://www.sciencedirect.com/science/article/pii/S0957417423012095 [Accessed on: 21</w:t>
      </w:r>
      <w:r w:rsidRPr="00954BA5">
        <w:rPr>
          <w:rFonts w:eastAsia="Times New Roman"/>
          <w:vertAlign w:val="superscript"/>
          <w:lang w:val="en-GB"/>
        </w:rPr>
        <w:t>st</w:t>
      </w:r>
      <w:r w:rsidRPr="00954BA5">
        <w:rPr>
          <w:rFonts w:eastAsia="Times New Roman"/>
          <w:lang w:val="en-GB"/>
        </w:rPr>
        <w:t xml:space="preserve"> Sep 2026]</w:t>
      </w:r>
    </w:p>
    <w:p w14:paraId="6F056A41"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Wang, X., Xie, H., Wang, P. and Yin, H. (2023). Nanoparticles in plants: uptake, transport and physiological activity in leaf and root. </w:t>
      </w:r>
      <w:r w:rsidRPr="00954BA5">
        <w:rPr>
          <w:rFonts w:eastAsia="Times New Roman"/>
          <w:i/>
          <w:iCs/>
          <w:lang w:val="en-GB"/>
        </w:rPr>
        <w:t>Materials</w:t>
      </w:r>
      <w:r w:rsidRPr="00954BA5">
        <w:rPr>
          <w:rFonts w:eastAsia="Times New Roman"/>
          <w:lang w:val="en-GB"/>
        </w:rPr>
        <w:t xml:space="preserve">, </w:t>
      </w:r>
      <w:r w:rsidRPr="00954BA5">
        <w:rPr>
          <w:rFonts w:eastAsia="Times New Roman"/>
          <w:i/>
          <w:iCs/>
          <w:lang w:val="en-GB"/>
        </w:rPr>
        <w:t>16</w:t>
      </w:r>
      <w:r w:rsidRPr="00954BA5">
        <w:rPr>
          <w:rFonts w:eastAsia="Times New Roman"/>
          <w:lang w:val="en-GB"/>
        </w:rPr>
        <w:t>(8), pp.30-97.  Available at: https://www.mdpi.com/1996-1944/16/8/3097 [Accessed on: 21</w:t>
      </w:r>
      <w:r w:rsidRPr="00954BA5">
        <w:rPr>
          <w:rFonts w:eastAsia="Times New Roman"/>
          <w:vertAlign w:val="superscript"/>
          <w:lang w:val="en-GB"/>
        </w:rPr>
        <w:t>st</w:t>
      </w:r>
      <w:r w:rsidRPr="00954BA5">
        <w:rPr>
          <w:rFonts w:eastAsia="Times New Roman"/>
          <w:lang w:val="en-GB"/>
        </w:rPr>
        <w:t xml:space="preserve"> Sep 2026]</w:t>
      </w:r>
    </w:p>
    <w:p w14:paraId="3DCA4489" w14:textId="77777777" w:rsidR="00FD57AE" w:rsidRPr="00954BA5" w:rsidRDefault="00FD57AE" w:rsidP="00FD57AE">
      <w:pPr>
        <w:spacing w:after="160" w:line="360" w:lineRule="auto"/>
        <w:jc w:val="both"/>
        <w:rPr>
          <w:rFonts w:eastAsia="Times New Roman"/>
          <w:lang w:val="en-GB"/>
        </w:rPr>
      </w:pPr>
      <w:r w:rsidRPr="00954BA5">
        <w:rPr>
          <w:rFonts w:eastAsia="Times New Roman"/>
          <w:color w:val="222222"/>
          <w:lang w:val="en-GB"/>
        </w:rPr>
        <w:t xml:space="preserve">Wu, S., Huang, J., Li, Y. and Zhao, L. (2024). Comparative transcriptomics combined with physiological and functional analysis reveals the regulatory mechanism of rainbow trout (Oncorhynchus mykiss) under acute hypoxia stress. </w:t>
      </w:r>
      <w:r w:rsidRPr="00954BA5">
        <w:rPr>
          <w:rFonts w:eastAsia="Times New Roman"/>
          <w:i/>
          <w:iCs/>
          <w:lang w:val="en-GB"/>
        </w:rPr>
        <w:t>Ecotoxicology and Environmental Safety</w:t>
      </w:r>
      <w:r w:rsidRPr="00954BA5">
        <w:rPr>
          <w:rFonts w:eastAsia="Times New Roman"/>
          <w:lang w:val="en-GB"/>
        </w:rPr>
        <w:t xml:space="preserve">, </w:t>
      </w:r>
      <w:r w:rsidRPr="00954BA5">
        <w:rPr>
          <w:rFonts w:eastAsia="Times New Roman"/>
          <w:i/>
          <w:iCs/>
          <w:lang w:val="en-GB"/>
        </w:rPr>
        <w:t>278</w:t>
      </w:r>
      <w:r w:rsidRPr="00954BA5">
        <w:rPr>
          <w:rFonts w:eastAsia="Times New Roman"/>
          <w:lang w:val="en-GB"/>
        </w:rPr>
        <w:t>, pp.116-347.  Available at: https://www.sciencedirect.com/science/article/pii/S0147651324004238 [Accessed on: 21</w:t>
      </w:r>
      <w:r w:rsidRPr="00954BA5">
        <w:rPr>
          <w:rFonts w:eastAsia="Times New Roman"/>
          <w:vertAlign w:val="superscript"/>
          <w:lang w:val="en-GB"/>
        </w:rPr>
        <w:t>st</w:t>
      </w:r>
      <w:r w:rsidRPr="00954BA5">
        <w:rPr>
          <w:rFonts w:eastAsia="Times New Roman"/>
          <w:lang w:val="en-GB"/>
        </w:rPr>
        <w:t xml:space="preserve"> Sep 2026]</w:t>
      </w:r>
    </w:p>
    <w:p w14:paraId="13B41E9A" w14:textId="77777777" w:rsidR="00FD57AE" w:rsidRPr="00954BA5" w:rsidRDefault="00FD57AE" w:rsidP="00FD57AE">
      <w:pPr>
        <w:spacing w:after="160" w:line="360" w:lineRule="auto"/>
        <w:jc w:val="both"/>
        <w:rPr>
          <w:rFonts w:eastAsia="Times New Roman"/>
          <w:lang w:val="en-GB"/>
        </w:rPr>
      </w:pPr>
      <w:proofErr w:type="spellStart"/>
      <w:r w:rsidRPr="00954BA5">
        <w:rPr>
          <w:rFonts w:eastAsia="Times New Roman"/>
          <w:color w:val="222222"/>
          <w:lang w:val="en-GB"/>
        </w:rPr>
        <w:t>Yperman</w:t>
      </w:r>
      <w:proofErr w:type="spellEnd"/>
      <w:r w:rsidRPr="00954BA5">
        <w:rPr>
          <w:rFonts w:eastAsia="Times New Roman"/>
          <w:color w:val="222222"/>
          <w:lang w:val="en-GB"/>
        </w:rPr>
        <w:t xml:space="preserve">, K. and Kuijpers, M. (2023). Neuronal endoplasmic reticulum architecture and roles in axonal physiology. </w:t>
      </w:r>
      <w:r w:rsidRPr="00954BA5">
        <w:rPr>
          <w:rFonts w:eastAsia="Times New Roman"/>
          <w:i/>
          <w:iCs/>
          <w:lang w:val="en-GB"/>
        </w:rPr>
        <w:t>Molecular and Cellular Neuroscience</w:t>
      </w:r>
      <w:r w:rsidRPr="00954BA5">
        <w:rPr>
          <w:rFonts w:eastAsia="Times New Roman"/>
          <w:lang w:val="en-GB"/>
        </w:rPr>
        <w:t xml:space="preserve">, </w:t>
      </w:r>
      <w:r w:rsidRPr="00954BA5">
        <w:rPr>
          <w:rFonts w:eastAsia="Times New Roman"/>
          <w:i/>
          <w:iCs/>
          <w:lang w:val="en-GB"/>
        </w:rPr>
        <w:t>125</w:t>
      </w:r>
      <w:r w:rsidRPr="00954BA5">
        <w:rPr>
          <w:rFonts w:eastAsia="Times New Roman"/>
          <w:lang w:val="en-GB"/>
        </w:rPr>
        <w:t>, pp.103-822.  Available at: https://www.sciencedirect.com/science/article/pii/S1044743123000167 [Accessed on: 21</w:t>
      </w:r>
      <w:r w:rsidRPr="00954BA5">
        <w:rPr>
          <w:rFonts w:eastAsia="Times New Roman"/>
          <w:vertAlign w:val="superscript"/>
          <w:lang w:val="en-GB"/>
        </w:rPr>
        <w:t>st</w:t>
      </w:r>
      <w:r w:rsidRPr="00954BA5">
        <w:rPr>
          <w:rFonts w:eastAsia="Times New Roman"/>
          <w:lang w:val="en-GB"/>
        </w:rPr>
        <w:t xml:space="preserve"> Sep 2026]</w:t>
      </w:r>
    </w:p>
    <w:sectPr w:rsidR="00FD57AE" w:rsidRPr="00954BA5" w:rsidSect="00BE747D">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C380C" w14:textId="77777777" w:rsidR="00142574" w:rsidRDefault="00142574">
      <w:pPr>
        <w:spacing w:line="240" w:lineRule="auto"/>
      </w:pPr>
      <w:r>
        <w:separator/>
      </w:r>
    </w:p>
  </w:endnote>
  <w:endnote w:type="continuationSeparator" w:id="0">
    <w:p w14:paraId="0B3CEFEF" w14:textId="77777777" w:rsidR="00142574" w:rsidRDefault="001425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F655BCA-3165-4E8B-9AEF-637465644936}"/>
  </w:font>
  <w:font w:name="Cambria Math">
    <w:panose1 w:val="02040503050406030204"/>
    <w:charset w:val="00"/>
    <w:family w:val="roman"/>
    <w:pitch w:val="variable"/>
    <w:sig w:usb0="E00006FF" w:usb1="420024FF" w:usb2="02000000" w:usb3="00000000" w:csb0="0000019F" w:csb1="00000000"/>
    <w:embedRegular r:id="rId2" w:fontKey="{66AED57D-E3F8-4B9E-8662-E4E52267079F}"/>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3" w:fontKey="{914E9E86-C238-4D5F-B4AE-118DE8D8E9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4"/>
      </w:rPr>
      <w:id w:val="1857992731"/>
      <w:docPartObj>
        <w:docPartGallery w:val="Page Numbers (Bottom of Page)"/>
        <w:docPartUnique/>
      </w:docPartObj>
    </w:sdtPr>
    <w:sdtContent>
      <w:sdt>
        <w:sdtPr>
          <w:rPr>
            <w:sz w:val="20"/>
            <w:szCs w:val="24"/>
          </w:rPr>
          <w:id w:val="-1769616900"/>
          <w:docPartObj>
            <w:docPartGallery w:val="Page Numbers (Top of Page)"/>
            <w:docPartUnique/>
          </w:docPartObj>
        </w:sdtPr>
        <w:sdtContent>
          <w:p w14:paraId="7A664106" w14:textId="77777777" w:rsidR="00BE747D" w:rsidRPr="00BE747D" w:rsidRDefault="004002FA">
            <w:pPr>
              <w:pStyle w:val="Footer"/>
              <w:jc w:val="right"/>
              <w:rPr>
                <w:sz w:val="20"/>
                <w:szCs w:val="24"/>
              </w:rPr>
            </w:pPr>
            <w:r w:rsidRPr="00BE747D">
              <w:rPr>
                <w:sz w:val="20"/>
                <w:szCs w:val="24"/>
              </w:rPr>
              <w:t xml:space="preserve">Page </w:t>
            </w:r>
            <w:r w:rsidRPr="00BE747D">
              <w:rPr>
                <w:b/>
                <w:bCs/>
                <w:sz w:val="20"/>
                <w:szCs w:val="24"/>
              </w:rPr>
              <w:fldChar w:fldCharType="begin"/>
            </w:r>
            <w:r w:rsidRPr="00BE747D">
              <w:rPr>
                <w:b/>
                <w:bCs/>
                <w:sz w:val="20"/>
                <w:szCs w:val="24"/>
              </w:rPr>
              <w:instrText xml:space="preserve"> PAGE </w:instrText>
            </w:r>
            <w:r w:rsidRPr="00BE747D">
              <w:rPr>
                <w:b/>
                <w:bCs/>
                <w:sz w:val="20"/>
                <w:szCs w:val="24"/>
              </w:rPr>
              <w:fldChar w:fldCharType="separate"/>
            </w:r>
            <w:r w:rsidR="00472184">
              <w:rPr>
                <w:b/>
                <w:bCs/>
                <w:noProof/>
                <w:sz w:val="20"/>
                <w:szCs w:val="24"/>
              </w:rPr>
              <w:t>8</w:t>
            </w:r>
            <w:r w:rsidRPr="00BE747D">
              <w:rPr>
                <w:b/>
                <w:bCs/>
                <w:sz w:val="20"/>
                <w:szCs w:val="24"/>
              </w:rPr>
              <w:fldChar w:fldCharType="end"/>
            </w:r>
            <w:r w:rsidRPr="00BE747D">
              <w:rPr>
                <w:sz w:val="20"/>
                <w:szCs w:val="24"/>
              </w:rPr>
              <w:t xml:space="preserve"> of </w:t>
            </w:r>
            <w:r w:rsidRPr="00BE747D">
              <w:rPr>
                <w:b/>
                <w:bCs/>
                <w:sz w:val="20"/>
                <w:szCs w:val="24"/>
              </w:rPr>
              <w:fldChar w:fldCharType="begin"/>
            </w:r>
            <w:r w:rsidRPr="00BE747D">
              <w:rPr>
                <w:b/>
                <w:bCs/>
                <w:sz w:val="20"/>
                <w:szCs w:val="24"/>
              </w:rPr>
              <w:instrText xml:space="preserve"> NUMPAGES  </w:instrText>
            </w:r>
            <w:r w:rsidRPr="00BE747D">
              <w:rPr>
                <w:b/>
                <w:bCs/>
                <w:sz w:val="20"/>
                <w:szCs w:val="24"/>
              </w:rPr>
              <w:fldChar w:fldCharType="separate"/>
            </w:r>
            <w:r w:rsidR="00472184">
              <w:rPr>
                <w:b/>
                <w:bCs/>
                <w:noProof/>
                <w:sz w:val="20"/>
                <w:szCs w:val="24"/>
              </w:rPr>
              <w:t>11</w:t>
            </w:r>
            <w:r w:rsidRPr="00BE747D">
              <w:rPr>
                <w:b/>
                <w:bCs/>
                <w:sz w:val="20"/>
                <w:szCs w:val="24"/>
              </w:rPr>
              <w:fldChar w:fldCharType="end"/>
            </w:r>
          </w:p>
        </w:sdtContent>
      </w:sdt>
    </w:sdtContent>
  </w:sdt>
  <w:p w14:paraId="3FD98AF3" w14:textId="77777777" w:rsidR="00BE747D" w:rsidRPr="00BE747D" w:rsidRDefault="00BE747D">
    <w:pPr>
      <w:pStyle w:val="Footer"/>
      <w:rPr>
        <w:sz w:val="2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6EE72" w14:textId="77777777" w:rsidR="00142574" w:rsidRDefault="00142574">
      <w:pPr>
        <w:spacing w:line="240" w:lineRule="auto"/>
      </w:pPr>
      <w:r>
        <w:separator/>
      </w:r>
    </w:p>
  </w:footnote>
  <w:footnote w:type="continuationSeparator" w:id="0">
    <w:p w14:paraId="460E15A4" w14:textId="77777777" w:rsidR="00142574" w:rsidRDefault="001425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2046C"/>
    <w:multiLevelType w:val="multilevel"/>
    <w:tmpl w:val="A948C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0266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ADE"/>
    <w:rsid w:val="000008F6"/>
    <w:rsid w:val="00121365"/>
    <w:rsid w:val="00142574"/>
    <w:rsid w:val="00231F8C"/>
    <w:rsid w:val="004002FA"/>
    <w:rsid w:val="00424D62"/>
    <w:rsid w:val="00472184"/>
    <w:rsid w:val="004C4236"/>
    <w:rsid w:val="004D4597"/>
    <w:rsid w:val="005A5E11"/>
    <w:rsid w:val="005B1427"/>
    <w:rsid w:val="006503F6"/>
    <w:rsid w:val="00842EFE"/>
    <w:rsid w:val="008570D6"/>
    <w:rsid w:val="00954BA5"/>
    <w:rsid w:val="00B3208E"/>
    <w:rsid w:val="00BE747D"/>
    <w:rsid w:val="00DC7ADE"/>
    <w:rsid w:val="00E25B31"/>
    <w:rsid w:val="00ED3EBD"/>
    <w:rsid w:val="00FD57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0B64E"/>
  <w15:docId w15:val="{2A9B8A6F-0AF9-42DD-B040-8034BF82D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842EFE"/>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qFormat/>
    <w:rsid w:val="00842EFE"/>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IntenseEmphasis">
    <w:name w:val="Intense Emphasis"/>
    <w:basedOn w:val="DefaultParagraphFont"/>
    <w:uiPriority w:val="21"/>
    <w:qFormat/>
    <w:rsid w:val="00231F8C"/>
    <w:rPr>
      <w:i/>
      <w:iCs/>
      <w:color w:val="4F81BD" w:themeColor="accent1"/>
    </w:rPr>
  </w:style>
  <w:style w:type="paragraph" w:styleId="Header">
    <w:name w:val="header"/>
    <w:basedOn w:val="Normal"/>
    <w:link w:val="HeaderChar"/>
    <w:uiPriority w:val="99"/>
    <w:unhideWhenUsed/>
    <w:rsid w:val="00BE747D"/>
    <w:pPr>
      <w:tabs>
        <w:tab w:val="center" w:pos="4513"/>
        <w:tab w:val="right" w:pos="9026"/>
      </w:tabs>
      <w:spacing w:line="240" w:lineRule="auto"/>
    </w:pPr>
  </w:style>
  <w:style w:type="character" w:customStyle="1" w:styleId="HeaderChar">
    <w:name w:val="Header Char"/>
    <w:basedOn w:val="DefaultParagraphFont"/>
    <w:link w:val="Header"/>
    <w:uiPriority w:val="99"/>
    <w:rsid w:val="00BE747D"/>
  </w:style>
  <w:style w:type="paragraph" w:styleId="Footer">
    <w:name w:val="footer"/>
    <w:basedOn w:val="Normal"/>
    <w:link w:val="FooterChar"/>
    <w:uiPriority w:val="99"/>
    <w:unhideWhenUsed/>
    <w:rsid w:val="00BE747D"/>
    <w:pPr>
      <w:tabs>
        <w:tab w:val="center" w:pos="4513"/>
        <w:tab w:val="right" w:pos="9026"/>
      </w:tabs>
      <w:spacing w:line="240" w:lineRule="auto"/>
    </w:pPr>
  </w:style>
  <w:style w:type="character" w:customStyle="1" w:styleId="FooterChar">
    <w:name w:val="Footer Char"/>
    <w:basedOn w:val="DefaultParagraphFont"/>
    <w:link w:val="Footer"/>
    <w:uiPriority w:val="99"/>
    <w:rsid w:val="00BE747D"/>
  </w:style>
  <w:style w:type="paragraph" w:styleId="TOCHeading">
    <w:name w:val="TOC Heading"/>
    <w:basedOn w:val="Heading1"/>
    <w:next w:val="Normal"/>
    <w:uiPriority w:val="39"/>
    <w:unhideWhenUsed/>
    <w:qFormat/>
    <w:rsid w:val="00842EF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42EFE"/>
    <w:pPr>
      <w:spacing w:after="100"/>
    </w:pPr>
  </w:style>
  <w:style w:type="character" w:styleId="Hyperlink">
    <w:name w:val="Hyperlink"/>
    <w:basedOn w:val="DefaultParagraphFont"/>
    <w:uiPriority w:val="99"/>
    <w:unhideWhenUsed/>
    <w:rsid w:val="00842EFE"/>
    <w:rPr>
      <w:color w:val="0000FF" w:themeColor="hyperlink"/>
      <w:u w:val="single"/>
    </w:rPr>
  </w:style>
  <w:style w:type="paragraph" w:styleId="NormalWeb">
    <w:name w:val="Normal (Web)"/>
    <w:basedOn w:val="Normal"/>
    <w:uiPriority w:val="99"/>
    <w:unhideWhenUsed/>
    <w:rsid w:val="00121365"/>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1455160">
      <w:bodyDiv w:val="1"/>
      <w:marLeft w:val="0"/>
      <w:marRight w:val="0"/>
      <w:marTop w:val="0"/>
      <w:marBottom w:val="0"/>
      <w:divBdr>
        <w:top w:val="none" w:sz="0" w:space="0" w:color="auto"/>
        <w:left w:val="none" w:sz="0" w:space="0" w:color="auto"/>
        <w:bottom w:val="none" w:sz="0" w:space="0" w:color="auto"/>
        <w:right w:val="none" w:sz="0" w:space="0" w:color="auto"/>
      </w:divBdr>
      <w:divsChild>
        <w:div w:id="6436595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9DCE1-6DD9-441C-97AB-289448B17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3080</Words>
  <Characters>17559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Edwige Taty</cp:lastModifiedBy>
  <cp:revision>2</cp:revision>
  <dcterms:created xsi:type="dcterms:W3CDTF">2026-10-20T15:36:00Z</dcterms:created>
  <dcterms:modified xsi:type="dcterms:W3CDTF">2026-10-20T15:36:00Z</dcterms:modified>
</cp:coreProperties>
</file>