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27076" w14:textId="011E6E8B" w:rsidR="003700A3" w:rsidRDefault="003700A3">
      <w:r>
        <w:t>Image Commentary</w:t>
      </w:r>
    </w:p>
    <w:p w14:paraId="35FE5CE8" w14:textId="0F43B51E" w:rsidR="005F5CE0" w:rsidRDefault="005F5CE0"/>
    <w:p w14:paraId="503DFA8E" w14:textId="74C2075A" w:rsidR="003700A3" w:rsidRDefault="003700A3"/>
    <w:p w14:paraId="3554B51F" w14:textId="76F45B35" w:rsidR="00533A87" w:rsidRDefault="00533A87">
      <w:r>
        <w:fldChar w:fldCharType="begin"/>
      </w:r>
      <w:r>
        <w:instrText xml:space="preserve"> INCLUDEPICTURE "/Users/samuelsteed/Library/Group Containers/UBF8T346G9.ms/WebArchiveCopyPasteTempFiles/com.microsoft.Word/2b09dek.jpg" \* MERGEFORMATINET </w:instrText>
      </w:r>
      <w:r>
        <w:fldChar w:fldCharType="separate"/>
      </w:r>
      <w:r>
        <w:rPr>
          <w:noProof/>
        </w:rPr>
        <w:drawing>
          <wp:inline distT="0" distB="0" distL="0" distR="0" wp14:anchorId="75254CFF" wp14:editId="00BD3DB1">
            <wp:extent cx="5716905" cy="2339975"/>
            <wp:effectExtent l="0" t="0" r="0" b="0"/>
            <wp:docPr id="2" name="Picture 2" descr="Bayeux Tapestry scene 52: Harpld brother, Duke of Lewine and Byrd is killed  in the Battle of Hastings. BYX52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yeux Tapestry scene 52: Harpld brother, Duke of Lewine and Byrd is killed  in the Battle of Hastings. BYX52 Stock Photo - Ala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6905" cy="2339975"/>
                    </a:xfrm>
                    <a:prstGeom prst="rect">
                      <a:avLst/>
                    </a:prstGeom>
                    <a:noFill/>
                    <a:ln>
                      <a:noFill/>
                    </a:ln>
                  </pic:spPr>
                </pic:pic>
              </a:graphicData>
            </a:graphic>
          </wp:inline>
        </w:drawing>
      </w:r>
      <w:r>
        <w:fldChar w:fldCharType="end"/>
      </w:r>
    </w:p>
    <w:p w14:paraId="7DDBF1F1" w14:textId="77777777" w:rsidR="00533A87" w:rsidRDefault="00533A87"/>
    <w:p w14:paraId="3DD4D6B4" w14:textId="06539167" w:rsidR="006D2AF3" w:rsidRDefault="006D2AF3">
      <w:r>
        <w:t xml:space="preserve">The Bayeux Tapestry is a </w:t>
      </w:r>
      <w:r w:rsidR="00C532A6">
        <w:t xml:space="preserve">70 metre long by 50 </w:t>
      </w:r>
      <w:r w:rsidR="008859D0">
        <w:t>cent</w:t>
      </w:r>
      <w:r w:rsidR="00F21787">
        <w:t>i</w:t>
      </w:r>
      <w:r w:rsidR="008859D0">
        <w:t>metres</w:t>
      </w:r>
      <w:r w:rsidR="00C532A6">
        <w:t xml:space="preserve"> tall tapestry that depicts the Norman Conquest of England.</w:t>
      </w:r>
      <w:r w:rsidR="00533A87">
        <w:t xml:space="preserve"> </w:t>
      </w:r>
      <w:r w:rsidR="00E5462F">
        <w:t xml:space="preserve">It is currently located at the Bayeux Museum </w:t>
      </w:r>
      <w:r w:rsidR="00AE39E5">
        <w:t xml:space="preserve">in Normandy, France </w:t>
      </w:r>
      <w:r w:rsidR="00E5462F">
        <w:t xml:space="preserve">although an agreement exists between the United Kingdom and France for it to be displayed in both countries. </w:t>
      </w:r>
      <w:r w:rsidR="00FD4BB9">
        <w:t xml:space="preserve">It is unknown as to who made it, but it was likely made between after 1082. It is made of linen and embroidered with dyed wool which would not have been cheap. </w:t>
      </w:r>
    </w:p>
    <w:p w14:paraId="376713B9" w14:textId="77777777" w:rsidR="006D2AF3" w:rsidRDefault="006D2AF3"/>
    <w:p w14:paraId="52A10BDE" w14:textId="182C22F1" w:rsidR="003700A3" w:rsidRDefault="005F5CE0">
      <w:r>
        <w:t xml:space="preserve">The image above is </w:t>
      </w:r>
      <w:r w:rsidR="00E5462F">
        <w:t xml:space="preserve">from Section 52 of </w:t>
      </w:r>
      <w:r>
        <w:t xml:space="preserve">the </w:t>
      </w:r>
      <w:r w:rsidR="006D2AF3">
        <w:t>Bayeux</w:t>
      </w:r>
      <w:r>
        <w:t xml:space="preserve"> Tapestry and illustrates the deaths </w:t>
      </w:r>
      <w:r w:rsidR="00AE39E5">
        <w:t xml:space="preserve">in battle at Hastings </w:t>
      </w:r>
      <w:r>
        <w:t xml:space="preserve">of </w:t>
      </w:r>
      <w:proofErr w:type="spellStart"/>
      <w:r>
        <w:t>Gyrth</w:t>
      </w:r>
      <w:proofErr w:type="spellEnd"/>
      <w:r>
        <w:t xml:space="preserve"> Godwinson</w:t>
      </w:r>
      <w:r w:rsidR="00F0215D">
        <w:t>,</w:t>
      </w:r>
      <w:r>
        <w:t xml:space="preserve"> Earl of East Anglia and </w:t>
      </w:r>
      <w:proofErr w:type="spellStart"/>
      <w:r>
        <w:t>Leofwine</w:t>
      </w:r>
      <w:proofErr w:type="spellEnd"/>
      <w:r>
        <w:t xml:space="preserve"> Godwinson, Earl of Kent, the fourth and fifth sons and fifth and sixth children respectively of Earl Godwin of Wessex and his wife </w:t>
      </w:r>
      <w:proofErr w:type="spellStart"/>
      <w:r>
        <w:t>Gytha</w:t>
      </w:r>
      <w:proofErr w:type="spellEnd"/>
      <w:r>
        <w:t xml:space="preserve"> </w:t>
      </w:r>
      <w:proofErr w:type="spellStart"/>
      <w:r>
        <w:t>Thorkelsdóttir</w:t>
      </w:r>
      <w:proofErr w:type="spellEnd"/>
      <w:r>
        <w:t xml:space="preserve">. Through the marriage of their sister Edith to King Edward the Confessor they were brother in laws to the King and through the ascension of their brother Harold Godwinson to the throne they were brothers of the King of England. </w:t>
      </w:r>
    </w:p>
    <w:p w14:paraId="637453D8" w14:textId="00C170D8" w:rsidR="00C54867" w:rsidRDefault="00C54867"/>
    <w:p w14:paraId="1812CD1D" w14:textId="3D5B36C9" w:rsidR="00C54867" w:rsidRDefault="00C54867">
      <w:r>
        <w:t xml:space="preserve">The House of Godwin, </w:t>
      </w:r>
      <w:r w:rsidR="00172B43">
        <w:t>to</w:t>
      </w:r>
      <w:r>
        <w:t xml:space="preserve"> which the brothers belonged</w:t>
      </w:r>
      <w:r w:rsidR="00172B43">
        <w:t>,</w:t>
      </w:r>
      <w:r>
        <w:t xml:space="preserve"> was founded by their father and was one of the most powerful and controversial families in not just England but arguably in Europe. </w:t>
      </w:r>
      <w:r w:rsidR="009D3F74">
        <w:t>They rose from relative obscurity when Cnut the Great raised Godwin, their founder to the Earldom of Wessex</w:t>
      </w:r>
      <w:r w:rsidR="008859D0">
        <w:t xml:space="preserve"> around 1020. </w:t>
      </w:r>
      <w:r w:rsidR="00FD4BB9">
        <w:t>They would play a key role in English political life from this up util the Norman Conquest.</w:t>
      </w:r>
      <w:r w:rsidR="00390CAF">
        <w:rPr>
          <w:rStyle w:val="FootnoteReference"/>
        </w:rPr>
        <w:footnoteReference w:id="1"/>
      </w:r>
    </w:p>
    <w:p w14:paraId="556F3947" w14:textId="26F546A4" w:rsidR="00EE5511" w:rsidRDefault="00EE5511"/>
    <w:p w14:paraId="36E9D747" w14:textId="5C35F37F" w:rsidR="00A84252" w:rsidRDefault="00EE5511">
      <w:r>
        <w:t xml:space="preserve">The Bayeux Tapestry portrays numerous characters from </w:t>
      </w:r>
      <w:r w:rsidR="00533A87">
        <w:t xml:space="preserve">the Norman Conquest of England </w:t>
      </w:r>
      <w:r>
        <w:t xml:space="preserve">throughout </w:t>
      </w:r>
      <w:r w:rsidR="00E5462F">
        <w:t xml:space="preserve">but the ones of interest in this commentary are </w:t>
      </w:r>
      <w:proofErr w:type="spellStart"/>
      <w:r w:rsidR="00E5462F">
        <w:t>Leofwine</w:t>
      </w:r>
      <w:proofErr w:type="spellEnd"/>
      <w:r w:rsidR="00E5462F">
        <w:t xml:space="preserve"> and </w:t>
      </w:r>
      <w:proofErr w:type="spellStart"/>
      <w:r w:rsidR="00E5462F">
        <w:t>Gyrth</w:t>
      </w:r>
      <w:proofErr w:type="spellEnd"/>
      <w:r w:rsidR="00E5462F">
        <w:t xml:space="preserve">. </w:t>
      </w:r>
      <w:r w:rsidR="00F0215D">
        <w:t xml:space="preserve">The scene above;52; </w:t>
      </w:r>
      <w:r w:rsidR="00172B43">
        <w:t xml:space="preserve">places the deaths of the two brothers prominently in the scene. </w:t>
      </w:r>
      <w:proofErr w:type="spellStart"/>
      <w:r w:rsidR="00172B43">
        <w:t>Bouet</w:t>
      </w:r>
      <w:proofErr w:type="spellEnd"/>
      <w:r w:rsidR="00172B43">
        <w:t xml:space="preserve"> observes that the scene </w:t>
      </w:r>
      <w:r w:rsidR="00F0215D">
        <w:t xml:space="preserve">‘singles out and literally celebrates the deaths of </w:t>
      </w:r>
      <w:proofErr w:type="spellStart"/>
      <w:r w:rsidR="00F0215D">
        <w:t>Leofwine</w:t>
      </w:r>
      <w:proofErr w:type="spellEnd"/>
      <w:r w:rsidR="00F0215D">
        <w:t xml:space="preserve"> and </w:t>
      </w:r>
      <w:proofErr w:type="spellStart"/>
      <w:r w:rsidR="00F0215D">
        <w:t>Gyrth</w:t>
      </w:r>
      <w:proofErr w:type="spellEnd"/>
      <w:r w:rsidR="00F0215D">
        <w:t xml:space="preserve"> as warriors in graphic detail’.</w:t>
      </w:r>
      <w:r w:rsidR="00F0215D">
        <w:rPr>
          <w:rStyle w:val="FootnoteReference"/>
        </w:rPr>
        <w:footnoteReference w:id="2"/>
      </w:r>
      <w:r w:rsidR="00F0215D">
        <w:t xml:space="preserve"> </w:t>
      </w:r>
      <w:proofErr w:type="spellStart"/>
      <w:r w:rsidR="0013301E">
        <w:t>Leofwine</w:t>
      </w:r>
      <w:proofErr w:type="spellEnd"/>
      <w:r w:rsidR="0013301E">
        <w:t xml:space="preserve"> is wearing a hauberk of mail and wielding a ‘massive’ </w:t>
      </w:r>
      <w:r w:rsidR="0013301E">
        <w:lastRenderedPageBreak/>
        <w:t xml:space="preserve">two handed battle axe; likely a Dane Axe </w:t>
      </w:r>
      <w:r w:rsidR="00172B43">
        <w:t>such as those wielded by</w:t>
      </w:r>
      <w:r w:rsidR="00A84768">
        <w:t xml:space="preserve"> the King’s elite, the </w:t>
      </w:r>
      <w:r w:rsidR="0013301E">
        <w:t>Housecarls</w:t>
      </w:r>
      <w:r w:rsidR="00A84768">
        <w:t>.</w:t>
      </w:r>
      <w:r w:rsidR="00F21787">
        <w:rPr>
          <w:rStyle w:val="FootnoteReference"/>
        </w:rPr>
        <w:footnoteReference w:id="3"/>
      </w:r>
      <w:r w:rsidR="00A84768">
        <w:t xml:space="preserve"> As he is raising his axe he is </w:t>
      </w:r>
      <w:r w:rsidR="0013301E">
        <w:t xml:space="preserve">stabbed in the back by a spear. </w:t>
      </w:r>
    </w:p>
    <w:p w14:paraId="090CB45A" w14:textId="476FA960" w:rsidR="0002458B" w:rsidRDefault="0002458B"/>
    <w:p w14:paraId="21C1A90F" w14:textId="515327AF" w:rsidR="0002458B" w:rsidRDefault="0002458B">
      <w:r>
        <w:t xml:space="preserve">It is known that </w:t>
      </w:r>
      <w:proofErr w:type="gramStart"/>
      <w:r>
        <w:t>both of the brothers</w:t>
      </w:r>
      <w:proofErr w:type="gramEnd"/>
      <w:r>
        <w:t xml:space="preserve"> fought in the Battle of Hastings and that </w:t>
      </w:r>
      <w:r w:rsidR="008C6CA9">
        <w:t xml:space="preserve">they both perished in the battle. </w:t>
      </w:r>
      <w:r w:rsidR="00A27A5C">
        <w:t xml:space="preserve">It appears in this that </w:t>
      </w:r>
      <w:proofErr w:type="spellStart"/>
      <w:r w:rsidR="00A27A5C">
        <w:t>Gyrth</w:t>
      </w:r>
      <w:proofErr w:type="spellEnd"/>
      <w:r w:rsidR="00A27A5C">
        <w:t xml:space="preserve"> is wielding a sword and is portrayed with a large bushy moustache that would fit in with Anglo-Saxon style. </w:t>
      </w:r>
      <w:r w:rsidR="000F526B">
        <w:t xml:space="preserve">He is the standing figure to the left of the left facing horse. </w:t>
      </w:r>
      <w:r w:rsidR="00AC0108">
        <w:t xml:space="preserve">It can be confirmed that neither of the brothers would have </w:t>
      </w:r>
      <w:r w:rsidR="00F21787">
        <w:t>ridden</w:t>
      </w:r>
      <w:r w:rsidR="00AC0108">
        <w:t xml:space="preserve"> a horse during the battle as the Anglo-Saxon army did not possess much of, if any, cavalry.</w:t>
      </w:r>
      <w:r w:rsidR="00C009CB">
        <w:rPr>
          <w:rStyle w:val="FootnoteReference"/>
        </w:rPr>
        <w:footnoteReference w:id="4"/>
      </w:r>
      <w:r w:rsidR="00AC0108">
        <w:t xml:space="preserve"> </w:t>
      </w:r>
    </w:p>
    <w:p w14:paraId="65B50F06" w14:textId="6E0E3617" w:rsidR="00C5672C" w:rsidRDefault="00C5672C"/>
    <w:p w14:paraId="323DF330" w14:textId="4D88C09C" w:rsidR="00C5672C" w:rsidRDefault="00C5672C">
      <w:r>
        <w:t xml:space="preserve">It is not exactly known who produced the tapestry but given that it is made of several sections and contains large amounts of embroidery it was likely manufactured </w:t>
      </w:r>
      <w:r w:rsidR="00A84133">
        <w:t>b</w:t>
      </w:r>
      <w:r>
        <w:t>y women which in and of itself opens several new avenues</w:t>
      </w:r>
      <w:r w:rsidR="000F526B">
        <w:t xml:space="preserve"> of discussion</w:t>
      </w:r>
      <w:r>
        <w:t xml:space="preserve">. It is unusual to come across women leaving a record of history </w:t>
      </w:r>
      <w:r w:rsidR="000F526B">
        <w:t>but</w:t>
      </w:r>
      <w:r>
        <w:t xml:space="preserve"> as the average man would have no knowledge or skill of </w:t>
      </w:r>
      <w:r w:rsidR="00A84133">
        <w:t>embroidery,</w:t>
      </w:r>
      <w:r w:rsidR="001C2C83">
        <w:t xml:space="preserve"> </w:t>
      </w:r>
      <w:r w:rsidR="000F526B">
        <w:t xml:space="preserve">it is likely that women crafted the image. Many questions arise as to who commissioned the work and directed the </w:t>
      </w:r>
      <w:r w:rsidR="005001D0">
        <w:t>imagery,</w:t>
      </w:r>
      <w:r w:rsidR="000F526B">
        <w:t xml:space="preserve"> and</w:t>
      </w:r>
      <w:r w:rsidR="001C2C83">
        <w:t xml:space="preserve"> it is also</w:t>
      </w:r>
      <w:r w:rsidR="000F526B">
        <w:t>, perhaps,</w:t>
      </w:r>
      <w:r w:rsidR="001C2C83">
        <w:t xml:space="preserve"> worth </w:t>
      </w:r>
      <w:r w:rsidR="000F526B">
        <w:t>investigating whether the female artists were able to subtlety insert any of their own messaging</w:t>
      </w:r>
      <w:r w:rsidR="008747EF">
        <w:t xml:space="preserve"> into the image, </w:t>
      </w:r>
      <w:r w:rsidR="001C2C83">
        <w:t>a sort of imagery subtext</w:t>
      </w:r>
      <w:r w:rsidR="008747EF">
        <w:t xml:space="preserve">, given the unique female medium used. </w:t>
      </w:r>
    </w:p>
    <w:p w14:paraId="643A78D9" w14:textId="323B0E46" w:rsidR="008C6CA9" w:rsidRDefault="008C6CA9"/>
    <w:p w14:paraId="1E9F6D6C" w14:textId="17B15B5F" w:rsidR="008C6CA9" w:rsidRDefault="008C6CA9">
      <w:r>
        <w:t xml:space="preserve">It is also not known who commissioned the creation of this </w:t>
      </w:r>
      <w:r w:rsidR="00D278C9">
        <w:t>tapestry,</w:t>
      </w:r>
      <w:r>
        <w:t xml:space="preserve"> but several potential candidates have been put forth.</w:t>
      </w:r>
      <w:r w:rsidR="00D278C9">
        <w:t xml:space="preserve"> </w:t>
      </w:r>
      <w:proofErr w:type="spellStart"/>
      <w:r w:rsidR="00D278C9">
        <w:t>Odo</w:t>
      </w:r>
      <w:proofErr w:type="spellEnd"/>
      <w:r w:rsidR="00D278C9">
        <w:t xml:space="preserve"> of Bayeux, the half-brother of William the Conqueror</w:t>
      </w:r>
      <w:r w:rsidR="006C3FF1">
        <w:t xml:space="preserve"> is a strong contender according to</w:t>
      </w:r>
      <w:r w:rsidR="005001D0">
        <w:t xml:space="preserve"> Davis</w:t>
      </w:r>
      <w:r w:rsidR="005001D0">
        <w:rPr>
          <w:rStyle w:val="FootnoteReference"/>
        </w:rPr>
        <w:footnoteReference w:id="5"/>
      </w:r>
      <w:r w:rsidR="006C3FF1">
        <w:t xml:space="preserve"> (reference). </w:t>
      </w:r>
      <w:proofErr w:type="spellStart"/>
      <w:r w:rsidR="00D278C9">
        <w:t>Odo</w:t>
      </w:r>
      <w:proofErr w:type="spellEnd"/>
      <w:r w:rsidR="00D278C9">
        <w:t xml:space="preserve"> was also the Earl of Kent, the Bishop of </w:t>
      </w:r>
      <w:proofErr w:type="gramStart"/>
      <w:r w:rsidR="00D278C9">
        <w:t>Bayeux</w:t>
      </w:r>
      <w:proofErr w:type="gramEnd"/>
      <w:r w:rsidR="00D278C9">
        <w:t xml:space="preserve"> and the richest man in England after the King himself. He eventually fell from grace and was imprisoned by his bother for fraudulent activities whilst in control of England on behalf of his brother </w:t>
      </w:r>
      <w:r w:rsidR="006C3FF1">
        <w:t>who was in</w:t>
      </w:r>
      <w:r w:rsidR="00D278C9">
        <w:t xml:space="preserve"> Normandy. </w:t>
      </w:r>
    </w:p>
    <w:p w14:paraId="382F3688" w14:textId="064BDD4C" w:rsidR="00B8493C" w:rsidRDefault="00B8493C"/>
    <w:p w14:paraId="36B9AD4C" w14:textId="76C173A4" w:rsidR="00F663A1" w:rsidRDefault="00B8493C">
      <w:r>
        <w:t xml:space="preserve">Whilst he was </w:t>
      </w:r>
      <w:r w:rsidR="00EA6048">
        <w:t>imprisoned,</w:t>
      </w:r>
      <w:r>
        <w:t xml:space="preserve"> </w:t>
      </w:r>
      <w:proofErr w:type="spellStart"/>
      <w:r w:rsidR="006C3FF1">
        <w:t>Odo</w:t>
      </w:r>
      <w:proofErr w:type="spellEnd"/>
      <w:r>
        <w:t xml:space="preserve"> would have had the opportunity </w:t>
      </w:r>
      <w:r w:rsidR="006C3FF1">
        <w:t xml:space="preserve">to commission the piece </w:t>
      </w:r>
      <w:r>
        <w:t>as his imprisonment appears to have been ‘an honourable confinement’</w:t>
      </w:r>
      <w:r w:rsidR="006C3FF1">
        <w:t>.</w:t>
      </w:r>
      <w:r>
        <w:t xml:space="preserve"> </w:t>
      </w:r>
      <w:r w:rsidR="006C3FF1">
        <w:t>H</w:t>
      </w:r>
      <w:r>
        <w:t xml:space="preserve">e would have been able to send and receive messages and most importantly he would have the financial capability to order a work such as this be made. </w:t>
      </w:r>
      <w:r w:rsidR="00F663A1">
        <w:t xml:space="preserve">There are several reasons why he could have had this work made but </w:t>
      </w:r>
      <w:r w:rsidR="00037FC5">
        <w:t>one is that after he was caught raising a private army to try and capture the papal tiara he was imprisoned and commissioned the tapestry to try and sweeten his brother</w:t>
      </w:r>
      <w:r w:rsidR="006C3FF1">
        <w:t>’</w:t>
      </w:r>
      <w:r w:rsidR="00037FC5">
        <w:t xml:space="preserve">s attitude towards him through a valuable and impressive gift. </w:t>
      </w:r>
    </w:p>
    <w:p w14:paraId="5856617B" w14:textId="04E684C7" w:rsidR="00037FC5" w:rsidRDefault="00037FC5"/>
    <w:p w14:paraId="1A8078A6" w14:textId="60522E50" w:rsidR="00037FC5" w:rsidRDefault="004A1252">
      <w:r>
        <w:t>Davis</w:t>
      </w:r>
      <w:r w:rsidR="006C3FF1">
        <w:t xml:space="preserve"> suggests that t</w:t>
      </w:r>
      <w:r w:rsidR="00037FC5">
        <w:t xml:space="preserve">he inclusion of </w:t>
      </w:r>
      <w:proofErr w:type="spellStart"/>
      <w:r w:rsidR="0077288B">
        <w:t>L</w:t>
      </w:r>
      <w:r w:rsidR="00037FC5">
        <w:t>eofwine</w:t>
      </w:r>
      <w:proofErr w:type="spellEnd"/>
      <w:r w:rsidR="00037FC5">
        <w:t xml:space="preserve"> and </w:t>
      </w:r>
      <w:proofErr w:type="spellStart"/>
      <w:r w:rsidR="00037FC5">
        <w:t>Gyrth</w:t>
      </w:r>
      <w:proofErr w:type="spellEnd"/>
      <w:r w:rsidR="00037FC5">
        <w:t xml:space="preserve"> could be poignant as Wace</w:t>
      </w:r>
      <w:r w:rsidR="00C01D5A">
        <w:t>, the medieval chronicler,</w:t>
      </w:r>
      <w:r w:rsidR="00037FC5">
        <w:t xml:space="preserve"> </w:t>
      </w:r>
      <w:r w:rsidR="0077288B">
        <w:t>portrays</w:t>
      </w:r>
      <w:r w:rsidR="00037FC5">
        <w:t xml:space="preserve"> that </w:t>
      </w:r>
      <w:r w:rsidR="0077288B">
        <w:t xml:space="preserve">Harold </w:t>
      </w:r>
      <w:r w:rsidR="00C01D5A">
        <w:t>w</w:t>
      </w:r>
      <w:r w:rsidR="0077288B">
        <w:t xml:space="preserve">as a rageful, rude and brutish man whilst </w:t>
      </w:r>
      <w:proofErr w:type="spellStart"/>
      <w:r w:rsidR="0077288B">
        <w:t>Gyrth</w:t>
      </w:r>
      <w:proofErr w:type="spellEnd"/>
      <w:r w:rsidR="0077288B">
        <w:t xml:space="preserve"> is portrayed as the brother who covers and makes up for his brother</w:t>
      </w:r>
      <w:r w:rsidR="00C01D5A">
        <w:t>’</w:t>
      </w:r>
      <w:r w:rsidR="0077288B">
        <w:t>s shortcomings</w:t>
      </w:r>
      <w:r w:rsidR="00C01D5A">
        <w:t>.</w:t>
      </w:r>
      <w:r w:rsidR="0077288B">
        <w:t xml:space="preserve"> </w:t>
      </w:r>
      <w:proofErr w:type="spellStart"/>
      <w:r w:rsidR="00C01D5A">
        <w:t>Gyrth</w:t>
      </w:r>
      <w:proofErr w:type="spellEnd"/>
      <w:r w:rsidR="0077288B">
        <w:t xml:space="preserve"> is one of the few people that Harold w</w:t>
      </w:r>
      <w:r w:rsidR="00C01D5A">
        <w:t>ould</w:t>
      </w:r>
      <w:r w:rsidR="0077288B">
        <w:t xml:space="preserve"> listen too. </w:t>
      </w:r>
      <w:r w:rsidR="00885DA8">
        <w:t>Wace</w:t>
      </w:r>
      <w:r w:rsidR="0077288B">
        <w:t xml:space="preserve"> mentions Harold berating an </w:t>
      </w:r>
      <w:r w:rsidR="0077288B">
        <w:lastRenderedPageBreak/>
        <w:t xml:space="preserve">emissary from William and </w:t>
      </w:r>
      <w:proofErr w:type="spellStart"/>
      <w:r w:rsidR="0077288B">
        <w:t>Gyrth</w:t>
      </w:r>
      <w:proofErr w:type="spellEnd"/>
      <w:r w:rsidR="0077288B">
        <w:t xml:space="preserve"> basically calming the entire situation down and apologising to the emissary.</w:t>
      </w:r>
      <w:r>
        <w:rPr>
          <w:rStyle w:val="FootnoteReference"/>
        </w:rPr>
        <w:footnoteReference w:id="6"/>
      </w:r>
      <w:r w:rsidR="0077288B">
        <w:t xml:space="preserve"> </w:t>
      </w:r>
    </w:p>
    <w:p w14:paraId="084275F1" w14:textId="78B343A3" w:rsidR="0077288B" w:rsidRDefault="0077288B"/>
    <w:p w14:paraId="1036C10C" w14:textId="36A45526" w:rsidR="0077288B" w:rsidRDefault="00885DA8">
      <w:r>
        <w:t>Wace</w:t>
      </w:r>
      <w:r w:rsidR="0077288B">
        <w:t xml:space="preserve"> also mentions that </w:t>
      </w:r>
      <w:proofErr w:type="spellStart"/>
      <w:r w:rsidR="0077288B">
        <w:t>Gyrth</w:t>
      </w:r>
      <w:proofErr w:type="spellEnd"/>
      <w:r w:rsidR="0077288B">
        <w:t xml:space="preserve"> advised Harold to remain in London and recruit more men before marching south to Hastings. </w:t>
      </w:r>
      <w:r w:rsidR="0086715E">
        <w:t xml:space="preserve">This portrayal shows </w:t>
      </w:r>
      <w:proofErr w:type="spellStart"/>
      <w:r w:rsidR="0086715E">
        <w:t>Gyrth</w:t>
      </w:r>
      <w:proofErr w:type="spellEnd"/>
      <w:r w:rsidR="0086715E">
        <w:t xml:space="preserve"> as a loyal</w:t>
      </w:r>
      <w:r w:rsidR="00F831C5">
        <w:t xml:space="preserve"> </w:t>
      </w:r>
      <w:r w:rsidR="0086715E">
        <w:t>brother a</w:t>
      </w:r>
      <w:r w:rsidR="00F831C5">
        <w:t>n</w:t>
      </w:r>
      <w:r w:rsidR="0086715E">
        <w:t xml:space="preserve">d a skilled advisor and trusted confidant of Harold and may have been intended to remind William of the similar relationship that he once shared with </w:t>
      </w:r>
      <w:proofErr w:type="spellStart"/>
      <w:r w:rsidR="0086715E">
        <w:t>Odo</w:t>
      </w:r>
      <w:proofErr w:type="spellEnd"/>
      <w:r w:rsidR="0086715E">
        <w:t xml:space="preserve"> before the Conquest. </w:t>
      </w:r>
    </w:p>
    <w:p w14:paraId="5A82B371" w14:textId="632AD907" w:rsidR="00B8493C" w:rsidRDefault="00B8493C"/>
    <w:p w14:paraId="7DD4DFB8" w14:textId="00133C7C" w:rsidR="00B8493C" w:rsidRDefault="00B8493C">
      <w:r>
        <w:t xml:space="preserve">The image has borders that appear to show along the top various animals that may be stand ins for heraldic devices and along the bottom are dead men and broken weapons and shields likely representing the dead in the Battle of Hastings. Many of the dead men are carrying shields that look like shields that the Normans would have used (need to find out which type) as the Anglo-Saxons used round shields. </w:t>
      </w:r>
    </w:p>
    <w:p w14:paraId="7D040F6D" w14:textId="1FD0B326" w:rsidR="00EA6048" w:rsidRDefault="00EA6048"/>
    <w:p w14:paraId="2475854F" w14:textId="60E8B934" w:rsidR="00EA6048" w:rsidRDefault="00EA6048">
      <w:r>
        <w:t xml:space="preserve">Many of the dead also appear to be wearing chainmail hauberks which were standard issue armour among the Anglo-Saxons that could afford armour in the first place plus </w:t>
      </w:r>
      <w:proofErr w:type="gramStart"/>
      <w:r>
        <w:t>all of</w:t>
      </w:r>
      <w:proofErr w:type="gramEnd"/>
      <w:r>
        <w:t xml:space="preserve"> the dead are infantry which comprised the entire Anglo-Saxon army whilst the Norman army had a significant number of both cavalry and archers.</w:t>
      </w:r>
      <w:r w:rsidR="008853B4">
        <w:rPr>
          <w:rStyle w:val="FootnoteReference"/>
        </w:rPr>
        <w:footnoteReference w:id="7"/>
      </w:r>
      <w:r>
        <w:t xml:space="preserve"> </w:t>
      </w:r>
    </w:p>
    <w:p w14:paraId="79D2B84B" w14:textId="23F51BAB" w:rsidR="00AC0108" w:rsidRDefault="00AC0108"/>
    <w:p w14:paraId="0D3343DE" w14:textId="55491340" w:rsidR="00AC0108" w:rsidRDefault="00AC0108">
      <w:r>
        <w:t xml:space="preserve">It appears that this image portrays an event near the end of the battle </w:t>
      </w:r>
      <w:r w:rsidR="00D45B0C">
        <w:t>as the men on foot have cavalry attacking them from both sides hinting that this could be after the Anglo-Saxon army had broken or</w:t>
      </w:r>
      <w:r w:rsidR="00885DA8">
        <w:t>,</w:t>
      </w:r>
      <w:r w:rsidR="00D45B0C">
        <w:t xml:space="preserve"> if it is a little earlier</w:t>
      </w:r>
      <w:r w:rsidR="00885DA8">
        <w:t>,</w:t>
      </w:r>
      <w:r w:rsidR="00D45B0C">
        <w:t xml:space="preserve"> it could be that they are victims of a feigned retreat tactic that the Normans employed very successfully during the battle.</w:t>
      </w:r>
      <w:r w:rsidR="00737ECC">
        <w:t xml:space="preserve"> </w:t>
      </w:r>
    </w:p>
    <w:p w14:paraId="687C5A88" w14:textId="05A9F63E" w:rsidR="00737ECC" w:rsidRDefault="00737ECC"/>
    <w:p w14:paraId="7A4306EB" w14:textId="0D7297A3" w:rsidR="00737ECC" w:rsidRDefault="00737ECC">
      <w:r>
        <w:t xml:space="preserve">If they are the victims of a feigned </w:t>
      </w:r>
      <w:r w:rsidR="00560992">
        <w:t>retreat,</w:t>
      </w:r>
      <w:r>
        <w:t xml:space="preserve"> then they may have died trying to rally the troops that charged</w:t>
      </w:r>
      <w:r w:rsidR="00885DA8">
        <w:t>.</w:t>
      </w:r>
      <w:r>
        <w:t xml:space="preserve"> </w:t>
      </w:r>
      <w:r w:rsidR="00885DA8">
        <w:t>Alternatively,</w:t>
      </w:r>
      <w:r>
        <w:t xml:space="preserve"> the</w:t>
      </w:r>
      <w:r w:rsidR="00885DA8">
        <w:t>y could have been organising the</w:t>
      </w:r>
      <w:r>
        <w:t xml:space="preserve"> troops that did not</w:t>
      </w:r>
      <w:r w:rsidR="00885DA8">
        <w:t xml:space="preserve"> </w:t>
      </w:r>
      <w:r w:rsidR="00560992">
        <w:t>charge,</w:t>
      </w:r>
      <w:r>
        <w:t xml:space="preserve"> </w:t>
      </w:r>
      <w:r w:rsidR="00885DA8">
        <w:t xml:space="preserve">and this </w:t>
      </w:r>
      <w:r>
        <w:t xml:space="preserve">could be an attempt to portray their deaths as tragic heroes who fought to the end before being slain by men on horseback. </w:t>
      </w:r>
      <w:r w:rsidR="00885DA8">
        <w:t>It</w:t>
      </w:r>
      <w:r w:rsidR="004C5590">
        <w:t xml:space="preserve"> could also have been done this way to portray them as true brothers who fought </w:t>
      </w:r>
      <w:proofErr w:type="gramStart"/>
      <w:r w:rsidR="004C5590">
        <w:t>back to back</w:t>
      </w:r>
      <w:proofErr w:type="gramEnd"/>
      <w:r w:rsidR="004C5590">
        <w:t xml:space="preserve"> until the end in defence of their land</w:t>
      </w:r>
      <w:r w:rsidR="00560992">
        <w:t xml:space="preserve">, supporting the theory that </w:t>
      </w:r>
      <w:proofErr w:type="spellStart"/>
      <w:r w:rsidR="00560992">
        <w:t>Odo</w:t>
      </w:r>
      <w:proofErr w:type="spellEnd"/>
      <w:r w:rsidR="00560992">
        <w:t xml:space="preserve"> was trying to appeal to his half-brother William. </w:t>
      </w:r>
    </w:p>
    <w:p w14:paraId="69B7CBBC" w14:textId="4B0FE355" w:rsidR="00AE73B0" w:rsidRDefault="00AE73B0"/>
    <w:p w14:paraId="3B910D45" w14:textId="10254710" w:rsidR="00AE73B0" w:rsidRDefault="00AE73B0">
      <w:r>
        <w:t>The image also provides the names of some of the characters mention</w:t>
      </w:r>
      <w:r w:rsidR="00F663A1">
        <w:t>ed</w:t>
      </w:r>
      <w:r>
        <w:t xml:space="preserve">. The names of </w:t>
      </w:r>
      <w:proofErr w:type="spellStart"/>
      <w:r>
        <w:t>Leofwine</w:t>
      </w:r>
      <w:proofErr w:type="spellEnd"/>
      <w:r>
        <w:t xml:space="preserve"> and </w:t>
      </w:r>
      <w:proofErr w:type="spellStart"/>
      <w:r>
        <w:t>Gyrth</w:t>
      </w:r>
      <w:proofErr w:type="spellEnd"/>
      <w:r>
        <w:t xml:space="preserve"> are mentioned but it is s</w:t>
      </w:r>
      <w:r w:rsidR="00560992">
        <w:t>t</w:t>
      </w:r>
      <w:r>
        <w:t>ill not fully clear as to which one is which</w:t>
      </w:r>
      <w:r w:rsidR="00F663A1">
        <w:t xml:space="preserve"> but if we assume that the man beneath the name ‘</w:t>
      </w:r>
      <w:proofErr w:type="spellStart"/>
      <w:r w:rsidR="00F663A1">
        <w:t>Gyrth</w:t>
      </w:r>
      <w:proofErr w:type="spellEnd"/>
      <w:r w:rsidR="00F663A1">
        <w:t xml:space="preserve">’ is </w:t>
      </w:r>
      <w:proofErr w:type="spellStart"/>
      <w:r w:rsidR="00F663A1">
        <w:t>Gyrth</w:t>
      </w:r>
      <w:proofErr w:type="spellEnd"/>
      <w:r w:rsidR="00F663A1">
        <w:t xml:space="preserve"> then he appears to be armed with a sword and shield. </w:t>
      </w:r>
      <w:r w:rsidR="0086715E">
        <w:t>This would be unusual as many of the Anglo-Saxons</w:t>
      </w:r>
      <w:r w:rsidR="00560992">
        <w:t>’</w:t>
      </w:r>
      <w:r w:rsidR="0086715E">
        <w:t xml:space="preserve"> best warriors especially the Housecarls wielded large, </w:t>
      </w:r>
      <w:r w:rsidR="00560992">
        <w:t>two-handed</w:t>
      </w:r>
      <w:r w:rsidR="0086715E">
        <w:t xml:space="preserve"> Dane axes instead of swords and the regular </w:t>
      </w:r>
      <w:proofErr w:type="spellStart"/>
      <w:r w:rsidR="0086715E">
        <w:t>Fyrdmen</w:t>
      </w:r>
      <w:proofErr w:type="spellEnd"/>
      <w:r w:rsidR="0086715E">
        <w:t xml:space="preserve"> infantry wielded spears and a shield that allowed them to fight in their famed </w:t>
      </w:r>
      <w:proofErr w:type="spellStart"/>
      <w:r w:rsidR="0086715E">
        <w:t>shieldwall</w:t>
      </w:r>
      <w:proofErr w:type="spellEnd"/>
      <w:r w:rsidR="0086715E">
        <w:t xml:space="preserve"> formation. However, in this era swords were not cheap and were a mark of status and </w:t>
      </w:r>
      <w:proofErr w:type="spellStart"/>
      <w:r w:rsidR="0086715E">
        <w:t>Gyrth</w:t>
      </w:r>
      <w:proofErr w:type="spellEnd"/>
      <w:r w:rsidR="0086715E">
        <w:t xml:space="preserve"> as Earl of East Anglia and the brother of the King would certainly have been able to afford to carry a sword in battle as well as the training and instruction in how to use it. </w:t>
      </w:r>
    </w:p>
    <w:p w14:paraId="25759ABB" w14:textId="2BBDBF31" w:rsidR="00FE0545" w:rsidRDefault="00FE0545"/>
    <w:p w14:paraId="295C8AAD" w14:textId="62B8FE13" w:rsidR="00FE0545" w:rsidRDefault="00FE0545">
      <w:r>
        <w:lastRenderedPageBreak/>
        <w:t xml:space="preserve">It is also apparent that </w:t>
      </w:r>
      <w:proofErr w:type="spellStart"/>
      <w:r>
        <w:t>Gyrth</w:t>
      </w:r>
      <w:proofErr w:type="spellEnd"/>
      <w:r w:rsidR="00033020">
        <w:t xml:space="preserve"> is being struck in the lower face or neck by a charging Norman lance whilst trying to fight off the Normans.</w:t>
      </w:r>
      <w:r w:rsidR="00F831C5">
        <w:rPr>
          <w:rStyle w:val="FootnoteReference"/>
        </w:rPr>
        <w:footnoteReference w:id="8"/>
      </w:r>
      <w:r w:rsidR="00033020">
        <w:t xml:space="preserve"> He is also carrying a round shield like those carried by the Anglo-Saxons so it could be him. </w:t>
      </w:r>
      <w:proofErr w:type="spellStart"/>
      <w:r w:rsidR="00560992">
        <w:t>Gyrth</w:t>
      </w:r>
      <w:proofErr w:type="spellEnd"/>
      <w:r w:rsidR="00033020">
        <w:t xml:space="preserve"> wielding a word and shield rather than a Dane axe can be easily explained as he may have lost the axe during the </w:t>
      </w:r>
      <w:proofErr w:type="gramStart"/>
      <w:r w:rsidR="00033020">
        <w:t>battle</w:t>
      </w:r>
      <w:proofErr w:type="gramEnd"/>
      <w:r w:rsidR="00033020">
        <w:t xml:space="preserve"> or he may have been deployed to command a group of </w:t>
      </w:r>
      <w:proofErr w:type="spellStart"/>
      <w:r w:rsidR="00033020">
        <w:t>Fyrdmen</w:t>
      </w:r>
      <w:proofErr w:type="spellEnd"/>
      <w:r w:rsidR="00033020">
        <w:t xml:space="preserve"> and elected to equip himself with more appropriate equipment for his task. </w:t>
      </w:r>
    </w:p>
    <w:p w14:paraId="54CA0401" w14:textId="650881EA" w:rsidR="0086715E" w:rsidRDefault="0086715E"/>
    <w:p w14:paraId="126CC8E6" w14:textId="780C6238" w:rsidR="0086715E" w:rsidRDefault="0086715E">
      <w:r>
        <w:t xml:space="preserve">As for </w:t>
      </w:r>
      <w:proofErr w:type="spellStart"/>
      <w:r>
        <w:t>Leofwine</w:t>
      </w:r>
      <w:proofErr w:type="spellEnd"/>
      <w:r>
        <w:t xml:space="preserve"> his name appears to be above one of the horsemen but I personally believe that it refers to either the slain Anglo-Saxon soldier laying beneath the hooves of the horse or more likely it refers to the Anglo-Saxon wielding the aforementioned Dane Axe</w:t>
      </w:r>
      <w:r w:rsidR="00FE0545">
        <w:t xml:space="preserve"> and ready to strike with his back turned to the previously mentioned horseman.</w:t>
      </w:r>
      <w:r w:rsidR="00F831C5">
        <w:rPr>
          <w:rStyle w:val="FootnoteReference"/>
        </w:rPr>
        <w:footnoteReference w:id="9"/>
      </w:r>
      <w:r w:rsidR="00FE0545">
        <w:t xml:space="preserve"> If this figure is </w:t>
      </w:r>
      <w:proofErr w:type="spellStart"/>
      <w:r w:rsidR="00FE0545">
        <w:t>Leofwine</w:t>
      </w:r>
      <w:proofErr w:type="spellEnd"/>
      <w:r w:rsidR="00FE0545">
        <w:t xml:space="preserve"> then he is wearing the standard Anglo-Saxon chainmail hauberk and appears to have the standard Anglo-Saxon helmet with a nose guard.</w:t>
      </w:r>
      <w:r w:rsidR="00717039">
        <w:rPr>
          <w:rStyle w:val="FootnoteReference"/>
        </w:rPr>
        <w:footnoteReference w:id="10"/>
      </w:r>
      <w:r w:rsidR="00FE0545">
        <w:t xml:space="preserve"> </w:t>
      </w:r>
    </w:p>
    <w:p w14:paraId="63C5BB8F" w14:textId="33B93E22" w:rsidR="00FE0545" w:rsidRDefault="00FE0545"/>
    <w:p w14:paraId="64916861" w14:textId="725C5E35" w:rsidR="00FE0545" w:rsidRDefault="00FE0545">
      <w:r>
        <w:t xml:space="preserve">He is also likely either surrounded with a group of charging men or is desperately trying to rally the men around him. It also appears that a Norman cavalrymen located behind him is skewering him with his lance through the back of the throat. This could be </w:t>
      </w:r>
      <w:r w:rsidR="00560992">
        <w:t xml:space="preserve">messaging </w:t>
      </w:r>
      <w:r>
        <w:t xml:space="preserve">used by </w:t>
      </w:r>
      <w:proofErr w:type="spellStart"/>
      <w:r>
        <w:t>Odo</w:t>
      </w:r>
      <w:proofErr w:type="spellEnd"/>
      <w:r>
        <w:t xml:space="preserve"> to show that a loyal brother has been stabbed in the back in a way</w:t>
      </w:r>
      <w:r w:rsidR="00560992">
        <w:t xml:space="preserve"> that would have been a disgrace according to the knightly chivalric values of the Normans. </w:t>
      </w:r>
    </w:p>
    <w:p w14:paraId="69C21E14" w14:textId="5708E252" w:rsidR="00033020" w:rsidRDefault="00033020"/>
    <w:p w14:paraId="0ADF43B3" w14:textId="1CD1BFBC" w:rsidR="00033020" w:rsidRDefault="00033020">
      <w:r>
        <w:t xml:space="preserve">The portrayal of both brothers is of men fighting valiantly and loyally to defend their brother to the </w:t>
      </w:r>
      <w:r w:rsidR="00560992">
        <w:t>end</w:t>
      </w:r>
      <w:r>
        <w:t xml:space="preserve"> whilst surrounded by a horde of enemy forces. It also shows them fighting afoot whilst they are being slain by men who are horsed. A somewhat unfair fight for any men on foot except for pikemen, </w:t>
      </w:r>
      <w:proofErr w:type="spellStart"/>
      <w:r>
        <w:t>Fyrdmen</w:t>
      </w:r>
      <w:proofErr w:type="spellEnd"/>
      <w:r>
        <w:t xml:space="preserve"> in </w:t>
      </w:r>
      <w:proofErr w:type="spellStart"/>
      <w:r>
        <w:t>shieldwall</w:t>
      </w:r>
      <w:proofErr w:type="spellEnd"/>
      <w:r>
        <w:t xml:space="preserve"> formation or entrenched men of which they are neither.</w:t>
      </w:r>
      <w:r w:rsidR="00717039">
        <w:rPr>
          <w:rStyle w:val="FootnoteReference"/>
        </w:rPr>
        <w:footnoteReference w:id="11"/>
      </w:r>
      <w:r>
        <w:t xml:space="preserve"> </w:t>
      </w:r>
    </w:p>
    <w:p w14:paraId="22A5C849" w14:textId="4D01676B" w:rsidR="00033020" w:rsidRDefault="00033020"/>
    <w:p w14:paraId="49E957FA" w14:textId="667F29A8" w:rsidR="00033020" w:rsidRDefault="00033020">
      <w:r>
        <w:t xml:space="preserve">This portrayal evokes some classical themes of tragic heroes standing to the last such as Leonidas and his </w:t>
      </w:r>
      <w:r w:rsidR="00560992">
        <w:t>three hundred</w:t>
      </w:r>
      <w:r>
        <w:t xml:space="preserve"> Spartans at Thermopylae</w:t>
      </w:r>
      <w:r w:rsidR="004B3929">
        <w:t xml:space="preserve"> and in </w:t>
      </w:r>
      <w:r w:rsidR="00560992">
        <w:t xml:space="preserve">the </w:t>
      </w:r>
      <w:r w:rsidR="004B3929">
        <w:t xml:space="preserve">more recent (for the time at least) Song of Roland in which Roland stood his ground before being slain by innumerable enemies. This portrayal truly is the definition of ‘die on your feet rather than live on your knees’. </w:t>
      </w:r>
    </w:p>
    <w:p w14:paraId="69129491" w14:textId="08DA7A76" w:rsidR="004B3929" w:rsidRDefault="004B3929"/>
    <w:p w14:paraId="4098B70A" w14:textId="7E5E7C84" w:rsidR="004B3929" w:rsidRDefault="004B3929">
      <w:r>
        <w:t xml:space="preserve">The third figure between the two in the background is also worthy of mention not because I believe him to be either of the two </w:t>
      </w:r>
      <w:proofErr w:type="gramStart"/>
      <w:r>
        <w:t>aforementioned men</w:t>
      </w:r>
      <w:proofErr w:type="gramEnd"/>
      <w:r>
        <w:t xml:space="preserve"> or even a</w:t>
      </w:r>
      <w:r w:rsidR="00560992">
        <w:t xml:space="preserve"> man</w:t>
      </w:r>
      <w:r>
        <w:t xml:space="preserve"> of prominence but that he is still alive at this point shows the defiance of the English and the loyalty of the Anglo-Saxons</w:t>
      </w:r>
      <w:r w:rsidR="00560992">
        <w:t>’</w:t>
      </w:r>
      <w:r>
        <w:t xml:space="preserve"> soldiers to their lords and leaders. </w:t>
      </w:r>
    </w:p>
    <w:p w14:paraId="718C3810" w14:textId="2B4FAE22" w:rsidR="00623835" w:rsidRDefault="00623835"/>
    <w:p w14:paraId="2AD80C9E" w14:textId="701FEE71" w:rsidR="00623835" w:rsidRDefault="00623835">
      <w:r>
        <w:t>This portrayal emphasises brotherly loyalty and love and</w:t>
      </w:r>
      <w:r w:rsidR="0029204D">
        <w:t>,</w:t>
      </w:r>
      <w:r>
        <w:t xml:space="preserve"> if the commissioner of this work is </w:t>
      </w:r>
      <w:proofErr w:type="spellStart"/>
      <w:r>
        <w:t>Odo</w:t>
      </w:r>
      <w:proofErr w:type="spellEnd"/>
      <w:r w:rsidR="00560992">
        <w:t>,</w:t>
      </w:r>
      <w:r>
        <w:t xml:space="preserve"> then it is clearly an attempt to remind the wrathful William of the brotherly love and </w:t>
      </w:r>
      <w:r>
        <w:lastRenderedPageBreak/>
        <w:t>affection that they one held for each other and the trust and faith that they once had in each other before the events of the Conquest</w:t>
      </w:r>
      <w:r w:rsidR="00560992">
        <w:t>.</w:t>
      </w:r>
      <w:r>
        <w:t xml:space="preserve"> </w:t>
      </w:r>
      <w:r w:rsidR="00560992">
        <w:t>M</w:t>
      </w:r>
      <w:r>
        <w:t>ost especially it</w:t>
      </w:r>
      <w:r w:rsidR="0029204D">
        <w:t xml:space="preserve"> was in the</w:t>
      </w:r>
      <w:r>
        <w:t xml:space="preserve"> aftermath where William relied on </w:t>
      </w:r>
      <w:proofErr w:type="spellStart"/>
      <w:r>
        <w:t>Odo</w:t>
      </w:r>
      <w:proofErr w:type="spellEnd"/>
      <w:r>
        <w:t xml:space="preserve"> as his </w:t>
      </w:r>
      <w:r w:rsidR="0029204D">
        <w:t>right-hand</w:t>
      </w:r>
      <w:r>
        <w:t xml:space="preserve"> man in England when he was unable to be present through his duties as King. </w:t>
      </w:r>
    </w:p>
    <w:p w14:paraId="63FD66D2" w14:textId="0B5E79E8" w:rsidR="004B3929" w:rsidRDefault="004B3929"/>
    <w:p w14:paraId="4277772C" w14:textId="2F1BCD8A" w:rsidR="004B3929" w:rsidRDefault="004B3929">
      <w:r>
        <w:t>Overall, this section of the Bayeux Tapestry is one of the most emotionally evoking as it is the last stand of two heroic leaders who stood their ground against a superior foe until the darkness took them. However, I can also conclude that this portrayal</w:t>
      </w:r>
      <w:r w:rsidR="00623835">
        <w:t xml:space="preserve"> has been created to serve the purpose of trying to help Bishop </w:t>
      </w:r>
      <w:proofErr w:type="spellStart"/>
      <w:r w:rsidR="00623835">
        <w:t>Odo</w:t>
      </w:r>
      <w:proofErr w:type="spellEnd"/>
      <w:r w:rsidR="00623835">
        <w:t xml:space="preserve"> to butter up to his brother after his fall from grace. </w:t>
      </w:r>
    </w:p>
    <w:p w14:paraId="58A8EA31" w14:textId="632D4971" w:rsidR="006A797B" w:rsidRDefault="006A797B"/>
    <w:p w14:paraId="0A1B1737" w14:textId="77777777" w:rsidR="00881DCC" w:rsidRDefault="00881DCC"/>
    <w:p w14:paraId="27A2E073" w14:textId="77777777" w:rsidR="00881DCC" w:rsidRDefault="00881DCC"/>
    <w:p w14:paraId="6A1BC3F3" w14:textId="77777777" w:rsidR="00881DCC" w:rsidRDefault="00881DCC"/>
    <w:p w14:paraId="1908919B" w14:textId="77777777" w:rsidR="00881DCC" w:rsidRDefault="00881DCC"/>
    <w:p w14:paraId="78660915" w14:textId="77777777" w:rsidR="00881DCC" w:rsidRDefault="00881DCC"/>
    <w:p w14:paraId="67AC51BF" w14:textId="77777777" w:rsidR="00881DCC" w:rsidRDefault="00881DCC"/>
    <w:p w14:paraId="31E3E653" w14:textId="77777777" w:rsidR="00881DCC" w:rsidRDefault="00881DCC"/>
    <w:p w14:paraId="398BCD3E" w14:textId="77777777" w:rsidR="00881DCC" w:rsidRDefault="00881DCC"/>
    <w:p w14:paraId="10DD6A04" w14:textId="77777777" w:rsidR="00881DCC" w:rsidRDefault="00881DCC"/>
    <w:p w14:paraId="348C84F1" w14:textId="77777777" w:rsidR="00881DCC" w:rsidRDefault="00881DCC"/>
    <w:p w14:paraId="3C852AEE" w14:textId="77777777" w:rsidR="00881DCC" w:rsidRDefault="00881DCC"/>
    <w:p w14:paraId="5B6CF7CC" w14:textId="77777777" w:rsidR="00881DCC" w:rsidRDefault="00881DCC"/>
    <w:p w14:paraId="70B37F15" w14:textId="77777777" w:rsidR="00881DCC" w:rsidRDefault="00881DCC"/>
    <w:p w14:paraId="180BE733" w14:textId="77777777" w:rsidR="00881DCC" w:rsidRDefault="00881DCC"/>
    <w:p w14:paraId="79C07667" w14:textId="77777777" w:rsidR="00881DCC" w:rsidRDefault="00881DCC"/>
    <w:p w14:paraId="66D1770F" w14:textId="77777777" w:rsidR="00881DCC" w:rsidRDefault="00881DCC"/>
    <w:p w14:paraId="5A94D343" w14:textId="77777777" w:rsidR="00881DCC" w:rsidRDefault="00881DCC"/>
    <w:p w14:paraId="462A7ADF" w14:textId="77777777" w:rsidR="00881DCC" w:rsidRDefault="00881DCC"/>
    <w:p w14:paraId="524F1D11" w14:textId="77777777" w:rsidR="00881DCC" w:rsidRDefault="00881DCC"/>
    <w:p w14:paraId="633F2A69" w14:textId="77777777" w:rsidR="00881DCC" w:rsidRDefault="00881DCC"/>
    <w:p w14:paraId="1869436B" w14:textId="77777777" w:rsidR="00881DCC" w:rsidRDefault="00881DCC"/>
    <w:p w14:paraId="18975799" w14:textId="77777777" w:rsidR="00881DCC" w:rsidRDefault="00881DCC"/>
    <w:p w14:paraId="3716D90A" w14:textId="77777777" w:rsidR="00881DCC" w:rsidRDefault="00881DCC"/>
    <w:p w14:paraId="16CA93EF" w14:textId="77777777" w:rsidR="00881DCC" w:rsidRDefault="00881DCC"/>
    <w:p w14:paraId="4ED0DE10" w14:textId="77777777" w:rsidR="00881DCC" w:rsidRDefault="00881DCC"/>
    <w:p w14:paraId="6B4FC4F1" w14:textId="77777777" w:rsidR="00881DCC" w:rsidRDefault="00881DCC"/>
    <w:p w14:paraId="23D2D6D5" w14:textId="77777777" w:rsidR="00881DCC" w:rsidRDefault="00881DCC"/>
    <w:p w14:paraId="105E6132" w14:textId="77777777" w:rsidR="00881DCC" w:rsidRDefault="00881DCC"/>
    <w:p w14:paraId="5602AC10" w14:textId="77777777" w:rsidR="00881DCC" w:rsidRDefault="00881DCC"/>
    <w:p w14:paraId="07D9CA73" w14:textId="77777777" w:rsidR="00881DCC" w:rsidRDefault="00881DCC"/>
    <w:p w14:paraId="0E13D900" w14:textId="77777777" w:rsidR="00881DCC" w:rsidRDefault="00881DCC"/>
    <w:p w14:paraId="6C270CDA" w14:textId="77777777" w:rsidR="00881DCC" w:rsidRDefault="00881DCC"/>
    <w:p w14:paraId="74AAE506" w14:textId="77777777" w:rsidR="00881DCC" w:rsidRDefault="00881DCC"/>
    <w:p w14:paraId="1CD05BB4" w14:textId="77777777" w:rsidR="00881DCC" w:rsidRDefault="00881DCC"/>
    <w:p w14:paraId="346D1F3E" w14:textId="77777777" w:rsidR="00881DCC" w:rsidRDefault="00881DCC"/>
    <w:p w14:paraId="15B51EDB" w14:textId="77777777" w:rsidR="00881DCC" w:rsidRDefault="00881DCC"/>
    <w:p w14:paraId="61CC9D23" w14:textId="77777777" w:rsidR="00881DCC" w:rsidRDefault="00881DCC"/>
    <w:p w14:paraId="5B67669D" w14:textId="606D7273" w:rsidR="006A797B" w:rsidRDefault="006A797B">
      <w:r>
        <w:t>Bibliography</w:t>
      </w:r>
    </w:p>
    <w:p w14:paraId="076F7BE3" w14:textId="5AF0776C" w:rsidR="006A797B" w:rsidRDefault="006A797B"/>
    <w:p w14:paraId="44EBF9A1" w14:textId="77777777" w:rsidR="00881DCC" w:rsidRPr="00881DCC" w:rsidRDefault="00881DCC" w:rsidP="00881DCC">
      <w:pPr>
        <w:ind w:hanging="480"/>
        <w:rPr>
          <w:rFonts w:ascii="Times New Roman" w:eastAsia="Times New Roman" w:hAnsi="Times New Roman" w:cs="Times New Roman"/>
          <w:lang w:eastAsia="en-GB"/>
        </w:rPr>
      </w:pPr>
      <w:r w:rsidRPr="00881DCC">
        <w:rPr>
          <w:rFonts w:ascii="Times New Roman" w:eastAsia="Times New Roman" w:hAnsi="Times New Roman" w:cs="Times New Roman"/>
          <w:lang w:eastAsia="en-GB"/>
        </w:rPr>
        <w:t xml:space="preserve">Bennett, Matthew, Kelly DeVries, and Phyllis </w:t>
      </w:r>
      <w:proofErr w:type="spellStart"/>
      <w:r w:rsidRPr="00881DCC">
        <w:rPr>
          <w:rFonts w:ascii="Times New Roman" w:eastAsia="Times New Roman" w:hAnsi="Times New Roman" w:cs="Times New Roman"/>
          <w:lang w:eastAsia="en-GB"/>
        </w:rPr>
        <w:t>Jestice</w:t>
      </w:r>
      <w:proofErr w:type="spellEnd"/>
      <w:r w:rsidRPr="00881DCC">
        <w:rPr>
          <w:rFonts w:ascii="Times New Roman" w:eastAsia="Times New Roman" w:hAnsi="Times New Roman" w:cs="Times New Roman"/>
          <w:lang w:eastAsia="en-GB"/>
        </w:rPr>
        <w:t xml:space="preserve">, </w:t>
      </w:r>
      <w:r w:rsidRPr="00881DCC">
        <w:rPr>
          <w:rFonts w:ascii="Times New Roman" w:eastAsia="Times New Roman" w:hAnsi="Times New Roman" w:cs="Times New Roman"/>
          <w:i/>
          <w:iCs/>
          <w:lang w:eastAsia="en-GB"/>
        </w:rPr>
        <w:t xml:space="preserve">Fighting Techniques of the Medieval World: Equipment, Combat </w:t>
      </w:r>
      <w:proofErr w:type="gramStart"/>
      <w:r w:rsidRPr="00881DCC">
        <w:rPr>
          <w:rFonts w:ascii="Times New Roman" w:eastAsia="Times New Roman" w:hAnsi="Times New Roman" w:cs="Times New Roman"/>
          <w:i/>
          <w:iCs/>
          <w:lang w:eastAsia="en-GB"/>
        </w:rPr>
        <w:t>Skills</w:t>
      </w:r>
      <w:proofErr w:type="gramEnd"/>
      <w:r w:rsidRPr="00881DCC">
        <w:rPr>
          <w:rFonts w:ascii="Times New Roman" w:eastAsia="Times New Roman" w:hAnsi="Times New Roman" w:cs="Times New Roman"/>
          <w:i/>
          <w:iCs/>
          <w:lang w:eastAsia="en-GB"/>
        </w:rPr>
        <w:t xml:space="preserve"> and Tactics</w:t>
      </w:r>
      <w:r w:rsidRPr="00881DCC">
        <w:rPr>
          <w:rFonts w:ascii="Times New Roman" w:eastAsia="Times New Roman" w:hAnsi="Times New Roman" w:cs="Times New Roman"/>
          <w:lang w:eastAsia="en-GB"/>
        </w:rPr>
        <w:t xml:space="preserve"> (Macmillan, 2006), </w:t>
      </w:r>
      <w:r w:rsidRPr="00881DCC">
        <w:rPr>
          <w:rFonts w:ascii="Times New Roman" w:eastAsia="Times New Roman" w:hAnsi="Times New Roman" w:cs="Times New Roman"/>
          <w:smallCaps/>
          <w:lang w:eastAsia="en-GB"/>
        </w:rPr>
        <w:t>iii</w:t>
      </w:r>
    </w:p>
    <w:p w14:paraId="2BD47E9D" w14:textId="77777777" w:rsidR="00881DCC" w:rsidRPr="00881DCC" w:rsidRDefault="00881DCC" w:rsidP="00881DCC">
      <w:pPr>
        <w:ind w:hanging="480"/>
        <w:rPr>
          <w:rFonts w:ascii="Times New Roman" w:eastAsia="Times New Roman" w:hAnsi="Times New Roman" w:cs="Times New Roman"/>
          <w:lang w:eastAsia="en-GB"/>
        </w:rPr>
      </w:pPr>
      <w:proofErr w:type="spellStart"/>
      <w:r w:rsidRPr="00881DCC">
        <w:rPr>
          <w:rFonts w:ascii="Times New Roman" w:eastAsia="Times New Roman" w:hAnsi="Times New Roman" w:cs="Times New Roman"/>
          <w:lang w:eastAsia="en-GB"/>
        </w:rPr>
        <w:t>Bouet</w:t>
      </w:r>
      <w:proofErr w:type="spellEnd"/>
      <w:r w:rsidRPr="00881DCC">
        <w:rPr>
          <w:rFonts w:ascii="Times New Roman" w:eastAsia="Times New Roman" w:hAnsi="Times New Roman" w:cs="Times New Roman"/>
          <w:lang w:eastAsia="en-GB"/>
        </w:rPr>
        <w:t xml:space="preserve">, Pierre, Brian Joseph Levy, and François </w:t>
      </w:r>
      <w:proofErr w:type="spellStart"/>
      <w:r w:rsidRPr="00881DCC">
        <w:rPr>
          <w:rFonts w:ascii="Times New Roman" w:eastAsia="Times New Roman" w:hAnsi="Times New Roman" w:cs="Times New Roman"/>
          <w:lang w:eastAsia="en-GB"/>
        </w:rPr>
        <w:t>Neveux</w:t>
      </w:r>
      <w:proofErr w:type="spellEnd"/>
      <w:r w:rsidRPr="00881DCC">
        <w:rPr>
          <w:rFonts w:ascii="Times New Roman" w:eastAsia="Times New Roman" w:hAnsi="Times New Roman" w:cs="Times New Roman"/>
          <w:lang w:eastAsia="en-GB"/>
        </w:rPr>
        <w:t xml:space="preserve">, </w:t>
      </w:r>
      <w:r w:rsidRPr="00881DCC">
        <w:rPr>
          <w:rFonts w:ascii="Times New Roman" w:eastAsia="Times New Roman" w:hAnsi="Times New Roman" w:cs="Times New Roman"/>
          <w:i/>
          <w:iCs/>
          <w:lang w:eastAsia="en-GB"/>
        </w:rPr>
        <w:t xml:space="preserve">The Bayeux Tapestry: Embroidering the Facts of History Proceedings of the </w:t>
      </w:r>
      <w:proofErr w:type="spellStart"/>
      <w:r w:rsidRPr="00881DCC">
        <w:rPr>
          <w:rFonts w:ascii="Times New Roman" w:eastAsia="Times New Roman" w:hAnsi="Times New Roman" w:cs="Times New Roman"/>
          <w:i/>
          <w:iCs/>
          <w:lang w:eastAsia="en-GB"/>
        </w:rPr>
        <w:t>Cerisy</w:t>
      </w:r>
      <w:proofErr w:type="spellEnd"/>
      <w:r w:rsidRPr="00881DCC">
        <w:rPr>
          <w:rFonts w:ascii="Times New Roman" w:eastAsia="Times New Roman" w:hAnsi="Times New Roman" w:cs="Times New Roman"/>
          <w:i/>
          <w:iCs/>
          <w:lang w:eastAsia="en-GB"/>
        </w:rPr>
        <w:t xml:space="preserve"> Colloquium, 1999</w:t>
      </w:r>
      <w:r w:rsidRPr="00881DCC">
        <w:rPr>
          <w:rFonts w:ascii="Times New Roman" w:eastAsia="Times New Roman" w:hAnsi="Times New Roman" w:cs="Times New Roman"/>
          <w:lang w:eastAsia="en-GB"/>
        </w:rPr>
        <w:t xml:space="preserve">, English ed. (Caen: Office </w:t>
      </w:r>
      <w:proofErr w:type="spellStart"/>
      <w:r w:rsidRPr="00881DCC">
        <w:rPr>
          <w:rFonts w:ascii="Times New Roman" w:eastAsia="Times New Roman" w:hAnsi="Times New Roman" w:cs="Times New Roman"/>
          <w:lang w:eastAsia="en-GB"/>
        </w:rPr>
        <w:t>universitaire</w:t>
      </w:r>
      <w:proofErr w:type="spellEnd"/>
      <w:r w:rsidRPr="00881DCC">
        <w:rPr>
          <w:rFonts w:ascii="Times New Roman" w:eastAsia="Times New Roman" w:hAnsi="Times New Roman" w:cs="Times New Roman"/>
          <w:lang w:eastAsia="en-GB"/>
        </w:rPr>
        <w:t xml:space="preserve"> </w:t>
      </w:r>
      <w:proofErr w:type="spellStart"/>
      <w:r w:rsidRPr="00881DCC">
        <w:rPr>
          <w:rFonts w:ascii="Times New Roman" w:eastAsia="Times New Roman" w:hAnsi="Times New Roman" w:cs="Times New Roman"/>
          <w:lang w:eastAsia="en-GB"/>
        </w:rPr>
        <w:t>d’études</w:t>
      </w:r>
      <w:proofErr w:type="spellEnd"/>
      <w:r w:rsidRPr="00881DCC">
        <w:rPr>
          <w:rFonts w:ascii="Times New Roman" w:eastAsia="Times New Roman" w:hAnsi="Times New Roman" w:cs="Times New Roman"/>
          <w:lang w:eastAsia="en-GB"/>
        </w:rPr>
        <w:t xml:space="preserve"> </w:t>
      </w:r>
      <w:proofErr w:type="spellStart"/>
      <w:r w:rsidRPr="00881DCC">
        <w:rPr>
          <w:rFonts w:ascii="Times New Roman" w:eastAsia="Times New Roman" w:hAnsi="Times New Roman" w:cs="Times New Roman"/>
          <w:lang w:eastAsia="en-GB"/>
        </w:rPr>
        <w:t>normandes</w:t>
      </w:r>
      <w:proofErr w:type="spellEnd"/>
      <w:r w:rsidRPr="00881DCC">
        <w:rPr>
          <w:rFonts w:ascii="Times New Roman" w:eastAsia="Times New Roman" w:hAnsi="Times New Roman" w:cs="Times New Roman"/>
          <w:lang w:eastAsia="en-GB"/>
        </w:rPr>
        <w:t xml:space="preserve"> Presses </w:t>
      </w:r>
      <w:proofErr w:type="spellStart"/>
      <w:r w:rsidRPr="00881DCC">
        <w:rPr>
          <w:rFonts w:ascii="Times New Roman" w:eastAsia="Times New Roman" w:hAnsi="Times New Roman" w:cs="Times New Roman"/>
          <w:lang w:eastAsia="en-GB"/>
        </w:rPr>
        <w:t>universitaires</w:t>
      </w:r>
      <w:proofErr w:type="spellEnd"/>
      <w:r w:rsidRPr="00881DCC">
        <w:rPr>
          <w:rFonts w:ascii="Times New Roman" w:eastAsia="Times New Roman" w:hAnsi="Times New Roman" w:cs="Times New Roman"/>
          <w:lang w:eastAsia="en-GB"/>
        </w:rPr>
        <w:t xml:space="preserve"> de Caen, 2004)</w:t>
      </w:r>
    </w:p>
    <w:p w14:paraId="120A20CF" w14:textId="77777777" w:rsidR="00881DCC" w:rsidRPr="00881DCC" w:rsidRDefault="00881DCC" w:rsidP="00881DCC">
      <w:pPr>
        <w:ind w:hanging="480"/>
        <w:rPr>
          <w:rFonts w:ascii="Times New Roman" w:eastAsia="Times New Roman" w:hAnsi="Times New Roman" w:cs="Times New Roman"/>
          <w:lang w:eastAsia="en-GB"/>
        </w:rPr>
      </w:pPr>
      <w:r w:rsidRPr="00881DCC">
        <w:rPr>
          <w:rFonts w:ascii="Times New Roman" w:eastAsia="Times New Roman" w:hAnsi="Times New Roman" w:cs="Times New Roman"/>
          <w:lang w:eastAsia="en-GB"/>
        </w:rPr>
        <w:t>Davis, Michael R., ‘</w:t>
      </w:r>
      <w:proofErr w:type="spellStart"/>
      <w:r w:rsidRPr="00881DCC">
        <w:rPr>
          <w:rFonts w:ascii="Times New Roman" w:eastAsia="Times New Roman" w:hAnsi="Times New Roman" w:cs="Times New Roman"/>
          <w:lang w:eastAsia="en-GB"/>
        </w:rPr>
        <w:t>Leofwine</w:t>
      </w:r>
      <w:proofErr w:type="spellEnd"/>
      <w:r w:rsidRPr="00881DCC">
        <w:rPr>
          <w:rFonts w:ascii="Times New Roman" w:eastAsia="Times New Roman" w:hAnsi="Times New Roman" w:cs="Times New Roman"/>
          <w:lang w:eastAsia="en-GB"/>
        </w:rPr>
        <w:t xml:space="preserve"> and </w:t>
      </w:r>
      <w:proofErr w:type="spellStart"/>
      <w:r w:rsidRPr="00881DCC">
        <w:rPr>
          <w:rFonts w:ascii="Times New Roman" w:eastAsia="Times New Roman" w:hAnsi="Times New Roman" w:cs="Times New Roman"/>
          <w:lang w:eastAsia="en-GB"/>
        </w:rPr>
        <w:t>Gyrth</w:t>
      </w:r>
      <w:proofErr w:type="spellEnd"/>
      <w:r w:rsidRPr="00881DCC">
        <w:rPr>
          <w:rFonts w:ascii="Times New Roman" w:eastAsia="Times New Roman" w:hAnsi="Times New Roman" w:cs="Times New Roman"/>
          <w:lang w:eastAsia="en-GB"/>
        </w:rPr>
        <w:t xml:space="preserve">: Depicting the Death of the Brothers in the Bayeux Tapestry’, in </w:t>
      </w:r>
      <w:r w:rsidRPr="00881DCC">
        <w:rPr>
          <w:rFonts w:ascii="Times New Roman" w:eastAsia="Times New Roman" w:hAnsi="Times New Roman" w:cs="Times New Roman"/>
          <w:i/>
          <w:iCs/>
          <w:lang w:eastAsia="en-GB"/>
        </w:rPr>
        <w:t>The Bayeux Tapestry</w:t>
      </w:r>
      <w:r w:rsidRPr="00881DCC">
        <w:rPr>
          <w:rFonts w:ascii="Times New Roman" w:eastAsia="Times New Roman" w:hAnsi="Times New Roman" w:cs="Times New Roman"/>
          <w:lang w:eastAsia="en-GB"/>
        </w:rPr>
        <w:t xml:space="preserve">, ed. by Michael J. Lewis, Gale R. Owen-Crocker, and Dan </w:t>
      </w:r>
      <w:proofErr w:type="spellStart"/>
      <w:r w:rsidRPr="00881DCC">
        <w:rPr>
          <w:rFonts w:ascii="Times New Roman" w:eastAsia="Times New Roman" w:hAnsi="Times New Roman" w:cs="Times New Roman"/>
          <w:lang w:eastAsia="en-GB"/>
        </w:rPr>
        <w:t>Terkla</w:t>
      </w:r>
      <w:proofErr w:type="spellEnd"/>
      <w:r w:rsidRPr="00881DCC">
        <w:rPr>
          <w:rFonts w:ascii="Times New Roman" w:eastAsia="Times New Roman" w:hAnsi="Times New Roman" w:cs="Times New Roman"/>
          <w:lang w:eastAsia="en-GB"/>
        </w:rPr>
        <w:t>, New Approaches (Oxbow Books, 2011), pp. 92–95 &lt;</w:t>
      </w:r>
      <w:hyperlink r:id="rId8" w:history="1">
        <w:r w:rsidRPr="00881DCC">
          <w:rPr>
            <w:rFonts w:ascii="Times New Roman" w:eastAsia="Times New Roman" w:hAnsi="Times New Roman" w:cs="Times New Roman"/>
            <w:color w:val="0000FF"/>
            <w:u w:val="single"/>
            <w:lang w:eastAsia="en-GB"/>
          </w:rPr>
          <w:t>http://www.jstor.org/stable/j.ctt1cd0nmw.20</w:t>
        </w:r>
      </w:hyperlink>
      <w:r w:rsidRPr="00881DCC">
        <w:rPr>
          <w:rFonts w:ascii="Times New Roman" w:eastAsia="Times New Roman" w:hAnsi="Times New Roman" w:cs="Times New Roman"/>
          <w:lang w:eastAsia="en-GB"/>
        </w:rPr>
        <w:t>&gt; [accessed 16 December 2022]</w:t>
      </w:r>
    </w:p>
    <w:p w14:paraId="29995B86" w14:textId="77777777" w:rsidR="00881DCC" w:rsidRPr="00881DCC" w:rsidRDefault="00881DCC" w:rsidP="00881DCC">
      <w:pPr>
        <w:ind w:hanging="480"/>
        <w:rPr>
          <w:rFonts w:ascii="Times New Roman" w:eastAsia="Times New Roman" w:hAnsi="Times New Roman" w:cs="Times New Roman"/>
          <w:lang w:eastAsia="en-GB"/>
        </w:rPr>
      </w:pPr>
      <w:proofErr w:type="spellStart"/>
      <w:r w:rsidRPr="00881DCC">
        <w:rPr>
          <w:rFonts w:ascii="Times New Roman" w:eastAsia="Times New Roman" w:hAnsi="Times New Roman" w:cs="Times New Roman"/>
          <w:lang w:eastAsia="en-GB"/>
        </w:rPr>
        <w:t>Gravett</w:t>
      </w:r>
      <w:proofErr w:type="spellEnd"/>
      <w:r w:rsidRPr="00881DCC">
        <w:rPr>
          <w:rFonts w:ascii="Times New Roman" w:eastAsia="Times New Roman" w:hAnsi="Times New Roman" w:cs="Times New Roman"/>
          <w:lang w:eastAsia="en-GB"/>
        </w:rPr>
        <w:t>, Christopher, ‘Hastings 1066’ (Osprey Military Campaign Series, Osprey Publishing, London, 1992)</w:t>
      </w:r>
    </w:p>
    <w:p w14:paraId="7B58F19A" w14:textId="77777777" w:rsidR="00881DCC" w:rsidRPr="00881DCC" w:rsidRDefault="00881DCC" w:rsidP="00881DCC">
      <w:pPr>
        <w:ind w:hanging="480"/>
        <w:rPr>
          <w:rFonts w:ascii="Times New Roman" w:eastAsia="Times New Roman" w:hAnsi="Times New Roman" w:cs="Times New Roman"/>
          <w:lang w:eastAsia="en-GB"/>
        </w:rPr>
      </w:pPr>
      <w:r w:rsidRPr="00881DCC">
        <w:rPr>
          <w:rFonts w:ascii="Times New Roman" w:eastAsia="Times New Roman" w:hAnsi="Times New Roman" w:cs="Times New Roman"/>
          <w:lang w:eastAsia="en-GB"/>
        </w:rPr>
        <w:t xml:space="preserve">Key, Michael John, </w:t>
      </w:r>
      <w:r w:rsidRPr="00881DCC">
        <w:rPr>
          <w:rFonts w:ascii="Times New Roman" w:eastAsia="Times New Roman" w:hAnsi="Times New Roman" w:cs="Times New Roman"/>
          <w:i/>
          <w:iCs/>
          <w:lang w:eastAsia="en-GB"/>
        </w:rPr>
        <w:t>The House of Godwin: The Rise and Fall of an Anglo-Saxon Dynasty</w:t>
      </w:r>
      <w:r w:rsidRPr="00881DCC">
        <w:rPr>
          <w:rFonts w:ascii="Times New Roman" w:eastAsia="Times New Roman" w:hAnsi="Times New Roman" w:cs="Times New Roman"/>
          <w:lang w:eastAsia="en-GB"/>
        </w:rPr>
        <w:t xml:space="preserve"> (Stroud: Amberley Publishing Limited, 2022)</w:t>
      </w:r>
    </w:p>
    <w:p w14:paraId="1E399D8E" w14:textId="77777777" w:rsidR="00881DCC" w:rsidRPr="00881DCC" w:rsidRDefault="00881DCC" w:rsidP="00881DCC">
      <w:pPr>
        <w:ind w:hanging="480"/>
        <w:rPr>
          <w:rFonts w:ascii="Times New Roman" w:eastAsia="Times New Roman" w:hAnsi="Times New Roman" w:cs="Times New Roman"/>
          <w:lang w:eastAsia="en-GB"/>
        </w:rPr>
      </w:pPr>
      <w:proofErr w:type="spellStart"/>
      <w:r w:rsidRPr="00881DCC">
        <w:rPr>
          <w:rFonts w:ascii="Times New Roman" w:eastAsia="Times New Roman" w:hAnsi="Times New Roman" w:cs="Times New Roman"/>
          <w:lang w:eastAsia="en-GB"/>
        </w:rPr>
        <w:t>Marren</w:t>
      </w:r>
      <w:proofErr w:type="spellEnd"/>
      <w:r w:rsidRPr="00881DCC">
        <w:rPr>
          <w:rFonts w:ascii="Times New Roman" w:eastAsia="Times New Roman" w:hAnsi="Times New Roman" w:cs="Times New Roman"/>
          <w:lang w:eastAsia="en-GB"/>
        </w:rPr>
        <w:t xml:space="preserve">, Peter, </w:t>
      </w:r>
      <w:r w:rsidRPr="00881DCC">
        <w:rPr>
          <w:rFonts w:ascii="Times New Roman" w:eastAsia="Times New Roman" w:hAnsi="Times New Roman" w:cs="Times New Roman"/>
          <w:i/>
          <w:iCs/>
          <w:lang w:eastAsia="en-GB"/>
        </w:rPr>
        <w:t>1066: The Battles of York, Stamford Bridge &amp; Hastings</w:t>
      </w:r>
      <w:r w:rsidRPr="00881DCC">
        <w:rPr>
          <w:rFonts w:ascii="Times New Roman" w:eastAsia="Times New Roman" w:hAnsi="Times New Roman" w:cs="Times New Roman"/>
          <w:lang w:eastAsia="en-GB"/>
        </w:rPr>
        <w:t xml:space="preserve"> (Grub Street Publishers, 2004)</w:t>
      </w:r>
    </w:p>
    <w:p w14:paraId="235E06C3" w14:textId="77777777" w:rsidR="00881DCC" w:rsidRPr="00881DCC" w:rsidRDefault="00881DCC" w:rsidP="00881DCC">
      <w:pPr>
        <w:ind w:hanging="480"/>
        <w:rPr>
          <w:rFonts w:ascii="Times New Roman" w:eastAsia="Times New Roman" w:hAnsi="Times New Roman" w:cs="Times New Roman"/>
          <w:lang w:eastAsia="en-GB"/>
        </w:rPr>
      </w:pPr>
      <w:proofErr w:type="spellStart"/>
      <w:r w:rsidRPr="00881DCC">
        <w:rPr>
          <w:rFonts w:ascii="Times New Roman" w:eastAsia="Times New Roman" w:hAnsi="Times New Roman" w:cs="Times New Roman"/>
          <w:lang w:eastAsia="en-GB"/>
        </w:rPr>
        <w:t>Pollington</w:t>
      </w:r>
      <w:proofErr w:type="spellEnd"/>
      <w:r w:rsidRPr="00881DCC">
        <w:rPr>
          <w:rFonts w:ascii="Times New Roman" w:eastAsia="Times New Roman" w:hAnsi="Times New Roman" w:cs="Times New Roman"/>
          <w:lang w:eastAsia="en-GB"/>
        </w:rPr>
        <w:t xml:space="preserve">, Stephen, ‘Fyrd’, in </w:t>
      </w:r>
      <w:r w:rsidRPr="00881DCC">
        <w:rPr>
          <w:rFonts w:ascii="Times New Roman" w:eastAsia="Times New Roman" w:hAnsi="Times New Roman" w:cs="Times New Roman"/>
          <w:i/>
          <w:iCs/>
          <w:lang w:eastAsia="en-GB"/>
        </w:rPr>
        <w:t>The Oxford Companion to Military History</w:t>
      </w:r>
      <w:r w:rsidRPr="00881DCC">
        <w:rPr>
          <w:rFonts w:ascii="Times New Roman" w:eastAsia="Times New Roman" w:hAnsi="Times New Roman" w:cs="Times New Roman"/>
          <w:lang w:eastAsia="en-GB"/>
        </w:rPr>
        <w:t xml:space="preserve"> (Oxford University Press, 2001) &lt;</w:t>
      </w:r>
      <w:hyperlink r:id="rId9" w:history="1">
        <w:r w:rsidRPr="00881DCC">
          <w:rPr>
            <w:rFonts w:ascii="Times New Roman" w:eastAsia="Times New Roman" w:hAnsi="Times New Roman" w:cs="Times New Roman"/>
            <w:color w:val="0000FF"/>
            <w:u w:val="single"/>
            <w:lang w:eastAsia="en-GB"/>
          </w:rPr>
          <w:t>https://www.oxfordreference.com/display/10.1093/acref/9780198606963.001.0001/acref-9780198606963-e-466</w:t>
        </w:r>
      </w:hyperlink>
      <w:r w:rsidRPr="00881DCC">
        <w:rPr>
          <w:rFonts w:ascii="Times New Roman" w:eastAsia="Times New Roman" w:hAnsi="Times New Roman" w:cs="Times New Roman"/>
          <w:lang w:eastAsia="en-GB"/>
        </w:rPr>
        <w:t>&gt; [accessed 16 December 2022]</w:t>
      </w:r>
    </w:p>
    <w:p w14:paraId="693626D4" w14:textId="77777777" w:rsidR="00881DCC" w:rsidRPr="00881DCC" w:rsidRDefault="00881DCC" w:rsidP="00881DCC">
      <w:pPr>
        <w:ind w:hanging="480"/>
        <w:rPr>
          <w:rFonts w:ascii="Times New Roman" w:eastAsia="Times New Roman" w:hAnsi="Times New Roman" w:cs="Times New Roman"/>
          <w:lang w:eastAsia="en-GB"/>
        </w:rPr>
      </w:pPr>
      <w:r w:rsidRPr="00881DCC">
        <w:rPr>
          <w:rFonts w:ascii="Times New Roman" w:eastAsia="Times New Roman" w:hAnsi="Times New Roman" w:cs="Times New Roman"/>
          <w:lang w:eastAsia="en-GB"/>
        </w:rPr>
        <w:t xml:space="preserve">———, ‘Housecarls’, in </w:t>
      </w:r>
      <w:r w:rsidRPr="00881DCC">
        <w:rPr>
          <w:rFonts w:ascii="Times New Roman" w:eastAsia="Times New Roman" w:hAnsi="Times New Roman" w:cs="Times New Roman"/>
          <w:i/>
          <w:iCs/>
          <w:lang w:eastAsia="en-GB"/>
        </w:rPr>
        <w:t>The Oxford Companion to Military History</w:t>
      </w:r>
      <w:r w:rsidRPr="00881DCC">
        <w:rPr>
          <w:rFonts w:ascii="Times New Roman" w:eastAsia="Times New Roman" w:hAnsi="Times New Roman" w:cs="Times New Roman"/>
          <w:lang w:eastAsia="en-GB"/>
        </w:rPr>
        <w:t xml:space="preserve"> (Oxford University Press, 2001) &lt;</w:t>
      </w:r>
      <w:hyperlink r:id="rId10" w:history="1">
        <w:r w:rsidRPr="00881DCC">
          <w:rPr>
            <w:rFonts w:ascii="Times New Roman" w:eastAsia="Times New Roman" w:hAnsi="Times New Roman" w:cs="Times New Roman"/>
            <w:color w:val="0000FF"/>
            <w:u w:val="single"/>
            <w:lang w:eastAsia="en-GB"/>
          </w:rPr>
          <w:t>https://www.oxfordreference.com/display/10.1093/acref/9780198606963.001.0001/acref-9780198606963-e-583</w:t>
        </w:r>
      </w:hyperlink>
      <w:r w:rsidRPr="00881DCC">
        <w:rPr>
          <w:rFonts w:ascii="Times New Roman" w:eastAsia="Times New Roman" w:hAnsi="Times New Roman" w:cs="Times New Roman"/>
          <w:lang w:eastAsia="en-GB"/>
        </w:rPr>
        <w:t>&gt; [accessed 16 December 2022]</w:t>
      </w:r>
    </w:p>
    <w:p w14:paraId="562260C5" w14:textId="77777777" w:rsidR="006A797B" w:rsidRDefault="006A797B"/>
    <w:sectPr w:rsidR="006A79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50575" w14:textId="77777777" w:rsidR="009E41F2" w:rsidRDefault="009E41F2" w:rsidP="00F0215D">
      <w:r>
        <w:separator/>
      </w:r>
    </w:p>
  </w:endnote>
  <w:endnote w:type="continuationSeparator" w:id="0">
    <w:p w14:paraId="642D8040" w14:textId="77777777" w:rsidR="009E41F2" w:rsidRDefault="009E41F2" w:rsidP="00F021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CB952" w14:textId="77777777" w:rsidR="009E41F2" w:rsidRDefault="009E41F2" w:rsidP="00F0215D">
      <w:r>
        <w:separator/>
      </w:r>
    </w:p>
  </w:footnote>
  <w:footnote w:type="continuationSeparator" w:id="0">
    <w:p w14:paraId="3DF3646A" w14:textId="77777777" w:rsidR="009E41F2" w:rsidRDefault="009E41F2" w:rsidP="00F0215D">
      <w:r>
        <w:continuationSeparator/>
      </w:r>
    </w:p>
  </w:footnote>
  <w:footnote w:id="1">
    <w:p w14:paraId="6F51998E" w14:textId="6352B50B" w:rsidR="00390CAF" w:rsidRPr="00390CAF" w:rsidRDefault="00390CAF">
      <w:pPr>
        <w:pStyle w:val="FootnoteText"/>
      </w:pPr>
      <w:r>
        <w:rPr>
          <w:rStyle w:val="FootnoteReference"/>
        </w:rPr>
        <w:footnoteRef/>
      </w:r>
      <w:r>
        <w:t xml:space="preserve"> Key, John, </w:t>
      </w:r>
      <w:r>
        <w:rPr>
          <w:i/>
          <w:iCs/>
        </w:rPr>
        <w:t xml:space="preserve">The House of Godwin: The Rise and Fall of an Anglo-Saxon Dynasty, </w:t>
      </w:r>
      <w:r>
        <w:t xml:space="preserve">2022, Amberly Publishing, Stroud, Introduction. </w:t>
      </w:r>
    </w:p>
  </w:footnote>
  <w:footnote w:id="2">
    <w:p w14:paraId="580697BF" w14:textId="1BB0F3C2" w:rsidR="00F0215D" w:rsidRPr="005001D0" w:rsidRDefault="00F0215D">
      <w:pPr>
        <w:pStyle w:val="FootnoteText"/>
      </w:pPr>
      <w:r>
        <w:rPr>
          <w:rStyle w:val="FootnoteReference"/>
        </w:rPr>
        <w:footnoteRef/>
      </w:r>
      <w:r>
        <w:t xml:space="preserve"> </w:t>
      </w:r>
      <w:proofErr w:type="spellStart"/>
      <w:r w:rsidR="005001D0">
        <w:t>Bouet</w:t>
      </w:r>
      <w:proofErr w:type="spellEnd"/>
      <w:r w:rsidR="005001D0">
        <w:t xml:space="preserve">, Pierre, </w:t>
      </w:r>
      <w:r w:rsidR="005001D0">
        <w:rPr>
          <w:i/>
          <w:iCs/>
        </w:rPr>
        <w:t xml:space="preserve">The Bayeux Tapestry: Embroidering the facts of history: proceedings of the </w:t>
      </w:r>
      <w:proofErr w:type="spellStart"/>
      <w:r w:rsidR="005001D0">
        <w:rPr>
          <w:i/>
          <w:iCs/>
        </w:rPr>
        <w:t>Cerisy</w:t>
      </w:r>
      <w:proofErr w:type="spellEnd"/>
      <w:r w:rsidR="005001D0">
        <w:rPr>
          <w:i/>
          <w:iCs/>
        </w:rPr>
        <w:t xml:space="preserve"> Colloquium (1999), </w:t>
      </w:r>
      <w:r w:rsidR="005001D0">
        <w:t xml:space="preserve">Caen University Press, p-206. </w:t>
      </w:r>
    </w:p>
  </w:footnote>
  <w:footnote w:id="3">
    <w:p w14:paraId="71727AB5" w14:textId="3C073D95" w:rsidR="00F21787" w:rsidRPr="00F21787" w:rsidRDefault="00F21787">
      <w:pPr>
        <w:pStyle w:val="FootnoteText"/>
      </w:pPr>
      <w:r>
        <w:rPr>
          <w:rStyle w:val="FootnoteReference"/>
        </w:rPr>
        <w:footnoteRef/>
      </w:r>
      <w:r>
        <w:t xml:space="preserve"> </w:t>
      </w:r>
      <w:proofErr w:type="spellStart"/>
      <w:r>
        <w:t>Pollington</w:t>
      </w:r>
      <w:proofErr w:type="spellEnd"/>
      <w:r>
        <w:t xml:space="preserve">, (2001), The Oxford Companion to Military History, </w:t>
      </w:r>
      <w:r>
        <w:rPr>
          <w:i/>
          <w:iCs/>
        </w:rPr>
        <w:t xml:space="preserve">Housecarls- </w:t>
      </w:r>
      <w:r>
        <w:t xml:space="preserve">Oxford References, Oxford University Press. </w:t>
      </w:r>
    </w:p>
  </w:footnote>
  <w:footnote w:id="4">
    <w:p w14:paraId="0171C5DD" w14:textId="1F43C529" w:rsidR="00C009CB" w:rsidRPr="00C009CB" w:rsidRDefault="00C009CB">
      <w:pPr>
        <w:pStyle w:val="FootnoteText"/>
      </w:pPr>
      <w:r>
        <w:rPr>
          <w:rStyle w:val="FootnoteReference"/>
        </w:rPr>
        <w:footnoteRef/>
      </w:r>
      <w:r>
        <w:t xml:space="preserve"> </w:t>
      </w:r>
      <w:proofErr w:type="spellStart"/>
      <w:r>
        <w:t>Gravett</w:t>
      </w:r>
      <w:proofErr w:type="spellEnd"/>
      <w:r>
        <w:t xml:space="preserve">, Christopher, (1992), </w:t>
      </w:r>
      <w:r>
        <w:rPr>
          <w:i/>
          <w:iCs/>
        </w:rPr>
        <w:t xml:space="preserve">Hastings 1066: The Fall of Saxon England, </w:t>
      </w:r>
      <w:r>
        <w:t>Campaign, Vol 13, Oxford, UK, Osprey, ch-</w:t>
      </w:r>
      <w:proofErr w:type="gramStart"/>
      <w:r>
        <w:t>1.pp</w:t>
      </w:r>
      <w:proofErr w:type="gramEnd"/>
      <w:r>
        <w:t>-29-31</w:t>
      </w:r>
    </w:p>
  </w:footnote>
  <w:footnote w:id="5">
    <w:p w14:paraId="0A0B0416" w14:textId="40893843" w:rsidR="005001D0" w:rsidRPr="00FD4BB9" w:rsidRDefault="005001D0">
      <w:pPr>
        <w:pStyle w:val="FootnoteText"/>
      </w:pPr>
      <w:r>
        <w:rPr>
          <w:rStyle w:val="FootnoteReference"/>
        </w:rPr>
        <w:footnoteRef/>
      </w:r>
      <w:r>
        <w:t xml:space="preserve"> Davis, Michael, (2011), </w:t>
      </w:r>
      <w:proofErr w:type="spellStart"/>
      <w:r>
        <w:rPr>
          <w:i/>
          <w:iCs/>
        </w:rPr>
        <w:t>Leofwine</w:t>
      </w:r>
      <w:proofErr w:type="spellEnd"/>
      <w:r>
        <w:rPr>
          <w:i/>
          <w:iCs/>
        </w:rPr>
        <w:t xml:space="preserve"> and </w:t>
      </w:r>
      <w:proofErr w:type="spellStart"/>
      <w:r>
        <w:rPr>
          <w:i/>
          <w:iCs/>
        </w:rPr>
        <w:t>Gyrth</w:t>
      </w:r>
      <w:proofErr w:type="spellEnd"/>
      <w:r>
        <w:rPr>
          <w:i/>
          <w:iCs/>
        </w:rPr>
        <w:t>: depicting the death of the brothers in the Bayeux Tapestry, The Bayeux Tapestry New Approaches</w:t>
      </w:r>
      <w:r w:rsidR="00FD4BB9">
        <w:rPr>
          <w:i/>
          <w:iCs/>
        </w:rPr>
        <w:t xml:space="preserve">, </w:t>
      </w:r>
      <w:r w:rsidR="00FD4BB9">
        <w:t>2011, Oxbow Books, p-94.</w:t>
      </w:r>
    </w:p>
  </w:footnote>
  <w:footnote w:id="6">
    <w:p w14:paraId="4BC79239" w14:textId="20176778" w:rsidR="004A1252" w:rsidRPr="004A1252" w:rsidRDefault="004A1252">
      <w:pPr>
        <w:pStyle w:val="FootnoteText"/>
      </w:pPr>
      <w:r>
        <w:rPr>
          <w:rStyle w:val="FootnoteReference"/>
        </w:rPr>
        <w:footnoteRef/>
      </w:r>
      <w:r>
        <w:t xml:space="preserve"> Davis, Michael, (2011), </w:t>
      </w:r>
      <w:proofErr w:type="spellStart"/>
      <w:r w:rsidR="0097321A">
        <w:rPr>
          <w:i/>
          <w:iCs/>
        </w:rPr>
        <w:t>Leofwine</w:t>
      </w:r>
      <w:proofErr w:type="spellEnd"/>
      <w:r w:rsidR="0097321A">
        <w:rPr>
          <w:i/>
          <w:iCs/>
        </w:rPr>
        <w:t xml:space="preserve"> and </w:t>
      </w:r>
      <w:proofErr w:type="spellStart"/>
      <w:r w:rsidR="0097321A">
        <w:rPr>
          <w:i/>
          <w:iCs/>
        </w:rPr>
        <w:t>Gyrth</w:t>
      </w:r>
      <w:proofErr w:type="spellEnd"/>
      <w:r w:rsidR="0097321A">
        <w:rPr>
          <w:i/>
          <w:iCs/>
        </w:rPr>
        <w:t xml:space="preserve">: depicting the death of the brothers in the Bayeux Tapestry, </w:t>
      </w:r>
      <w:r>
        <w:rPr>
          <w:i/>
          <w:iCs/>
        </w:rPr>
        <w:t xml:space="preserve">The Bayeux Tapestry New Approaches, </w:t>
      </w:r>
      <w:r w:rsidR="0097321A">
        <w:t xml:space="preserve">2011, </w:t>
      </w:r>
      <w:r>
        <w:t>Oxbow Books</w:t>
      </w:r>
    </w:p>
  </w:footnote>
  <w:footnote w:id="7">
    <w:p w14:paraId="5B15F7D9" w14:textId="12C4E1BA" w:rsidR="008853B4" w:rsidRPr="008853B4" w:rsidRDefault="008853B4">
      <w:pPr>
        <w:pStyle w:val="FootnoteText"/>
      </w:pPr>
      <w:r>
        <w:rPr>
          <w:rStyle w:val="FootnoteReference"/>
        </w:rPr>
        <w:footnoteRef/>
      </w:r>
      <w:r>
        <w:t xml:space="preserve"> </w:t>
      </w:r>
      <w:proofErr w:type="spellStart"/>
      <w:r>
        <w:t>Gravett</w:t>
      </w:r>
      <w:proofErr w:type="spellEnd"/>
      <w:r>
        <w:t xml:space="preserve">, Christopher, (1992), </w:t>
      </w:r>
      <w:r>
        <w:rPr>
          <w:i/>
          <w:iCs/>
        </w:rPr>
        <w:t xml:space="preserve">Hastings 1066: The Fall of Saxon England, </w:t>
      </w:r>
      <w:r>
        <w:t xml:space="preserve">Campaign, Vol 13, Oxford, UK, Osprey, ch-1, pp-29-31. </w:t>
      </w:r>
    </w:p>
  </w:footnote>
  <w:footnote w:id="8">
    <w:p w14:paraId="5072D63D" w14:textId="7FE74D0A" w:rsidR="00F831C5" w:rsidRPr="00F831C5" w:rsidRDefault="00F831C5">
      <w:pPr>
        <w:pStyle w:val="FootnoteText"/>
      </w:pPr>
      <w:r>
        <w:rPr>
          <w:rStyle w:val="FootnoteReference"/>
        </w:rPr>
        <w:footnoteRef/>
      </w:r>
      <w:r>
        <w:t xml:space="preserve"> Davis</w:t>
      </w:r>
      <w:r w:rsidR="0097321A">
        <w:t>,</w:t>
      </w:r>
      <w:r w:rsidR="006A797B">
        <w:t xml:space="preserve"> </w:t>
      </w:r>
      <w:r w:rsidR="0097321A">
        <w:t>Michael</w:t>
      </w:r>
      <w:r>
        <w:t xml:space="preserve">, </w:t>
      </w:r>
      <w:proofErr w:type="spellStart"/>
      <w:r>
        <w:rPr>
          <w:i/>
          <w:iCs/>
        </w:rPr>
        <w:t>Leofwine</w:t>
      </w:r>
      <w:proofErr w:type="spellEnd"/>
      <w:r>
        <w:rPr>
          <w:i/>
          <w:iCs/>
        </w:rPr>
        <w:t xml:space="preserve"> and </w:t>
      </w:r>
      <w:proofErr w:type="spellStart"/>
      <w:r>
        <w:rPr>
          <w:i/>
          <w:iCs/>
        </w:rPr>
        <w:t>Gyrth</w:t>
      </w:r>
      <w:proofErr w:type="spellEnd"/>
      <w:r>
        <w:rPr>
          <w:i/>
          <w:iCs/>
        </w:rPr>
        <w:t xml:space="preserve">: </w:t>
      </w:r>
      <w:r w:rsidR="0097321A">
        <w:rPr>
          <w:i/>
          <w:iCs/>
        </w:rPr>
        <w:t>depicting</w:t>
      </w:r>
      <w:r>
        <w:rPr>
          <w:i/>
          <w:iCs/>
        </w:rPr>
        <w:t xml:space="preserve"> the death of the brothers in the Bayeux Tapestry, The Bayeux Tapestry New Approaches, </w:t>
      </w:r>
      <w:r>
        <w:t xml:space="preserve">2011, Oxbow Books. </w:t>
      </w:r>
    </w:p>
  </w:footnote>
  <w:footnote w:id="9">
    <w:p w14:paraId="2663076A" w14:textId="2ABD5EDA" w:rsidR="00F831C5" w:rsidRPr="00F831C5" w:rsidRDefault="00F831C5">
      <w:pPr>
        <w:pStyle w:val="FootnoteText"/>
      </w:pPr>
      <w:r>
        <w:rPr>
          <w:rStyle w:val="FootnoteReference"/>
        </w:rPr>
        <w:footnoteRef/>
      </w:r>
      <w:r>
        <w:t xml:space="preserve"> Davis</w:t>
      </w:r>
      <w:r w:rsidR="005001D0">
        <w:t>, Michael</w:t>
      </w:r>
      <w:r>
        <w:t xml:space="preserve">, </w:t>
      </w:r>
      <w:proofErr w:type="spellStart"/>
      <w:r>
        <w:rPr>
          <w:i/>
          <w:iCs/>
        </w:rPr>
        <w:t>Leofwine</w:t>
      </w:r>
      <w:proofErr w:type="spellEnd"/>
      <w:r>
        <w:rPr>
          <w:i/>
          <w:iCs/>
        </w:rPr>
        <w:t xml:space="preserve"> and </w:t>
      </w:r>
      <w:proofErr w:type="spellStart"/>
      <w:r>
        <w:rPr>
          <w:i/>
          <w:iCs/>
        </w:rPr>
        <w:t>Gyrth</w:t>
      </w:r>
      <w:proofErr w:type="spellEnd"/>
      <w:r>
        <w:rPr>
          <w:i/>
          <w:iCs/>
        </w:rPr>
        <w:t xml:space="preserve">: depicting the death of the brothers in the Bayeux Tapestry, The Bayeux Tapestry New Approaches, </w:t>
      </w:r>
      <w:r>
        <w:t xml:space="preserve">2011, Oxbow Books. </w:t>
      </w:r>
    </w:p>
  </w:footnote>
  <w:footnote w:id="10">
    <w:p w14:paraId="0E20EA05" w14:textId="5992A0A8" w:rsidR="00717039" w:rsidRPr="00717039" w:rsidRDefault="00717039">
      <w:pPr>
        <w:pStyle w:val="FootnoteText"/>
      </w:pPr>
      <w:r>
        <w:rPr>
          <w:rStyle w:val="FootnoteReference"/>
        </w:rPr>
        <w:footnoteRef/>
      </w:r>
      <w:r>
        <w:t xml:space="preserve"> </w:t>
      </w:r>
      <w:proofErr w:type="spellStart"/>
      <w:r w:rsidR="00C009CB">
        <w:t>M</w:t>
      </w:r>
      <w:r>
        <w:t>arren</w:t>
      </w:r>
      <w:proofErr w:type="spellEnd"/>
      <w:r>
        <w:t xml:space="preserve">, Peter, (2004), </w:t>
      </w:r>
      <w:r>
        <w:rPr>
          <w:i/>
          <w:iCs/>
        </w:rPr>
        <w:t xml:space="preserve">1066: The Battles of York, Stamford Bridge and Hastings, </w:t>
      </w:r>
      <w:r>
        <w:t>Battleground Britain, Barnsley, UK; Leo Cooper</w:t>
      </w:r>
      <w:r w:rsidR="00EC6760">
        <w:t xml:space="preserve">, ch-2, p-52. </w:t>
      </w:r>
    </w:p>
  </w:footnote>
  <w:footnote w:id="11">
    <w:p w14:paraId="1DF25A1E" w14:textId="506F3B10" w:rsidR="00717039" w:rsidRPr="00C009CB" w:rsidRDefault="00717039">
      <w:pPr>
        <w:pStyle w:val="FootnoteText"/>
      </w:pPr>
      <w:r>
        <w:rPr>
          <w:rStyle w:val="FootnoteReference"/>
        </w:rPr>
        <w:footnoteRef/>
      </w:r>
      <w:r>
        <w:t xml:space="preserve"> Bennett, Matthew, </w:t>
      </w:r>
      <w:r w:rsidR="00C009CB">
        <w:rPr>
          <w:i/>
          <w:iCs/>
        </w:rPr>
        <w:t xml:space="preserve">Fighting Techniques of the Medieval World AD 500-AD 1500: Equipment, Combat Skills and Tactics, </w:t>
      </w:r>
      <w:r w:rsidR="00C009CB">
        <w:t xml:space="preserve">New York, St </w:t>
      </w:r>
      <w:proofErr w:type="spellStart"/>
      <w:r w:rsidR="00C009CB">
        <w:t>Martins</w:t>
      </w:r>
      <w:proofErr w:type="spellEnd"/>
      <w:r w:rsidR="00C009CB">
        <w:t xml:space="preserve"> Press, ch-1, pp-21-22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0A3"/>
    <w:rsid w:val="0002458B"/>
    <w:rsid w:val="00033020"/>
    <w:rsid w:val="00037FC5"/>
    <w:rsid w:val="00044A70"/>
    <w:rsid w:val="000B30BF"/>
    <w:rsid w:val="000F526B"/>
    <w:rsid w:val="001102D2"/>
    <w:rsid w:val="0013301E"/>
    <w:rsid w:val="00172B43"/>
    <w:rsid w:val="001B0B81"/>
    <w:rsid w:val="001C2C83"/>
    <w:rsid w:val="00265ACB"/>
    <w:rsid w:val="0029204D"/>
    <w:rsid w:val="002B0955"/>
    <w:rsid w:val="003700A3"/>
    <w:rsid w:val="00390CAF"/>
    <w:rsid w:val="00421644"/>
    <w:rsid w:val="004A1252"/>
    <w:rsid w:val="004B3929"/>
    <w:rsid w:val="004C5590"/>
    <w:rsid w:val="005001D0"/>
    <w:rsid w:val="00533A87"/>
    <w:rsid w:val="00560992"/>
    <w:rsid w:val="005F5CE0"/>
    <w:rsid w:val="00623835"/>
    <w:rsid w:val="00681538"/>
    <w:rsid w:val="006A797B"/>
    <w:rsid w:val="006C3FF1"/>
    <w:rsid w:val="006C58FE"/>
    <w:rsid w:val="006D2AF3"/>
    <w:rsid w:val="00717039"/>
    <w:rsid w:val="00737ECC"/>
    <w:rsid w:val="0077288B"/>
    <w:rsid w:val="007B5157"/>
    <w:rsid w:val="00823133"/>
    <w:rsid w:val="0086715E"/>
    <w:rsid w:val="008747EF"/>
    <w:rsid w:val="00881DCC"/>
    <w:rsid w:val="008853B4"/>
    <w:rsid w:val="008859D0"/>
    <w:rsid w:val="00885DA8"/>
    <w:rsid w:val="008B3621"/>
    <w:rsid w:val="008C6CA9"/>
    <w:rsid w:val="0096496D"/>
    <w:rsid w:val="0097321A"/>
    <w:rsid w:val="009D3F74"/>
    <w:rsid w:val="009E41F2"/>
    <w:rsid w:val="00A27A5C"/>
    <w:rsid w:val="00A84133"/>
    <w:rsid w:val="00A84252"/>
    <w:rsid w:val="00A84768"/>
    <w:rsid w:val="00A92F76"/>
    <w:rsid w:val="00AC0108"/>
    <w:rsid w:val="00AE39E5"/>
    <w:rsid w:val="00AE73B0"/>
    <w:rsid w:val="00B8493C"/>
    <w:rsid w:val="00C009CB"/>
    <w:rsid w:val="00C01D5A"/>
    <w:rsid w:val="00C532A6"/>
    <w:rsid w:val="00C54867"/>
    <w:rsid w:val="00C5672C"/>
    <w:rsid w:val="00CF1D73"/>
    <w:rsid w:val="00D278C9"/>
    <w:rsid w:val="00D45B0C"/>
    <w:rsid w:val="00DD5410"/>
    <w:rsid w:val="00E5462F"/>
    <w:rsid w:val="00EA6048"/>
    <w:rsid w:val="00EC6760"/>
    <w:rsid w:val="00EE5511"/>
    <w:rsid w:val="00F0215D"/>
    <w:rsid w:val="00F21787"/>
    <w:rsid w:val="00F663A1"/>
    <w:rsid w:val="00F70FC0"/>
    <w:rsid w:val="00F831C5"/>
    <w:rsid w:val="00FD4BB9"/>
    <w:rsid w:val="00FE0545"/>
    <w:rsid w:val="00FE6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8DB015"/>
  <w15:chartTrackingRefBased/>
  <w15:docId w15:val="{360BC9B1-D878-9740-ACE8-389AF514F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215D"/>
    <w:rPr>
      <w:sz w:val="20"/>
      <w:szCs w:val="20"/>
    </w:rPr>
  </w:style>
  <w:style w:type="character" w:customStyle="1" w:styleId="FootnoteTextChar">
    <w:name w:val="Footnote Text Char"/>
    <w:basedOn w:val="DefaultParagraphFont"/>
    <w:link w:val="FootnoteText"/>
    <w:uiPriority w:val="99"/>
    <w:semiHidden/>
    <w:rsid w:val="00F0215D"/>
    <w:rPr>
      <w:sz w:val="20"/>
      <w:szCs w:val="20"/>
    </w:rPr>
  </w:style>
  <w:style w:type="character" w:styleId="FootnoteReference">
    <w:name w:val="footnote reference"/>
    <w:basedOn w:val="DefaultParagraphFont"/>
    <w:uiPriority w:val="99"/>
    <w:semiHidden/>
    <w:unhideWhenUsed/>
    <w:rsid w:val="00F0215D"/>
    <w:rPr>
      <w:vertAlign w:val="superscript"/>
    </w:rPr>
  </w:style>
  <w:style w:type="character" w:styleId="Hyperlink">
    <w:name w:val="Hyperlink"/>
    <w:basedOn w:val="DefaultParagraphFont"/>
    <w:uiPriority w:val="99"/>
    <w:semiHidden/>
    <w:unhideWhenUsed/>
    <w:rsid w:val="00881D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883170">
      <w:bodyDiv w:val="1"/>
      <w:marLeft w:val="0"/>
      <w:marRight w:val="0"/>
      <w:marTop w:val="0"/>
      <w:marBottom w:val="0"/>
      <w:divBdr>
        <w:top w:val="none" w:sz="0" w:space="0" w:color="auto"/>
        <w:left w:val="none" w:sz="0" w:space="0" w:color="auto"/>
        <w:bottom w:val="none" w:sz="0" w:space="0" w:color="auto"/>
        <w:right w:val="none" w:sz="0" w:space="0" w:color="auto"/>
      </w:divBdr>
      <w:divsChild>
        <w:div w:id="1765565267">
          <w:marLeft w:val="480"/>
          <w:marRight w:val="0"/>
          <w:marTop w:val="0"/>
          <w:marBottom w:val="0"/>
          <w:divBdr>
            <w:top w:val="none" w:sz="0" w:space="0" w:color="auto"/>
            <w:left w:val="none" w:sz="0" w:space="0" w:color="auto"/>
            <w:bottom w:val="none" w:sz="0" w:space="0" w:color="auto"/>
            <w:right w:val="none" w:sz="0" w:space="0" w:color="auto"/>
          </w:divBdr>
          <w:divsChild>
            <w:div w:id="384836581">
              <w:marLeft w:val="0"/>
              <w:marRight w:val="0"/>
              <w:marTop w:val="0"/>
              <w:marBottom w:val="240"/>
              <w:divBdr>
                <w:top w:val="none" w:sz="0" w:space="0" w:color="auto"/>
                <w:left w:val="none" w:sz="0" w:space="0" w:color="auto"/>
                <w:bottom w:val="none" w:sz="0" w:space="0" w:color="auto"/>
                <w:right w:val="none" w:sz="0" w:space="0" w:color="auto"/>
              </w:divBdr>
            </w:div>
            <w:div w:id="735474389">
              <w:marLeft w:val="0"/>
              <w:marRight w:val="0"/>
              <w:marTop w:val="0"/>
              <w:marBottom w:val="240"/>
              <w:divBdr>
                <w:top w:val="none" w:sz="0" w:space="0" w:color="auto"/>
                <w:left w:val="none" w:sz="0" w:space="0" w:color="auto"/>
                <w:bottom w:val="none" w:sz="0" w:space="0" w:color="auto"/>
                <w:right w:val="none" w:sz="0" w:space="0" w:color="auto"/>
              </w:divBdr>
            </w:div>
            <w:div w:id="2073962463">
              <w:marLeft w:val="0"/>
              <w:marRight w:val="0"/>
              <w:marTop w:val="0"/>
              <w:marBottom w:val="240"/>
              <w:divBdr>
                <w:top w:val="none" w:sz="0" w:space="0" w:color="auto"/>
                <w:left w:val="none" w:sz="0" w:space="0" w:color="auto"/>
                <w:bottom w:val="none" w:sz="0" w:space="0" w:color="auto"/>
                <w:right w:val="none" w:sz="0" w:space="0" w:color="auto"/>
              </w:divBdr>
            </w:div>
            <w:div w:id="539167365">
              <w:marLeft w:val="0"/>
              <w:marRight w:val="0"/>
              <w:marTop w:val="0"/>
              <w:marBottom w:val="240"/>
              <w:divBdr>
                <w:top w:val="none" w:sz="0" w:space="0" w:color="auto"/>
                <w:left w:val="none" w:sz="0" w:space="0" w:color="auto"/>
                <w:bottom w:val="none" w:sz="0" w:space="0" w:color="auto"/>
                <w:right w:val="none" w:sz="0" w:space="0" w:color="auto"/>
              </w:divBdr>
            </w:div>
            <w:div w:id="468061525">
              <w:marLeft w:val="0"/>
              <w:marRight w:val="0"/>
              <w:marTop w:val="0"/>
              <w:marBottom w:val="240"/>
              <w:divBdr>
                <w:top w:val="none" w:sz="0" w:space="0" w:color="auto"/>
                <w:left w:val="none" w:sz="0" w:space="0" w:color="auto"/>
                <w:bottom w:val="none" w:sz="0" w:space="0" w:color="auto"/>
                <w:right w:val="none" w:sz="0" w:space="0" w:color="auto"/>
              </w:divBdr>
            </w:div>
            <w:div w:id="2004816284">
              <w:marLeft w:val="0"/>
              <w:marRight w:val="0"/>
              <w:marTop w:val="0"/>
              <w:marBottom w:val="240"/>
              <w:divBdr>
                <w:top w:val="none" w:sz="0" w:space="0" w:color="auto"/>
                <w:left w:val="none" w:sz="0" w:space="0" w:color="auto"/>
                <w:bottom w:val="none" w:sz="0" w:space="0" w:color="auto"/>
                <w:right w:val="none" w:sz="0" w:space="0" w:color="auto"/>
              </w:divBdr>
            </w:div>
            <w:div w:id="525413874">
              <w:marLeft w:val="0"/>
              <w:marRight w:val="0"/>
              <w:marTop w:val="0"/>
              <w:marBottom w:val="240"/>
              <w:divBdr>
                <w:top w:val="none" w:sz="0" w:space="0" w:color="auto"/>
                <w:left w:val="none" w:sz="0" w:space="0" w:color="auto"/>
                <w:bottom w:val="none" w:sz="0" w:space="0" w:color="auto"/>
                <w:right w:val="none" w:sz="0" w:space="0" w:color="auto"/>
              </w:divBdr>
            </w:div>
            <w:div w:id="81595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t1cd0nmw.20"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oxfordreference.com/display/10.1093/acref/9780198606963.001.0001/acref-9780198606963-e-583" TargetMode="External"/><Relationship Id="rId4" Type="http://schemas.openxmlformats.org/officeDocument/2006/relationships/webSettings" Target="webSettings.xml"/><Relationship Id="rId9" Type="http://schemas.openxmlformats.org/officeDocument/2006/relationships/hyperlink" Target="https://www.oxfordreference.com/display/10.1093/acref/9780198606963.001.0001/acref-9780198606963-e-4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8E4FA-C71E-5048-B9D1-EA577975D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1011</TotalTime>
  <Pages>6</Pages>
  <Words>1939</Words>
  <Characters>11058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22</cp:revision>
  <dcterms:created xsi:type="dcterms:W3CDTF">2022-12-05T11:16:00Z</dcterms:created>
  <dcterms:modified xsi:type="dcterms:W3CDTF">2022-12-16T12:27:00Z</dcterms:modified>
</cp:coreProperties>
</file>