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7361983"/>
        <w:docPartObj>
          <w:docPartGallery w:val="Cover Pages"/>
          <w:docPartUnique/>
        </w:docPartObj>
      </w:sdtPr>
      <w:sdtEndPr>
        <w:rPr>
          <w:rFonts w:ascii="Arial" w:hAnsi="Arial" w:cs="Arial"/>
          <w:sz w:val="22"/>
          <w:szCs w:val="22"/>
        </w:rPr>
      </w:sdtEndPr>
      <w:sdtContent>
        <w:p w14:paraId="371A029E" w14:textId="6966B952" w:rsidR="00960023" w:rsidRPr="00783E90" w:rsidRDefault="00960023" w:rsidP="00783E90">
          <w:pPr>
            <w:jc w:val="both"/>
            <w:rPr>
              <w:rFonts w:ascii="Arial" w:hAnsi="Arial" w:cs="Arial"/>
              <w:sz w:val="22"/>
              <w:szCs w:val="22"/>
            </w:rPr>
          </w:pPr>
          <w:r w:rsidRPr="00783E90">
            <w:rPr>
              <w:rFonts w:ascii="Arial" w:hAnsi="Arial" w:cs="Arial"/>
              <w:noProof/>
              <w:sz w:val="22"/>
              <w:szCs w:val="22"/>
            </w:rPr>
            <mc:AlternateContent>
              <mc:Choice Requires="wpg">
                <w:drawing>
                  <wp:anchor distT="0" distB="0" distL="114300" distR="114300" simplePos="0" relativeHeight="251659264" behindDoc="1" locked="0" layoutInCell="1" allowOverlap="1" wp14:anchorId="7BE33F70" wp14:editId="36F7423E">
                    <wp:simplePos x="0" y="0"/>
                    <wp:positionH relativeFrom="page">
                      <wp:align>center</wp:align>
                    </wp:positionH>
                    <wp:positionV relativeFrom="page">
                      <wp:align>center</wp:align>
                    </wp:positionV>
                    <wp:extent cx="6864824" cy="9719310"/>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719310"/>
                              <a:chOff x="0" y="0"/>
                              <a:chExt cx="6864824" cy="971931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838700"/>
                                <a:ext cx="6858000" cy="488061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1FB45D" w14:textId="7F2DE147" w:rsidR="00960023" w:rsidRDefault="00960023" w:rsidP="00960023">
                                  <w:pPr>
                                    <w:pStyle w:val="NoSpacing"/>
                                    <w:spacing w:before="120"/>
                                    <w:rPr>
                                      <w:color w:val="FFFFFF" w:themeColor="background1"/>
                                    </w:rPr>
                                  </w:pPr>
                                </w:p>
                                <w:p w14:paraId="2D575603" w14:textId="161C8F01" w:rsidR="00960023" w:rsidRDefault="0099786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60023">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49D324F" w14:textId="5C23E50A" w:rsidR="00960023" w:rsidRDefault="009176C5" w:rsidP="00960023">
                                      <w:pPr>
                                        <w:pStyle w:val="NoSpacing"/>
                                        <w:rPr>
                                          <w:rFonts w:asciiTheme="majorHAnsi" w:eastAsiaTheme="majorEastAsia" w:hAnsiTheme="majorHAnsi" w:cstheme="majorBidi"/>
                                          <w:caps/>
                                          <w:color w:val="156082" w:themeColor="accent1"/>
                                          <w:sz w:val="72"/>
                                          <w:szCs w:val="72"/>
                                        </w:rPr>
                                      </w:pPr>
                                      <w:r>
                                        <w:rPr>
                                          <w:rStyle w:val="TitleChar"/>
                                        </w:rPr>
                                        <w:t>C</w:t>
                                      </w:r>
                                      <w:r w:rsidR="00921D37" w:rsidRPr="009176C5">
                                        <w:rPr>
                                          <w:rStyle w:val="TitleChar"/>
                                        </w:rPr>
                                        <w:t xml:space="preserve">ritical </w:t>
                                      </w:r>
                                      <w:r>
                                        <w:rPr>
                                          <w:rStyle w:val="TitleChar"/>
                                        </w:rPr>
                                        <w:t>R</w:t>
                                      </w:r>
                                      <w:r w:rsidR="00921D37" w:rsidRPr="009176C5">
                                        <w:rPr>
                                          <w:rStyle w:val="TitleChar"/>
                                        </w:rPr>
                                        <w:t xml:space="preserve">eview of </w:t>
                                      </w:r>
                                      <w:r w:rsidR="00660491">
                                        <w:rPr>
                                          <w:rStyle w:val="TitleChar"/>
                                        </w:rPr>
                                        <w:t>O</w:t>
                                      </w:r>
                                      <w:r w:rsidR="00660491" w:rsidRPr="009176C5">
                                        <w:rPr>
                                          <w:rStyle w:val="TitleChar"/>
                                        </w:rPr>
                                        <w:t>rganisational</w:t>
                                      </w:r>
                                      <w:r w:rsidR="00921D37" w:rsidRPr="009176C5">
                                        <w:rPr>
                                          <w:rStyle w:val="TitleChar"/>
                                        </w:rPr>
                                        <w:t xml:space="preserve"> </w:t>
                                      </w:r>
                                      <w:r>
                                        <w:rPr>
                                          <w:rStyle w:val="TitleChar"/>
                                        </w:rPr>
                                        <w:t>R</w:t>
                                      </w:r>
                                      <w:r w:rsidR="00921D37" w:rsidRPr="009176C5">
                                        <w:rPr>
                                          <w:rStyle w:val="TitleChar"/>
                                        </w:rPr>
                                        <w:t xml:space="preserve">esilience in </w:t>
                                      </w:r>
                                      <w:r>
                                        <w:rPr>
                                          <w:rStyle w:val="TitleChar"/>
                                        </w:rPr>
                                        <w:t>C</w:t>
                                      </w:r>
                                      <w:r w:rsidRPr="009176C5">
                                        <w:rPr>
                                          <w:rStyle w:val="TitleChar"/>
                                        </w:rPr>
                                        <w:t>are homes</w:t>
                                      </w:r>
                                      <w:r w:rsidR="00921D37" w:rsidRPr="009176C5">
                                        <w:rPr>
                                          <w:rStyle w:val="TitleChar"/>
                                        </w:rPr>
                                        <w:t>:</w:t>
                                      </w:r>
                                      <w:r>
                                        <w:rPr>
                                          <w:rStyle w:val="TitleChar"/>
                                        </w:rPr>
                                        <w:t xml:space="preserve"> </w:t>
                                      </w:r>
                                      <w:r w:rsidR="00921D37" w:rsidRPr="009176C5">
                                        <w:rPr>
                                          <w:rStyle w:val="TitleChar"/>
                                        </w:rPr>
                                        <w:t>an evaluation of ross et.al</w:t>
                                      </w:r>
                                      <w:r w:rsidRPr="009176C5">
                                        <w:rPr>
                                          <w:rStyle w:val="TitleChar"/>
                                        </w:rPr>
                                        <w:t xml:space="preserve"> (2022)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BE33F70" id="Group 198" o:spid="_x0000_s1026" style="position:absolute;left:0;text-align:left;margin-left:0;margin-top:0;width:540.55pt;height:765.3pt;z-index:-251657216;mso-width-percent:882;mso-position-horizontal:center;mso-position-horizontal-relative:page;mso-position-vertical:center;mso-position-vertical-relative:page;mso-width-percent:882" coordsize="68648,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8387;width:68580;height:4880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7A1FB45D" w14:textId="7F2DE147" w:rsidR="00960023" w:rsidRDefault="00960023" w:rsidP="00960023">
                            <w:pPr>
                              <w:pStyle w:val="NoSpacing"/>
                              <w:spacing w:before="120"/>
                              <w:rPr>
                                <w:color w:val="FFFFFF" w:themeColor="background1"/>
                              </w:rPr>
                            </w:pPr>
                          </w:p>
                          <w:p w14:paraId="2D575603" w14:textId="161C8F01" w:rsidR="00960023" w:rsidRDefault="0099786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60023">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49D324F" w14:textId="5C23E50A" w:rsidR="00960023" w:rsidRDefault="009176C5" w:rsidP="00960023">
                                <w:pPr>
                                  <w:pStyle w:val="NoSpacing"/>
                                  <w:rPr>
                                    <w:rFonts w:asciiTheme="majorHAnsi" w:eastAsiaTheme="majorEastAsia" w:hAnsiTheme="majorHAnsi" w:cstheme="majorBidi"/>
                                    <w:caps/>
                                    <w:color w:val="156082" w:themeColor="accent1"/>
                                    <w:sz w:val="72"/>
                                    <w:szCs w:val="72"/>
                                  </w:rPr>
                                </w:pPr>
                                <w:r>
                                  <w:rPr>
                                    <w:rStyle w:val="TitleChar"/>
                                  </w:rPr>
                                  <w:t>C</w:t>
                                </w:r>
                                <w:r w:rsidR="00921D37" w:rsidRPr="009176C5">
                                  <w:rPr>
                                    <w:rStyle w:val="TitleChar"/>
                                  </w:rPr>
                                  <w:t xml:space="preserve">ritical </w:t>
                                </w:r>
                                <w:r>
                                  <w:rPr>
                                    <w:rStyle w:val="TitleChar"/>
                                  </w:rPr>
                                  <w:t>R</w:t>
                                </w:r>
                                <w:r w:rsidR="00921D37" w:rsidRPr="009176C5">
                                  <w:rPr>
                                    <w:rStyle w:val="TitleChar"/>
                                  </w:rPr>
                                  <w:t xml:space="preserve">eview of </w:t>
                                </w:r>
                                <w:r w:rsidR="00660491">
                                  <w:rPr>
                                    <w:rStyle w:val="TitleChar"/>
                                  </w:rPr>
                                  <w:t>O</w:t>
                                </w:r>
                                <w:r w:rsidR="00660491" w:rsidRPr="009176C5">
                                  <w:rPr>
                                    <w:rStyle w:val="TitleChar"/>
                                  </w:rPr>
                                  <w:t>rganisational</w:t>
                                </w:r>
                                <w:r w:rsidR="00921D37" w:rsidRPr="009176C5">
                                  <w:rPr>
                                    <w:rStyle w:val="TitleChar"/>
                                  </w:rPr>
                                  <w:t xml:space="preserve"> </w:t>
                                </w:r>
                                <w:r>
                                  <w:rPr>
                                    <w:rStyle w:val="TitleChar"/>
                                  </w:rPr>
                                  <w:t>R</w:t>
                                </w:r>
                                <w:r w:rsidR="00921D37" w:rsidRPr="009176C5">
                                  <w:rPr>
                                    <w:rStyle w:val="TitleChar"/>
                                  </w:rPr>
                                  <w:t xml:space="preserve">esilience in </w:t>
                                </w:r>
                                <w:r>
                                  <w:rPr>
                                    <w:rStyle w:val="TitleChar"/>
                                  </w:rPr>
                                  <w:t>C</w:t>
                                </w:r>
                                <w:r w:rsidRPr="009176C5">
                                  <w:rPr>
                                    <w:rStyle w:val="TitleChar"/>
                                  </w:rPr>
                                  <w:t>are homes</w:t>
                                </w:r>
                                <w:r w:rsidR="00921D37" w:rsidRPr="009176C5">
                                  <w:rPr>
                                    <w:rStyle w:val="TitleChar"/>
                                  </w:rPr>
                                  <w:t>:</w:t>
                                </w:r>
                                <w:r>
                                  <w:rPr>
                                    <w:rStyle w:val="TitleChar"/>
                                  </w:rPr>
                                  <w:t xml:space="preserve"> </w:t>
                                </w:r>
                                <w:r w:rsidR="00921D37" w:rsidRPr="009176C5">
                                  <w:rPr>
                                    <w:rStyle w:val="TitleChar"/>
                                  </w:rPr>
                                  <w:t>an evaluation of ross et.al</w:t>
                                </w:r>
                                <w:r w:rsidRPr="009176C5">
                                  <w:rPr>
                                    <w:rStyle w:val="TitleChar"/>
                                  </w:rPr>
                                  <w:t xml:space="preserve"> (2022)</w:t>
                                </w:r>
                              </w:p>
                            </w:sdtContent>
                          </w:sdt>
                        </w:txbxContent>
                      </v:textbox>
                    </v:shape>
                    <w10:wrap anchorx="page" anchory="page"/>
                  </v:group>
                </w:pict>
              </mc:Fallback>
            </mc:AlternateContent>
          </w:r>
        </w:p>
        <w:p w14:paraId="3B80649D" w14:textId="0CD07764" w:rsidR="00960023" w:rsidRPr="00783E90" w:rsidRDefault="00960023" w:rsidP="00783E90">
          <w:pPr>
            <w:jc w:val="both"/>
            <w:rPr>
              <w:rFonts w:ascii="Arial" w:eastAsiaTheme="majorEastAsia" w:hAnsi="Arial" w:cs="Arial"/>
              <w:color w:val="0F4761" w:themeColor="accent1" w:themeShade="BF"/>
              <w:sz w:val="22"/>
              <w:szCs w:val="22"/>
            </w:rPr>
          </w:pPr>
          <w:r w:rsidRPr="00783E90">
            <w:rPr>
              <w:rFonts w:ascii="Arial" w:hAnsi="Arial" w:cs="Arial"/>
              <w:noProof/>
              <w:sz w:val="22"/>
              <w:szCs w:val="22"/>
            </w:rPr>
            <mc:AlternateContent>
              <mc:Choice Requires="wps">
                <w:drawing>
                  <wp:anchor distT="0" distB="0" distL="114300" distR="114300" simplePos="0" relativeHeight="251660288" behindDoc="0" locked="0" layoutInCell="1" allowOverlap="1" wp14:anchorId="3480DCA5" wp14:editId="58ECD54B">
                    <wp:simplePos x="0" y="0"/>
                    <wp:positionH relativeFrom="column">
                      <wp:posOffset>1657350</wp:posOffset>
                    </wp:positionH>
                    <wp:positionV relativeFrom="paragraph">
                      <wp:posOffset>4172585</wp:posOffset>
                    </wp:positionV>
                    <wp:extent cx="2724150" cy="4600575"/>
                    <wp:effectExtent l="0" t="0" r="19050" b="28575"/>
                    <wp:wrapNone/>
                    <wp:docPr id="1281313194" name="Text Box 1"/>
                    <wp:cNvGraphicFramePr/>
                    <a:graphic xmlns:a="http://schemas.openxmlformats.org/drawingml/2006/main">
                      <a:graphicData uri="http://schemas.microsoft.com/office/word/2010/wordprocessingShape">
                        <wps:wsp>
                          <wps:cNvSpPr txBox="1"/>
                          <wps:spPr>
                            <a:xfrm>
                              <a:off x="0" y="0"/>
                              <a:ext cx="2724150" cy="4600575"/>
                            </a:xfrm>
                            <a:prstGeom prst="rect">
                              <a:avLst/>
                            </a:prstGeom>
                            <a:solidFill>
                              <a:schemeClr val="lt1"/>
                            </a:solidFill>
                            <a:ln w="6350">
                              <a:solidFill>
                                <a:prstClr val="black"/>
                              </a:solidFill>
                            </a:ln>
                          </wps:spPr>
                          <wps:txbx>
                            <w:txbxContent>
                              <w:p w14:paraId="76DE9D6D"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Lecturers name: Justin Okoli</w:t>
                                </w:r>
                              </w:p>
                              <w:p w14:paraId="554A665E"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Student Name: Beniah Ariel Jehu Warren</w:t>
                                </w:r>
                              </w:p>
                              <w:p w14:paraId="22460316"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Student Number: 2540018</w:t>
                                </w:r>
                              </w:p>
                              <w:p w14:paraId="59C8A54B" w14:textId="0EAE09CB" w:rsidR="00960023" w:rsidRDefault="00960023" w:rsidP="00960023">
                                <w:pPr>
                                  <w:pStyle w:val="IntenseQuote"/>
                                  <w:rPr>
                                    <w:rFonts w:ascii="Arial" w:hAnsi="Arial" w:cs="Arial"/>
                                    <w:sz w:val="22"/>
                                    <w:szCs w:val="22"/>
                                  </w:rPr>
                                </w:pPr>
                                <w:r>
                                  <w:rPr>
                                    <w:rFonts w:ascii="Arial" w:hAnsi="Arial" w:cs="Arial"/>
                                    <w:sz w:val="22"/>
                                    <w:szCs w:val="22"/>
                                  </w:rPr>
                                  <w:t xml:space="preserve">Module name: Digital Skills &amp; Research methods </w:t>
                                </w:r>
                              </w:p>
                              <w:p w14:paraId="72F11BC9" w14:textId="73247C7C" w:rsidR="00960023" w:rsidRPr="00DC6AFD" w:rsidRDefault="00960023" w:rsidP="00960023">
                                <w:pPr>
                                  <w:pStyle w:val="IntenseQuote"/>
                                  <w:rPr>
                                    <w:rFonts w:ascii="Arial" w:hAnsi="Arial" w:cs="Arial"/>
                                    <w:sz w:val="22"/>
                                    <w:szCs w:val="22"/>
                                  </w:rPr>
                                </w:pPr>
                                <w:r w:rsidRPr="00DC6AFD">
                                  <w:rPr>
                                    <w:rFonts w:ascii="Arial" w:hAnsi="Arial" w:cs="Arial"/>
                                    <w:sz w:val="22"/>
                                    <w:szCs w:val="22"/>
                                  </w:rPr>
                                  <w:t>Module code: LCHS4007</w:t>
                                </w:r>
                                <w:r w:rsidRPr="00DC6AFD">
                                  <w:rPr>
                                    <w:rFonts w:ascii="Arial" w:hAnsi="Arial" w:cs="Arial"/>
                                    <w:sz w:val="22"/>
                                    <w:szCs w:val="22"/>
                                  </w:rPr>
                                  <w:br w:type="page"/>
                                </w:r>
                              </w:p>
                              <w:p w14:paraId="54958B4D" w14:textId="77777777" w:rsidR="00960023" w:rsidRDefault="009600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80DCA5" id="Text Box 1" o:spid="_x0000_s1030" type="#_x0000_t202" style="position:absolute;left:0;text-align:left;margin-left:130.5pt;margin-top:328.55pt;width:214.5pt;height:36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" fillcolor="white [3201]" strokeweight=".5pt">
                    <v:textbox>
                      <w:txbxContent>
                        <w:p w14:paraId="76DE9D6D"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Lecturers name: Justin Okoli</w:t>
                          </w:r>
                        </w:p>
                        <w:p w14:paraId="554A665E"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Student Name: Beniah Ariel Jehu Warren</w:t>
                          </w:r>
                        </w:p>
                        <w:p w14:paraId="22460316" w14:textId="77777777" w:rsidR="00960023" w:rsidRPr="00DC6AFD" w:rsidRDefault="00960023" w:rsidP="00960023">
                          <w:pPr>
                            <w:pStyle w:val="IntenseQuote"/>
                            <w:rPr>
                              <w:rFonts w:ascii="Arial" w:hAnsi="Arial" w:cs="Arial"/>
                              <w:sz w:val="22"/>
                              <w:szCs w:val="22"/>
                            </w:rPr>
                          </w:pPr>
                          <w:r w:rsidRPr="00DC6AFD">
                            <w:rPr>
                              <w:rFonts w:ascii="Arial" w:hAnsi="Arial" w:cs="Arial"/>
                              <w:sz w:val="22"/>
                              <w:szCs w:val="22"/>
                            </w:rPr>
                            <w:t>Student Number: 2540018</w:t>
                          </w:r>
                        </w:p>
                        <w:p w14:paraId="59C8A54B" w14:textId="0EAE09CB" w:rsidR="00960023" w:rsidRDefault="00960023" w:rsidP="00960023">
                          <w:pPr>
                            <w:pStyle w:val="IntenseQuote"/>
                            <w:rPr>
                              <w:rFonts w:ascii="Arial" w:hAnsi="Arial" w:cs="Arial"/>
                              <w:sz w:val="22"/>
                              <w:szCs w:val="22"/>
                            </w:rPr>
                          </w:pPr>
                          <w:r>
                            <w:rPr>
                              <w:rFonts w:ascii="Arial" w:hAnsi="Arial" w:cs="Arial"/>
                              <w:sz w:val="22"/>
                              <w:szCs w:val="22"/>
                            </w:rPr>
                            <w:t xml:space="preserve">Module name: Digital Skills &amp; Research methods </w:t>
                          </w:r>
                        </w:p>
                        <w:p w14:paraId="72F11BC9" w14:textId="73247C7C" w:rsidR="00960023" w:rsidRPr="00DC6AFD" w:rsidRDefault="00960023" w:rsidP="00960023">
                          <w:pPr>
                            <w:pStyle w:val="IntenseQuote"/>
                            <w:rPr>
                              <w:rFonts w:ascii="Arial" w:hAnsi="Arial" w:cs="Arial"/>
                              <w:sz w:val="22"/>
                              <w:szCs w:val="22"/>
                            </w:rPr>
                          </w:pPr>
                          <w:r w:rsidRPr="00DC6AFD">
                            <w:rPr>
                              <w:rFonts w:ascii="Arial" w:hAnsi="Arial" w:cs="Arial"/>
                              <w:sz w:val="22"/>
                              <w:szCs w:val="22"/>
                            </w:rPr>
                            <w:t>Module code: LCHS4007</w:t>
                          </w:r>
                          <w:r w:rsidRPr="00DC6AFD">
                            <w:rPr>
                              <w:rFonts w:ascii="Arial" w:hAnsi="Arial" w:cs="Arial"/>
                              <w:sz w:val="22"/>
                              <w:szCs w:val="22"/>
                            </w:rPr>
                            <w:br w:type="page"/>
                          </w:r>
                        </w:p>
                        <w:p w14:paraId="54958B4D" w14:textId="77777777" w:rsidR="00960023" w:rsidRDefault="00960023"/>
                      </w:txbxContent>
                    </v:textbox>
                  </v:shape>
                </w:pict>
              </mc:Fallback>
            </mc:AlternateContent>
          </w:r>
          <w:r w:rsidRPr="00783E90">
            <w:rPr>
              <w:rFonts w:ascii="Arial" w:hAnsi="Arial" w:cs="Arial"/>
              <w:sz w:val="22"/>
              <w:szCs w:val="22"/>
            </w:rPr>
            <w:br w:type="page"/>
          </w:r>
        </w:p>
      </w:sdtContent>
    </w:sdt>
    <w:p w14:paraId="3A2D30CB" w14:textId="4A626318" w:rsidR="00960023" w:rsidRPr="00783E90" w:rsidRDefault="00960023" w:rsidP="00783E90">
      <w:pPr>
        <w:pStyle w:val="Heading1"/>
        <w:jc w:val="both"/>
        <w:rPr>
          <w:rFonts w:ascii="Arial" w:hAnsi="Arial" w:cs="Arial"/>
          <w:sz w:val="22"/>
          <w:szCs w:val="22"/>
        </w:rPr>
      </w:pPr>
      <w:r w:rsidRPr="00783E90">
        <w:rPr>
          <w:rFonts w:ascii="Arial" w:hAnsi="Arial" w:cs="Arial"/>
          <w:sz w:val="22"/>
          <w:szCs w:val="22"/>
        </w:rPr>
        <w:lastRenderedPageBreak/>
        <w:t xml:space="preserve">Section 1: Introducing the research paper and topic development </w:t>
      </w:r>
    </w:p>
    <w:p w14:paraId="72B5B73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This report reviews the article A Qualitative Study of Organisational Resilience in Care Homes in Scotland by Ross et al. (2022). The study was published on 20 December 2022 as part of the I-SCOPE project (Improving Systems of Care for Older People). It explores how care home staff provide safe, effective and person-centred care for older adults while working in complex and changing environments. The research team included academics and professionals from universities, NHS Education for Scotland and the Care Inspectorate, giving the study both academic and practical relevance to health and social care (Ross et al., 2022).</w:t>
      </w:r>
    </w:p>
    <w:p w14:paraId="40434A52" w14:textId="4FF34C2F" w:rsidR="00960023" w:rsidRPr="00783E90" w:rsidRDefault="00960023" w:rsidP="00783E90">
      <w:pPr>
        <w:jc w:val="both"/>
        <w:rPr>
          <w:rFonts w:ascii="Arial" w:hAnsi="Arial" w:cs="Arial"/>
          <w:sz w:val="22"/>
          <w:szCs w:val="22"/>
        </w:rPr>
      </w:pPr>
      <w:r w:rsidRPr="00783E90">
        <w:rPr>
          <w:rFonts w:ascii="Arial" w:hAnsi="Arial" w:cs="Arial"/>
          <w:sz w:val="22"/>
          <w:szCs w:val="22"/>
        </w:rPr>
        <w:t>Organisational resilience is an important issue in health and social care because care homes support people with complex and long-term needs, including frailty, dementia, mobility difficulties, medication management and end-of-life care. Person-centred care is particularly important in these settings because older adults often have complex physical, psychological and social needs that require coordinated and individualised support. Edvardsson and Innes (2010) argue that person-centred approaches are essential in long-term care environments as they promote dignity, autonomy and quality of life for older people. Therefore, staff must make daily decisions that maintain resident</w:t>
      </w:r>
      <w:r w:rsidR="00783E90" w:rsidRPr="00783E90">
        <w:rPr>
          <w:rFonts w:ascii="Arial" w:hAnsi="Arial" w:cs="Arial"/>
          <w:sz w:val="22"/>
          <w:szCs w:val="22"/>
        </w:rPr>
        <w:t>'</w:t>
      </w:r>
      <w:r w:rsidR="001C5E31" w:rsidRPr="00783E90">
        <w:rPr>
          <w:rFonts w:ascii="Arial" w:hAnsi="Arial" w:cs="Arial"/>
          <w:sz w:val="22"/>
          <w:szCs w:val="22"/>
        </w:rPr>
        <w:t>s</w:t>
      </w:r>
      <w:r w:rsidRPr="00783E90">
        <w:rPr>
          <w:rFonts w:ascii="Arial" w:hAnsi="Arial" w:cs="Arial"/>
          <w:sz w:val="22"/>
          <w:szCs w:val="22"/>
        </w:rPr>
        <w:t xml:space="preserve"> dignity, wellbeing and overall quality of care.</w:t>
      </w:r>
    </w:p>
    <w:p w14:paraId="7086F73D"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topic developed from a need to understand how care homes operate in practice rather than relying solely on policies and procedures. Resident’s needs may change rapidly, requiring staff to balance safety, dignity, documentation requirements, family expectations and professional standards. Understanding everyday practice is important because care home environments are unpredictable. Residents can experience sudden physical or emotional changes, requiring staff to adapt quickly while continuing to provide safe and compassionate care. Research in this area can therefore help improve care quality and outcomes.</w:t>
      </w:r>
    </w:p>
    <w:p w14:paraId="04C7DBFF"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Ross et al. (2022) describe care homes as complex systems influenced by residents, staff, leadership, resources and information systems. By focusing on organisational resilience, the researchers explored how staff adapt to challenges, communicate effectively and maintain quality care despite pressures. This links to Care Quality Commission (CQC) principles that encourage people to be involved in decisions about their care (CQC, 2024). The study used Resilient Healthcare theory and the CARE model to examine how staff anticipate, monitor, respond, learn and coordinate care.</w:t>
      </w:r>
    </w:p>
    <w:p w14:paraId="024F6A6E" w14:textId="77777777" w:rsidR="00960023" w:rsidRPr="00783E90" w:rsidRDefault="00960023" w:rsidP="00783E90">
      <w:pPr>
        <w:pStyle w:val="Heading1"/>
        <w:jc w:val="both"/>
        <w:rPr>
          <w:rFonts w:ascii="Arial" w:hAnsi="Arial" w:cs="Arial"/>
          <w:sz w:val="22"/>
          <w:szCs w:val="22"/>
        </w:rPr>
      </w:pPr>
      <w:r w:rsidRPr="00783E90">
        <w:rPr>
          <w:rFonts w:ascii="Arial" w:hAnsi="Arial" w:cs="Arial"/>
          <w:sz w:val="22"/>
          <w:szCs w:val="22"/>
        </w:rPr>
        <w:t xml:space="preserve">Section 2: Understanding the purpose and research question </w:t>
      </w:r>
    </w:p>
    <w:p w14:paraId="3BB2B88E"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 xml:space="preserve">The aim of the study was to understand how care is delivered in care homes and how staff adapt during everyday work (Ross et al., 2022). Rather than focusing only on procedures, the </w:t>
      </w:r>
      <w:r w:rsidRPr="00783E90">
        <w:rPr>
          <w:rFonts w:ascii="Arial" w:hAnsi="Arial" w:cs="Arial"/>
          <w:sz w:val="22"/>
          <w:szCs w:val="22"/>
        </w:rPr>
        <w:lastRenderedPageBreak/>
        <w:t>researchers explored the realities of care and how staff manage competing demands while maintaining safety and quality.</w:t>
      </w:r>
    </w:p>
    <w:p w14:paraId="525EFB13"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main research question examined how organisational resilience helps staff provide safe and person-centred care despite changing demands. The researchers explored how care home systems operate, how staff respond to challenges and which factors support or hinder person-centred care.</w:t>
      </w:r>
    </w:p>
    <w:p w14:paraId="20D2F06E"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This question is important because care homes face increasing demand, workforce pressures and the complex need of residents. Understanding resilience helps identify how staff maintain high standards of care despite changing circumstances. The study is also relevant to Regulation 9 of the Health and Social Care Act, which states that care should reflect individual needs and preferences (CQC, 2025). The researchers also considered how organisational resilience could be strengthened using the CARE model and identified recommendations for improving care delivery.</w:t>
      </w:r>
    </w:p>
    <w:p w14:paraId="575E6E59" w14:textId="77777777" w:rsidR="00960023" w:rsidRPr="00783E90" w:rsidRDefault="00960023" w:rsidP="00783E90">
      <w:pPr>
        <w:pStyle w:val="Heading1"/>
        <w:jc w:val="both"/>
        <w:rPr>
          <w:rFonts w:ascii="Arial" w:hAnsi="Arial" w:cs="Arial"/>
          <w:sz w:val="22"/>
          <w:szCs w:val="22"/>
        </w:rPr>
      </w:pPr>
      <w:r w:rsidRPr="00783E90">
        <w:rPr>
          <w:rFonts w:ascii="Arial" w:hAnsi="Arial" w:cs="Arial"/>
          <w:sz w:val="22"/>
          <w:szCs w:val="22"/>
        </w:rPr>
        <w:t xml:space="preserve">Section 3: Understanding the research methods </w:t>
      </w:r>
    </w:p>
    <w:p w14:paraId="5CBC239F"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Research can be quantitative, qualitative or mixed methods.</w:t>
      </w:r>
    </w:p>
    <w:p w14:paraId="38AF7C0E"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Quantitative research focuses on numerical data and statistical analysis. Common methods include surveys, audits and measurements. In health and social care, quantitative research may examine hospital admissions, infection rates, staffing levels or falls.</w:t>
      </w:r>
    </w:p>
    <w:p w14:paraId="3F36F123"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Qualitative research focuses on experiences, opinions and behaviours. It commonly uses interviews, focus groups, observations and document reviews to gain detailed information. Qualitative methods are valuable because they allow participants to describe experiences in their own words and provide insight that numerical data alone cannot offer.</w:t>
      </w:r>
    </w:p>
    <w:p w14:paraId="39CDB391"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Mixed-methods research combines both approaches, using numerical data to identify patterns and qualitative data to explain experiences in greater detail.</w:t>
      </w:r>
    </w:p>
    <w:p w14:paraId="236E9213"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I-SCOPE study mainly used a qualitative research design because the researchers wanted to explore everyday care practices rather than measure statistical outcomes. Although some numerical information was included, most evidence came from interviews, focus groups, observations, discussions, field notes and care-related documents.</w:t>
      </w:r>
    </w:p>
    <w:p w14:paraId="63E6B8E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A key feature was the focus on “work-as-done” (Ross et al., 2022). This refers to how staff work in practice rather than how work is described in policies. Observing everyday care enabled researchers to examine how staff responded to changing needs, interruptions and staffing pressures. This reflects Resilient Healthcare theory, which highlights teamwork, judgement and adaptability.</w:t>
      </w:r>
    </w:p>
    <w:p w14:paraId="2550FD4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lastRenderedPageBreak/>
        <w:t>The study collected both primary and secondary data. Primary data is collected directly from participants through interviews, observations and focus groups. Secondary data already exists and includes policy documents, care records, inspection reports and previous research.</w:t>
      </w:r>
    </w:p>
    <w:p w14:paraId="2F11EBA2"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Most data in this study were primary and came from care home staff, residents, relatives, inspectors and other professionals. Secondary data included care plans, organisational documents and resident records.</w:t>
      </w:r>
    </w:p>
    <w:p w14:paraId="5D8960F8"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Ross et al. (2022) collected data through:</w:t>
      </w:r>
    </w:p>
    <w:p w14:paraId="7A59EFFE" w14:textId="0354FA99" w:rsidR="00960023" w:rsidRPr="00783E90" w:rsidRDefault="00960023" w:rsidP="00783E90">
      <w:pPr>
        <w:pStyle w:val="ListParagraph"/>
        <w:numPr>
          <w:ilvl w:val="0"/>
          <w:numId w:val="2"/>
        </w:numPr>
        <w:jc w:val="both"/>
        <w:rPr>
          <w:rFonts w:ascii="Arial" w:hAnsi="Arial" w:cs="Arial"/>
          <w:sz w:val="22"/>
          <w:szCs w:val="22"/>
        </w:rPr>
      </w:pPr>
      <w:r w:rsidRPr="00783E90">
        <w:rPr>
          <w:rFonts w:ascii="Arial" w:hAnsi="Arial" w:cs="Arial"/>
          <w:sz w:val="22"/>
          <w:szCs w:val="22"/>
        </w:rPr>
        <w:t>68 hours of non-participant observation</w:t>
      </w:r>
    </w:p>
    <w:p w14:paraId="6758E4AC" w14:textId="42C38142" w:rsidR="00960023" w:rsidRPr="00783E90" w:rsidRDefault="00960023" w:rsidP="00783E90">
      <w:pPr>
        <w:pStyle w:val="ListParagraph"/>
        <w:numPr>
          <w:ilvl w:val="0"/>
          <w:numId w:val="2"/>
        </w:numPr>
        <w:jc w:val="both"/>
        <w:rPr>
          <w:rFonts w:ascii="Arial" w:hAnsi="Arial" w:cs="Arial"/>
          <w:sz w:val="22"/>
          <w:szCs w:val="22"/>
        </w:rPr>
      </w:pPr>
      <w:r w:rsidRPr="00783E90">
        <w:rPr>
          <w:rFonts w:ascii="Arial" w:hAnsi="Arial" w:cs="Arial"/>
          <w:sz w:val="22"/>
          <w:szCs w:val="22"/>
        </w:rPr>
        <w:t>33 recorded interviews</w:t>
      </w:r>
    </w:p>
    <w:p w14:paraId="58498EFF" w14:textId="3412A97F" w:rsidR="00960023" w:rsidRPr="00783E90" w:rsidRDefault="00960023" w:rsidP="00783E90">
      <w:pPr>
        <w:pStyle w:val="ListParagraph"/>
        <w:numPr>
          <w:ilvl w:val="0"/>
          <w:numId w:val="2"/>
        </w:numPr>
        <w:jc w:val="both"/>
        <w:rPr>
          <w:rFonts w:ascii="Arial" w:hAnsi="Arial" w:cs="Arial"/>
          <w:sz w:val="22"/>
          <w:szCs w:val="22"/>
        </w:rPr>
      </w:pPr>
      <w:r w:rsidRPr="00783E90">
        <w:rPr>
          <w:rFonts w:ascii="Arial" w:hAnsi="Arial" w:cs="Arial"/>
          <w:sz w:val="22"/>
          <w:szCs w:val="22"/>
        </w:rPr>
        <w:t>Three focus groups involving 17 participants</w:t>
      </w:r>
    </w:p>
    <w:p w14:paraId="18FFB7C9" w14:textId="050FC22D" w:rsidR="00960023" w:rsidRPr="00783E90" w:rsidRDefault="00960023" w:rsidP="00783E90">
      <w:pPr>
        <w:pStyle w:val="ListParagraph"/>
        <w:numPr>
          <w:ilvl w:val="0"/>
          <w:numId w:val="2"/>
        </w:numPr>
        <w:jc w:val="both"/>
        <w:rPr>
          <w:rFonts w:ascii="Arial" w:hAnsi="Arial" w:cs="Arial"/>
          <w:sz w:val="22"/>
          <w:szCs w:val="22"/>
        </w:rPr>
      </w:pPr>
      <w:r w:rsidRPr="00783E90">
        <w:rPr>
          <w:rFonts w:ascii="Arial" w:hAnsi="Arial" w:cs="Arial"/>
          <w:sz w:val="22"/>
          <w:szCs w:val="22"/>
        </w:rPr>
        <w:t>Five round-table discussions involving 33 participants</w:t>
      </w:r>
    </w:p>
    <w:p w14:paraId="253A6A1F"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Residents and relatives were also included through emotional touchpoint interviews, which encouraged discussion about their care experiences.</w:t>
      </w:r>
    </w:p>
    <w:p w14:paraId="4D05E168"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data collected was qualitative because it consisted mainly of observations, opinions and experiences. Interviews and discussions were recorded and transcribed, while field notes captured additional observations.</w:t>
      </w:r>
    </w:p>
    <w:p w14:paraId="75A52AD2"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Data analysis was carried out using QSR NVivo 12.0 software. Researchers organised transcripts, documents and observations before coding important ideas and grouping them into themes.</w:t>
      </w:r>
    </w:p>
    <w:p w14:paraId="5C68A489"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Three themes emerged:</w:t>
      </w:r>
    </w:p>
    <w:p w14:paraId="357D0B7D" w14:textId="1A8BBC23" w:rsidR="00960023" w:rsidRPr="00783E90" w:rsidRDefault="00960023" w:rsidP="00783E90">
      <w:pPr>
        <w:pStyle w:val="ListParagraph"/>
        <w:numPr>
          <w:ilvl w:val="0"/>
          <w:numId w:val="4"/>
        </w:numPr>
        <w:jc w:val="both"/>
        <w:rPr>
          <w:rFonts w:ascii="Arial" w:hAnsi="Arial" w:cs="Arial"/>
          <w:sz w:val="22"/>
          <w:szCs w:val="22"/>
        </w:rPr>
      </w:pPr>
      <w:r w:rsidRPr="00783E90">
        <w:rPr>
          <w:rFonts w:ascii="Arial" w:hAnsi="Arial" w:cs="Arial"/>
          <w:sz w:val="22"/>
          <w:szCs w:val="22"/>
        </w:rPr>
        <w:t>Care planning and the use of information – how care plans and records supported decision-making.</w:t>
      </w:r>
    </w:p>
    <w:p w14:paraId="192E8D95" w14:textId="5745F957" w:rsidR="00960023" w:rsidRPr="00783E90" w:rsidRDefault="00960023" w:rsidP="00783E90">
      <w:pPr>
        <w:pStyle w:val="ListParagraph"/>
        <w:numPr>
          <w:ilvl w:val="0"/>
          <w:numId w:val="4"/>
        </w:numPr>
        <w:jc w:val="both"/>
        <w:rPr>
          <w:rFonts w:ascii="Arial" w:hAnsi="Arial" w:cs="Arial"/>
          <w:sz w:val="22"/>
          <w:szCs w:val="22"/>
        </w:rPr>
      </w:pPr>
      <w:r w:rsidRPr="00783E90">
        <w:rPr>
          <w:rFonts w:ascii="Arial" w:hAnsi="Arial" w:cs="Arial"/>
          <w:sz w:val="22"/>
          <w:szCs w:val="22"/>
        </w:rPr>
        <w:t>Coordination of everyday care activities – how staff organised work, communicated and prioritised tasks.</w:t>
      </w:r>
    </w:p>
    <w:p w14:paraId="29FA586F" w14:textId="20E4CEE7" w:rsidR="00960023" w:rsidRPr="00783E90" w:rsidRDefault="00960023" w:rsidP="00783E90">
      <w:pPr>
        <w:pStyle w:val="ListParagraph"/>
        <w:numPr>
          <w:ilvl w:val="0"/>
          <w:numId w:val="4"/>
        </w:numPr>
        <w:jc w:val="both"/>
        <w:rPr>
          <w:rFonts w:ascii="Arial" w:hAnsi="Arial" w:cs="Arial"/>
          <w:sz w:val="22"/>
          <w:szCs w:val="22"/>
        </w:rPr>
      </w:pPr>
      <w:r w:rsidRPr="00783E90">
        <w:rPr>
          <w:rFonts w:ascii="Arial" w:hAnsi="Arial" w:cs="Arial"/>
          <w:sz w:val="22"/>
          <w:szCs w:val="22"/>
        </w:rPr>
        <w:t>Providing person-centred care – how staff, residents and professionals worked together to support quality of life.</w:t>
      </w:r>
    </w:p>
    <w:p w14:paraId="041F62DC"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These themes showed how resilience activities such as monitoring, anticipating, responding, learning and coordinating helped staff deliver safe and effective care (Ross et al., 2022).</w:t>
      </w:r>
    </w:p>
    <w:p w14:paraId="43203ECE"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findings suggested that staff regularly adapted their work to meet residents’ changing needs and manage staffing pressures, paperwork and external expectations. While care plans were useful, excessive documentation could reduce time available for direct care.</w:t>
      </w:r>
    </w:p>
    <w:p w14:paraId="4716371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lastRenderedPageBreak/>
        <w:t>The study concluded that person-centred care depends not only on systems and procedures but also on staff understanding residents as individuals. These findings are consistent with research by Edvardsson, Sandman and Borell (2014), who found that implementing person-centred care approaches within residential care settings increased perceptions of person-centredness and helped staff provide care that better reflected residents’ preferences, values and individual needs. Their findings reinforce the importance of placing residents at the centre of care planning and delivery.</w:t>
      </w:r>
    </w:p>
    <w:p w14:paraId="3A4CF195"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Ross et al. (2022) recommended simplifying care planning processes, reducing duplicated paperwork, increasing the use of electronic care records and strengthening multidisciplinary working. They also recommended supporting staff to develop prioritisation, decision-making and problem-solving skills.</w:t>
      </w:r>
    </w:p>
    <w:p w14:paraId="34DCB4C0" w14:textId="77777777" w:rsidR="00960023" w:rsidRPr="00783E90" w:rsidRDefault="00960023" w:rsidP="00783E90">
      <w:pPr>
        <w:pStyle w:val="Subtitle"/>
        <w:jc w:val="both"/>
        <w:rPr>
          <w:rFonts w:ascii="Arial" w:hAnsi="Arial" w:cs="Arial"/>
          <w:sz w:val="22"/>
          <w:szCs w:val="22"/>
        </w:rPr>
      </w:pPr>
      <w:r w:rsidRPr="00783E90">
        <w:rPr>
          <w:rFonts w:ascii="Arial" w:hAnsi="Arial" w:cs="Arial"/>
          <w:sz w:val="22"/>
          <w:szCs w:val="22"/>
        </w:rPr>
        <w:t>Strengths</w:t>
      </w:r>
    </w:p>
    <w:p w14:paraId="120EF881" w14:textId="1B028C1D" w:rsidR="00960023" w:rsidRPr="00783E90" w:rsidRDefault="00960023" w:rsidP="00783E90">
      <w:pPr>
        <w:jc w:val="both"/>
        <w:rPr>
          <w:rFonts w:ascii="Arial" w:hAnsi="Arial" w:cs="Arial"/>
          <w:sz w:val="22"/>
          <w:szCs w:val="22"/>
        </w:rPr>
      </w:pPr>
      <w:r w:rsidRPr="00783E90">
        <w:rPr>
          <w:rFonts w:ascii="Arial" w:hAnsi="Arial" w:cs="Arial"/>
          <w:sz w:val="22"/>
          <w:szCs w:val="22"/>
        </w:rPr>
        <w:t xml:space="preserve"> A key strength of the study was its use of multiple qualitative data collection methods, including observations, interviews, focus groups and round-table discussions. This allowed the researchers to gather information from a range of perspectives, including staff, residents, relatives and healthcare professionals. The 24-month data collection period also enabled the researchers to develop a detailed understanding of everyday care home practice over time rather than relying on a single snapshot of events.</w:t>
      </w:r>
    </w:p>
    <w:p w14:paraId="63601CAA"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Another strength was the use of methodological triangulation. By comparing findings from different data sources, the researchers were able to increase the credibility and trustworthiness of the results. The including of residents and relatives was valuable because it ensured that the experiences of care recipients were considered alongside those of staff and managers.</w:t>
      </w:r>
    </w:p>
    <w:p w14:paraId="7938A19C" w14:textId="77777777" w:rsidR="00960023" w:rsidRPr="00783E90" w:rsidRDefault="00960023" w:rsidP="00783E90">
      <w:pPr>
        <w:pStyle w:val="Subtitle"/>
        <w:jc w:val="both"/>
        <w:rPr>
          <w:rFonts w:ascii="Arial" w:hAnsi="Arial" w:cs="Arial"/>
          <w:sz w:val="22"/>
          <w:szCs w:val="22"/>
        </w:rPr>
      </w:pPr>
      <w:r w:rsidRPr="00783E90">
        <w:rPr>
          <w:rFonts w:ascii="Arial" w:hAnsi="Arial" w:cs="Arial"/>
          <w:sz w:val="22"/>
          <w:szCs w:val="22"/>
        </w:rPr>
        <w:t>Limitations</w:t>
      </w:r>
    </w:p>
    <w:p w14:paraId="0C9CE78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 xml:space="preserve"> However, the study has some limitations. The research was conducted in a relatively small number of care homes in Scotland, which means the findings may not be fully transferable to all care home settings across the UK. In addition, the presence of researchers during observations may have influenced staff behaviour, meaning participants could have acted differently from their usual practice. Resident interviews were also carried out by care home staff rather than the research team, which may have affected the openness of some responses.</w:t>
      </w:r>
    </w:p>
    <w:p w14:paraId="7A6B7B5C"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 xml:space="preserve">Despite these limitations, the study provides valuable insight into how organisational resilience supports safe, effective and person-centred care. The findings highlight the importance of </w:t>
      </w:r>
      <w:r w:rsidRPr="00783E90">
        <w:rPr>
          <w:rFonts w:ascii="Arial" w:hAnsi="Arial" w:cs="Arial"/>
          <w:sz w:val="22"/>
          <w:szCs w:val="22"/>
        </w:rPr>
        <w:lastRenderedPageBreak/>
        <w:t>communication, teamwork and adaptability in responding to the complex and changing needs of care home residents.</w:t>
      </w:r>
    </w:p>
    <w:p w14:paraId="08687DA6" w14:textId="77777777" w:rsidR="00960023" w:rsidRPr="00783E90" w:rsidRDefault="00960023" w:rsidP="00783E90">
      <w:pPr>
        <w:pStyle w:val="Heading1"/>
        <w:jc w:val="both"/>
        <w:rPr>
          <w:rFonts w:ascii="Arial" w:hAnsi="Arial" w:cs="Arial"/>
          <w:sz w:val="22"/>
          <w:szCs w:val="22"/>
        </w:rPr>
      </w:pPr>
      <w:r w:rsidRPr="00783E90">
        <w:rPr>
          <w:rFonts w:ascii="Arial" w:hAnsi="Arial" w:cs="Arial"/>
          <w:sz w:val="22"/>
          <w:szCs w:val="22"/>
        </w:rPr>
        <w:t>Section 4: Conclusion</w:t>
      </w:r>
    </w:p>
    <w:p w14:paraId="2BA8FB49"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In conclusion, Ross et al. (2022) demonstrate that care homes are complex environments where safe and effective care depends on more than policies and procedures. High-quality care also relies on communication, teamwork, information sharing and the ability of staff to adapt to changing situations.</w:t>
      </w:r>
    </w:p>
    <w:p w14:paraId="0CBCD8EB"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findings support DHSC (2023) priorities relating to personalised care, integrated working and workforce development. Overall, the study shows that organisational resilience helps care homes maintain safe, high-quality and person-centred care despite ongoing challenges.</w:t>
      </w:r>
    </w:p>
    <w:p w14:paraId="43DA6818"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research used qualitative methods to explore experiences and everyday practice. Data was collected through observations, interviews, focus groups, discussions and documents, then analysed using NVivo software and the CARE model. The findings also support Edvardsson, Sandman and Borell (2014), who found that person-centred approaches in residential care settings improved perceptions of care quality and promoted care that reflected residents' preferences and individual needs.</w:t>
      </w:r>
    </w:p>
    <w:p w14:paraId="2CD82774"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The study also highlights that care outcomes are influenced by both organisational systems and individual staff actions. Understanding this relationship can help organisations improve practice, support staff and promote high-quality care.</w:t>
      </w:r>
    </w:p>
    <w:p w14:paraId="7B6E5299"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Reflection – completing this report improved my understanding of research methods and critical evaluation of evidence. It strengthened my ability to analyse research findings and apply evidence-based practice. This knowledge will help me assess future studies and support safe, effective and person-centred care in both academic and professional settings.</w:t>
      </w:r>
    </w:p>
    <w:p w14:paraId="5263A008" w14:textId="77777777" w:rsidR="00960023" w:rsidRPr="00783E90" w:rsidRDefault="00960023" w:rsidP="00783E90">
      <w:pPr>
        <w:jc w:val="both"/>
        <w:rPr>
          <w:rFonts w:ascii="Arial" w:hAnsi="Arial" w:cs="Arial"/>
          <w:sz w:val="22"/>
          <w:szCs w:val="22"/>
        </w:rPr>
      </w:pPr>
      <w:r w:rsidRPr="00783E90">
        <w:rPr>
          <w:rFonts w:ascii="Arial" w:hAnsi="Arial" w:cs="Arial"/>
          <w:sz w:val="22"/>
          <w:szCs w:val="22"/>
        </w:rPr>
        <w:t>.</w:t>
      </w:r>
    </w:p>
    <w:p w14:paraId="52FF34D6" w14:textId="77777777" w:rsidR="00960023" w:rsidRPr="00783E90" w:rsidRDefault="00960023" w:rsidP="00783E90">
      <w:pPr>
        <w:pStyle w:val="Heading1"/>
        <w:jc w:val="both"/>
        <w:rPr>
          <w:rFonts w:ascii="Arial" w:hAnsi="Arial" w:cs="Arial"/>
          <w:sz w:val="22"/>
          <w:szCs w:val="22"/>
        </w:rPr>
      </w:pPr>
      <w:r w:rsidRPr="00783E90">
        <w:rPr>
          <w:rFonts w:ascii="Arial" w:hAnsi="Arial" w:cs="Arial"/>
          <w:sz w:val="22"/>
          <w:szCs w:val="22"/>
        </w:rPr>
        <w:t xml:space="preserve">Reference list </w:t>
      </w:r>
    </w:p>
    <w:p w14:paraId="673B613A" w14:textId="77777777" w:rsidR="003B0EAB" w:rsidRPr="00783E90" w:rsidRDefault="00365BC8" w:rsidP="00783E90">
      <w:pPr>
        <w:jc w:val="both"/>
        <w:rPr>
          <w:rFonts w:ascii="Arial" w:hAnsi="Arial" w:cs="Arial"/>
          <w:sz w:val="22"/>
          <w:szCs w:val="22"/>
        </w:rPr>
      </w:pPr>
      <w:r w:rsidRPr="00783E90">
        <w:rPr>
          <w:rFonts w:ascii="Arial" w:hAnsi="Arial" w:cs="Arial"/>
          <w:sz w:val="22"/>
          <w:szCs w:val="22"/>
        </w:rPr>
        <w:t xml:space="preserve">Care Quality Commission (2024) </w:t>
      </w:r>
      <w:r w:rsidRPr="00783E90">
        <w:rPr>
          <w:rFonts w:ascii="Arial" w:hAnsi="Arial" w:cs="Arial"/>
          <w:i/>
          <w:iCs/>
          <w:sz w:val="22"/>
          <w:szCs w:val="22"/>
        </w:rPr>
        <w:t>The fundamental standards</w:t>
      </w:r>
      <w:r w:rsidRPr="00783E90">
        <w:rPr>
          <w:rFonts w:ascii="Arial" w:hAnsi="Arial" w:cs="Arial"/>
          <w:sz w:val="22"/>
          <w:szCs w:val="22"/>
        </w:rPr>
        <w:t>. Newcastle upon Tyne: Care Quality Commission. Available at: https://www.cqc.org.uk/help-advice/providers/fundamental-standards (Accessed: 17 July 2026).</w:t>
      </w:r>
    </w:p>
    <w:p w14:paraId="3AC68876" w14:textId="77777777" w:rsidR="003B0EAB" w:rsidRPr="00783E90" w:rsidRDefault="00365BC8" w:rsidP="00783E90">
      <w:pPr>
        <w:jc w:val="both"/>
        <w:rPr>
          <w:rFonts w:ascii="Arial" w:hAnsi="Arial" w:cs="Arial"/>
          <w:sz w:val="22"/>
          <w:szCs w:val="22"/>
        </w:rPr>
      </w:pPr>
      <w:r w:rsidRPr="00783E90">
        <w:rPr>
          <w:rFonts w:ascii="Arial" w:hAnsi="Arial" w:cs="Arial"/>
          <w:sz w:val="22"/>
          <w:szCs w:val="22"/>
        </w:rPr>
        <w:t>Care Quality Commission (2025</w:t>
      </w:r>
      <w:r w:rsidRPr="00783E90">
        <w:rPr>
          <w:rFonts w:ascii="Arial" w:hAnsi="Arial" w:cs="Arial"/>
          <w:i/>
          <w:iCs/>
          <w:sz w:val="22"/>
          <w:szCs w:val="22"/>
        </w:rPr>
        <w:t>) Regulation 9: Person-centred care</w:t>
      </w:r>
      <w:r w:rsidRPr="00783E90">
        <w:rPr>
          <w:rFonts w:ascii="Arial" w:hAnsi="Arial" w:cs="Arial"/>
          <w:sz w:val="22"/>
          <w:szCs w:val="22"/>
        </w:rPr>
        <w:t>. Newcastle upon Tyne: Care Quality Commission. Available at: https://www.cqc.org.uk/guidance-providers/regulations-enforcement/regulation-9-person-centred-care (Accessed: 17 July 2026).</w:t>
      </w:r>
    </w:p>
    <w:p w14:paraId="2F395019" w14:textId="77777777" w:rsidR="003B0EAB" w:rsidRPr="00783E90" w:rsidRDefault="00365BC8" w:rsidP="00783E90">
      <w:pPr>
        <w:jc w:val="both"/>
        <w:rPr>
          <w:rFonts w:ascii="Arial" w:hAnsi="Arial" w:cs="Arial"/>
          <w:sz w:val="22"/>
          <w:szCs w:val="22"/>
        </w:rPr>
      </w:pPr>
      <w:bookmarkStart w:id="0" w:name="_Int_vsY3dJWC"/>
      <w:r w:rsidRPr="00783E90">
        <w:rPr>
          <w:rFonts w:ascii="Arial" w:hAnsi="Arial" w:cs="Arial"/>
          <w:sz w:val="22"/>
          <w:szCs w:val="22"/>
        </w:rPr>
        <w:lastRenderedPageBreak/>
        <w:t>Department of Health and Social Care (2023</w:t>
      </w:r>
      <w:r w:rsidRPr="00783E90">
        <w:rPr>
          <w:rFonts w:ascii="Arial" w:hAnsi="Arial" w:cs="Arial"/>
          <w:i/>
          <w:iCs/>
          <w:sz w:val="22"/>
          <w:szCs w:val="22"/>
        </w:rPr>
        <w:t>) Next steps to put people at the heart of care.</w:t>
      </w:r>
      <w:bookmarkEnd w:id="0"/>
      <w:r w:rsidRPr="00783E90">
        <w:rPr>
          <w:rFonts w:ascii="Arial" w:hAnsi="Arial" w:cs="Arial"/>
          <w:i/>
          <w:iCs/>
          <w:sz w:val="22"/>
          <w:szCs w:val="22"/>
        </w:rPr>
        <w:t xml:space="preserve"> London: DHSC</w:t>
      </w:r>
      <w:r w:rsidRPr="00783E90">
        <w:rPr>
          <w:rFonts w:ascii="Arial" w:hAnsi="Arial" w:cs="Arial"/>
          <w:sz w:val="22"/>
          <w:szCs w:val="22"/>
        </w:rPr>
        <w:t>. Available at: https://www.gov.uk/government/publications/next-steps-to-put-people-at-the-heart-of-care (Accessed: 17 July 2026).</w:t>
      </w:r>
    </w:p>
    <w:p w14:paraId="421607A4" w14:textId="77777777" w:rsidR="00E44379" w:rsidRPr="00783E90" w:rsidRDefault="00365BC8" w:rsidP="00783E90">
      <w:pPr>
        <w:jc w:val="both"/>
        <w:rPr>
          <w:rFonts w:ascii="Arial" w:hAnsi="Arial" w:cs="Arial"/>
          <w:sz w:val="22"/>
          <w:szCs w:val="22"/>
        </w:rPr>
      </w:pPr>
      <w:r w:rsidRPr="00783E90">
        <w:rPr>
          <w:rFonts w:ascii="Arial" w:hAnsi="Arial" w:cs="Arial"/>
          <w:sz w:val="22"/>
          <w:szCs w:val="22"/>
        </w:rPr>
        <w:t>Edvardsson, D. and Innes, A. (2010</w:t>
      </w:r>
      <w:r w:rsidRPr="00783E90">
        <w:rPr>
          <w:rFonts w:ascii="Arial" w:hAnsi="Arial" w:cs="Arial"/>
          <w:i/>
          <w:iCs/>
          <w:sz w:val="22"/>
          <w:szCs w:val="22"/>
        </w:rPr>
        <w:t>) 'Measuring person-centred care: a critical comparative review of published tools'</w:t>
      </w:r>
      <w:r w:rsidRPr="00783E90">
        <w:rPr>
          <w:rFonts w:ascii="Arial" w:hAnsi="Arial" w:cs="Arial"/>
          <w:sz w:val="22"/>
          <w:szCs w:val="22"/>
        </w:rPr>
        <w:t>, The Gerontologist, 50(6), pp. 834–846.</w:t>
      </w:r>
    </w:p>
    <w:p w14:paraId="4C1C42BE" w14:textId="77777777" w:rsidR="00E44379" w:rsidRPr="00783E90" w:rsidRDefault="00365BC8" w:rsidP="00783E90">
      <w:pPr>
        <w:jc w:val="both"/>
        <w:rPr>
          <w:rFonts w:ascii="Arial" w:hAnsi="Arial" w:cs="Arial"/>
          <w:sz w:val="22"/>
          <w:szCs w:val="22"/>
        </w:rPr>
      </w:pPr>
      <w:r w:rsidRPr="00783E90">
        <w:rPr>
          <w:rFonts w:ascii="Arial" w:hAnsi="Arial" w:cs="Arial"/>
          <w:sz w:val="22"/>
          <w:szCs w:val="22"/>
        </w:rPr>
        <w:t xml:space="preserve">Edvardsson, D., Sandman, P.O. and Borell, L. (2014) </w:t>
      </w:r>
      <w:r w:rsidRPr="00783E90">
        <w:rPr>
          <w:rFonts w:ascii="Arial" w:hAnsi="Arial" w:cs="Arial"/>
          <w:i/>
          <w:iCs/>
          <w:sz w:val="22"/>
          <w:szCs w:val="22"/>
        </w:rPr>
        <w:t>'Implementing national guidelines for person-centred care of people with dementia in residential aged care: effects on perceived person-centeredness, staff strain, and stress of conscience'</w:t>
      </w:r>
      <w:r w:rsidRPr="00783E90">
        <w:rPr>
          <w:rFonts w:ascii="Arial" w:hAnsi="Arial" w:cs="Arial"/>
          <w:sz w:val="22"/>
          <w:szCs w:val="22"/>
        </w:rPr>
        <w:t>, International Psychogeriatrics, 26(7), pp. 1171–1179.</w:t>
      </w:r>
    </w:p>
    <w:p w14:paraId="09083890" w14:textId="6760B619" w:rsidR="00960023" w:rsidRPr="00783E90" w:rsidRDefault="00365BC8" w:rsidP="00783E90">
      <w:pPr>
        <w:jc w:val="both"/>
        <w:rPr>
          <w:rFonts w:ascii="Arial" w:hAnsi="Arial" w:cs="Arial"/>
          <w:sz w:val="22"/>
          <w:szCs w:val="22"/>
        </w:rPr>
      </w:pPr>
      <w:r w:rsidRPr="00783E90">
        <w:rPr>
          <w:rFonts w:ascii="Arial" w:hAnsi="Arial" w:cs="Arial"/>
          <w:sz w:val="22"/>
          <w:szCs w:val="22"/>
        </w:rPr>
        <w:t xml:space="preserve">Ross, A., Anderson, J.E., Selveindran, S., MacBride, T., Bowie, P., Sherriff, A., Young, L., Fioratou, E., Roddy, E., Edwards, H. and Dewar, B. (2022) </w:t>
      </w:r>
      <w:r w:rsidRPr="00783E90">
        <w:rPr>
          <w:rFonts w:ascii="Arial" w:hAnsi="Arial" w:cs="Arial"/>
          <w:i/>
          <w:iCs/>
          <w:sz w:val="22"/>
          <w:szCs w:val="22"/>
        </w:rPr>
        <w:t>'A qualitative study of organisational resilience in care homes in Scotland'</w:t>
      </w:r>
      <w:r w:rsidRPr="00783E90">
        <w:rPr>
          <w:rFonts w:ascii="Arial" w:hAnsi="Arial" w:cs="Arial"/>
          <w:sz w:val="22"/>
          <w:szCs w:val="22"/>
        </w:rPr>
        <w:t xml:space="preserve">, PLOS ONE, 17(12), e0279376. </w:t>
      </w:r>
      <w:r w:rsidR="00883899" w:rsidRPr="00783E90">
        <w:rPr>
          <w:rFonts w:ascii="Arial" w:hAnsi="Arial" w:cs="Arial"/>
          <w:sz w:val="22"/>
          <w:szCs w:val="22"/>
        </w:rPr>
        <w:t>Doi: 10.1371/journal.pone</w:t>
      </w:r>
      <w:r w:rsidRPr="00783E90">
        <w:rPr>
          <w:rFonts w:ascii="Arial" w:hAnsi="Arial" w:cs="Arial"/>
          <w:sz w:val="22"/>
          <w:szCs w:val="22"/>
        </w:rPr>
        <w:t>.0279376.</w:t>
      </w:r>
    </w:p>
    <w:sectPr w:rsidR="00960023" w:rsidRPr="00783E90" w:rsidSect="009600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2F01B" w14:textId="77777777" w:rsidR="00997862" w:rsidRDefault="00997862" w:rsidP="007B58AC">
      <w:pPr>
        <w:spacing w:after="0" w:line="240" w:lineRule="auto"/>
      </w:pPr>
      <w:r>
        <w:separator/>
      </w:r>
    </w:p>
  </w:endnote>
  <w:endnote w:type="continuationSeparator" w:id="0">
    <w:p w14:paraId="43C1CB38" w14:textId="77777777" w:rsidR="00997862" w:rsidRDefault="00997862" w:rsidP="007B5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2E343" w14:textId="77777777" w:rsidR="00997862" w:rsidRDefault="00997862" w:rsidP="007B58AC">
      <w:pPr>
        <w:spacing w:after="0" w:line="240" w:lineRule="auto"/>
      </w:pPr>
      <w:r>
        <w:separator/>
      </w:r>
    </w:p>
  </w:footnote>
  <w:footnote w:type="continuationSeparator" w:id="0">
    <w:p w14:paraId="22511930" w14:textId="77777777" w:rsidR="00997862" w:rsidRDefault="00997862" w:rsidP="007B58A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sY3dJWC" int2:invalidationBookmarkName="" int2:hashCode="PDYkO4/PiwSvJy" int2:id="xqqmdJ56">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071A5"/>
    <w:multiLevelType w:val="hybridMultilevel"/>
    <w:tmpl w:val="FE909ADC"/>
    <w:lvl w:ilvl="0" w:tplc="8E6C2B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7F3F0E"/>
    <w:multiLevelType w:val="hybridMultilevel"/>
    <w:tmpl w:val="9740DA96"/>
    <w:lvl w:ilvl="0" w:tplc="0614A2B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26C7D"/>
    <w:multiLevelType w:val="hybridMultilevel"/>
    <w:tmpl w:val="8DBE4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494BDF"/>
    <w:multiLevelType w:val="hybridMultilevel"/>
    <w:tmpl w:val="D0F2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739755">
    <w:abstractNumId w:val="3"/>
  </w:num>
  <w:num w:numId="2" w16cid:durableId="894392145">
    <w:abstractNumId w:val="1"/>
  </w:num>
  <w:num w:numId="3" w16cid:durableId="403263993">
    <w:abstractNumId w:val="2"/>
  </w:num>
  <w:num w:numId="4" w16cid:durableId="2041658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023"/>
    <w:rsid w:val="001C5E31"/>
    <w:rsid w:val="001D5353"/>
    <w:rsid w:val="00365BC8"/>
    <w:rsid w:val="003B0EAB"/>
    <w:rsid w:val="00660491"/>
    <w:rsid w:val="00681558"/>
    <w:rsid w:val="006C74D6"/>
    <w:rsid w:val="00783E90"/>
    <w:rsid w:val="007B58AC"/>
    <w:rsid w:val="00883899"/>
    <w:rsid w:val="009176C5"/>
    <w:rsid w:val="00921D37"/>
    <w:rsid w:val="00960023"/>
    <w:rsid w:val="00997862"/>
    <w:rsid w:val="00E44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25B35"/>
  <w15:chartTrackingRefBased/>
  <w15:docId w15:val="{489C3A80-308B-46A1-8E52-717A4C96E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0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0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0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0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0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0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0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0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0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0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0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0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023"/>
    <w:rPr>
      <w:rFonts w:eastAsiaTheme="majorEastAsia" w:cstheme="majorBidi"/>
      <w:color w:val="272727" w:themeColor="text1" w:themeTint="D8"/>
    </w:rPr>
  </w:style>
  <w:style w:type="paragraph" w:styleId="Title">
    <w:name w:val="Title"/>
    <w:basedOn w:val="Normal"/>
    <w:next w:val="Normal"/>
    <w:link w:val="TitleChar"/>
    <w:uiPriority w:val="10"/>
    <w:qFormat/>
    <w:rsid w:val="00960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023"/>
    <w:pPr>
      <w:spacing w:before="160"/>
      <w:jc w:val="center"/>
    </w:pPr>
    <w:rPr>
      <w:i/>
      <w:iCs/>
      <w:color w:val="404040" w:themeColor="text1" w:themeTint="BF"/>
    </w:rPr>
  </w:style>
  <w:style w:type="character" w:customStyle="1" w:styleId="QuoteChar">
    <w:name w:val="Quote Char"/>
    <w:basedOn w:val="DefaultParagraphFont"/>
    <w:link w:val="Quote"/>
    <w:uiPriority w:val="29"/>
    <w:rsid w:val="00960023"/>
    <w:rPr>
      <w:i/>
      <w:iCs/>
      <w:color w:val="404040" w:themeColor="text1" w:themeTint="BF"/>
    </w:rPr>
  </w:style>
  <w:style w:type="paragraph" w:styleId="ListParagraph">
    <w:name w:val="List Paragraph"/>
    <w:basedOn w:val="Normal"/>
    <w:uiPriority w:val="34"/>
    <w:qFormat/>
    <w:rsid w:val="00960023"/>
    <w:pPr>
      <w:ind w:left="720"/>
      <w:contextualSpacing/>
    </w:pPr>
  </w:style>
  <w:style w:type="character" w:styleId="IntenseEmphasis">
    <w:name w:val="Intense Emphasis"/>
    <w:basedOn w:val="DefaultParagraphFont"/>
    <w:uiPriority w:val="21"/>
    <w:qFormat/>
    <w:rsid w:val="00960023"/>
    <w:rPr>
      <w:i/>
      <w:iCs/>
      <w:color w:val="0F4761" w:themeColor="accent1" w:themeShade="BF"/>
    </w:rPr>
  </w:style>
  <w:style w:type="paragraph" w:styleId="IntenseQuote">
    <w:name w:val="Intense Quote"/>
    <w:basedOn w:val="Normal"/>
    <w:next w:val="Normal"/>
    <w:link w:val="IntenseQuoteChar"/>
    <w:uiPriority w:val="30"/>
    <w:qFormat/>
    <w:rsid w:val="00960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023"/>
    <w:rPr>
      <w:i/>
      <w:iCs/>
      <w:color w:val="0F4761" w:themeColor="accent1" w:themeShade="BF"/>
    </w:rPr>
  </w:style>
  <w:style w:type="character" w:styleId="IntenseReference">
    <w:name w:val="Intense Reference"/>
    <w:basedOn w:val="DefaultParagraphFont"/>
    <w:uiPriority w:val="32"/>
    <w:qFormat/>
    <w:rsid w:val="00960023"/>
    <w:rPr>
      <w:b/>
      <w:bCs/>
      <w:smallCaps/>
      <w:color w:val="0F4761" w:themeColor="accent1" w:themeShade="BF"/>
      <w:spacing w:val="5"/>
    </w:rPr>
  </w:style>
  <w:style w:type="paragraph" w:styleId="NoSpacing">
    <w:name w:val="No Spacing"/>
    <w:link w:val="NoSpacingChar"/>
    <w:uiPriority w:val="1"/>
    <w:qFormat/>
    <w:rsid w:val="00960023"/>
    <w:pPr>
      <w:spacing w:after="0" w:line="240" w:lineRule="auto"/>
    </w:pPr>
  </w:style>
  <w:style w:type="character" w:customStyle="1" w:styleId="NoSpacingChar">
    <w:name w:val="No Spacing Char"/>
    <w:basedOn w:val="DefaultParagraphFont"/>
    <w:link w:val="NoSpacing"/>
    <w:uiPriority w:val="1"/>
    <w:rsid w:val="00960023"/>
  </w:style>
  <w:style w:type="paragraph" w:styleId="Header">
    <w:name w:val="header"/>
    <w:basedOn w:val="Normal"/>
    <w:link w:val="HeaderChar"/>
    <w:uiPriority w:val="99"/>
    <w:unhideWhenUsed/>
    <w:rsid w:val="007B5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8AC"/>
  </w:style>
  <w:style w:type="paragraph" w:styleId="Footer">
    <w:name w:val="footer"/>
    <w:basedOn w:val="Normal"/>
    <w:link w:val="FooterChar"/>
    <w:uiPriority w:val="99"/>
    <w:unhideWhenUsed/>
    <w:rsid w:val="007B5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component 2- research      report</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Review of Organisational Resilience in Care homes: an evaluation of ross et.al (2022)</dc:title>
  <dc:subject/>
  <dc:creator>beniah warren</dc:creator>
  <cp:keywords/>
  <dc:description/>
  <cp:lastModifiedBy>beniah warren</cp:lastModifiedBy>
  <cp:revision>12</cp:revision>
  <dcterms:created xsi:type="dcterms:W3CDTF">2026-07-19T14:21:00Z</dcterms:created>
  <dcterms:modified xsi:type="dcterms:W3CDTF">2026-07-19T15:31:00Z</dcterms:modified>
</cp:coreProperties>
</file>