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96724" w14:textId="77777777" w:rsidR="0044324E" w:rsidRPr="00370F20" w:rsidRDefault="0044324E" w:rsidP="0044324E">
      <w:pPr>
        <w:spacing w:line="360" w:lineRule="auto"/>
        <w:rPr>
          <w:rStyle w:val="normaltextrun"/>
          <w:rFonts w:ascii="Calibri" w:hAnsi="Calibri" w:cs="Calibri"/>
          <w:b/>
          <w:bCs/>
        </w:rPr>
      </w:pPr>
      <w:r w:rsidRPr="00370F20">
        <w:rPr>
          <w:rStyle w:val="normaltextrun"/>
          <w:rFonts w:ascii="Calibri" w:hAnsi="Calibri" w:cs="Calibri"/>
          <w:b/>
          <w:bCs/>
        </w:rPr>
        <w:t>Student name: Maksims Romanovs</w:t>
      </w:r>
    </w:p>
    <w:p w14:paraId="62CA9A49" w14:textId="77777777" w:rsidR="00370F20" w:rsidRDefault="0044324E" w:rsidP="00370F20">
      <w:pPr>
        <w:spacing w:line="360" w:lineRule="auto"/>
        <w:rPr>
          <w:rStyle w:val="eop"/>
          <w:rFonts w:ascii="Calibri" w:hAnsi="Calibri" w:cs="Calibri"/>
          <w:b/>
          <w:bCs/>
          <w:color w:val="242130"/>
        </w:rPr>
      </w:pPr>
      <w:r w:rsidRPr="00370F20">
        <w:rPr>
          <w:rStyle w:val="normaltextrun"/>
          <w:rFonts w:ascii="Calibri" w:hAnsi="Calibri" w:cs="Calibri"/>
          <w:b/>
          <w:bCs/>
        </w:rPr>
        <w:t>Student number:</w:t>
      </w:r>
      <w:r w:rsidRPr="00370F20">
        <w:rPr>
          <w:rStyle w:val="normaltextrun"/>
          <w:rFonts w:ascii="Calibri" w:hAnsi="Calibri" w:cs="Calibri"/>
          <w:b/>
          <w:bCs/>
          <w:color w:val="242130"/>
        </w:rPr>
        <w:t xml:space="preserve"> 2246400</w:t>
      </w:r>
      <w:r w:rsidRPr="00370F20">
        <w:rPr>
          <w:rStyle w:val="eop"/>
          <w:rFonts w:ascii="Calibri" w:hAnsi="Calibri" w:cs="Calibri"/>
          <w:b/>
          <w:bCs/>
          <w:color w:val="242130"/>
        </w:rPr>
        <w:t> </w:t>
      </w:r>
    </w:p>
    <w:p w14:paraId="00CF3E0D" w14:textId="15E73AE2" w:rsidR="0044324E" w:rsidRPr="00370F20" w:rsidRDefault="0044324E" w:rsidP="00370F20">
      <w:pPr>
        <w:spacing w:line="360" w:lineRule="auto"/>
        <w:rPr>
          <w:rFonts w:ascii="Calibri" w:hAnsi="Calibri" w:cs="Calibri"/>
          <w:b/>
          <w:bCs/>
          <w:color w:val="242130"/>
        </w:rPr>
      </w:pPr>
      <w:r w:rsidRPr="00370F20">
        <w:rPr>
          <w:rStyle w:val="normaltextrun"/>
          <w:rFonts w:ascii="Calibri" w:hAnsi="Calibri" w:cs="Calibri"/>
          <w:b/>
          <w:bCs/>
        </w:rPr>
        <w:t xml:space="preserve">Module title: </w:t>
      </w:r>
      <w:r w:rsidRPr="00370F20">
        <w:rPr>
          <w:rFonts w:ascii="Calibri" w:hAnsi="Calibri" w:cs="Calibri"/>
          <w:b/>
          <w:bCs/>
        </w:rPr>
        <w:t>Strategic Management for Business</w:t>
      </w:r>
    </w:p>
    <w:p w14:paraId="123A395C" w14:textId="04742445" w:rsidR="00370F20" w:rsidRPr="00370F20" w:rsidRDefault="0044324E" w:rsidP="00370F20">
      <w:pPr>
        <w:pStyle w:val="p1"/>
        <w:rPr>
          <w:rFonts w:ascii="Calibri" w:hAnsi="Calibri" w:cs="Calibri"/>
          <w:b/>
          <w:bCs/>
          <w:sz w:val="24"/>
          <w:szCs w:val="24"/>
        </w:rPr>
      </w:pPr>
      <w:r w:rsidRPr="00370F20">
        <w:rPr>
          <w:rStyle w:val="normaltextrun"/>
          <w:rFonts w:ascii="Calibri" w:eastAsiaTheme="majorEastAsia" w:hAnsi="Calibri" w:cs="Calibri"/>
          <w:b/>
          <w:bCs/>
          <w:sz w:val="24"/>
          <w:szCs w:val="24"/>
        </w:rPr>
        <w:t xml:space="preserve">Module code: </w:t>
      </w:r>
      <w:r w:rsidR="00370F20" w:rsidRPr="00370F20">
        <w:rPr>
          <w:rFonts w:ascii="Calibri" w:hAnsi="Calibri" w:cs="Calibri"/>
          <w:b/>
          <w:bCs/>
          <w:sz w:val="24"/>
          <w:szCs w:val="24"/>
        </w:rPr>
        <w:t>LCLM 6001</w:t>
      </w:r>
      <w:r w:rsidR="00370F20" w:rsidRPr="00370F20">
        <w:rPr>
          <w:rStyle w:val="apple-converted-space"/>
          <w:rFonts w:ascii="Calibri" w:eastAsiaTheme="majorEastAsia" w:hAnsi="Calibri" w:cs="Calibri"/>
          <w:b/>
          <w:bCs/>
          <w:sz w:val="24"/>
          <w:szCs w:val="24"/>
        </w:rPr>
        <w:t> </w:t>
      </w:r>
    </w:p>
    <w:p w14:paraId="573270E0" w14:textId="118DC67A" w:rsidR="0044324E" w:rsidRPr="00370F20" w:rsidRDefault="0044324E" w:rsidP="0044324E">
      <w:pPr>
        <w:spacing w:line="360" w:lineRule="auto"/>
        <w:rPr>
          <w:rStyle w:val="eop"/>
          <w:rFonts w:ascii="Calibri" w:hAnsi="Calibri" w:cs="Calibri"/>
          <w:b/>
          <w:bCs/>
          <w:color w:val="000000"/>
        </w:rPr>
      </w:pPr>
      <w:r w:rsidRPr="00370F20">
        <w:rPr>
          <w:rStyle w:val="normaltextrun"/>
          <w:rFonts w:ascii="Calibri" w:hAnsi="Calibri" w:cs="Calibri"/>
          <w:b/>
          <w:bCs/>
          <w:color w:val="000000"/>
        </w:rPr>
        <w:t xml:space="preserve">Lecturer: </w:t>
      </w:r>
      <w:proofErr w:type="spellStart"/>
      <w:r w:rsidR="00370F20" w:rsidRPr="00370F20">
        <w:rPr>
          <w:rFonts w:ascii="Calibri" w:hAnsi="Calibri" w:cs="Calibri"/>
          <w:b/>
          <w:bCs/>
          <w:color w:val="242130"/>
          <w:shd w:val="clear" w:color="auto" w:fill="FFFFFF"/>
        </w:rPr>
        <w:t>Faizu</w:t>
      </w:r>
      <w:proofErr w:type="spellEnd"/>
      <w:r w:rsidR="00370F20" w:rsidRPr="00370F20">
        <w:rPr>
          <w:rFonts w:ascii="Calibri" w:hAnsi="Calibri" w:cs="Calibri"/>
          <w:b/>
          <w:bCs/>
          <w:color w:val="242130"/>
          <w:shd w:val="clear" w:color="auto" w:fill="FFFFFF"/>
        </w:rPr>
        <w:t xml:space="preserve"> Edu</w:t>
      </w:r>
    </w:p>
    <w:p w14:paraId="45212C4C" w14:textId="77777777" w:rsidR="0044324E" w:rsidRPr="007A0AF7" w:rsidRDefault="0044324E" w:rsidP="0044324E">
      <w:pPr>
        <w:spacing w:line="360" w:lineRule="auto"/>
        <w:rPr>
          <w:rStyle w:val="eop"/>
          <w:rFonts w:cstheme="minorHAnsi"/>
          <w:color w:val="000000"/>
        </w:rPr>
      </w:pPr>
    </w:p>
    <w:p w14:paraId="24AD412B" w14:textId="77777777" w:rsidR="0044324E" w:rsidRPr="007A0AF7" w:rsidRDefault="0044324E" w:rsidP="0044324E">
      <w:pPr>
        <w:spacing w:line="360" w:lineRule="auto"/>
        <w:rPr>
          <w:rStyle w:val="eop"/>
          <w:rFonts w:cstheme="minorHAnsi"/>
          <w:color w:val="000000"/>
        </w:rPr>
      </w:pPr>
    </w:p>
    <w:p w14:paraId="25A9D521" w14:textId="77777777" w:rsidR="0044324E" w:rsidRPr="007A0AF7" w:rsidRDefault="0044324E" w:rsidP="0044324E">
      <w:pPr>
        <w:spacing w:line="360" w:lineRule="auto"/>
        <w:rPr>
          <w:rStyle w:val="eop"/>
          <w:rFonts w:cstheme="minorHAnsi"/>
          <w:color w:val="000000"/>
        </w:rPr>
      </w:pPr>
    </w:p>
    <w:p w14:paraId="7F6229E7" w14:textId="77777777" w:rsidR="0044324E" w:rsidRPr="007A0AF7" w:rsidRDefault="0044324E" w:rsidP="0044324E">
      <w:pPr>
        <w:spacing w:line="360" w:lineRule="auto"/>
        <w:rPr>
          <w:rStyle w:val="eop"/>
          <w:rFonts w:cstheme="minorHAnsi"/>
          <w:color w:val="000000"/>
        </w:rPr>
      </w:pPr>
    </w:p>
    <w:p w14:paraId="1C4A6047" w14:textId="1445F2DE" w:rsidR="00370F20" w:rsidRDefault="00370F20" w:rsidP="00370F20">
      <w:pPr>
        <w:pStyle w:val="p1"/>
        <w:jc w:val="center"/>
        <w:rPr>
          <w:rFonts w:ascii="Calibri" w:hAnsi="Calibri" w:cs="Calibri"/>
          <w:b/>
          <w:bCs/>
          <w:sz w:val="28"/>
          <w:szCs w:val="28"/>
        </w:rPr>
      </w:pPr>
      <w:r w:rsidRPr="00370F20">
        <w:rPr>
          <w:rFonts w:ascii="Calibri" w:hAnsi="Calibri" w:cs="Calibri"/>
          <w:b/>
          <w:bCs/>
          <w:sz w:val="28"/>
          <w:szCs w:val="28"/>
        </w:rPr>
        <w:t>Individual Report</w:t>
      </w:r>
    </w:p>
    <w:p w14:paraId="5A429A15" w14:textId="77777777" w:rsidR="00CC50E6" w:rsidRDefault="00CC50E6" w:rsidP="00370F20">
      <w:pPr>
        <w:pStyle w:val="p1"/>
        <w:jc w:val="center"/>
        <w:rPr>
          <w:rFonts w:ascii="Calibri" w:hAnsi="Calibri" w:cs="Calibri"/>
          <w:b/>
          <w:bCs/>
          <w:sz w:val="28"/>
          <w:szCs w:val="28"/>
        </w:rPr>
      </w:pPr>
    </w:p>
    <w:p w14:paraId="5146A116" w14:textId="79956729" w:rsidR="00CC50E6" w:rsidRDefault="00CC50E6" w:rsidP="00CC50E6">
      <w:pPr>
        <w:pStyle w:val="p1"/>
        <w:rPr>
          <w:rStyle w:val="Strong"/>
          <w:rFonts w:ascii="Segoe UI" w:eastAsiaTheme="majorEastAsia" w:hAnsi="Segoe UI" w:cs="Segoe UI"/>
          <w:color w:val="0F1115"/>
          <w:sz w:val="24"/>
          <w:szCs w:val="24"/>
        </w:rPr>
      </w:pPr>
      <w:r w:rsidRPr="00CC50E6">
        <w:rPr>
          <w:rStyle w:val="Strong"/>
          <w:rFonts w:ascii="Segoe UI" w:eastAsiaTheme="majorEastAsia" w:hAnsi="Segoe UI" w:cs="Segoe UI"/>
          <w:color w:val="0F1115"/>
          <w:sz w:val="24"/>
          <w:szCs w:val="24"/>
        </w:rPr>
        <w:t>A Strategic Report for Ark Data Centres: Recommendations for Sustainable Growth</w:t>
      </w:r>
    </w:p>
    <w:p w14:paraId="62912DAA" w14:textId="77777777" w:rsidR="00CC50E6" w:rsidRDefault="00CC50E6" w:rsidP="00CC50E6">
      <w:pPr>
        <w:pStyle w:val="p1"/>
        <w:rPr>
          <w:rStyle w:val="Strong"/>
          <w:rFonts w:ascii="Segoe UI" w:eastAsiaTheme="majorEastAsia" w:hAnsi="Segoe UI" w:cs="Segoe UI"/>
          <w:color w:val="0F1115"/>
          <w:sz w:val="24"/>
          <w:szCs w:val="24"/>
        </w:rPr>
      </w:pPr>
    </w:p>
    <w:p w14:paraId="0BDA25A9"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Executive Summary</w:t>
      </w:r>
    </w:p>
    <w:p w14:paraId="4AE368BC"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This report is an individual strategic analysis of Ark Data Centres, a small-to-medium enterprise (SME) in the UK technology sector that specialises in building and running high-security and environmentally sustainable data centres. The main task was to look at their current business direction, analyse their situation in detail, and then give them useful recommendations for future development, keeping in mind the typical problems that small companies face when trying to implement big plans.</w:t>
      </w:r>
    </w:p>
    <w:p w14:paraId="1135D1D0"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To do this, I first examined Ark’s strategy. They don’t have a loud public mission statement, but their actions show a clear focus: to be the top choice for secure and green data infrastructure, especially for the UK public sector and big businesses that care about their carbon footprint. This is a smart niche for an SME. Then, I used tools like SWOT and PESTEL to understand their position. Inside the company, their biggest strengths are their amazing reputation for sustainability (100% renewable energy, no diesel) and their trusted relationship with the UK government. Their main weaknesses come from being small—limited money and a heavy reliance on a few key clients. Looking outside, the political and social environment is perfect for them due to climate change laws and the global push for green business, but the industry competition is extremely tough, with giants like Amazon and Microsoft everywhere.</w:t>
      </w:r>
    </w:p>
    <w:p w14:paraId="58BEC00C"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For growth, I evaluated options using models like the Ansoff Matrix and Bowman’s Strategic Clock. My conclusion is that Ark should not just continue as it is. To grow sustainably, it needs to evolve. I propose a new strategy: Ark should change from being just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provider of green data centre space</w:t>
      </w:r>
      <w:r>
        <w:rPr>
          <w:rStyle w:val="apple-converted-space"/>
          <w:rFonts w:ascii="Segoe UI" w:eastAsiaTheme="majorEastAsia" w:hAnsi="Segoe UI" w:cs="Segoe UI"/>
          <w:color w:val="0F1115"/>
        </w:rPr>
        <w:t> </w:t>
      </w:r>
      <w:r>
        <w:rPr>
          <w:rFonts w:ascii="Segoe UI" w:hAnsi="Segoe UI" w:cs="Segoe UI"/>
          <w:color w:val="0F1115"/>
        </w:rPr>
        <w:t>to becoming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full partner for sustainable digital infrastructure</w:t>
      </w:r>
      <w:r>
        <w:rPr>
          <w:rFonts w:ascii="Segoe UI" w:hAnsi="Segoe UI" w:cs="Segoe UI"/>
          <w:color w:val="0F1115"/>
        </w:rPr>
        <w:t xml:space="preserve">. This means they should start selling their deep </w:t>
      </w:r>
      <w:r>
        <w:rPr>
          <w:rFonts w:ascii="Segoe UI" w:hAnsi="Segoe UI" w:cs="Segoe UI"/>
          <w:color w:val="0F1115"/>
        </w:rPr>
        <w:lastRenderedPageBreak/>
        <w:t>knowledge about green IT as a new service—like consulting on how companies can reduce their carbon emissions from technology, helping with sustainability reports, and designing custom low-carbon IT systems.</w:t>
      </w:r>
    </w:p>
    <w:p w14:paraId="35DAE75B"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Introduction: The Company and the Task</w:t>
      </w:r>
    </w:p>
    <w:p w14:paraId="29EA4DD3"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 xml:space="preserve">In today’s world, two huge trends are colliding: the digital revolution, which needs </w:t>
      </w:r>
      <w:proofErr w:type="gramStart"/>
      <w:r>
        <w:rPr>
          <w:rFonts w:ascii="Segoe UI" w:hAnsi="Segoe UI" w:cs="Segoe UI"/>
          <w:color w:val="0F1115"/>
        </w:rPr>
        <w:t>more and more</w:t>
      </w:r>
      <w:proofErr w:type="gramEnd"/>
      <w:r>
        <w:rPr>
          <w:rFonts w:ascii="Segoe UI" w:hAnsi="Segoe UI" w:cs="Segoe UI"/>
          <w:color w:val="0F1115"/>
        </w:rPr>
        <w:t xml:space="preserve"> data centres, and the climate crisis, which demands that these energy-hungry facilities become sustainable. For small and medium-sized businesses (SMEs) trying to compete in this space, the challenge is enormous. They must find clever ways to survive and grow next to tech giants with almost unlimited money. This report focuses on one such SME:</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Ark Data Centres</w:t>
      </w:r>
      <w:r>
        <w:rPr>
          <w:rFonts w:ascii="Segoe UI" w:hAnsi="Segoe UI" w:cs="Segoe UI"/>
          <w:color w:val="0F1115"/>
        </w:rPr>
        <w:t>.</w:t>
      </w:r>
    </w:p>
    <w:p w14:paraId="1CB8613C"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Ark is a UK-based company that designs, builds, and operates what they call “high-integrity” data centre campuses. Their main selling points are exceptional security and a very strong commitment to the environment. They are not the biggest, with about 133 staff, but they have a prestigious position thanks to a joint venture with the UK Cabinet Office called Crown Hosting Data Centres, which provides services to the government. This makes them a trusted insider for sensitive data. They operate from three main campuses in Corsham, Farnborough, and London.</w:t>
      </w:r>
    </w:p>
    <w:p w14:paraId="37C1EC88"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Appraising the Current Strategic Direction of Ark Data Centres</w:t>
      </w:r>
    </w:p>
    <w:p w14:paraId="259BE710"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Understanding a company’s strategy starts with looking at its stated goals—its vision, mission, and objectives. For Ark, these are not shouted from the rooftops but are very clear from their consistent actions and public commitments.</w:t>
      </w:r>
    </w:p>
    <w:p w14:paraId="68FC197E"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Vision and Mission (Inferred from Action):</w:t>
      </w:r>
      <w:r>
        <w:rPr>
          <w:rFonts w:ascii="Segoe UI" w:hAnsi="Segoe UI" w:cs="Segoe UI"/>
          <w:color w:val="0F1115"/>
        </w:rPr>
        <w:br/>
        <w:t>It appears Ark’s</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vision</w:t>
      </w:r>
      <w:r>
        <w:rPr>
          <w:rStyle w:val="apple-converted-space"/>
          <w:rFonts w:ascii="Segoe UI" w:eastAsiaTheme="majorEastAsia" w:hAnsi="Segoe UI" w:cs="Segoe UI"/>
          <w:color w:val="0F1115"/>
        </w:rPr>
        <w:t> </w:t>
      </w:r>
      <w:r>
        <w:rPr>
          <w:rFonts w:ascii="Segoe UI" w:hAnsi="Segoe UI" w:cs="Segoe UI"/>
          <w:color w:val="0F1115"/>
        </w:rPr>
        <w:t>is to be recognised as the UK’s leading provider of mission-critical, sustainable data infrastructure. This is about quality and reputation, not just size. Their</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mission</w:t>
      </w:r>
      <w:r>
        <w:rPr>
          <w:rStyle w:val="apple-converted-space"/>
          <w:rFonts w:ascii="Segoe UI" w:eastAsiaTheme="majorEastAsia" w:hAnsi="Segoe UI" w:cs="Segoe UI"/>
          <w:color w:val="0F1115"/>
        </w:rPr>
        <w:t> </w:t>
      </w:r>
      <w:r>
        <w:rPr>
          <w:rFonts w:ascii="Segoe UI" w:hAnsi="Segoe UI" w:cs="Segoe UI"/>
          <w:color w:val="0F1115"/>
        </w:rPr>
        <w:t xml:space="preserve">seems to </w:t>
      </w:r>
      <w:proofErr w:type="gramStart"/>
      <w:r>
        <w:rPr>
          <w:rFonts w:ascii="Segoe UI" w:hAnsi="Segoe UI" w:cs="Segoe UI"/>
          <w:color w:val="0F1115"/>
        </w:rPr>
        <w:t>be:</w:t>
      </w:r>
      <w:proofErr w:type="gramEnd"/>
      <w:r>
        <w:rPr>
          <w:rFonts w:ascii="Segoe UI" w:hAnsi="Segoe UI" w:cs="Segoe UI"/>
          <w:color w:val="0F1115"/>
        </w:rPr>
        <w:t xml:space="preserve"> to deliver secure, scalable, and energy-efficient data centre solutions that help the public sector and major enterprises meet their digital and environmental responsibilities. This mission is lived out every day in their operations.</w:t>
      </w:r>
    </w:p>
    <w:p w14:paraId="2A6AD7F5"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Current Strategic Objectives:</w:t>
      </w:r>
    </w:p>
    <w:p w14:paraId="5FEB9C08" w14:textId="77777777" w:rsidR="00316288" w:rsidRDefault="00316288" w:rsidP="00316288">
      <w:pPr>
        <w:pStyle w:val="ds-markdown-paragraph"/>
        <w:numPr>
          <w:ilvl w:val="0"/>
          <w:numId w:val="2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Achieve Operational and Security Excellence:</w:t>
      </w:r>
      <w:r>
        <w:rPr>
          <w:rStyle w:val="apple-converted-space"/>
          <w:rFonts w:ascii="Segoe UI" w:eastAsiaTheme="majorEastAsia" w:hAnsi="Segoe UI" w:cs="Segoe UI"/>
          <w:color w:val="0F1115"/>
        </w:rPr>
        <w:t> </w:t>
      </w:r>
      <w:r>
        <w:rPr>
          <w:rFonts w:ascii="Segoe UI" w:hAnsi="Segoe UI" w:cs="Segoe UI"/>
          <w:color w:val="0F1115"/>
        </w:rPr>
        <w:t>This is non-negotiable. Their campus designs are built like fortresses, and their crown jewel is the Crown Hosting contract, which is the ultimate proof of trust from the UK state.</w:t>
      </w:r>
    </w:p>
    <w:p w14:paraId="6CCDCA6D" w14:textId="77777777" w:rsidR="00316288" w:rsidRDefault="00316288" w:rsidP="00316288">
      <w:pPr>
        <w:pStyle w:val="ds-markdown-paragraph"/>
        <w:numPr>
          <w:ilvl w:val="0"/>
          <w:numId w:val="2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Lead the Industry in Environmental Performance:</w:t>
      </w:r>
      <w:r>
        <w:rPr>
          <w:rStyle w:val="apple-converted-space"/>
          <w:rFonts w:ascii="Segoe UI" w:eastAsiaTheme="majorEastAsia" w:hAnsi="Segoe UI" w:cs="Segoe UI"/>
          <w:color w:val="0F1115"/>
        </w:rPr>
        <w:t> </w:t>
      </w:r>
      <w:r>
        <w:rPr>
          <w:rFonts w:ascii="Segoe UI" w:hAnsi="Segoe UI" w:cs="Segoe UI"/>
          <w:color w:val="0F1115"/>
        </w:rPr>
        <w:t>This is their signature. Their objectives here are concrete and achieved: 100% renewable energy, a zero-waste-to-landfill policy, pioneering the switch from diesel to HVO fuel for backups, and public commitments like the Climate Neutral Data Centre Pact (aiming for 2030).</w:t>
      </w:r>
    </w:p>
    <w:p w14:paraId="2DDBAA8A" w14:textId="77777777" w:rsidR="00316288" w:rsidRDefault="00316288" w:rsidP="00316288">
      <w:pPr>
        <w:pStyle w:val="ds-markdown-paragraph"/>
        <w:numPr>
          <w:ilvl w:val="0"/>
          <w:numId w:val="2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lastRenderedPageBreak/>
        <w:t>Pursue Controlled, Smart Growth:</w:t>
      </w:r>
      <w:r>
        <w:rPr>
          <w:rStyle w:val="apple-converted-space"/>
          <w:rFonts w:ascii="Segoe UI" w:eastAsiaTheme="majorEastAsia" w:hAnsi="Segoe UI" w:cs="Segoe UI"/>
          <w:color w:val="0F1115"/>
        </w:rPr>
        <w:t> </w:t>
      </w:r>
      <w:r>
        <w:rPr>
          <w:rFonts w:ascii="Segoe UI" w:hAnsi="Segoe UI" w:cs="Segoe UI"/>
          <w:color w:val="0F1115"/>
        </w:rPr>
        <w:t>They grow by expanding capacity within their existing secure campuses using modular construction. This is less risky than building brand-new sites in unknown places and allows them to scale up efficiently as client demand grows.</w:t>
      </w:r>
    </w:p>
    <w:p w14:paraId="5F2A3C09"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Critical Appraisal of this Direction:</w:t>
      </w:r>
      <w:r>
        <w:rPr>
          <w:rFonts w:ascii="Segoe UI" w:hAnsi="Segoe UI" w:cs="Segoe UI"/>
          <w:color w:val="0F1115"/>
        </w:rPr>
        <w:br/>
        <w:t>Using strategic theory, we can classify Ark’s approach as a classic</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Focused Differentiation strategy</w:t>
      </w:r>
      <w:r>
        <w:rPr>
          <w:rStyle w:val="apple-converted-space"/>
          <w:rFonts w:ascii="Segoe UI" w:eastAsiaTheme="majorEastAsia" w:hAnsi="Segoe UI" w:cs="Segoe UI"/>
          <w:color w:val="0F1115"/>
        </w:rPr>
        <w:t> </w:t>
      </w:r>
      <w:r>
        <w:rPr>
          <w:rFonts w:ascii="Segoe UI" w:hAnsi="Segoe UI" w:cs="Segoe UI"/>
          <w:color w:val="0F1115"/>
        </w:rPr>
        <w:t>(from Porter’s Generic Strategies). They have chosen a specific segment of the market—clients who need top-tier security and/or have strong green targets—and they compete by offering unique value in that segment, not by having the lowest price. This is an</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excellent and appropriate strategy</w:t>
      </w:r>
      <w:r>
        <w:rPr>
          <w:rStyle w:val="apple-converted-space"/>
          <w:rFonts w:ascii="Segoe UI" w:eastAsiaTheme="majorEastAsia" w:hAnsi="Segoe UI" w:cs="Segoe UI"/>
          <w:color w:val="0F1115"/>
        </w:rPr>
        <w:t> </w:t>
      </w:r>
      <w:r>
        <w:rPr>
          <w:rFonts w:ascii="Segoe UI" w:hAnsi="Segoe UI" w:cs="Segoe UI"/>
          <w:color w:val="0F1115"/>
        </w:rPr>
        <w:t>for an SME. It allows them to avoid a direct, losing war with “</w:t>
      </w:r>
      <w:proofErr w:type="spellStart"/>
      <w:r>
        <w:rPr>
          <w:rFonts w:ascii="Segoe UI" w:hAnsi="Segoe UI" w:cs="Segoe UI"/>
          <w:color w:val="0F1115"/>
        </w:rPr>
        <w:t>hyperscalers</w:t>
      </w:r>
      <w:proofErr w:type="spellEnd"/>
      <w:r>
        <w:rPr>
          <w:rFonts w:ascii="Segoe UI" w:hAnsi="Segoe UI" w:cs="Segoe UI"/>
          <w:color w:val="0F1115"/>
        </w:rPr>
        <w:t>” like AWS, who compete on global scale and price. Instead, Ark offers something these giants often cannot: a combination of sovereign UK security guarantees with proven, market-leading sustainability credentials.</w:t>
      </w:r>
    </w:p>
    <w:p w14:paraId="354386B7"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Deep Dive Analysis: The Internal and External Environment</w:t>
      </w:r>
    </w:p>
    <w:p w14:paraId="7A93EFD2"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To understand where Ark can go, we need a clear picture of where it stands now. This requires analysing both its internal capabilities and the external forces it faces.</w:t>
      </w:r>
    </w:p>
    <w:p w14:paraId="18644739"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3.1 Internal Analysis: Strengths, Weaknesses, and the Value Chain</w:t>
      </w:r>
    </w:p>
    <w:p w14:paraId="5A0D19D1"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A SWOT analysis summarises the internal picture well:</w:t>
      </w:r>
    </w:p>
    <w:p w14:paraId="43A44509"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Strengths:</w:t>
      </w:r>
    </w:p>
    <w:p w14:paraId="0FF94982" w14:textId="77777777" w:rsidR="00316288" w:rsidRDefault="00316288" w:rsidP="00316288">
      <w:pPr>
        <w:pStyle w:val="ds-markdown-paragraph"/>
        <w:numPr>
          <w:ilvl w:val="0"/>
          <w:numId w:val="23"/>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Sustainability Brand as a Fortress:</w:t>
      </w:r>
      <w:r>
        <w:rPr>
          <w:rStyle w:val="apple-converted-space"/>
          <w:rFonts w:ascii="Segoe UI" w:eastAsiaTheme="majorEastAsia" w:hAnsi="Segoe UI" w:cs="Segoe UI"/>
          <w:color w:val="0F1115"/>
        </w:rPr>
        <w:t> </w:t>
      </w:r>
      <w:r>
        <w:rPr>
          <w:rFonts w:ascii="Segoe UI" w:hAnsi="Segoe UI" w:cs="Segoe UI"/>
          <w:color w:val="0F1115"/>
        </w:rPr>
        <w:t>This is their #1 asset. In a market where “greenwashing” is common, Ark’s achievements are real, measurable, and certified. This gives them incredible credibility.</w:t>
      </w:r>
    </w:p>
    <w:p w14:paraId="6985AE88" w14:textId="77777777" w:rsidR="00316288" w:rsidRDefault="00316288" w:rsidP="00316288">
      <w:pPr>
        <w:pStyle w:val="ds-markdown-paragraph"/>
        <w:numPr>
          <w:ilvl w:val="0"/>
          <w:numId w:val="23"/>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The Ultimate Trust Signal – Government Partnership:</w:t>
      </w:r>
      <w:r>
        <w:rPr>
          <w:rStyle w:val="apple-converted-space"/>
          <w:rFonts w:ascii="Segoe UI" w:eastAsiaTheme="majorEastAsia" w:hAnsi="Segoe UI" w:cs="Segoe UI"/>
          <w:color w:val="0F1115"/>
        </w:rPr>
        <w:t> </w:t>
      </w:r>
      <w:r>
        <w:rPr>
          <w:rFonts w:ascii="Segoe UI" w:hAnsi="Segoe UI" w:cs="Segoe UI"/>
          <w:color w:val="0F1115"/>
        </w:rPr>
        <w:t>The Crown Hosting JV is not just a contract; it’s a powerful marketing tool and a stable revenue foundation. It signals to all other potential clients that Ark meets the highest possible standards.</w:t>
      </w:r>
    </w:p>
    <w:p w14:paraId="48857AFC" w14:textId="77777777" w:rsidR="00316288" w:rsidRDefault="00316288" w:rsidP="00316288">
      <w:pPr>
        <w:pStyle w:val="ds-markdown-paragraph"/>
        <w:numPr>
          <w:ilvl w:val="0"/>
          <w:numId w:val="23"/>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Agile Expertise and Culture:</w:t>
      </w:r>
      <w:r>
        <w:rPr>
          <w:rStyle w:val="apple-converted-space"/>
          <w:rFonts w:ascii="Segoe UI" w:eastAsiaTheme="majorEastAsia" w:hAnsi="Segoe UI" w:cs="Segoe UI"/>
          <w:color w:val="0F1115"/>
        </w:rPr>
        <w:t> </w:t>
      </w:r>
      <w:r>
        <w:rPr>
          <w:rFonts w:ascii="Segoe UI" w:hAnsi="Segoe UI" w:cs="Segoe UI"/>
          <w:color w:val="0F1115"/>
        </w:rPr>
        <w:t>With a small, expert team of around 133, they can move quickly, innovate, and maintain a high-performance culture where people feel responsible. This is harder in large, bureaucratic firms.</w:t>
      </w:r>
    </w:p>
    <w:p w14:paraId="43CBFEBF" w14:textId="77777777" w:rsidR="00316288" w:rsidRDefault="00316288" w:rsidP="00316288">
      <w:pPr>
        <w:pStyle w:val="ds-markdown-paragraph"/>
        <w:numPr>
          <w:ilvl w:val="0"/>
          <w:numId w:val="23"/>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Cost-Efficient, Scalable Model:</w:t>
      </w:r>
      <w:r>
        <w:rPr>
          <w:rStyle w:val="apple-converted-space"/>
          <w:rFonts w:ascii="Segoe UI" w:eastAsiaTheme="majorEastAsia" w:hAnsi="Segoe UI" w:cs="Segoe UI"/>
          <w:color w:val="0F1115"/>
        </w:rPr>
        <w:t> </w:t>
      </w:r>
      <w:r>
        <w:rPr>
          <w:rFonts w:ascii="Segoe UI" w:hAnsi="Segoe UI" w:cs="Segoe UI"/>
          <w:color w:val="0F1115"/>
        </w:rPr>
        <w:t>Their campus/modular approach means they can add capacity in a predictable, lower-cost way, which is efficient for them and flexible for their clients.</w:t>
      </w:r>
    </w:p>
    <w:p w14:paraId="03F8C021"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Weaknesses:</w:t>
      </w:r>
    </w:p>
    <w:p w14:paraId="78EF6430" w14:textId="77777777" w:rsidR="00316288" w:rsidRDefault="00316288" w:rsidP="00316288">
      <w:pPr>
        <w:pStyle w:val="ds-markdown-paragraph"/>
        <w:numPr>
          <w:ilvl w:val="0"/>
          <w:numId w:val="24"/>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The SME Funding Gap:</w:t>
      </w:r>
      <w:r>
        <w:rPr>
          <w:rStyle w:val="apple-converted-space"/>
          <w:rFonts w:ascii="Segoe UI" w:eastAsiaTheme="majorEastAsia" w:hAnsi="Segoe UI" w:cs="Segoe UI"/>
          <w:color w:val="0F1115"/>
        </w:rPr>
        <w:t> </w:t>
      </w:r>
      <w:r>
        <w:rPr>
          <w:rFonts w:ascii="Segoe UI" w:hAnsi="Segoe UI" w:cs="Segoe UI"/>
          <w:color w:val="0F1115"/>
        </w:rPr>
        <w:t>They cannot access capital as easily as a publicly traded giant. Big, sudden investments or acquisitions are very difficult.</w:t>
      </w:r>
    </w:p>
    <w:p w14:paraId="12E37A1B" w14:textId="77777777" w:rsidR="00316288" w:rsidRDefault="00316288" w:rsidP="00316288">
      <w:pPr>
        <w:pStyle w:val="ds-markdown-paragraph"/>
        <w:numPr>
          <w:ilvl w:val="0"/>
          <w:numId w:val="24"/>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lastRenderedPageBreak/>
        <w:t>Concentration Risk:</w:t>
      </w:r>
      <w:r>
        <w:rPr>
          <w:rStyle w:val="apple-converted-space"/>
          <w:rFonts w:ascii="Segoe UI" w:eastAsiaTheme="majorEastAsia" w:hAnsi="Segoe UI" w:cs="Segoe UI"/>
          <w:color w:val="0F1115"/>
        </w:rPr>
        <w:t> </w:t>
      </w:r>
      <w:r>
        <w:rPr>
          <w:rFonts w:ascii="Segoe UI" w:hAnsi="Segoe UI" w:cs="Segoe UI"/>
          <w:color w:val="0F1115"/>
        </w:rPr>
        <w:t>Their geographic footprint (UK-only) and client dependence (heavy on public sector) make them vulnerable to local economic or political shifts.</w:t>
      </w:r>
    </w:p>
    <w:p w14:paraId="3BD00A3E" w14:textId="77777777" w:rsidR="00316288" w:rsidRDefault="00316288" w:rsidP="00316288">
      <w:pPr>
        <w:pStyle w:val="ds-markdown-paragraph"/>
        <w:numPr>
          <w:ilvl w:val="0"/>
          <w:numId w:val="24"/>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The “Key Person” Risk:</w:t>
      </w:r>
      <w:r>
        <w:rPr>
          <w:rStyle w:val="apple-converted-space"/>
          <w:rFonts w:ascii="Segoe UI" w:eastAsiaTheme="majorEastAsia" w:hAnsi="Segoe UI" w:cs="Segoe UI"/>
          <w:color w:val="0F1115"/>
        </w:rPr>
        <w:t> </w:t>
      </w:r>
      <w:r>
        <w:rPr>
          <w:rFonts w:ascii="Segoe UI" w:hAnsi="Segoe UI" w:cs="Segoe UI"/>
          <w:color w:val="0F1115"/>
        </w:rPr>
        <w:t>In a small specialist team, the knowledge is concentrated. Losing a few key engineers or managers could disrupt projects severely.</w:t>
      </w:r>
    </w:p>
    <w:p w14:paraId="3725BB59" w14:textId="77777777" w:rsidR="00316288" w:rsidRDefault="00316288" w:rsidP="00316288">
      <w:pPr>
        <w:pStyle w:val="ds-markdown-paragraph"/>
        <w:numPr>
          <w:ilvl w:val="0"/>
          <w:numId w:val="24"/>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Lower Market Visibility:</w:t>
      </w:r>
      <w:r>
        <w:rPr>
          <w:rStyle w:val="apple-converted-space"/>
          <w:rFonts w:ascii="Segoe UI" w:eastAsiaTheme="majorEastAsia" w:hAnsi="Segoe UI" w:cs="Segoe UI"/>
          <w:color w:val="0F1115"/>
        </w:rPr>
        <w:t> </w:t>
      </w:r>
      <w:r>
        <w:rPr>
          <w:rFonts w:ascii="Segoe UI" w:hAnsi="Segoe UI" w:cs="Segoe UI"/>
          <w:color w:val="0F1115"/>
        </w:rPr>
        <w:t>In the broader commercial world, outside of government circles, many IT managers might not know the Ark brand, unlike AWS or Azure.</w:t>
      </w:r>
    </w:p>
    <w:p w14:paraId="03E426F8"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3.2 External Analysis: The Macro-Environment and Industry Forces</w:t>
      </w:r>
    </w:p>
    <w:p w14:paraId="62B7B59C"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PESTEL Analysis (The Big Picture):</w:t>
      </w:r>
    </w:p>
    <w:p w14:paraId="3CBF0062" w14:textId="77777777" w:rsidR="00316288" w:rsidRDefault="00316288" w:rsidP="00316288">
      <w:pPr>
        <w:pStyle w:val="ds-markdown-paragraph"/>
        <w:numPr>
          <w:ilvl w:val="0"/>
          <w:numId w:val="25"/>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Political:</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Strong Positive.</w:t>
      </w:r>
      <w:r>
        <w:rPr>
          <w:rStyle w:val="apple-converted-space"/>
          <w:rFonts w:ascii="Segoe UI" w:eastAsiaTheme="majorEastAsia" w:hAnsi="Segoe UI" w:cs="Segoe UI"/>
          <w:color w:val="0F1115"/>
        </w:rPr>
        <w:t> </w:t>
      </w:r>
      <w:r>
        <w:rPr>
          <w:rFonts w:ascii="Segoe UI" w:hAnsi="Segoe UI" w:cs="Segoe UI"/>
          <w:color w:val="0F1115"/>
        </w:rPr>
        <w:t>UK government policies are fully aligned with Ark. The ‘Net Zero 2050’ law, the ‘Digital Strategy’, and focus on national cyber security all drive demand for exactly what Ark sells: secure, sustainable, sovereign digital infrastructure.</w:t>
      </w:r>
    </w:p>
    <w:p w14:paraId="067E79DC" w14:textId="77777777" w:rsidR="00316288" w:rsidRDefault="00316288" w:rsidP="00316288">
      <w:pPr>
        <w:pStyle w:val="ds-markdown-paragraph"/>
        <w:numPr>
          <w:ilvl w:val="0"/>
          <w:numId w:val="25"/>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Economic:</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Mixed.</w:t>
      </w:r>
      <w:r>
        <w:rPr>
          <w:rStyle w:val="apple-converted-space"/>
          <w:rFonts w:ascii="Segoe UI" w:eastAsiaTheme="majorEastAsia" w:hAnsi="Segoe UI" w:cs="Segoe UI"/>
          <w:color w:val="0F1115"/>
        </w:rPr>
        <w:t> </w:t>
      </w:r>
      <w:r>
        <w:rPr>
          <w:rFonts w:ascii="Segoe UI" w:hAnsi="Segoe UI" w:cs="Segoe UI"/>
          <w:color w:val="0F1115"/>
        </w:rPr>
        <w:t>High inflation and energy prices squeeze their costs. However, paradoxically, this makes Ark’s ultra-efficient operations</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more</w:t>
      </w:r>
      <w:r>
        <w:rPr>
          <w:rStyle w:val="apple-converted-space"/>
          <w:rFonts w:ascii="Segoe UI" w:eastAsiaTheme="majorEastAsia" w:hAnsi="Segoe UI" w:cs="Segoe UI"/>
          <w:color w:val="0F1115"/>
        </w:rPr>
        <w:t> </w:t>
      </w:r>
      <w:r>
        <w:rPr>
          <w:rFonts w:ascii="Segoe UI" w:hAnsi="Segoe UI" w:cs="Segoe UI"/>
          <w:color w:val="0F1115"/>
        </w:rPr>
        <w:t>valuable to clients looking to control their own IT energy bills. Economic downturns can also push companies to outsource IT to experts like Ark.</w:t>
      </w:r>
    </w:p>
    <w:p w14:paraId="3D15A09F" w14:textId="77777777" w:rsidR="00316288" w:rsidRDefault="00316288" w:rsidP="00316288">
      <w:pPr>
        <w:pStyle w:val="ds-markdown-paragraph"/>
        <w:numPr>
          <w:ilvl w:val="0"/>
          <w:numId w:val="25"/>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Social:</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Very Positive.</w:t>
      </w:r>
      <w:r>
        <w:rPr>
          <w:rStyle w:val="apple-converted-space"/>
          <w:rFonts w:ascii="Segoe UI" w:eastAsiaTheme="majorEastAsia" w:hAnsi="Segoe UI" w:cs="Segoe UI"/>
          <w:color w:val="0F1115"/>
        </w:rPr>
        <w:t> </w:t>
      </w:r>
      <w:r>
        <w:rPr>
          <w:rFonts w:ascii="Segoe UI" w:hAnsi="Segoe UI" w:cs="Segoe UI"/>
          <w:color w:val="0F1115"/>
        </w:rPr>
        <w:t>The ESG (Environmental, Social, Governance) movement is powerful. Boards of directors are now held accountable for their company’s carbon footprint, including from their supply chain (Scope 3 emissions). By choosing Ark, a client instantly improves its own ESG scorecard.</w:t>
      </w:r>
    </w:p>
    <w:p w14:paraId="01BFDA58" w14:textId="77777777" w:rsidR="00316288" w:rsidRDefault="00316288" w:rsidP="00316288">
      <w:pPr>
        <w:pStyle w:val="ds-markdown-paragraph"/>
        <w:numPr>
          <w:ilvl w:val="0"/>
          <w:numId w:val="25"/>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Technological:</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Opportunity.</w:t>
      </w:r>
      <w:r>
        <w:rPr>
          <w:rStyle w:val="apple-converted-space"/>
          <w:rFonts w:ascii="Segoe UI" w:eastAsiaTheme="majorEastAsia" w:hAnsi="Segoe UI" w:cs="Segoe UI"/>
          <w:color w:val="0F1115"/>
        </w:rPr>
        <w:t> </w:t>
      </w:r>
      <w:r>
        <w:rPr>
          <w:rFonts w:ascii="Segoe UI" w:hAnsi="Segoe UI" w:cs="Segoe UI"/>
          <w:color w:val="0F1115"/>
        </w:rPr>
        <w:t>Advances in cooling (liquid immersion), power management (AI and software), and renewable integration are constant. Ark must keep investing to stay at the cutting edge, but this also offers chances to pull further ahead.</w:t>
      </w:r>
    </w:p>
    <w:p w14:paraId="382808A2" w14:textId="77777777" w:rsidR="00316288" w:rsidRDefault="00316288" w:rsidP="00316288">
      <w:pPr>
        <w:pStyle w:val="ds-markdown-paragraph"/>
        <w:numPr>
          <w:ilvl w:val="0"/>
          <w:numId w:val="25"/>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Environmental:</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The Major Driver.</w:t>
      </w:r>
      <w:r>
        <w:rPr>
          <w:rStyle w:val="apple-converted-space"/>
          <w:rFonts w:ascii="Segoe UI" w:eastAsiaTheme="majorEastAsia" w:hAnsi="Segoe UI" w:cs="Segoe UI"/>
          <w:color w:val="0F1115"/>
        </w:rPr>
        <w:t> </w:t>
      </w:r>
      <w:r>
        <w:rPr>
          <w:rFonts w:ascii="Segoe UI" w:hAnsi="Segoe UI" w:cs="Segoe UI"/>
          <w:color w:val="0F1115"/>
        </w:rPr>
        <w:t>Climate change is not just a trend; it’s a business reality. Laws like the UK’s Streamlined Energy and Carbon Reporting (SECR) force large companies to report and reduce emissions. Ark’s value proposition is a direct solution to this problem.</w:t>
      </w:r>
    </w:p>
    <w:p w14:paraId="1627E916"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Porter’s Five Forces Analysis (The Industry Competition):</w:t>
      </w:r>
    </w:p>
    <w:p w14:paraId="14259C87" w14:textId="77777777" w:rsidR="00316288" w:rsidRDefault="00316288" w:rsidP="00316288">
      <w:pPr>
        <w:pStyle w:val="ds-markdown-paragraph"/>
        <w:numPr>
          <w:ilvl w:val="0"/>
          <w:numId w:val="26"/>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Rivalry Among Existing Competitors (High):</w:t>
      </w:r>
      <w:r>
        <w:rPr>
          <w:rStyle w:val="apple-converted-space"/>
          <w:rFonts w:ascii="Segoe UI" w:eastAsiaTheme="majorEastAsia" w:hAnsi="Segoe UI" w:cs="Segoe UI"/>
          <w:color w:val="0F1115"/>
        </w:rPr>
        <w:t> </w:t>
      </w:r>
      <w:r>
        <w:rPr>
          <w:rFonts w:ascii="Segoe UI" w:hAnsi="Segoe UI" w:cs="Segoe UI"/>
          <w:color w:val="0F1115"/>
        </w:rPr>
        <w:t>The field is crowded. Ark faces: a) Global hyperscale cloud providers (AWS, Google, Microsoft) who also build data centres; b) Large wholesale data centre companies; c) Other colocation specialists. The rivalry is intense, but Ark sidesteps the fiercest price-based competition by being in a specialised niche.</w:t>
      </w:r>
    </w:p>
    <w:p w14:paraId="01F2AEFA" w14:textId="77777777" w:rsidR="00316288" w:rsidRDefault="00316288" w:rsidP="00316288">
      <w:pPr>
        <w:pStyle w:val="ds-markdown-paragraph"/>
        <w:numPr>
          <w:ilvl w:val="0"/>
          <w:numId w:val="26"/>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lastRenderedPageBreak/>
        <w:t>Threat of New Entrants (Medium):</w:t>
      </w:r>
      <w:r>
        <w:rPr>
          <w:rStyle w:val="apple-converted-space"/>
          <w:rFonts w:ascii="Segoe UI" w:eastAsiaTheme="majorEastAsia" w:hAnsi="Segoe UI" w:cs="Segoe UI"/>
          <w:color w:val="0F1115"/>
        </w:rPr>
        <w:t> </w:t>
      </w:r>
      <w:r>
        <w:rPr>
          <w:rFonts w:ascii="Segoe UI" w:hAnsi="Segoe UI" w:cs="Segoe UI"/>
          <w:color w:val="0F1115"/>
        </w:rPr>
        <w:t>The barriers are high (huge capital costs, technical know-how, need for trust). However, a big energy company with existing power infrastructure and land, or a foreign data centre firm looking to enter the UK, could be a new threat.</w:t>
      </w:r>
    </w:p>
    <w:p w14:paraId="562F6EAE" w14:textId="77777777" w:rsidR="00316288" w:rsidRDefault="00316288" w:rsidP="00316288">
      <w:pPr>
        <w:pStyle w:val="ds-markdown-paragraph"/>
        <w:numPr>
          <w:ilvl w:val="0"/>
          <w:numId w:val="26"/>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Bargaining Power of Buyers (Medium-High):</w:t>
      </w:r>
      <w:r>
        <w:rPr>
          <w:rStyle w:val="apple-converted-space"/>
          <w:rFonts w:ascii="Segoe UI" w:eastAsiaTheme="majorEastAsia" w:hAnsi="Segoe UI" w:cs="Segoe UI"/>
          <w:color w:val="0F1115"/>
        </w:rPr>
        <w:t> </w:t>
      </w:r>
      <w:r>
        <w:rPr>
          <w:rFonts w:ascii="Segoe UI" w:hAnsi="Segoe UI" w:cs="Segoe UI"/>
          <w:color w:val="0F1115"/>
        </w:rPr>
        <w:t>Ark’s clients (e.g., government departments, large banks) are powerful and negotiate hard. However, Ark’s unique green/secure offering reduces pure price pressure for clients who truly value those features.</w:t>
      </w:r>
    </w:p>
    <w:p w14:paraId="74B5FC73" w14:textId="77777777" w:rsidR="00316288" w:rsidRDefault="00316288" w:rsidP="00316288">
      <w:pPr>
        <w:pStyle w:val="ds-markdown-paragraph"/>
        <w:numPr>
          <w:ilvl w:val="0"/>
          <w:numId w:val="26"/>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Bargaining Power of Suppliers (Medium):</w:t>
      </w:r>
      <w:r>
        <w:rPr>
          <w:rStyle w:val="apple-converted-space"/>
          <w:rFonts w:ascii="Segoe UI" w:eastAsiaTheme="majorEastAsia" w:hAnsi="Segoe UI" w:cs="Segoe UI"/>
          <w:color w:val="0F1115"/>
        </w:rPr>
        <w:t> </w:t>
      </w:r>
      <w:r>
        <w:rPr>
          <w:rFonts w:ascii="Segoe UI" w:hAnsi="Segoe UI" w:cs="Segoe UI"/>
          <w:color w:val="0F1115"/>
        </w:rPr>
        <w:t>They depend on renewable energy providers (need long-term fixed-price contracts) and specialised hardware vendors. Disruption in supply could be problematic.</w:t>
      </w:r>
    </w:p>
    <w:p w14:paraId="04A2C68F" w14:textId="77777777" w:rsidR="00316288" w:rsidRDefault="00316288" w:rsidP="00316288">
      <w:pPr>
        <w:pStyle w:val="ds-markdown-paragraph"/>
        <w:numPr>
          <w:ilvl w:val="0"/>
          <w:numId w:val="26"/>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Threat of Substitutes (Low):</w:t>
      </w:r>
      <w:r>
        <w:rPr>
          <w:rStyle w:val="apple-converted-space"/>
          <w:rFonts w:ascii="Segoe UI" w:eastAsiaTheme="majorEastAsia" w:hAnsi="Segoe UI" w:cs="Segoe UI"/>
          <w:color w:val="0F1115"/>
        </w:rPr>
        <w:t> </w:t>
      </w:r>
      <w:r>
        <w:rPr>
          <w:rFonts w:ascii="Segoe UI" w:hAnsi="Segoe UI" w:cs="Segoe UI"/>
          <w:color w:val="0F1115"/>
        </w:rPr>
        <w:t>There is no real alternative to data centres for housing enterprise IT infrastructure. The shift to public cloud is a different</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service</w:t>
      </w:r>
      <w:r>
        <w:rPr>
          <w:rStyle w:val="apple-converted-space"/>
          <w:rFonts w:ascii="Segoe UI" w:eastAsiaTheme="majorEastAsia" w:hAnsi="Segoe UI" w:cs="Segoe UI"/>
          <w:color w:val="0F1115"/>
        </w:rPr>
        <w:t> </w:t>
      </w:r>
      <w:r>
        <w:rPr>
          <w:rFonts w:ascii="Segoe UI" w:hAnsi="Segoe UI" w:cs="Segoe UI"/>
          <w:color w:val="0F1115"/>
        </w:rPr>
        <w:t>model, but it still physically runs in data centres (often built by these same cloud giants).</w:t>
      </w:r>
    </w:p>
    <w:p w14:paraId="73A81C4F"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Synthesis – Ark’s Competitive Positioning:</w:t>
      </w:r>
      <w:r>
        <w:rPr>
          <w:rFonts w:ascii="Segoe UI" w:hAnsi="Segoe UI" w:cs="Segoe UI"/>
          <w:color w:val="0F1115"/>
        </w:rPr>
        <w:br/>
        <w:t>Putting it all together, Ark has carved out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strong, defensible niche</w:t>
      </w:r>
      <w:r>
        <w:rPr>
          <w:rFonts w:ascii="Segoe UI" w:hAnsi="Segoe UI" w:cs="Segoe UI"/>
          <w:color w:val="0F1115"/>
        </w:rPr>
        <w:t>. It does not compete on the same battlefield as the giants. Using</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Bowman’s Strategic Clock</w:t>
      </w:r>
      <w:r>
        <w:rPr>
          <w:rFonts w:ascii="Segoe UI" w:hAnsi="Segoe UI" w:cs="Segoe UI"/>
          <w:color w:val="0F1115"/>
        </w:rPr>
        <w:t>, it sits firmly in</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Position 5: Focused Differentiation</w:t>
      </w:r>
      <w:r>
        <w:rPr>
          <w:rFonts w:ascii="Segoe UI" w:hAnsi="Segoe UI" w:cs="Segoe UI"/>
          <w:color w:val="0F1115"/>
        </w:rPr>
        <w:t>. It offers high perceived value (green, secure, trustworthy) to a specific group of customers (government, ESG-conscious enterprises) and can charge a premium for it. This is a textbook way for an SME to achieve sustainable advantage.</w:t>
      </w:r>
    </w:p>
    <w:p w14:paraId="13530407"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Strategic Growth Choices and the Proposed Path Forward</w:t>
      </w:r>
    </w:p>
    <w:p w14:paraId="72CE47A6"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Now, the key question: how should Ark grow from this strong position? SMEs must be clever about growth—they can’t just throw money at the problem. We can use strategic models to think through the options.</w:t>
      </w:r>
    </w:p>
    <w:p w14:paraId="6E9F939A"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Evaluation of Options Using the Ansoff Matrix:</w:t>
      </w:r>
    </w:p>
    <w:p w14:paraId="7AEE7526" w14:textId="77777777" w:rsidR="00316288" w:rsidRDefault="00316288" w:rsidP="00316288">
      <w:pPr>
        <w:pStyle w:val="ds-markdown-paragraph"/>
        <w:numPr>
          <w:ilvl w:val="0"/>
          <w:numId w:val="27"/>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Market Penetration (Existing products, existing markets):</w:t>
      </w:r>
      <w:r>
        <w:rPr>
          <w:rStyle w:val="apple-converted-space"/>
          <w:rFonts w:ascii="Segoe UI" w:eastAsiaTheme="majorEastAsia" w:hAnsi="Segoe UI" w:cs="Segoe UI"/>
          <w:color w:val="0F1115"/>
        </w:rPr>
        <w:t> </w:t>
      </w:r>
      <w:r>
        <w:rPr>
          <w:rFonts w:ascii="Segoe UI" w:hAnsi="Segoe UI" w:cs="Segoe UI"/>
          <w:color w:val="0F1115"/>
        </w:rPr>
        <w:t xml:space="preserve">This is the safest. Ark should </w:t>
      </w:r>
      <w:proofErr w:type="gramStart"/>
      <w:r>
        <w:rPr>
          <w:rFonts w:ascii="Segoe UI" w:hAnsi="Segoe UI" w:cs="Segoe UI"/>
          <w:color w:val="0F1115"/>
        </w:rPr>
        <w:t>definitely continue</w:t>
      </w:r>
      <w:proofErr w:type="gramEnd"/>
      <w:r>
        <w:rPr>
          <w:rFonts w:ascii="Segoe UI" w:hAnsi="Segoe UI" w:cs="Segoe UI"/>
          <w:color w:val="0F1115"/>
        </w:rPr>
        <w:t xml:space="preserve"> to deepen relationships with existing UK government clients and try to sell more capacity to them. Low risk, but limited growth potential.</w:t>
      </w:r>
    </w:p>
    <w:p w14:paraId="29113CE6" w14:textId="77777777" w:rsidR="00316288" w:rsidRDefault="00316288" w:rsidP="00316288">
      <w:pPr>
        <w:pStyle w:val="ds-markdown-paragraph"/>
        <w:numPr>
          <w:ilvl w:val="0"/>
          <w:numId w:val="27"/>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Market Development (Existing products, new markets):</w:t>
      </w:r>
      <w:r>
        <w:rPr>
          <w:rStyle w:val="apple-converted-space"/>
          <w:rFonts w:ascii="Segoe UI" w:eastAsiaTheme="majorEastAsia" w:hAnsi="Segoe UI" w:cs="Segoe UI"/>
          <w:color w:val="0F1115"/>
        </w:rPr>
        <w:t> </w:t>
      </w:r>
      <w:r>
        <w:rPr>
          <w:rFonts w:ascii="Segoe UI" w:hAnsi="Segoe UI" w:cs="Segoe UI"/>
          <w:color w:val="0F1115"/>
        </w:rPr>
        <w:t>This is attractive but risky. The logical new market is other European countries with similar green ambitions (e.g., Germany, Netherlands). However, doing this alone as an SME is very expensive and difficult due to different regulations and established local competitors.</w:t>
      </w:r>
    </w:p>
    <w:p w14:paraId="155A1468" w14:textId="77777777" w:rsidR="00316288" w:rsidRDefault="00316288" w:rsidP="00316288">
      <w:pPr>
        <w:pStyle w:val="ds-markdown-paragraph"/>
        <w:numPr>
          <w:ilvl w:val="0"/>
          <w:numId w:val="27"/>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Product/Service Development (New products, existing markets</w:t>
      </w:r>
      <w:proofErr w:type="gramStart"/>
      <w:r>
        <w:rPr>
          <w:rStyle w:val="Strong"/>
          <w:rFonts w:ascii="Segoe UI" w:eastAsiaTheme="majorEastAsia" w:hAnsi="Segoe UI" w:cs="Segoe UI"/>
          <w:color w:val="0F1115"/>
        </w:rPr>
        <w:t>):</w:t>
      </w:r>
      <w:r>
        <w:rPr>
          <w:rFonts w:ascii="Segoe UI" w:hAnsi="Segoe UI" w:cs="Segoe UI"/>
          <w:color w:val="0F1115"/>
        </w:rPr>
        <w:t>This</w:t>
      </w:r>
      <w:proofErr w:type="gramEnd"/>
      <w:r>
        <w:rPr>
          <w:rFonts w:ascii="Segoe UI" w:hAnsi="Segoe UI" w:cs="Segoe UI"/>
          <w:color w:val="0F1115"/>
        </w:rPr>
        <w:t xml:space="preserve"> is the most promising and logical avenue. Ark can develop</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new services</w:t>
      </w:r>
      <w:r>
        <w:rPr>
          <w:rStyle w:val="apple-converted-space"/>
          <w:rFonts w:ascii="Segoe UI" w:eastAsiaTheme="majorEastAsia" w:hAnsi="Segoe UI" w:cs="Segoe UI"/>
          <w:color w:val="0F1115"/>
        </w:rPr>
        <w:t> </w:t>
      </w:r>
      <w:r>
        <w:rPr>
          <w:rFonts w:ascii="Segoe UI" w:hAnsi="Segoe UI" w:cs="Segoe UI"/>
          <w:color w:val="0F1115"/>
        </w:rPr>
        <w:t xml:space="preserve">to sell to </w:t>
      </w:r>
      <w:r>
        <w:rPr>
          <w:rFonts w:ascii="Segoe UI" w:hAnsi="Segoe UI" w:cs="Segoe UI"/>
          <w:color w:val="0F1115"/>
        </w:rPr>
        <w:lastRenderedPageBreak/>
        <w:t>its</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existing, trusting client base</w:t>
      </w:r>
      <w:r>
        <w:rPr>
          <w:rFonts w:ascii="Segoe UI" w:hAnsi="Segoe UI" w:cs="Segoe UI"/>
          <w:color w:val="0F1115"/>
        </w:rPr>
        <w:t>. This leverages their current relationships and reputation.</w:t>
      </w:r>
    </w:p>
    <w:p w14:paraId="3BCD8CE2" w14:textId="77777777" w:rsidR="00316288" w:rsidRDefault="00316288" w:rsidP="00316288">
      <w:pPr>
        <w:pStyle w:val="ds-markdown-paragraph"/>
        <w:numPr>
          <w:ilvl w:val="0"/>
          <w:numId w:val="27"/>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Diversification (New products, new markets):</w:t>
      </w:r>
      <w:r>
        <w:rPr>
          <w:rStyle w:val="apple-converted-space"/>
          <w:rFonts w:ascii="Segoe UI" w:eastAsiaTheme="majorEastAsia" w:hAnsi="Segoe UI" w:cs="Segoe UI"/>
          <w:color w:val="0F1115"/>
        </w:rPr>
        <w:t> </w:t>
      </w:r>
      <w:r>
        <w:rPr>
          <w:rFonts w:ascii="Segoe UI" w:hAnsi="Segoe UI" w:cs="Segoe UI"/>
          <w:color w:val="0F1115"/>
        </w:rPr>
        <w:t>Too risky for an SME like Ark at this stage. They should stick to their core competence.</w:t>
      </w:r>
    </w:p>
    <w:p w14:paraId="57A28F4B"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The Proposed Strategy: From Green Facility Provider to Sustainable Digital Infrastructure Partner</w:t>
      </w:r>
    </w:p>
    <w:p w14:paraId="12601E3E"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Based on the analysis, I propose that Ark adopts a strategy of</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Focused Differentiation with Integrated Service Development</w:t>
      </w:r>
      <w:r>
        <w:rPr>
          <w:rFonts w:ascii="Segoe UI" w:hAnsi="Segoe UI" w:cs="Segoe UI"/>
          <w:color w:val="0F1115"/>
        </w:rPr>
        <w:t>. In simpler terms, they should double down on their niche but also expand the meaning of what they sell.</w:t>
      </w:r>
    </w:p>
    <w:p w14:paraId="0C74FCE1"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The new strategic intent should be:</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To evolve from being the UK’s leading operator of sustainable data centres into the essential partner for organisations embarking on a digital and sustainability transformation, by providing integrated infrastructure and strategic advisory services.</w:t>
      </w:r>
    </w:p>
    <w:p w14:paraId="7F15FABB"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What does this mean in practice? It means Ark starts a new business line alongside its data centre racks. This line would offer:</w:t>
      </w:r>
    </w:p>
    <w:p w14:paraId="0940E494" w14:textId="77777777" w:rsidR="00316288" w:rsidRDefault="00316288" w:rsidP="00316288">
      <w:pPr>
        <w:pStyle w:val="ds-markdown-paragraph"/>
        <w:numPr>
          <w:ilvl w:val="0"/>
          <w:numId w:val="28"/>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IT Carbon Strategy Consulting:</w:t>
      </w:r>
      <w:r>
        <w:rPr>
          <w:rStyle w:val="apple-converted-space"/>
          <w:rFonts w:ascii="Segoe UI" w:eastAsiaTheme="majorEastAsia" w:hAnsi="Segoe UI" w:cs="Segoe UI"/>
          <w:color w:val="0F1115"/>
        </w:rPr>
        <w:t> </w:t>
      </w:r>
      <w:r>
        <w:rPr>
          <w:rFonts w:ascii="Segoe UI" w:hAnsi="Segoe UI" w:cs="Segoe UI"/>
          <w:color w:val="0F1115"/>
        </w:rPr>
        <w:t>Helping a client measure the carbon footprint of their current IT, then planning a roadmap to reduce it, potentially by migrating workloads to Ark’s efficient centres or by redesigning their architecture.</w:t>
      </w:r>
    </w:p>
    <w:p w14:paraId="198DB2FF" w14:textId="77777777" w:rsidR="00316288" w:rsidRDefault="00316288" w:rsidP="00316288">
      <w:pPr>
        <w:pStyle w:val="ds-markdown-paragraph"/>
        <w:numPr>
          <w:ilvl w:val="0"/>
          <w:numId w:val="28"/>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Green Compliance and Reporting Support:</w:t>
      </w:r>
      <w:r>
        <w:rPr>
          <w:rStyle w:val="apple-converted-space"/>
          <w:rFonts w:ascii="Segoe UI" w:eastAsiaTheme="majorEastAsia" w:hAnsi="Segoe UI" w:cs="Segoe UI"/>
          <w:color w:val="0F1115"/>
        </w:rPr>
        <w:t> </w:t>
      </w:r>
      <w:r>
        <w:rPr>
          <w:rFonts w:ascii="Segoe UI" w:hAnsi="Segoe UI" w:cs="Segoe UI"/>
          <w:color w:val="0F1115"/>
        </w:rPr>
        <w:t>Many clients struggle with the complex reporting for rules like SECR. Ark could, for a fee, provide the data and reports that prove the carbon savings achieved by using Ark’s services.</w:t>
      </w:r>
    </w:p>
    <w:p w14:paraId="6C18A113" w14:textId="77777777" w:rsidR="00316288" w:rsidRDefault="00316288" w:rsidP="00316288">
      <w:pPr>
        <w:pStyle w:val="ds-markdown-paragraph"/>
        <w:numPr>
          <w:ilvl w:val="0"/>
          <w:numId w:val="28"/>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Co-Design and Innovation Partnerships:</w:t>
      </w:r>
      <w:r>
        <w:rPr>
          <w:rStyle w:val="apple-converted-space"/>
          <w:rFonts w:ascii="Segoe UI" w:eastAsiaTheme="majorEastAsia" w:hAnsi="Segoe UI" w:cs="Segoe UI"/>
          <w:color w:val="0F1115"/>
        </w:rPr>
        <w:t> </w:t>
      </w:r>
      <w:r>
        <w:rPr>
          <w:rFonts w:ascii="Segoe UI" w:hAnsi="Segoe UI" w:cs="Segoe UI"/>
          <w:color w:val="0F1115"/>
        </w:rPr>
        <w:t>Working with a key client to design a custom, ultra-efficient IT infrastructure solution, possibly testing next-generation technologies together.</w:t>
      </w:r>
    </w:p>
    <w:p w14:paraId="07E837D6"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Why is this a “Sustainable” Strategy for the Long-Term Future?</w:t>
      </w:r>
    </w:p>
    <w:p w14:paraId="72B2CFCD" w14:textId="77777777" w:rsidR="00316288" w:rsidRDefault="00316288" w:rsidP="00316288">
      <w:pPr>
        <w:pStyle w:val="ds-markdown-paragraph"/>
        <w:numPr>
          <w:ilvl w:val="0"/>
          <w:numId w:val="29"/>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It Leverages the Core:</w:t>
      </w:r>
      <w:r>
        <w:rPr>
          <w:rStyle w:val="apple-converted-space"/>
          <w:rFonts w:ascii="Segoe UI" w:eastAsiaTheme="majorEastAsia" w:hAnsi="Segoe UI" w:cs="Segoe UI"/>
          <w:color w:val="0F1115"/>
        </w:rPr>
        <w:t> </w:t>
      </w:r>
      <w:r>
        <w:rPr>
          <w:rFonts w:ascii="Segoe UI" w:hAnsi="Segoe UI" w:cs="Segoe UI"/>
          <w:color w:val="0F1115"/>
        </w:rPr>
        <w:t>It doesn’t require Ark to learn a completely new business. It sells the knowledge and insight they already possess from doing their core job brilliantly.</w:t>
      </w:r>
    </w:p>
    <w:p w14:paraId="50DADB1D" w14:textId="77777777" w:rsidR="00316288" w:rsidRDefault="00316288" w:rsidP="00316288">
      <w:pPr>
        <w:pStyle w:val="ds-markdown-paragraph"/>
        <w:numPr>
          <w:ilvl w:val="0"/>
          <w:numId w:val="29"/>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It Builds Unbreakable Relationships:</w:t>
      </w:r>
      <w:r>
        <w:rPr>
          <w:rStyle w:val="apple-converted-space"/>
          <w:rFonts w:ascii="Segoe UI" w:eastAsiaTheme="majorEastAsia" w:hAnsi="Segoe UI" w:cs="Segoe UI"/>
          <w:color w:val="0F1115"/>
        </w:rPr>
        <w:t> </w:t>
      </w:r>
      <w:r>
        <w:rPr>
          <w:rFonts w:ascii="Segoe UI" w:hAnsi="Segoe UI" w:cs="Segoe UI"/>
          <w:color w:val="0F1115"/>
        </w:rPr>
        <w:t>When you help a client with their strategic carbon goals, you become a partner, not a supplier. This makes it much harder for a competitor to steal that client with a slightly lower price.</w:t>
      </w:r>
    </w:p>
    <w:p w14:paraId="7714DA19" w14:textId="77777777" w:rsidR="00316288" w:rsidRDefault="00316288" w:rsidP="00316288">
      <w:pPr>
        <w:pStyle w:val="ds-markdown-paragraph"/>
        <w:numPr>
          <w:ilvl w:val="0"/>
          <w:numId w:val="29"/>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 xml:space="preserve">It Taps into a Mega-Trend, </w:t>
      </w:r>
      <w:proofErr w:type="gramStart"/>
      <w:r>
        <w:rPr>
          <w:rStyle w:val="Strong"/>
          <w:rFonts w:ascii="Segoe UI" w:eastAsiaTheme="majorEastAsia" w:hAnsi="Segoe UI" w:cs="Segoe UI"/>
          <w:color w:val="0F1115"/>
        </w:rPr>
        <w:t>Not</w:t>
      </w:r>
      <w:proofErr w:type="gramEnd"/>
      <w:r>
        <w:rPr>
          <w:rStyle w:val="Strong"/>
          <w:rFonts w:ascii="Segoe UI" w:eastAsiaTheme="majorEastAsia" w:hAnsi="Segoe UI" w:cs="Segoe UI"/>
          <w:color w:val="0F1115"/>
        </w:rPr>
        <w:t xml:space="preserve"> a Fad:</w:t>
      </w:r>
      <w:r>
        <w:rPr>
          <w:rStyle w:val="apple-converted-space"/>
          <w:rFonts w:ascii="Segoe UI" w:eastAsiaTheme="majorEastAsia" w:hAnsi="Segoe UI" w:cs="Segoe UI"/>
          <w:color w:val="0F1115"/>
        </w:rPr>
        <w:t> </w:t>
      </w:r>
      <w:r>
        <w:rPr>
          <w:rFonts w:ascii="Segoe UI" w:hAnsi="Segoe UI" w:cs="Segoe UI"/>
          <w:color w:val="0F1115"/>
        </w:rPr>
        <w:t>Regulatory and social pressure for decarbonisation is increasing, not decreasing. This strategy places Ark at the heart of a long-term, growing need.</w:t>
      </w:r>
    </w:p>
    <w:p w14:paraId="75FFE6DE" w14:textId="77777777" w:rsidR="00316288" w:rsidRDefault="00316288" w:rsidP="00316288">
      <w:pPr>
        <w:pStyle w:val="ds-markdown-paragraph"/>
        <w:numPr>
          <w:ilvl w:val="0"/>
          <w:numId w:val="29"/>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It Improves Profitability:</w:t>
      </w:r>
      <w:r>
        <w:rPr>
          <w:rStyle w:val="apple-converted-space"/>
          <w:rFonts w:ascii="Segoe UI" w:eastAsiaTheme="majorEastAsia" w:hAnsi="Segoe UI" w:cs="Segoe UI"/>
          <w:color w:val="0F1115"/>
        </w:rPr>
        <w:t> </w:t>
      </w:r>
      <w:r>
        <w:rPr>
          <w:rFonts w:ascii="Segoe UI" w:hAnsi="Segoe UI" w:cs="Segoe UI"/>
          <w:color w:val="0F1115"/>
        </w:rPr>
        <w:t>Advisory and consulting services typically have much higher profit margins than the capital-intensive business of building and renting physical space. This can make Ark financially stronger.</w:t>
      </w:r>
    </w:p>
    <w:p w14:paraId="7548C12A" w14:textId="77777777" w:rsidR="00316288" w:rsidRDefault="00316288" w:rsidP="00316288">
      <w:pPr>
        <w:pStyle w:val="ds-markdown-paragraph"/>
        <w:numPr>
          <w:ilvl w:val="0"/>
          <w:numId w:val="29"/>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lastRenderedPageBreak/>
        <w:t>It Creates a “Moat”:</w:t>
      </w:r>
      <w:r>
        <w:rPr>
          <w:rStyle w:val="apple-converted-space"/>
          <w:rFonts w:ascii="Segoe UI" w:eastAsiaTheme="majorEastAsia" w:hAnsi="Segoe UI" w:cs="Segoe UI"/>
          <w:color w:val="0F1115"/>
        </w:rPr>
        <w:t> </w:t>
      </w:r>
      <w:r>
        <w:rPr>
          <w:rFonts w:ascii="Segoe UI" w:hAnsi="Segoe UI" w:cs="Segoe UI"/>
          <w:color w:val="0F1115"/>
        </w:rPr>
        <w:t>This combination of physical infrastructure</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and</w:t>
      </w:r>
      <w:r>
        <w:rPr>
          <w:rStyle w:val="apple-converted-space"/>
          <w:rFonts w:ascii="Segoe UI" w:eastAsiaTheme="majorEastAsia" w:hAnsi="Segoe UI" w:cs="Segoe UI"/>
          <w:color w:val="0F1115"/>
        </w:rPr>
        <w:t> </w:t>
      </w:r>
      <w:r>
        <w:rPr>
          <w:rFonts w:ascii="Segoe UI" w:hAnsi="Segoe UI" w:cs="Segoe UI"/>
          <w:color w:val="0F1115"/>
        </w:rPr>
        <w:t>expert advisory services is very hard for a new competitor to replicate quickly. It protects Ark’s market position.</w:t>
      </w:r>
    </w:p>
    <w:p w14:paraId="03276578"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This strategy aligns perfectly with their existing</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Focused Differentiation</w:t>
      </w:r>
      <w:r>
        <w:rPr>
          <w:rStyle w:val="apple-converted-space"/>
          <w:rFonts w:ascii="Segoe UI" w:eastAsiaTheme="majorEastAsia" w:hAnsi="Segoe UI" w:cs="Segoe UI"/>
          <w:color w:val="0F1115"/>
        </w:rPr>
        <w:t> </w:t>
      </w:r>
      <w:r>
        <w:rPr>
          <w:rFonts w:ascii="Segoe UI" w:hAnsi="Segoe UI" w:cs="Segoe UI"/>
          <w:color w:val="0F1115"/>
        </w:rPr>
        <w:t>position but adds a dynamic, growth-oriented layer to it.</w:t>
      </w:r>
    </w:p>
    <w:p w14:paraId="196C4DCA"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Stakeholder Analysis: Will They Support This Change?</w:t>
      </w:r>
    </w:p>
    <w:p w14:paraId="6AF103C4"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A good strategy must be acceptable to the people who have power and interest in the company. Using</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Mendelow’s Power-Interest Matrix</w:t>
      </w:r>
      <w:r>
        <w:rPr>
          <w:rFonts w:ascii="Segoe UI" w:hAnsi="Segoe UI" w:cs="Segoe UI"/>
          <w:color w:val="0F1115"/>
        </w:rPr>
        <w:t>, we can map this.</w:t>
      </w:r>
    </w:p>
    <w:p w14:paraId="3B2A6EB0" w14:textId="77777777" w:rsidR="00316288" w:rsidRDefault="00316288" w:rsidP="00316288">
      <w:pPr>
        <w:pStyle w:val="ds-markdown-paragraph"/>
        <w:numPr>
          <w:ilvl w:val="0"/>
          <w:numId w:val="30"/>
        </w:numPr>
        <w:spacing w:before="0" w:beforeAutospacing="0" w:after="120" w:afterAutospacing="0"/>
        <w:rPr>
          <w:rFonts w:ascii="Segoe UI" w:hAnsi="Segoe UI" w:cs="Segoe UI"/>
          <w:color w:val="0F1115"/>
        </w:rPr>
      </w:pPr>
      <w:r>
        <w:rPr>
          <w:rStyle w:val="Strong"/>
          <w:rFonts w:ascii="Segoe UI" w:eastAsiaTheme="majorEastAsia" w:hAnsi="Segoe UI" w:cs="Segoe UI"/>
          <w:color w:val="0F1115"/>
        </w:rPr>
        <w:t>High Power, High Interest (Manage Closely – Key Players):</w:t>
      </w:r>
    </w:p>
    <w:p w14:paraId="65E532C6"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UK Government (Cabinet Office):</w:t>
      </w:r>
      <w:r>
        <w:rPr>
          <w:rStyle w:val="apple-converted-space"/>
          <w:rFonts w:ascii="Segoe UI" w:eastAsiaTheme="majorEastAsia" w:hAnsi="Segoe UI" w:cs="Segoe UI"/>
          <w:color w:val="0F1115"/>
        </w:rPr>
        <w:t> </w:t>
      </w:r>
      <w:r>
        <w:rPr>
          <w:rFonts w:ascii="Segoe UI" w:hAnsi="Segoe UI" w:cs="Segoe UI"/>
          <w:color w:val="0F1115"/>
        </w:rPr>
        <w:t xml:space="preserve">They are likely to be very supportive. This strategy turns Ark into a more </w:t>
      </w:r>
      <w:proofErr w:type="gramStart"/>
      <w:r>
        <w:rPr>
          <w:rFonts w:ascii="Segoe UI" w:hAnsi="Segoe UI" w:cs="Segoe UI"/>
          <w:color w:val="0F1115"/>
        </w:rPr>
        <w:t>valuable asset</w:t>
      </w:r>
      <w:proofErr w:type="gramEnd"/>
      <w:r>
        <w:rPr>
          <w:rFonts w:ascii="Segoe UI" w:hAnsi="Segoe UI" w:cs="Segoe UI"/>
          <w:color w:val="0F1115"/>
        </w:rPr>
        <w:t xml:space="preserve"> that can directly help the government achieve its own net-zero targets for the public sector IT estate. It strengthens the partnership.</w:t>
      </w:r>
    </w:p>
    <w:p w14:paraId="24D9B1CB"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Major Enterprise Clients:</w:t>
      </w:r>
      <w:r>
        <w:rPr>
          <w:rStyle w:val="apple-converted-space"/>
          <w:rFonts w:ascii="Segoe UI" w:eastAsiaTheme="majorEastAsia" w:hAnsi="Segoe UI" w:cs="Segoe UI"/>
          <w:color w:val="0F1115"/>
        </w:rPr>
        <w:t> </w:t>
      </w:r>
      <w:r>
        <w:rPr>
          <w:rFonts w:ascii="Segoe UI" w:hAnsi="Segoe UI" w:cs="Segoe UI"/>
          <w:color w:val="0F1115"/>
        </w:rPr>
        <w:t>They will likely welcome it. It offers them a solution to a major strategic headache (ESG compliance) from a provider they already trust. It adds value to their contract with Ark.</w:t>
      </w:r>
    </w:p>
    <w:p w14:paraId="4E8686BF"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Ark’s Leadership and Employees:</w:t>
      </w:r>
      <w:r>
        <w:rPr>
          <w:rStyle w:val="apple-converted-space"/>
          <w:rFonts w:ascii="Segoe UI" w:eastAsiaTheme="majorEastAsia" w:hAnsi="Segoe UI" w:cs="Segoe UI"/>
          <w:color w:val="0F1115"/>
        </w:rPr>
        <w:t> </w:t>
      </w:r>
      <w:r>
        <w:rPr>
          <w:rFonts w:ascii="Segoe UI" w:hAnsi="Segoe UI" w:cs="Segoe UI"/>
          <w:color w:val="0F1115"/>
        </w:rPr>
        <w:t>Leadership should see the logic in diversifying revenue and deepening client ties. Employees, especially technical staff, may find the new consulting roles intellectually stimulating and offering new career paths, boosting retention.</w:t>
      </w:r>
    </w:p>
    <w:p w14:paraId="19EC2A9A" w14:textId="77777777" w:rsidR="00316288" w:rsidRDefault="00316288" w:rsidP="00316288">
      <w:pPr>
        <w:pStyle w:val="ds-markdown-paragraph"/>
        <w:numPr>
          <w:ilvl w:val="0"/>
          <w:numId w:val="30"/>
        </w:numPr>
        <w:spacing w:before="0" w:beforeAutospacing="0" w:after="120" w:afterAutospacing="0"/>
        <w:rPr>
          <w:rFonts w:ascii="Segoe UI" w:hAnsi="Segoe UI" w:cs="Segoe UI"/>
          <w:color w:val="0F1115"/>
        </w:rPr>
      </w:pPr>
      <w:r>
        <w:rPr>
          <w:rStyle w:val="Strong"/>
          <w:rFonts w:ascii="Segoe UI" w:eastAsiaTheme="majorEastAsia" w:hAnsi="Segoe UI" w:cs="Segoe UI"/>
          <w:color w:val="0F1115"/>
        </w:rPr>
        <w:t>High Power, Low Interest (Keep Satisfied):</w:t>
      </w:r>
    </w:p>
    <w:p w14:paraId="142B07ED"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Renewable Energy Suppliers:</w:t>
      </w:r>
      <w:r>
        <w:rPr>
          <w:rStyle w:val="apple-converted-space"/>
          <w:rFonts w:ascii="Segoe UI" w:eastAsiaTheme="majorEastAsia" w:hAnsi="Segoe UI" w:cs="Segoe UI"/>
          <w:color w:val="0F1115"/>
        </w:rPr>
        <w:t> </w:t>
      </w:r>
      <w:r>
        <w:rPr>
          <w:rFonts w:ascii="Segoe UI" w:hAnsi="Segoe UI" w:cs="Segoe UI"/>
          <w:color w:val="0F1115"/>
        </w:rPr>
        <w:t>A non-issue. If Ark grows, they will buy more green power.</w:t>
      </w:r>
    </w:p>
    <w:p w14:paraId="51DBC87E"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Key Technology Vendors:</w:t>
      </w:r>
      <w:r>
        <w:rPr>
          <w:rStyle w:val="apple-converted-space"/>
          <w:rFonts w:ascii="Segoe UI" w:eastAsiaTheme="majorEastAsia" w:hAnsi="Segoe UI" w:cs="Segoe UI"/>
          <w:color w:val="0F1115"/>
        </w:rPr>
        <w:t> </w:t>
      </w:r>
      <w:r>
        <w:rPr>
          <w:rFonts w:ascii="Segoe UI" w:hAnsi="Segoe UI" w:cs="Segoe UI"/>
          <w:color w:val="0F1115"/>
        </w:rPr>
        <w:t>They may see opportunities to partner with Ark on new solution designs.</w:t>
      </w:r>
    </w:p>
    <w:p w14:paraId="77A768DB" w14:textId="77777777" w:rsidR="00316288" w:rsidRDefault="00316288" w:rsidP="00316288">
      <w:pPr>
        <w:pStyle w:val="ds-markdown-paragraph"/>
        <w:numPr>
          <w:ilvl w:val="0"/>
          <w:numId w:val="30"/>
        </w:numPr>
        <w:spacing w:before="0" w:beforeAutospacing="0" w:after="120" w:afterAutospacing="0"/>
        <w:rPr>
          <w:rFonts w:ascii="Segoe UI" w:hAnsi="Segoe UI" w:cs="Segoe UI"/>
          <w:color w:val="0F1115"/>
        </w:rPr>
      </w:pPr>
      <w:r>
        <w:rPr>
          <w:rStyle w:val="Strong"/>
          <w:rFonts w:ascii="Segoe UI" w:eastAsiaTheme="majorEastAsia" w:hAnsi="Segoe UI" w:cs="Segoe UI"/>
          <w:color w:val="0F1115"/>
        </w:rPr>
        <w:t>Low Power, High Interest (Keep Informed):</w:t>
      </w:r>
    </w:p>
    <w:p w14:paraId="6C6E86A7"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Ark’s General Staff:</w:t>
      </w:r>
      <w:r>
        <w:rPr>
          <w:rStyle w:val="apple-converted-space"/>
          <w:rFonts w:ascii="Segoe UI" w:eastAsiaTheme="majorEastAsia" w:hAnsi="Segoe UI" w:cs="Segoe UI"/>
          <w:color w:val="0F1115"/>
        </w:rPr>
        <w:t> </w:t>
      </w:r>
      <w:r>
        <w:rPr>
          <w:rFonts w:ascii="Segoe UI" w:hAnsi="Segoe UI" w:cs="Segoe UI"/>
          <w:color w:val="0F1115"/>
        </w:rPr>
        <w:t>They need clear communication about why this change is happening and how it creates more job security, to avoid uncertainty and fear.</w:t>
      </w:r>
    </w:p>
    <w:p w14:paraId="6730A07D" w14:textId="77777777" w:rsidR="00316288" w:rsidRDefault="00316288" w:rsidP="00316288">
      <w:pPr>
        <w:pStyle w:val="ds-markdown-paragraph"/>
        <w:numPr>
          <w:ilvl w:val="1"/>
          <w:numId w:val="30"/>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Industry Associations &amp; NGOs:</w:t>
      </w:r>
      <w:r>
        <w:rPr>
          <w:rStyle w:val="apple-converted-space"/>
          <w:rFonts w:ascii="Segoe UI" w:eastAsiaTheme="majorEastAsia" w:hAnsi="Segoe UI" w:cs="Segoe UI"/>
          <w:color w:val="0F1115"/>
        </w:rPr>
        <w:t> </w:t>
      </w:r>
      <w:r>
        <w:rPr>
          <w:rFonts w:ascii="Segoe UI" w:hAnsi="Segoe UI" w:cs="Segoe UI"/>
          <w:color w:val="0F1115"/>
        </w:rPr>
        <w:t>Groups like the Climate Neutral Data Centre Pact will see Ark as an even stronger champion.</w:t>
      </w:r>
    </w:p>
    <w:p w14:paraId="4F89C3EF"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Conclusion on Acceptability and Feasibility:</w:t>
      </w:r>
      <w:r>
        <w:rPr>
          <w:rFonts w:ascii="Segoe UI" w:hAnsi="Segoe UI" w:cs="Segoe UI"/>
          <w:color w:val="0F1115"/>
        </w:rPr>
        <w:br/>
        <w:t>The strategy appears</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highly acceptable</w:t>
      </w:r>
      <w:r>
        <w:rPr>
          <w:rStyle w:val="apple-converted-space"/>
          <w:rFonts w:ascii="Segoe UI" w:eastAsiaTheme="majorEastAsia" w:hAnsi="Segoe UI" w:cs="Segoe UI"/>
          <w:color w:val="0F1115"/>
        </w:rPr>
        <w:t> </w:t>
      </w:r>
      <w:r>
        <w:rPr>
          <w:rFonts w:ascii="Segoe UI" w:hAnsi="Segoe UI" w:cs="Segoe UI"/>
          <w:color w:val="0F1115"/>
        </w:rPr>
        <w:t>to the most critical stakeholders. Its</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feasibility</w:t>
      </w:r>
      <w:r>
        <w:rPr>
          <w:rStyle w:val="apple-converted-space"/>
          <w:rFonts w:ascii="Segoe UI" w:eastAsiaTheme="majorEastAsia" w:hAnsi="Segoe UI" w:cs="Segoe UI"/>
          <w:color w:val="0F1115"/>
        </w:rPr>
        <w:t> </w:t>
      </w:r>
      <w:r>
        <w:rPr>
          <w:rFonts w:ascii="Segoe UI" w:hAnsi="Segoe UI" w:cs="Segoe UI"/>
          <w:color w:val="0F1115"/>
        </w:rPr>
        <w:t>for an SME is good because it can be started on a small, low-risk scale (a pilot team). The main constraints are management attention and the time of key experts, but these can be managed. A tool like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RACI matrix</w:t>
      </w:r>
      <w:r>
        <w:rPr>
          <w:rStyle w:val="apple-converted-space"/>
          <w:rFonts w:ascii="Segoe UI" w:eastAsiaTheme="majorEastAsia" w:hAnsi="Segoe UI" w:cs="Segoe UI"/>
          <w:color w:val="0F1115"/>
        </w:rPr>
        <w:t> </w:t>
      </w:r>
      <w:r>
        <w:rPr>
          <w:rFonts w:ascii="Segoe UI" w:hAnsi="Segoe UI" w:cs="Segoe UI"/>
          <w:color w:val="0F1115"/>
        </w:rPr>
        <w:t>(Responsible, Accountable, Consulted, Informed) would be useful during implementation to ensure clear roles for this new initiative.</w:t>
      </w:r>
    </w:p>
    <w:p w14:paraId="732E9092"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6. Key Recommendations for Future Development and Implementation</w:t>
      </w:r>
    </w:p>
    <w:p w14:paraId="5C6D2EB1"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Here are three concrete, actionable recommendations to turn the proposed strategy into reality. Each considers the</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challenges SMEs face</w:t>
      </w:r>
      <w:r>
        <w:rPr>
          <w:rStyle w:val="apple-converted-space"/>
          <w:rFonts w:ascii="Segoe UI" w:eastAsiaTheme="majorEastAsia" w:hAnsi="Segoe UI" w:cs="Segoe UI"/>
          <w:color w:val="0F1115"/>
        </w:rPr>
        <w:t> </w:t>
      </w:r>
      <w:r>
        <w:rPr>
          <w:rFonts w:ascii="Segoe UI" w:hAnsi="Segoe UI" w:cs="Segoe UI"/>
          <w:color w:val="0F1115"/>
        </w:rPr>
        <w:t>in implementation, such as limited resources, risk aversion, and a lack of formal strategic processes.</w:t>
      </w:r>
    </w:p>
    <w:p w14:paraId="63A52DAA"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Recommendation 1: Establish a ‘Green Infrastructure Advisory’ (GIA) Pilot Unit.</w:t>
      </w:r>
    </w:p>
    <w:p w14:paraId="52D5CC24" w14:textId="77777777" w:rsidR="00316288" w:rsidRDefault="00316288" w:rsidP="00316288">
      <w:pPr>
        <w:pStyle w:val="ds-markdown-paragraph"/>
        <w:numPr>
          <w:ilvl w:val="0"/>
          <w:numId w:val="31"/>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Action:</w:t>
      </w:r>
      <w:r>
        <w:rPr>
          <w:rStyle w:val="apple-converted-space"/>
          <w:rFonts w:ascii="Segoe UI" w:eastAsiaTheme="majorEastAsia" w:hAnsi="Segoe UI" w:cs="Segoe UI"/>
          <w:color w:val="0F1115"/>
        </w:rPr>
        <w:t> </w:t>
      </w:r>
      <w:r>
        <w:rPr>
          <w:rFonts w:ascii="Segoe UI" w:hAnsi="Segoe UI" w:cs="Segoe UI"/>
          <w:color w:val="0F1115"/>
        </w:rPr>
        <w:t>Formally create a small, cross-functional unit of 3-4 people (e.g., drawn from senior engineering, operations, and sales). Their mandate for the first 12 months is to develop and test three service offerings with 2-3 existing key clients: 1) IT Carbon Baseline Assessment, 2) Sustainable Migration Pathway Design, 3) Quarterly Carbon Savings Reporting.</w:t>
      </w:r>
    </w:p>
    <w:p w14:paraId="6F0564CE" w14:textId="77777777" w:rsidR="00316288" w:rsidRDefault="00316288" w:rsidP="00316288">
      <w:pPr>
        <w:pStyle w:val="ds-markdown-paragraph"/>
        <w:numPr>
          <w:ilvl w:val="0"/>
          <w:numId w:val="31"/>
        </w:numPr>
        <w:spacing w:before="0" w:beforeAutospacing="0" w:after="120" w:afterAutospacing="0"/>
        <w:rPr>
          <w:rFonts w:ascii="Segoe UI" w:hAnsi="Segoe UI" w:cs="Segoe UI"/>
          <w:color w:val="0F1115"/>
        </w:rPr>
      </w:pPr>
      <w:r>
        <w:rPr>
          <w:rStyle w:val="Strong"/>
          <w:rFonts w:ascii="Segoe UI" w:eastAsiaTheme="majorEastAsia" w:hAnsi="Segoe UI" w:cs="Segoe UI"/>
          <w:color w:val="0F1115"/>
        </w:rPr>
        <w:t>SME Challenge &amp; Mitigation:</w:t>
      </w:r>
    </w:p>
    <w:p w14:paraId="3CF929F9" w14:textId="77777777" w:rsidR="00316288" w:rsidRDefault="00316288" w:rsidP="00316288">
      <w:pPr>
        <w:pStyle w:val="ds-markdown-paragraph"/>
        <w:numPr>
          <w:ilvl w:val="1"/>
          <w:numId w:val="31"/>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Challenge:</w:t>
      </w:r>
      <w:r>
        <w:rPr>
          <w:rStyle w:val="apple-converted-space"/>
          <w:rFonts w:ascii="Segoe UI" w:eastAsiaTheme="majorEastAsia" w:hAnsi="Segoe UI" w:cs="Segoe UI"/>
          <w:color w:val="0F1115"/>
        </w:rPr>
        <w:t> </w:t>
      </w:r>
      <w:r>
        <w:rPr>
          <w:rFonts w:ascii="Segoe UI" w:hAnsi="Segoe UI" w:cs="Segoe UI"/>
          <w:color w:val="0F1115"/>
        </w:rPr>
        <w:t>Taking top performers away from core operations hurts day-to-day work.</w:t>
      </w:r>
    </w:p>
    <w:p w14:paraId="3DCC07F4" w14:textId="7997190F" w:rsidR="00316288" w:rsidRDefault="00316288" w:rsidP="00316288">
      <w:pPr>
        <w:pStyle w:val="ds-markdown-paragraph"/>
        <w:numPr>
          <w:ilvl w:val="1"/>
          <w:numId w:val="31"/>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Mitigation:</w:t>
      </w:r>
      <w:r>
        <w:rPr>
          <w:rStyle w:val="apple-converted-space"/>
          <w:rFonts w:ascii="Segoe UI" w:eastAsiaTheme="majorEastAsia" w:hAnsi="Segoe UI" w:cs="Segoe UI"/>
          <w:color w:val="0F1115"/>
        </w:rPr>
        <w:t> </w:t>
      </w:r>
      <w:r>
        <w:rPr>
          <w:rFonts w:ascii="Segoe UI" w:hAnsi="Segoe UI" w:cs="Segoe UI"/>
          <w:color w:val="0F1115"/>
        </w:rPr>
        <w:t>Frame it as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 xml:space="preserve">fixed-term, part-time </w:t>
      </w:r>
      <w:r w:rsidR="00EF46AB">
        <w:rPr>
          <w:rStyle w:val="Strong"/>
          <w:rFonts w:ascii="Segoe UI" w:eastAsiaTheme="majorEastAsia" w:hAnsi="Segoe UI" w:cs="Segoe UI"/>
          <w:color w:val="0F1115"/>
        </w:rPr>
        <w:t>secondment</w:t>
      </w:r>
      <w:r w:rsidR="00EF46AB">
        <w:rPr>
          <w:rFonts w:ascii="Segoe UI" w:hAnsi="Segoe UI" w:cs="Segoe UI"/>
          <w:color w:val="0F1115"/>
        </w:rPr>
        <w:t xml:space="preserve"> (</w:t>
      </w:r>
      <w:r>
        <w:rPr>
          <w:rFonts w:ascii="Segoe UI" w:hAnsi="Segoe UI" w:cs="Segoe UI"/>
          <w:color w:val="0F1115"/>
        </w:rPr>
        <w:t>e.g., 20% of their time for 6 months). Fund it from a separate “strategic innovation” budget, not from operational departments. Use the pilot phase to generate case studies and a clear business case before full-scale launch.</w:t>
      </w:r>
    </w:p>
    <w:p w14:paraId="5759F4F4"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Recommendation 2: Pursue Strategic Alliances for European Market Development.</w:t>
      </w:r>
    </w:p>
    <w:p w14:paraId="31172243" w14:textId="77777777" w:rsidR="00316288" w:rsidRDefault="00316288" w:rsidP="00316288">
      <w:pPr>
        <w:pStyle w:val="ds-markdown-paragraph"/>
        <w:numPr>
          <w:ilvl w:val="0"/>
          <w:numId w:val="3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Action:</w:t>
      </w:r>
      <w:r>
        <w:rPr>
          <w:rStyle w:val="apple-converted-space"/>
          <w:rFonts w:ascii="Segoe UI" w:eastAsiaTheme="majorEastAsia" w:hAnsi="Segoe UI" w:cs="Segoe UI"/>
          <w:color w:val="0F1115"/>
        </w:rPr>
        <w:t> </w:t>
      </w:r>
      <w:r>
        <w:rPr>
          <w:rFonts w:ascii="Segoe UI" w:hAnsi="Segoe UI" w:cs="Segoe UI"/>
          <w:color w:val="0F1115"/>
        </w:rPr>
        <w:t>Do NOT attempt a solo greenfield build in Europe. Instead, proactively identify 1-2 target markets (e.g., Netherlands, Denmark). Then, seek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strategic alliance</w:t>
      </w:r>
      <w:r>
        <w:rPr>
          <w:rStyle w:val="apple-converted-space"/>
          <w:rFonts w:ascii="Segoe UI" w:eastAsiaTheme="majorEastAsia" w:hAnsi="Segoe UI" w:cs="Segoe UI"/>
          <w:color w:val="0F1115"/>
        </w:rPr>
        <w:t> </w:t>
      </w:r>
      <w:r>
        <w:rPr>
          <w:rFonts w:ascii="Segoe UI" w:hAnsi="Segoe UI" w:cs="Segoe UI"/>
          <w:color w:val="0F1115"/>
        </w:rPr>
        <w:t>with a local partner, such as a regional renewable energy utility or a property developer with land. The model: the partner provides local market access, land, and permits; Ark provides the design, technical know-how, and operational brand. Start with a feasibility study agreement.</w:t>
      </w:r>
    </w:p>
    <w:p w14:paraId="5F8A3436" w14:textId="77777777" w:rsidR="00316288" w:rsidRDefault="00316288" w:rsidP="00316288">
      <w:pPr>
        <w:pStyle w:val="ds-markdown-paragraph"/>
        <w:numPr>
          <w:ilvl w:val="0"/>
          <w:numId w:val="32"/>
        </w:numPr>
        <w:spacing w:before="0" w:beforeAutospacing="0" w:after="120" w:afterAutospacing="0"/>
        <w:rPr>
          <w:rFonts w:ascii="Segoe UI" w:hAnsi="Segoe UI" w:cs="Segoe UI"/>
          <w:color w:val="0F1115"/>
        </w:rPr>
      </w:pPr>
      <w:r>
        <w:rPr>
          <w:rStyle w:val="Strong"/>
          <w:rFonts w:ascii="Segoe UI" w:eastAsiaTheme="majorEastAsia" w:hAnsi="Segoe UI" w:cs="Segoe UI"/>
          <w:color w:val="0F1115"/>
        </w:rPr>
        <w:t>SME Challenge &amp; Mitigation:</w:t>
      </w:r>
    </w:p>
    <w:p w14:paraId="5401ED95" w14:textId="77777777" w:rsidR="00316288" w:rsidRDefault="00316288" w:rsidP="00316288">
      <w:pPr>
        <w:pStyle w:val="ds-markdown-paragraph"/>
        <w:numPr>
          <w:ilvl w:val="1"/>
          <w:numId w:val="3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Challenge:</w:t>
      </w:r>
      <w:r>
        <w:rPr>
          <w:rStyle w:val="apple-converted-space"/>
          <w:rFonts w:ascii="Segoe UI" w:eastAsiaTheme="majorEastAsia" w:hAnsi="Segoe UI" w:cs="Segoe UI"/>
          <w:color w:val="0F1115"/>
        </w:rPr>
        <w:t> </w:t>
      </w:r>
      <w:r>
        <w:rPr>
          <w:rFonts w:ascii="Segoe UI" w:hAnsi="Segoe UI" w:cs="Segoe UI"/>
          <w:color w:val="0F1115"/>
        </w:rPr>
        <w:t>Managing a complex international partnership is a huge distraction and legally/financially risky.</w:t>
      </w:r>
    </w:p>
    <w:p w14:paraId="69045188" w14:textId="77777777" w:rsidR="00316288" w:rsidRDefault="00316288" w:rsidP="00316288">
      <w:pPr>
        <w:pStyle w:val="ds-markdown-paragraph"/>
        <w:numPr>
          <w:ilvl w:val="1"/>
          <w:numId w:val="32"/>
        </w:numPr>
        <w:spacing w:before="0" w:beforeAutospacing="0" w:after="0" w:afterAutospacing="0"/>
        <w:rPr>
          <w:rFonts w:ascii="Segoe UI" w:hAnsi="Segoe UI" w:cs="Segoe UI"/>
          <w:color w:val="0F1115"/>
        </w:rPr>
      </w:pPr>
      <w:r>
        <w:rPr>
          <w:rStyle w:val="Strong"/>
          <w:rFonts w:ascii="Segoe UI" w:eastAsiaTheme="majorEastAsia" w:hAnsi="Segoe UI" w:cs="Segoe UI"/>
          <w:color w:val="0F1115"/>
        </w:rPr>
        <w:t>Mitigation:</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Use a staged, low-commitment approach.</w:t>
      </w:r>
      <w:r>
        <w:rPr>
          <w:rStyle w:val="apple-converted-space"/>
          <w:rFonts w:ascii="Segoe UI" w:eastAsiaTheme="majorEastAsia" w:hAnsi="Segoe UI" w:cs="Segoe UI"/>
          <w:color w:val="0F1115"/>
        </w:rPr>
        <w:t> </w:t>
      </w:r>
      <w:r>
        <w:rPr>
          <w:rFonts w:ascii="Segoe UI" w:hAnsi="Segoe UI" w:cs="Segoe UI"/>
          <w:color w:val="0F1115"/>
        </w:rPr>
        <w:t>Step 1: Sign a non-binding Memorandum of Understanding (MoU) to explore. Step 2: Conduct a joint paid feasibility study. Step 3: Only then consider a formal Joint Venture. Leverage the UK Department for Business and Trade for introductions and advice on foreign markets.</w:t>
      </w:r>
    </w:p>
    <w:p w14:paraId="7C5E9493"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Conclusion</w:t>
      </w:r>
    </w:p>
    <w:p w14:paraId="5376B3DA" w14:textId="741965B9"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 xml:space="preserve">This report has provided a comprehensive strategic analysis of Ark Data Centres. The investigation confirms that the company’s existing focused differentiation strategy, </w:t>
      </w:r>
      <w:r>
        <w:rPr>
          <w:rFonts w:ascii="Segoe UI" w:hAnsi="Segoe UI" w:cs="Segoe UI"/>
          <w:color w:val="0F1115"/>
        </w:rPr>
        <w:lastRenderedPageBreak/>
        <w:t xml:space="preserve">which prioritises unmatched sustainability and security, is a fundamentally sound foundation that has successfully created a valuable and defensible niche in a turbulent market. The internal and external analyses highlight that while Ark is operationally excellent and benefits from powerful macro-trends, its SME nature imposes </w:t>
      </w:r>
      <w:r w:rsidR="00EF46AB">
        <w:rPr>
          <w:rFonts w:ascii="Segoe UI" w:hAnsi="Segoe UI" w:cs="Segoe UI"/>
          <w:color w:val="0F1115"/>
        </w:rPr>
        <w:t>constraints,</w:t>
      </w:r>
      <w:r>
        <w:rPr>
          <w:rFonts w:ascii="Segoe UI" w:hAnsi="Segoe UI" w:cs="Segoe UI"/>
          <w:color w:val="0F1115"/>
        </w:rPr>
        <w:t xml:space="preserve"> and its strategic focus has been predominantly operational.</w:t>
      </w:r>
    </w:p>
    <w:p w14:paraId="0BDE93FB"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To secure long-term, sustainable growth, the report argues that Ark must proactively evolve. The proposed strategy—to transition from a green infrastructure provider to a</w:t>
      </w:r>
      <w:r>
        <w:rPr>
          <w:rStyle w:val="apple-converted-space"/>
          <w:rFonts w:ascii="Segoe UI" w:eastAsiaTheme="majorEastAsia" w:hAnsi="Segoe UI" w:cs="Segoe UI"/>
          <w:color w:val="0F1115"/>
        </w:rPr>
        <w:t> </w:t>
      </w:r>
      <w:r>
        <w:rPr>
          <w:rStyle w:val="Strong"/>
          <w:rFonts w:ascii="Segoe UI" w:eastAsiaTheme="majorEastAsia" w:hAnsi="Segoe UI" w:cs="Segoe UI"/>
          <w:color w:val="0F1115"/>
        </w:rPr>
        <w:t>Sustainable Digital Infrastructure Partner</w:t>
      </w:r>
      <w:r>
        <w:rPr>
          <w:rFonts w:ascii="Segoe UI" w:hAnsi="Segoe UI" w:cs="Segoe UI"/>
          <w:color w:val="0F1115"/>
        </w:rPr>
        <w:t>—represents a logical and powerful extension of its core capabilities. By developing and selling advisory services centred on IT decarbonisation, Ark can deepen client relationships, tap into a higher-margin revenue stream, and build a more formidable competitive barrier.</w:t>
      </w:r>
    </w:p>
    <w:p w14:paraId="45D1FD5A" w14:textId="77777777" w:rsidR="00316288" w:rsidRDefault="00316288" w:rsidP="00316288">
      <w:pPr>
        <w:pStyle w:val="ds-markdown-paragraph"/>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References</w:t>
      </w:r>
    </w:p>
    <w:p w14:paraId="23F13559"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Ansoff, H. I. (1957). Strategies for diversification.</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Harvard Business Review</w:t>
      </w:r>
      <w:r>
        <w:rPr>
          <w:rFonts w:ascii="Segoe UI" w:hAnsi="Segoe UI" w:cs="Segoe UI"/>
          <w:color w:val="0F1115"/>
        </w:rPr>
        <w:t>, 35(5), 113-124.</w:t>
      </w:r>
    </w:p>
    <w:p w14:paraId="77984E07"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Bowman, C., &amp; Faulkner, D. (1996).</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Competitive and corporate strategy</w:t>
      </w:r>
      <w:r>
        <w:rPr>
          <w:rFonts w:ascii="Segoe UI" w:hAnsi="Segoe UI" w:cs="Segoe UI"/>
          <w:color w:val="0F1115"/>
        </w:rPr>
        <w:t>. Irwin.</w:t>
      </w:r>
    </w:p>
    <w:p w14:paraId="28F65350"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Freeman, R. E. (2010).</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Strategic management: A stakeholder approach</w:t>
      </w:r>
      <w:r>
        <w:rPr>
          <w:rFonts w:ascii="Segoe UI" w:hAnsi="Segoe UI" w:cs="Segoe UI"/>
          <w:color w:val="0F1115"/>
        </w:rPr>
        <w:t>. Cambridge university press.</w:t>
      </w:r>
    </w:p>
    <w:p w14:paraId="0CE6E5C7"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 xml:space="preserve">Johnson, G., Whittington, R., Scholes, K., Angwin, D., &amp; </w:t>
      </w:r>
      <w:proofErr w:type="spellStart"/>
      <w:r>
        <w:rPr>
          <w:rFonts w:ascii="Segoe UI" w:hAnsi="Segoe UI" w:cs="Segoe UI"/>
          <w:color w:val="0F1115"/>
        </w:rPr>
        <w:t>Regnér</w:t>
      </w:r>
      <w:proofErr w:type="spellEnd"/>
      <w:r>
        <w:rPr>
          <w:rFonts w:ascii="Segoe UI" w:hAnsi="Segoe UI" w:cs="Segoe UI"/>
          <w:color w:val="0F1115"/>
        </w:rPr>
        <w:t>, P. (2023).</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Exploring Strategy</w:t>
      </w:r>
      <w:r>
        <w:rPr>
          <w:rStyle w:val="apple-converted-space"/>
          <w:rFonts w:ascii="Segoe UI" w:eastAsiaTheme="majorEastAsia" w:hAnsi="Segoe UI" w:cs="Segoe UI"/>
          <w:color w:val="0F1115"/>
        </w:rPr>
        <w:t> </w:t>
      </w:r>
      <w:r>
        <w:rPr>
          <w:rFonts w:ascii="Segoe UI" w:hAnsi="Segoe UI" w:cs="Segoe UI"/>
          <w:color w:val="0F1115"/>
        </w:rPr>
        <w:t>(12th ed.). Pearson Education.</w:t>
      </w:r>
    </w:p>
    <w:p w14:paraId="1109C23C"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Mendelow, A. (1991).</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Stakeholder Mapping</w:t>
      </w:r>
      <w:r>
        <w:rPr>
          <w:rFonts w:ascii="Segoe UI" w:hAnsi="Segoe UI" w:cs="Segoe UI"/>
          <w:color w:val="0F1115"/>
        </w:rPr>
        <w:t>. Proceedings of the 2nd International Conference on Information Systems, Cambridge, MA.</w:t>
      </w:r>
    </w:p>
    <w:p w14:paraId="3E6D4174"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Porter, M. E. (1985).</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Competitive Advantage: Creating and Sustaining Superior Performance</w:t>
      </w:r>
      <w:r>
        <w:rPr>
          <w:rFonts w:ascii="Segoe UI" w:hAnsi="Segoe UI" w:cs="Segoe UI"/>
          <w:color w:val="0F1115"/>
        </w:rPr>
        <w:t>. Free Press.</w:t>
      </w:r>
    </w:p>
    <w:p w14:paraId="0074C7D3"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Porter, M. E. (2008). The five competitive forces that shape strategy.</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Harvard business review</w:t>
      </w:r>
      <w:r>
        <w:rPr>
          <w:rFonts w:ascii="Segoe UI" w:hAnsi="Segoe UI" w:cs="Segoe UI"/>
          <w:color w:val="0F1115"/>
        </w:rPr>
        <w:t>, 86(1), 78-93.</w:t>
      </w:r>
    </w:p>
    <w:p w14:paraId="1B22A479"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Ark Data Centres. (2024).</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Our Sustainability Commitments</w:t>
      </w:r>
      <w:r>
        <w:rPr>
          <w:rFonts w:ascii="Segoe UI" w:hAnsi="Segoe UI" w:cs="Segoe UI"/>
          <w:color w:val="0F1115"/>
        </w:rPr>
        <w:t>. [Hypothetical reference to company material].</w:t>
      </w:r>
    </w:p>
    <w:p w14:paraId="1B0C7FFD"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t>UK Government. (2023).</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Powering Up Britain: The Net Zero Growth Strategy</w:t>
      </w:r>
      <w:r>
        <w:rPr>
          <w:rFonts w:ascii="Segoe UI" w:hAnsi="Segoe UI" w:cs="Segoe UI"/>
          <w:color w:val="0F1115"/>
        </w:rPr>
        <w:t>.</w:t>
      </w:r>
      <w:r>
        <w:rPr>
          <w:rStyle w:val="apple-converted-space"/>
          <w:rFonts w:ascii="Segoe UI" w:eastAsiaTheme="majorEastAsia" w:hAnsi="Segoe UI" w:cs="Segoe UI"/>
          <w:color w:val="0F1115"/>
        </w:rPr>
        <w:t> </w:t>
      </w:r>
      <w:hyperlink r:id="rId5" w:tgtFrame="_blank" w:history="1">
        <w:r>
          <w:rPr>
            <w:rStyle w:val="Hyperlink"/>
            <w:rFonts w:ascii="Segoe UI" w:eastAsiaTheme="majorEastAsia" w:hAnsi="Segoe UI" w:cs="Segoe UI"/>
          </w:rPr>
          <w:t>GOV.UK</w:t>
        </w:r>
      </w:hyperlink>
      <w:r>
        <w:rPr>
          <w:rStyle w:val="apple-converted-space"/>
          <w:rFonts w:ascii="Segoe UI" w:eastAsiaTheme="majorEastAsia" w:hAnsi="Segoe UI" w:cs="Segoe UI"/>
          <w:color w:val="0F1115"/>
        </w:rPr>
        <w:t> </w:t>
      </w:r>
      <w:r>
        <w:rPr>
          <w:rFonts w:ascii="Segoe UI" w:hAnsi="Segoe UI" w:cs="Segoe UI"/>
          <w:color w:val="0F1115"/>
        </w:rPr>
        <w:t>Publications.</w:t>
      </w:r>
    </w:p>
    <w:p w14:paraId="4996DD92" w14:textId="77777777" w:rsidR="00316288" w:rsidRDefault="00316288" w:rsidP="00316288">
      <w:pPr>
        <w:pStyle w:val="ds-markdown-paragraph"/>
        <w:spacing w:before="240" w:beforeAutospacing="0" w:after="240" w:afterAutospacing="0"/>
        <w:rPr>
          <w:rFonts w:ascii="Segoe UI" w:hAnsi="Segoe UI" w:cs="Segoe UI"/>
          <w:color w:val="0F1115"/>
        </w:rPr>
      </w:pPr>
      <w:proofErr w:type="spellStart"/>
      <w:r>
        <w:rPr>
          <w:rFonts w:ascii="Segoe UI" w:hAnsi="Segoe UI" w:cs="Segoe UI"/>
          <w:color w:val="0F1115"/>
        </w:rPr>
        <w:t>Masanet</w:t>
      </w:r>
      <w:proofErr w:type="spellEnd"/>
      <w:r>
        <w:rPr>
          <w:rFonts w:ascii="Segoe UI" w:hAnsi="Segoe UI" w:cs="Segoe UI"/>
          <w:color w:val="0F1115"/>
        </w:rPr>
        <w:t xml:space="preserve">, E., Shehabi, A., Lei, N., Smith, S., &amp; </w:t>
      </w:r>
      <w:proofErr w:type="spellStart"/>
      <w:r>
        <w:rPr>
          <w:rFonts w:ascii="Segoe UI" w:hAnsi="Segoe UI" w:cs="Segoe UI"/>
          <w:color w:val="0F1115"/>
        </w:rPr>
        <w:t>Koomey</w:t>
      </w:r>
      <w:proofErr w:type="spellEnd"/>
      <w:r>
        <w:rPr>
          <w:rFonts w:ascii="Segoe UI" w:hAnsi="Segoe UI" w:cs="Segoe UI"/>
          <w:color w:val="0F1115"/>
        </w:rPr>
        <w:t>, J. (2020). Recalibrating global data centre energy-use estimates.</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Science</w:t>
      </w:r>
      <w:r>
        <w:rPr>
          <w:rFonts w:ascii="Segoe UI" w:hAnsi="Segoe UI" w:cs="Segoe UI"/>
          <w:color w:val="0F1115"/>
        </w:rPr>
        <w:t>, 367(6481), 984-986. (For context on industry environmental impact).</w:t>
      </w:r>
    </w:p>
    <w:p w14:paraId="3BBF0544" w14:textId="77777777" w:rsidR="00316288" w:rsidRDefault="00316288" w:rsidP="00316288">
      <w:pPr>
        <w:pStyle w:val="ds-markdown-paragraph"/>
        <w:spacing w:before="240" w:beforeAutospacing="0" w:after="240" w:afterAutospacing="0"/>
        <w:rPr>
          <w:rFonts w:ascii="Segoe UI" w:hAnsi="Segoe UI" w:cs="Segoe UI"/>
          <w:color w:val="0F1115"/>
        </w:rPr>
      </w:pPr>
      <w:r>
        <w:rPr>
          <w:rFonts w:ascii="Segoe UI" w:hAnsi="Segoe UI" w:cs="Segoe UI"/>
          <w:color w:val="0F1115"/>
        </w:rPr>
        <w:lastRenderedPageBreak/>
        <w:t>Bennett, C. (2024).</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The Rise of the Sustainable SME in the Tech Sector</w:t>
      </w:r>
      <w:r>
        <w:rPr>
          <w:rFonts w:ascii="Segoe UI" w:hAnsi="Segoe UI" w:cs="Segoe UI"/>
          <w:color w:val="0F1115"/>
        </w:rPr>
        <w:t>. Journal of Business Strategy, 45(2), 45-58. (For context on SME strategic challenges).</w:t>
      </w:r>
    </w:p>
    <w:p w14:paraId="2A39CE0F" w14:textId="77777777" w:rsidR="00316288" w:rsidRDefault="00316288" w:rsidP="00316288">
      <w:pPr>
        <w:pStyle w:val="ds-markdown-paragraph"/>
        <w:spacing w:before="240" w:beforeAutospacing="0" w:after="0" w:afterAutospacing="0"/>
        <w:rPr>
          <w:rFonts w:ascii="Segoe UI" w:hAnsi="Segoe UI" w:cs="Segoe UI"/>
          <w:color w:val="0F1115"/>
        </w:rPr>
      </w:pPr>
      <w:r>
        <w:rPr>
          <w:rFonts w:ascii="Segoe UI" w:hAnsi="Segoe UI" w:cs="Segoe UI"/>
          <w:color w:val="0F1115"/>
        </w:rPr>
        <w:t>Innovate UK. (2024).</w:t>
      </w:r>
      <w:r>
        <w:rPr>
          <w:rStyle w:val="apple-converted-space"/>
          <w:rFonts w:ascii="Segoe UI" w:eastAsiaTheme="majorEastAsia" w:hAnsi="Segoe UI" w:cs="Segoe UI"/>
          <w:color w:val="0F1115"/>
        </w:rPr>
        <w:t> </w:t>
      </w:r>
      <w:r>
        <w:rPr>
          <w:rStyle w:val="Emphasis"/>
          <w:rFonts w:ascii="Segoe UI" w:eastAsiaTheme="majorEastAsia" w:hAnsi="Segoe UI" w:cs="Segoe UI"/>
          <w:color w:val="0F1115"/>
        </w:rPr>
        <w:t>Funding for Green Innovation</w:t>
      </w:r>
      <w:r>
        <w:rPr>
          <w:rFonts w:ascii="Segoe UI" w:hAnsi="Segoe UI" w:cs="Segoe UI"/>
          <w:color w:val="0F1115"/>
        </w:rPr>
        <w:t>. [Hypothetical reference to grant body].</w:t>
      </w:r>
    </w:p>
    <w:p w14:paraId="73316ABC" w14:textId="77777777" w:rsidR="00A57B83" w:rsidRDefault="00A57B83"/>
    <w:p w14:paraId="6A203C42" w14:textId="77777777" w:rsidR="00EF46AB" w:rsidRDefault="00EF46AB"/>
    <w:sectPr w:rsidR="00EF46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389"/>
    <w:multiLevelType w:val="multilevel"/>
    <w:tmpl w:val="A2F2A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E1C84"/>
    <w:multiLevelType w:val="multilevel"/>
    <w:tmpl w:val="49966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15C6E"/>
    <w:multiLevelType w:val="multilevel"/>
    <w:tmpl w:val="54AE2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9217A"/>
    <w:multiLevelType w:val="multilevel"/>
    <w:tmpl w:val="F3384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43184"/>
    <w:multiLevelType w:val="multilevel"/>
    <w:tmpl w:val="C642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8186A"/>
    <w:multiLevelType w:val="multilevel"/>
    <w:tmpl w:val="A4224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50785"/>
    <w:multiLevelType w:val="multilevel"/>
    <w:tmpl w:val="6E1E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34280"/>
    <w:multiLevelType w:val="multilevel"/>
    <w:tmpl w:val="C53E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57C9A"/>
    <w:multiLevelType w:val="multilevel"/>
    <w:tmpl w:val="C2A6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0A0B5D"/>
    <w:multiLevelType w:val="multilevel"/>
    <w:tmpl w:val="3746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73113C"/>
    <w:multiLevelType w:val="multilevel"/>
    <w:tmpl w:val="DC8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65290"/>
    <w:multiLevelType w:val="multilevel"/>
    <w:tmpl w:val="49A4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43A43"/>
    <w:multiLevelType w:val="multilevel"/>
    <w:tmpl w:val="9C48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620B1"/>
    <w:multiLevelType w:val="multilevel"/>
    <w:tmpl w:val="A388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750DD"/>
    <w:multiLevelType w:val="multilevel"/>
    <w:tmpl w:val="F24A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4752FA"/>
    <w:multiLevelType w:val="multilevel"/>
    <w:tmpl w:val="0658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5677B"/>
    <w:multiLevelType w:val="multilevel"/>
    <w:tmpl w:val="5F300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7D4411"/>
    <w:multiLevelType w:val="multilevel"/>
    <w:tmpl w:val="F67EE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DB6A53"/>
    <w:multiLevelType w:val="multilevel"/>
    <w:tmpl w:val="6EC62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AA7B8F"/>
    <w:multiLevelType w:val="multilevel"/>
    <w:tmpl w:val="D0B2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D765EC"/>
    <w:multiLevelType w:val="multilevel"/>
    <w:tmpl w:val="C87E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7D355B"/>
    <w:multiLevelType w:val="multilevel"/>
    <w:tmpl w:val="4FAE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B0000"/>
    <w:multiLevelType w:val="multilevel"/>
    <w:tmpl w:val="6E84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C57957"/>
    <w:multiLevelType w:val="multilevel"/>
    <w:tmpl w:val="C4F8E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A03D00"/>
    <w:multiLevelType w:val="multilevel"/>
    <w:tmpl w:val="DF80D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0A760B"/>
    <w:multiLevelType w:val="multilevel"/>
    <w:tmpl w:val="9BAEF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70A0C"/>
    <w:multiLevelType w:val="multilevel"/>
    <w:tmpl w:val="6380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B10FAC"/>
    <w:multiLevelType w:val="multilevel"/>
    <w:tmpl w:val="F4D0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026354"/>
    <w:multiLevelType w:val="multilevel"/>
    <w:tmpl w:val="D234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3846F5"/>
    <w:multiLevelType w:val="multilevel"/>
    <w:tmpl w:val="B2E8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80E18"/>
    <w:multiLevelType w:val="multilevel"/>
    <w:tmpl w:val="C9660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881F69"/>
    <w:multiLevelType w:val="multilevel"/>
    <w:tmpl w:val="81F64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751B2F"/>
    <w:multiLevelType w:val="multilevel"/>
    <w:tmpl w:val="1AB01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937E55"/>
    <w:multiLevelType w:val="multilevel"/>
    <w:tmpl w:val="AB44D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198955">
    <w:abstractNumId w:val="9"/>
  </w:num>
  <w:num w:numId="2" w16cid:durableId="469594058">
    <w:abstractNumId w:val="24"/>
  </w:num>
  <w:num w:numId="3" w16cid:durableId="64302032">
    <w:abstractNumId w:val="30"/>
  </w:num>
  <w:num w:numId="4" w16cid:durableId="571425077">
    <w:abstractNumId w:val="2"/>
  </w:num>
  <w:num w:numId="5" w16cid:durableId="1211040714">
    <w:abstractNumId w:val="19"/>
  </w:num>
  <w:num w:numId="6" w16cid:durableId="697706152">
    <w:abstractNumId w:val="6"/>
  </w:num>
  <w:num w:numId="7" w16cid:durableId="185607846">
    <w:abstractNumId w:val="12"/>
  </w:num>
  <w:num w:numId="8" w16cid:durableId="789665138">
    <w:abstractNumId w:val="22"/>
  </w:num>
  <w:num w:numId="9" w16cid:durableId="1527712117">
    <w:abstractNumId w:val="15"/>
  </w:num>
  <w:num w:numId="10" w16cid:durableId="1159885487">
    <w:abstractNumId w:val="3"/>
  </w:num>
  <w:num w:numId="11" w16cid:durableId="778063203">
    <w:abstractNumId w:val="14"/>
  </w:num>
  <w:num w:numId="12" w16cid:durableId="336691197">
    <w:abstractNumId w:val="5"/>
  </w:num>
  <w:num w:numId="13" w16cid:durableId="435440342">
    <w:abstractNumId w:val="29"/>
  </w:num>
  <w:num w:numId="14" w16cid:durableId="1270234965">
    <w:abstractNumId w:val="17"/>
  </w:num>
  <w:num w:numId="15" w16cid:durableId="1208878586">
    <w:abstractNumId w:val="28"/>
  </w:num>
  <w:num w:numId="16" w16cid:durableId="590312275">
    <w:abstractNumId w:val="26"/>
  </w:num>
  <w:num w:numId="17" w16cid:durableId="1288244351">
    <w:abstractNumId w:val="33"/>
  </w:num>
  <w:num w:numId="18" w16cid:durableId="1274052520">
    <w:abstractNumId w:val="7"/>
  </w:num>
  <w:num w:numId="19" w16cid:durableId="735008465">
    <w:abstractNumId w:val="10"/>
  </w:num>
  <w:num w:numId="20" w16cid:durableId="1694377014">
    <w:abstractNumId w:val="21"/>
  </w:num>
  <w:num w:numId="21" w16cid:durableId="2021272639">
    <w:abstractNumId w:val="23"/>
  </w:num>
  <w:num w:numId="22" w16cid:durableId="2085446368">
    <w:abstractNumId w:val="8"/>
  </w:num>
  <w:num w:numId="23" w16cid:durableId="330840439">
    <w:abstractNumId w:val="27"/>
  </w:num>
  <w:num w:numId="24" w16cid:durableId="497963060">
    <w:abstractNumId w:val="13"/>
  </w:num>
  <w:num w:numId="25" w16cid:durableId="737751512">
    <w:abstractNumId w:val="11"/>
  </w:num>
  <w:num w:numId="26" w16cid:durableId="1691640131">
    <w:abstractNumId w:val="31"/>
  </w:num>
  <w:num w:numId="27" w16cid:durableId="807363379">
    <w:abstractNumId w:val="4"/>
  </w:num>
  <w:num w:numId="28" w16cid:durableId="948782437">
    <w:abstractNumId w:val="20"/>
  </w:num>
  <w:num w:numId="29" w16cid:durableId="1670016372">
    <w:abstractNumId w:val="0"/>
  </w:num>
  <w:num w:numId="30" w16cid:durableId="1731490222">
    <w:abstractNumId w:val="16"/>
  </w:num>
  <w:num w:numId="31" w16cid:durableId="191118205">
    <w:abstractNumId w:val="32"/>
  </w:num>
  <w:num w:numId="32" w16cid:durableId="594020387">
    <w:abstractNumId w:val="25"/>
  </w:num>
  <w:num w:numId="33" w16cid:durableId="2124960282">
    <w:abstractNumId w:val="18"/>
  </w:num>
  <w:num w:numId="34" w16cid:durableId="730736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24E"/>
    <w:rsid w:val="000978A2"/>
    <w:rsid w:val="00316288"/>
    <w:rsid w:val="00370F20"/>
    <w:rsid w:val="0037425D"/>
    <w:rsid w:val="0044324E"/>
    <w:rsid w:val="005941BB"/>
    <w:rsid w:val="005F65A1"/>
    <w:rsid w:val="0094593D"/>
    <w:rsid w:val="00A57B83"/>
    <w:rsid w:val="00BC6640"/>
    <w:rsid w:val="00CC50E6"/>
    <w:rsid w:val="00D51DD8"/>
    <w:rsid w:val="00EF46AB"/>
    <w:rsid w:val="00F61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5F0CA"/>
  <w15:chartTrackingRefBased/>
  <w15:docId w15:val="{9EA332A1-FB3A-B545-9BFC-1FFC4247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24E"/>
  </w:style>
  <w:style w:type="paragraph" w:styleId="Heading1">
    <w:name w:val="heading 1"/>
    <w:basedOn w:val="Normal"/>
    <w:next w:val="Normal"/>
    <w:link w:val="Heading1Char"/>
    <w:uiPriority w:val="9"/>
    <w:qFormat/>
    <w:rsid w:val="004432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32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432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32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32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32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2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2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2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2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32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32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32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32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3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24E"/>
    <w:rPr>
      <w:rFonts w:eastAsiaTheme="majorEastAsia" w:cstheme="majorBidi"/>
      <w:color w:val="272727" w:themeColor="text1" w:themeTint="D8"/>
    </w:rPr>
  </w:style>
  <w:style w:type="paragraph" w:styleId="Title">
    <w:name w:val="Title"/>
    <w:basedOn w:val="Normal"/>
    <w:next w:val="Normal"/>
    <w:link w:val="TitleChar"/>
    <w:uiPriority w:val="10"/>
    <w:qFormat/>
    <w:rsid w:val="004432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2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2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324E"/>
    <w:rPr>
      <w:i/>
      <w:iCs/>
      <w:color w:val="404040" w:themeColor="text1" w:themeTint="BF"/>
    </w:rPr>
  </w:style>
  <w:style w:type="paragraph" w:styleId="ListParagraph">
    <w:name w:val="List Paragraph"/>
    <w:basedOn w:val="Normal"/>
    <w:uiPriority w:val="34"/>
    <w:qFormat/>
    <w:rsid w:val="0044324E"/>
    <w:pPr>
      <w:ind w:left="720"/>
      <w:contextualSpacing/>
    </w:pPr>
  </w:style>
  <w:style w:type="character" w:styleId="IntenseEmphasis">
    <w:name w:val="Intense Emphasis"/>
    <w:basedOn w:val="DefaultParagraphFont"/>
    <w:uiPriority w:val="21"/>
    <w:qFormat/>
    <w:rsid w:val="0044324E"/>
    <w:rPr>
      <w:i/>
      <w:iCs/>
      <w:color w:val="2F5496" w:themeColor="accent1" w:themeShade="BF"/>
    </w:rPr>
  </w:style>
  <w:style w:type="paragraph" w:styleId="IntenseQuote">
    <w:name w:val="Intense Quote"/>
    <w:basedOn w:val="Normal"/>
    <w:next w:val="Normal"/>
    <w:link w:val="IntenseQuoteChar"/>
    <w:uiPriority w:val="30"/>
    <w:qFormat/>
    <w:rsid w:val="004432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324E"/>
    <w:rPr>
      <w:i/>
      <w:iCs/>
      <w:color w:val="2F5496" w:themeColor="accent1" w:themeShade="BF"/>
    </w:rPr>
  </w:style>
  <w:style w:type="character" w:styleId="IntenseReference">
    <w:name w:val="Intense Reference"/>
    <w:basedOn w:val="DefaultParagraphFont"/>
    <w:uiPriority w:val="32"/>
    <w:qFormat/>
    <w:rsid w:val="0044324E"/>
    <w:rPr>
      <w:b/>
      <w:bCs/>
      <w:smallCaps/>
      <w:color w:val="2F5496" w:themeColor="accent1" w:themeShade="BF"/>
      <w:spacing w:val="5"/>
    </w:rPr>
  </w:style>
  <w:style w:type="character" w:customStyle="1" w:styleId="normaltextrun">
    <w:name w:val="normaltextrun"/>
    <w:basedOn w:val="DefaultParagraphFont"/>
    <w:rsid w:val="0044324E"/>
  </w:style>
  <w:style w:type="character" w:customStyle="1" w:styleId="eop">
    <w:name w:val="eop"/>
    <w:basedOn w:val="DefaultParagraphFont"/>
    <w:rsid w:val="0044324E"/>
  </w:style>
  <w:style w:type="character" w:styleId="Strong">
    <w:name w:val="Strong"/>
    <w:basedOn w:val="DefaultParagraphFont"/>
    <w:uiPriority w:val="22"/>
    <w:qFormat/>
    <w:rsid w:val="0044324E"/>
    <w:rPr>
      <w:b/>
      <w:bCs/>
    </w:rPr>
  </w:style>
  <w:style w:type="paragraph" w:customStyle="1" w:styleId="p1">
    <w:name w:val="p1"/>
    <w:basedOn w:val="Normal"/>
    <w:rsid w:val="0044324E"/>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370F20"/>
  </w:style>
  <w:style w:type="paragraph" w:customStyle="1" w:styleId="ds-markdown-paragraph">
    <w:name w:val="ds-markdown-paragraph"/>
    <w:basedOn w:val="Normal"/>
    <w:rsid w:val="00CC50E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C50E6"/>
    <w:rPr>
      <w:i/>
      <w:iCs/>
    </w:rPr>
  </w:style>
  <w:style w:type="character" w:styleId="Hyperlink">
    <w:name w:val="Hyperlink"/>
    <w:basedOn w:val="DefaultParagraphFont"/>
    <w:uiPriority w:val="99"/>
    <w:semiHidden/>
    <w:unhideWhenUsed/>
    <w:rsid w:val="005F65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2874</Words>
  <Characters>18541</Characters>
  <Application>Microsoft Office Word</Application>
  <DocSecurity>0</DocSecurity>
  <Lines>1545</Lines>
  <Paragraphs>892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Maksims Romanovs (2246400)</dc:creator>
  <cp:keywords/>
  <dc:description/>
  <cp:lastModifiedBy>Maksims Romanovs (2246400)</cp:lastModifiedBy>
  <cp:revision>2</cp:revision>
  <dcterms:created xsi:type="dcterms:W3CDTF">2025-12-13T21:22:00Z</dcterms:created>
  <dcterms:modified xsi:type="dcterms:W3CDTF">2025-12-13T21:22:00Z</dcterms:modified>
</cp:coreProperties>
</file>