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8CB8F" w14:textId="47F27B18" w:rsidR="0052784E" w:rsidRDefault="000555AE">
      <w:pPr>
        <w:pBdr>
          <w:bottom w:val="single" w:sz="4" w:space="1" w:color="000000"/>
        </w:pBdr>
        <w:spacing w:before="200" w:after="200" w:line="360" w:lineRule="auto"/>
        <w:jc w:val="center"/>
        <w:rPr>
          <w:rFonts w:ascii="Times New Roman" w:eastAsia="Times New Roman" w:hAnsi="Times New Roman" w:cs="Times New Roman"/>
          <w:b/>
          <w:bCs/>
          <w:sz w:val="28"/>
          <w:szCs w:val="28"/>
        </w:rPr>
      </w:pPr>
      <w:proofErr w:type="spellStart"/>
      <w:r>
        <w:rPr>
          <w:rFonts w:ascii="Times New Roman" w:eastAsia="Times New Roman" w:hAnsi="Times New Roman" w:cs="Times New Roman"/>
          <w:b/>
          <w:bCs/>
          <w:sz w:val="28"/>
          <w:szCs w:val="28"/>
        </w:rPr>
        <w:t>Florentina</w:t>
      </w:r>
      <w:proofErr w:type="spellEnd"/>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
          <w:bCs/>
          <w:sz w:val="28"/>
          <w:szCs w:val="28"/>
        </w:rPr>
        <w:t>Cosma</w:t>
      </w:r>
      <w:r w:rsidR="003550AE">
        <w:rPr>
          <w:rFonts w:ascii="Times New Roman" w:eastAsia="Times New Roman" w:hAnsi="Times New Roman" w:cs="Times New Roman"/>
          <w:b/>
          <w:bCs/>
          <w:sz w:val="28"/>
          <w:szCs w:val="28"/>
        </w:rPr>
        <w:t>:2213581</w:t>
      </w:r>
      <w:proofErr w:type="spellEnd"/>
    </w:p>
    <w:p w14:paraId="30061EEB" w14:textId="77777777" w:rsidR="0052784E" w:rsidRDefault="0052784E">
      <w:pPr>
        <w:spacing w:before="200" w:after="200" w:line="360" w:lineRule="auto"/>
        <w:jc w:val="center"/>
        <w:rPr>
          <w:rFonts w:ascii="Times New Roman" w:eastAsia="Times New Roman" w:hAnsi="Times New Roman" w:cs="Times New Roman"/>
          <w:b/>
          <w:bCs/>
          <w:sz w:val="28"/>
          <w:szCs w:val="28"/>
        </w:rPr>
      </w:pPr>
    </w:p>
    <w:p w14:paraId="75DCDB7C" w14:textId="77777777" w:rsidR="0052784E" w:rsidRDefault="00802FB7">
      <w:pP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Project Management</w:t>
      </w:r>
    </w:p>
    <w:p w14:paraId="34DD1424" w14:textId="77777777" w:rsidR="0052784E" w:rsidRDefault="0052784E">
      <w:pPr>
        <w:spacing w:before="200" w:after="200" w:line="360" w:lineRule="auto"/>
        <w:jc w:val="center"/>
        <w:rPr>
          <w:rFonts w:ascii="Times New Roman" w:eastAsia="Times New Roman" w:hAnsi="Times New Roman" w:cs="Times New Roman"/>
          <w:b/>
          <w:bCs/>
          <w:sz w:val="28"/>
          <w:szCs w:val="28"/>
        </w:rPr>
      </w:pPr>
    </w:p>
    <w:p w14:paraId="205A78BB" w14:textId="77777777" w:rsidR="0052784E" w:rsidRDefault="00802FB7">
      <w:pPr>
        <w:pBdr>
          <w:bottom w:val="single" w:sz="4" w:space="1" w:color="000000"/>
        </w:pBdr>
        <w:spacing w:before="200" w:after="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LCBB6006</w:t>
      </w:r>
    </w:p>
    <w:p w14:paraId="49D654A2" w14:textId="77777777" w:rsidR="0052784E" w:rsidRDefault="0052784E">
      <w:pPr>
        <w:spacing w:before="200" w:after="200" w:line="360" w:lineRule="auto"/>
        <w:jc w:val="center"/>
        <w:rPr>
          <w:rFonts w:ascii="Times New Roman" w:eastAsia="Times New Roman" w:hAnsi="Times New Roman" w:cs="Times New Roman"/>
          <w:b/>
          <w:bCs/>
          <w:sz w:val="28"/>
          <w:szCs w:val="28"/>
        </w:rPr>
      </w:pPr>
    </w:p>
    <w:p w14:paraId="3E799541" w14:textId="4938D969" w:rsidR="0052784E" w:rsidRDefault="00802FB7" w:rsidP="00185647">
      <w:pPr>
        <w:pBdr>
          <w:bottom w:val="single" w:sz="4" w:space="1" w:color="000000"/>
        </w:pBdr>
        <w:spacing w:before="200"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8"/>
          <w:szCs w:val="28"/>
        </w:rPr>
        <w:t xml:space="preserve"> Component 1</w:t>
      </w: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Essay</w:t>
      </w:r>
      <w:r>
        <w:br w:type="page"/>
      </w:r>
    </w:p>
    <w:p w14:paraId="595FC69D" w14:textId="77777777" w:rsidR="0052784E" w:rsidRDefault="00802FB7">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sz w:val="24"/>
          <w:szCs w:val="24"/>
        </w:rPr>
      </w:pPr>
      <w:bookmarkStart w:id="0" w:name="_heading=h.frgoc2omcoxh" w:colFirst="0" w:colLast="0"/>
      <w:bookmarkEnd w:id="0"/>
      <w:r>
        <w:rPr>
          <w:rFonts w:ascii="Times New Roman" w:eastAsia="Times New Roman" w:hAnsi="Times New Roman" w:cs="Times New Roman"/>
          <w:b/>
          <w:bCs/>
          <w:sz w:val="24"/>
          <w:szCs w:val="24"/>
        </w:rPr>
        <w:lastRenderedPageBreak/>
        <w:t>Table of Contents</w:t>
      </w:r>
    </w:p>
    <w:sdt>
      <w:sdtPr>
        <w:id w:val="901756570"/>
        <w:docPartObj>
          <w:docPartGallery w:val="Table of Contents"/>
          <w:docPartUnique/>
        </w:docPartObj>
      </w:sdtPr>
      <w:sdtEndPr/>
      <w:sdtContent>
        <w:p w14:paraId="4A53535F" w14:textId="77777777" w:rsidR="0052784E" w:rsidRDefault="00802FB7">
          <w:pPr>
            <w:widowControl w:val="0"/>
            <w:tabs>
              <w:tab w:val="right" w:leader="dot" w:pos="12000"/>
            </w:tabs>
            <w:spacing w:before="60" w:line="360" w:lineRule="auto"/>
            <w:rPr>
              <w:b/>
              <w:bCs/>
            </w:rPr>
          </w:pPr>
          <w:r>
            <w:fldChar w:fldCharType="begin"/>
          </w:r>
          <w:r>
            <w:instrText xml:space="preserve"> TOC \h \u \z \t "Heading 1,1,Heading 2,2,Heading 3,3,"</w:instrText>
          </w:r>
          <w:r>
            <w:fldChar w:fldCharType="separate"/>
          </w:r>
          <w:hyperlink w:anchor="_heading=h.jdg30qyqqblv">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t>3</w:t>
            </w:r>
          </w:hyperlink>
        </w:p>
        <w:p w14:paraId="79B23149" w14:textId="77777777" w:rsidR="0052784E" w:rsidRDefault="00802FB7">
          <w:pPr>
            <w:widowControl w:val="0"/>
            <w:tabs>
              <w:tab w:val="right" w:leader="dot" w:pos="12000"/>
            </w:tabs>
            <w:spacing w:before="60" w:line="360" w:lineRule="auto"/>
            <w:rPr>
              <w:b/>
              <w:bCs/>
            </w:rPr>
          </w:pPr>
          <w:hyperlink w:anchor="_heading=h.3jw72avyx5gg">
            <w:r>
              <w:rPr>
                <w:rFonts w:ascii="Times New Roman" w:eastAsia="Times New Roman" w:hAnsi="Times New Roman" w:cs="Times New Roman"/>
                <w:sz w:val="24"/>
                <w:szCs w:val="24"/>
              </w:rPr>
              <w:t>Main Body</w:t>
            </w:r>
            <w:r>
              <w:rPr>
                <w:rFonts w:ascii="Times New Roman" w:eastAsia="Times New Roman" w:hAnsi="Times New Roman" w:cs="Times New Roman"/>
                <w:sz w:val="24"/>
                <w:szCs w:val="24"/>
              </w:rPr>
              <w:tab/>
              <w:t>3</w:t>
            </w:r>
          </w:hyperlink>
        </w:p>
        <w:p w14:paraId="4419AC30" w14:textId="77777777" w:rsidR="0052784E" w:rsidRDefault="00802FB7">
          <w:pPr>
            <w:widowControl w:val="0"/>
            <w:tabs>
              <w:tab w:val="right" w:leader="dot" w:pos="12000"/>
            </w:tabs>
            <w:spacing w:before="60" w:line="360" w:lineRule="auto"/>
            <w:ind w:left="360"/>
          </w:pPr>
          <w:hyperlink w:anchor="_heading=h.9mvzi38uyzw1">
            <w:r>
              <w:rPr>
                <w:rFonts w:ascii="Times New Roman" w:eastAsia="Times New Roman" w:hAnsi="Times New Roman" w:cs="Times New Roman"/>
                <w:sz w:val="24"/>
                <w:szCs w:val="24"/>
              </w:rPr>
              <w:t>Project Scope</w:t>
            </w:r>
            <w:r>
              <w:rPr>
                <w:rFonts w:ascii="Times New Roman" w:eastAsia="Times New Roman" w:hAnsi="Times New Roman" w:cs="Times New Roman"/>
                <w:sz w:val="24"/>
                <w:szCs w:val="24"/>
              </w:rPr>
              <w:tab/>
              <w:t>3</w:t>
            </w:r>
          </w:hyperlink>
        </w:p>
        <w:p w14:paraId="27EF9238" w14:textId="77777777" w:rsidR="0052784E" w:rsidRDefault="00802FB7">
          <w:pPr>
            <w:widowControl w:val="0"/>
            <w:tabs>
              <w:tab w:val="right" w:leader="dot" w:pos="12000"/>
            </w:tabs>
            <w:spacing w:before="60" w:line="360" w:lineRule="auto"/>
            <w:ind w:left="720"/>
          </w:pPr>
          <w:hyperlink w:anchor="_heading=h.scmi7tbrquyy">
            <w:r>
              <w:rPr>
                <w:rFonts w:ascii="Times New Roman" w:eastAsia="Times New Roman" w:hAnsi="Times New Roman" w:cs="Times New Roman"/>
                <w:sz w:val="24"/>
                <w:szCs w:val="24"/>
              </w:rPr>
              <w:t>Project goals and objectives</w:t>
            </w:r>
            <w:r>
              <w:rPr>
                <w:rFonts w:ascii="Times New Roman" w:eastAsia="Times New Roman" w:hAnsi="Times New Roman" w:cs="Times New Roman"/>
                <w:sz w:val="24"/>
                <w:szCs w:val="24"/>
              </w:rPr>
              <w:tab/>
              <w:t>3</w:t>
            </w:r>
          </w:hyperlink>
        </w:p>
        <w:p w14:paraId="2CC92D96" w14:textId="77777777" w:rsidR="0052784E" w:rsidRDefault="00802FB7">
          <w:pPr>
            <w:widowControl w:val="0"/>
            <w:tabs>
              <w:tab w:val="right" w:leader="dot" w:pos="12000"/>
            </w:tabs>
            <w:spacing w:before="60" w:line="360" w:lineRule="auto"/>
            <w:ind w:left="720"/>
          </w:pPr>
          <w:hyperlink w:anchor="_heading=h.mgghfaazcrp2">
            <w:r>
              <w:rPr>
                <w:rFonts w:ascii="Times New Roman" w:eastAsia="Times New Roman" w:hAnsi="Times New Roman" w:cs="Times New Roman"/>
                <w:sz w:val="24"/>
                <w:szCs w:val="24"/>
              </w:rPr>
              <w:t>Project deliverables</w:t>
            </w:r>
            <w:r>
              <w:rPr>
                <w:rFonts w:ascii="Times New Roman" w:eastAsia="Times New Roman" w:hAnsi="Times New Roman" w:cs="Times New Roman"/>
                <w:sz w:val="24"/>
                <w:szCs w:val="24"/>
              </w:rPr>
              <w:tab/>
              <w:t>3</w:t>
            </w:r>
          </w:hyperlink>
        </w:p>
        <w:p w14:paraId="3CE692A8" w14:textId="77777777" w:rsidR="0052784E" w:rsidRDefault="00802FB7">
          <w:pPr>
            <w:widowControl w:val="0"/>
            <w:tabs>
              <w:tab w:val="right" w:leader="dot" w:pos="12000"/>
            </w:tabs>
            <w:spacing w:before="60" w:line="360" w:lineRule="auto"/>
            <w:ind w:left="720"/>
          </w:pPr>
          <w:hyperlink w:anchor="_heading=h.hqucg62vg5r1">
            <w:r>
              <w:rPr>
                <w:rFonts w:ascii="Times New Roman" w:eastAsia="Times New Roman" w:hAnsi="Times New Roman" w:cs="Times New Roman"/>
                <w:sz w:val="24"/>
                <w:szCs w:val="24"/>
              </w:rPr>
              <w:t>Project cost</w:t>
            </w:r>
            <w:r>
              <w:rPr>
                <w:rFonts w:ascii="Times New Roman" w:eastAsia="Times New Roman" w:hAnsi="Times New Roman" w:cs="Times New Roman"/>
                <w:sz w:val="24"/>
                <w:szCs w:val="24"/>
              </w:rPr>
              <w:tab/>
              <w:t>4</w:t>
            </w:r>
          </w:hyperlink>
        </w:p>
        <w:p w14:paraId="74951596" w14:textId="77777777" w:rsidR="0052784E" w:rsidRDefault="00802FB7">
          <w:pPr>
            <w:widowControl w:val="0"/>
            <w:tabs>
              <w:tab w:val="right" w:leader="dot" w:pos="12000"/>
            </w:tabs>
            <w:spacing w:before="60" w:line="360" w:lineRule="auto"/>
            <w:ind w:left="720"/>
          </w:pPr>
          <w:hyperlink w:anchor="_heading=h.ev3fcvsiens8">
            <w:r>
              <w:rPr>
                <w:rFonts w:ascii="Times New Roman" w:eastAsia="Times New Roman" w:hAnsi="Times New Roman" w:cs="Times New Roman"/>
                <w:sz w:val="24"/>
                <w:szCs w:val="24"/>
              </w:rPr>
              <w:t>Time and Project Constraints</w:t>
            </w:r>
            <w:r>
              <w:rPr>
                <w:rFonts w:ascii="Times New Roman" w:eastAsia="Times New Roman" w:hAnsi="Times New Roman" w:cs="Times New Roman"/>
                <w:sz w:val="24"/>
                <w:szCs w:val="24"/>
              </w:rPr>
              <w:tab/>
              <w:t>4</w:t>
            </w:r>
          </w:hyperlink>
        </w:p>
        <w:p w14:paraId="166A248A" w14:textId="77777777" w:rsidR="0052784E" w:rsidRDefault="00802FB7">
          <w:pPr>
            <w:widowControl w:val="0"/>
            <w:tabs>
              <w:tab w:val="right" w:leader="dot" w:pos="12000"/>
            </w:tabs>
            <w:spacing w:before="60" w:line="360" w:lineRule="auto"/>
            <w:ind w:left="360"/>
          </w:pPr>
          <w:hyperlink w:anchor="_heading=h.sant10maeuxi">
            <w:r>
              <w:rPr>
                <w:rFonts w:ascii="Times New Roman" w:eastAsia="Times New Roman" w:hAnsi="Times New Roman" w:cs="Times New Roman"/>
                <w:sz w:val="24"/>
                <w:szCs w:val="24"/>
              </w:rPr>
              <w:t>Work Breakdown Structure</w:t>
            </w:r>
            <w:r>
              <w:rPr>
                <w:rFonts w:ascii="Times New Roman" w:eastAsia="Times New Roman" w:hAnsi="Times New Roman" w:cs="Times New Roman"/>
                <w:sz w:val="24"/>
                <w:szCs w:val="24"/>
              </w:rPr>
              <w:tab/>
              <w:t>5</w:t>
            </w:r>
          </w:hyperlink>
        </w:p>
        <w:p w14:paraId="01087E28" w14:textId="77777777" w:rsidR="0052784E" w:rsidRDefault="00802FB7">
          <w:pPr>
            <w:widowControl w:val="0"/>
            <w:tabs>
              <w:tab w:val="right" w:leader="dot" w:pos="12000"/>
            </w:tabs>
            <w:spacing w:before="60" w:line="360" w:lineRule="auto"/>
            <w:ind w:left="360"/>
          </w:pPr>
          <w:hyperlink w:anchor="_heading=h.xkb5zwhrr97s">
            <w:r>
              <w:rPr>
                <w:rFonts w:ascii="Times New Roman" w:eastAsia="Times New Roman" w:hAnsi="Times New Roman" w:cs="Times New Roman"/>
                <w:sz w:val="24"/>
                <w:szCs w:val="24"/>
              </w:rPr>
              <w:t>Resources Required</w:t>
            </w:r>
            <w:r>
              <w:rPr>
                <w:rFonts w:ascii="Times New Roman" w:eastAsia="Times New Roman" w:hAnsi="Times New Roman" w:cs="Times New Roman"/>
                <w:sz w:val="24"/>
                <w:szCs w:val="24"/>
              </w:rPr>
              <w:tab/>
              <w:t>6</w:t>
            </w:r>
          </w:hyperlink>
        </w:p>
        <w:p w14:paraId="3DDC649A" w14:textId="77777777" w:rsidR="0052784E" w:rsidRDefault="00802FB7">
          <w:pPr>
            <w:widowControl w:val="0"/>
            <w:tabs>
              <w:tab w:val="right" w:leader="dot" w:pos="12000"/>
            </w:tabs>
            <w:spacing w:before="60" w:line="360" w:lineRule="auto"/>
            <w:ind w:left="360"/>
          </w:pPr>
          <w:hyperlink w:anchor="_heading=h.vrs6y6pytkfx">
            <w:r>
              <w:rPr>
                <w:rFonts w:ascii="Times New Roman" w:eastAsia="Times New Roman" w:hAnsi="Times New Roman" w:cs="Times New Roman"/>
                <w:sz w:val="24"/>
                <w:szCs w:val="24"/>
              </w:rPr>
              <w:t>Stakeholders’ Analysis</w:t>
            </w:r>
            <w:r>
              <w:rPr>
                <w:rFonts w:ascii="Times New Roman" w:eastAsia="Times New Roman" w:hAnsi="Times New Roman" w:cs="Times New Roman"/>
                <w:sz w:val="24"/>
                <w:szCs w:val="24"/>
              </w:rPr>
              <w:tab/>
              <w:t>8</w:t>
            </w:r>
          </w:hyperlink>
        </w:p>
        <w:p w14:paraId="4B0C37E5" w14:textId="77777777" w:rsidR="0052784E" w:rsidRDefault="00802FB7">
          <w:pPr>
            <w:widowControl w:val="0"/>
            <w:tabs>
              <w:tab w:val="right" w:leader="dot" w:pos="12000"/>
            </w:tabs>
            <w:spacing w:before="60" w:line="360" w:lineRule="auto"/>
            <w:rPr>
              <w:b/>
              <w:bCs/>
            </w:rPr>
          </w:pPr>
          <w:hyperlink w:anchor="_heading=h.moflajpppwwx">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14</w:t>
            </w:r>
          </w:hyperlink>
        </w:p>
        <w:p w14:paraId="2EC92A3A" w14:textId="77777777" w:rsidR="0052784E" w:rsidRDefault="00802FB7">
          <w:pPr>
            <w:widowControl w:val="0"/>
            <w:tabs>
              <w:tab w:val="right" w:leader="dot" w:pos="12000"/>
            </w:tabs>
            <w:spacing w:before="60" w:line="360" w:lineRule="auto"/>
            <w:rPr>
              <w:b/>
              <w:bCs/>
            </w:rPr>
          </w:pPr>
          <w:hyperlink w:anchor="_heading=h.sot0fxvuhovz">
            <w:r>
              <w:rPr>
                <w:rFonts w:ascii="Times New Roman" w:eastAsia="Times New Roman" w:hAnsi="Times New Roman" w:cs="Times New Roman"/>
                <w:sz w:val="24"/>
                <w:szCs w:val="24"/>
              </w:rPr>
              <w:t>Reference list</w:t>
            </w:r>
            <w:r>
              <w:rPr>
                <w:rFonts w:ascii="Times New Roman" w:eastAsia="Times New Roman" w:hAnsi="Times New Roman" w:cs="Times New Roman"/>
                <w:sz w:val="24"/>
                <w:szCs w:val="24"/>
              </w:rPr>
              <w:tab/>
              <w:t>15</w:t>
            </w:r>
          </w:hyperlink>
          <w:r>
            <w:fldChar w:fldCharType="end"/>
          </w:r>
        </w:p>
      </w:sdtContent>
    </w:sdt>
    <w:p w14:paraId="7665CB55" w14:textId="77777777" w:rsidR="0052784E" w:rsidRDefault="00802FB7">
      <w:pPr>
        <w:spacing w:line="360" w:lineRule="auto"/>
        <w:rPr>
          <w:rFonts w:ascii="Times New Roman" w:eastAsia="Times New Roman" w:hAnsi="Times New Roman" w:cs="Times New Roman"/>
          <w:b/>
          <w:bCs/>
          <w:sz w:val="24"/>
          <w:szCs w:val="24"/>
        </w:rPr>
      </w:pPr>
      <w:bookmarkStart w:id="1" w:name="_heading=h.nk80f75je2z3" w:colFirst="0" w:colLast="0"/>
      <w:bookmarkEnd w:id="1"/>
      <w:r>
        <w:br w:type="page"/>
      </w:r>
    </w:p>
    <w:p w14:paraId="3A367B08" w14:textId="77777777" w:rsidR="0052784E" w:rsidRDefault="00802FB7">
      <w:pPr>
        <w:pStyle w:val="Heading1"/>
      </w:pPr>
      <w:bookmarkStart w:id="2" w:name="_heading=h.jdg30qyqqblv" w:colFirst="0" w:colLast="0"/>
      <w:bookmarkEnd w:id="2"/>
      <w:r>
        <w:lastRenderedPageBreak/>
        <w:t>Introduction</w:t>
      </w:r>
    </w:p>
    <w:p w14:paraId="571AC52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include a project plan of the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UK, which was also known as the Elizabeth Line. The plan is outlined into five sections that include the project scope, work-breakdown structure, schedule timeline and milestones, resource use and stakeholder analysis. In each section, the principles of project management are applied to the actual circumstances of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is one of the largest transport projects in Europe. This project aimed to increase the carrying capacity of railways in London by 10% and to carry 200 million passen</w:t>
      </w:r>
      <w:r>
        <w:rPr>
          <w:rFonts w:ascii="Times New Roman" w:eastAsia="Times New Roman" w:hAnsi="Times New Roman" w:cs="Times New Roman"/>
          <w:sz w:val="24"/>
          <w:szCs w:val="24"/>
        </w:rPr>
        <w:t xml:space="preserve">gers per year, respectively. It operates between Reading and Heathrow to the west, through Central London and </w:t>
      </w:r>
      <w:proofErr w:type="spellStart"/>
      <w:r>
        <w:rPr>
          <w:rFonts w:ascii="Times New Roman" w:eastAsia="Times New Roman" w:hAnsi="Times New Roman" w:cs="Times New Roman"/>
          <w:sz w:val="24"/>
          <w:szCs w:val="24"/>
        </w:rPr>
        <w:t>Shenfield</w:t>
      </w:r>
      <w:proofErr w:type="spellEnd"/>
      <w:r>
        <w:rPr>
          <w:rFonts w:ascii="Times New Roman" w:eastAsia="Times New Roman" w:hAnsi="Times New Roman" w:cs="Times New Roman"/>
          <w:sz w:val="24"/>
          <w:szCs w:val="24"/>
        </w:rPr>
        <w:t xml:space="preserve"> and Abbey Wood to the east. The construction of the project included 42km of new tunnelling, 10 new stations and upgrading 31 existing stations (House of Commons Library, 2024). It also initiated modern trains and modern signalling. The projected economic effect of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in the UK is estimated to be about £ 42 billion despite the delays and cost increases. The report will also include </w:t>
      </w:r>
      <w:r>
        <w:rPr>
          <w:rFonts w:ascii="Times New Roman" w:eastAsia="Times New Roman" w:hAnsi="Times New Roman" w:cs="Times New Roman"/>
          <w:sz w:val="24"/>
          <w:szCs w:val="24"/>
        </w:rPr>
        <w:t>goals, deliverables, constraints and project management lessons.</w:t>
      </w:r>
    </w:p>
    <w:p w14:paraId="390B8FC4" w14:textId="77777777" w:rsidR="0052784E" w:rsidRDefault="00802FB7">
      <w:pPr>
        <w:pStyle w:val="Heading1"/>
      </w:pPr>
      <w:bookmarkStart w:id="3" w:name="_heading=h.3jw72avyx5gg" w:colFirst="0" w:colLast="0"/>
      <w:bookmarkEnd w:id="3"/>
      <w:r>
        <w:t xml:space="preserve">Main Body </w:t>
      </w:r>
    </w:p>
    <w:p w14:paraId="0B971711" w14:textId="77777777" w:rsidR="0052784E" w:rsidRDefault="00802FB7">
      <w:pPr>
        <w:pStyle w:val="Heading2"/>
      </w:pPr>
      <w:bookmarkStart w:id="4" w:name="_heading=h.9mvzi38uyzw1" w:colFirst="0" w:colLast="0"/>
      <w:bookmarkEnd w:id="4"/>
      <w:r>
        <w:t xml:space="preserve">Project Scope </w:t>
      </w:r>
    </w:p>
    <w:p w14:paraId="3E5C97E1" w14:textId="77777777" w:rsidR="0052784E" w:rsidRDefault="00802FB7">
      <w:pPr>
        <w:pStyle w:val="Heading3"/>
      </w:pPr>
      <w:bookmarkStart w:id="5" w:name="_heading=h.scmi7tbrquyy" w:colFirst="0" w:colLast="0"/>
      <w:bookmarkEnd w:id="5"/>
      <w:r>
        <w:t>Project goals and objectives</w:t>
      </w:r>
    </w:p>
    <w:p w14:paraId="013B6F21" w14:textId="77777777" w:rsidR="0052784E" w:rsidRDefault="00802FB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boost the capacity of the London rail system by 10%.</w:t>
      </w:r>
    </w:p>
    <w:p w14:paraId="6022F70A" w14:textId="77777777" w:rsidR="0052784E" w:rsidRDefault="00802FB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facilitate the transportation of 200 million passengers annually.</w:t>
      </w:r>
    </w:p>
    <w:p w14:paraId="386C215D" w14:textId="77777777" w:rsidR="0052784E" w:rsidRDefault="00802FB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decrease the time required for travelling in central London.</w:t>
      </w:r>
    </w:p>
    <w:p w14:paraId="2748ACDA" w14:textId="77777777" w:rsidR="0052784E" w:rsidRDefault="00802FB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the level of access using step-free stations.</w:t>
      </w:r>
    </w:p>
    <w:p w14:paraId="2A1BE649" w14:textId="77777777" w:rsidR="0052784E" w:rsidRDefault="00802FB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contribute to UK economic growth, which generates up to £</w:t>
      </w:r>
      <w:proofErr w:type="spellStart"/>
      <w:r>
        <w:rPr>
          <w:rFonts w:ascii="Times New Roman" w:eastAsia="Times New Roman" w:hAnsi="Times New Roman" w:cs="Times New Roman"/>
          <w:sz w:val="24"/>
          <w:szCs w:val="24"/>
        </w:rPr>
        <w:t>42bn</w:t>
      </w:r>
      <w:proofErr w:type="spellEnd"/>
      <w:r>
        <w:rPr>
          <w:rFonts w:ascii="Times New Roman" w:eastAsia="Times New Roman" w:hAnsi="Times New Roman" w:cs="Times New Roman"/>
          <w:sz w:val="24"/>
          <w:szCs w:val="24"/>
        </w:rPr>
        <w:t>.</w:t>
      </w:r>
    </w:p>
    <w:p w14:paraId="0B5E561D" w14:textId="77777777" w:rsidR="0052784E" w:rsidRDefault="00802FB7">
      <w:pPr>
        <w:pStyle w:val="Heading3"/>
      </w:pPr>
      <w:bookmarkStart w:id="6" w:name="_heading=h.mgghfaazcrp2" w:colFirst="0" w:colLast="0"/>
      <w:bookmarkEnd w:id="6"/>
      <w:r>
        <w:t>Project deliverables</w:t>
      </w:r>
    </w:p>
    <w:p w14:paraId="3D1A56F9" w14:textId="77777777" w:rsidR="0052784E" w:rsidRDefault="00802FB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of 42km tunnels through London.</w:t>
      </w:r>
    </w:p>
    <w:p w14:paraId="36877064" w14:textId="77777777" w:rsidR="0052784E" w:rsidRDefault="00802FB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10 new stations and renovation of 31 others.</w:t>
      </w:r>
    </w:p>
    <w:p w14:paraId="04EF6F51" w14:textId="77777777" w:rsidR="0052784E" w:rsidRDefault="00802FB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of a new fleet on the Elizabeth Line.</w:t>
      </w:r>
    </w:p>
    <w:p w14:paraId="708E38BC" w14:textId="77777777" w:rsidR="0052784E" w:rsidRDefault="00802FB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Installation of digital signalling and control systems.</w:t>
      </w:r>
    </w:p>
    <w:p w14:paraId="1B237AFC" w14:textId="77777777" w:rsidR="0052784E" w:rsidRDefault="00802FB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Improvement of accessibility functions and passenger services.</w:t>
      </w:r>
    </w:p>
    <w:p w14:paraId="3B31E499" w14:textId="77777777" w:rsidR="0052784E" w:rsidRDefault="00802FB7">
      <w:pPr>
        <w:pStyle w:val="Heading3"/>
      </w:pPr>
      <w:bookmarkStart w:id="7" w:name="_heading=h.hqucg62vg5r1" w:colFirst="0" w:colLast="0"/>
      <w:bookmarkEnd w:id="7"/>
      <w:r>
        <w:t>Project cost</w:t>
      </w:r>
    </w:p>
    <w:p w14:paraId="041B8D4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cost refers to the amount of money needed to provide the intended project outputs. It covers both direct and indirect costs, including procurement costs of goods, labour, and technology and indirect costs, including management, risk contingency and stakeholder engagement. The original approved budget for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was £ 14.8 billion. This amount was later increased to £14.9 billion because of delays, technical difficulties, and integration problems. This included tunnelling, station development, rolling stock and progressive signalling mechanisms (Landis, 2022). The cost of infrastructure delivery was also affected by the nature of delivery in Central London, in which geological and heritage conservation, and urban congestion necessitated extra resources. The UK Government, Transport for London (TfL) and th</w:t>
      </w:r>
      <w:r>
        <w:rPr>
          <w:rFonts w:ascii="Times New Roman" w:eastAsia="Times New Roman" w:hAnsi="Times New Roman" w:cs="Times New Roman"/>
          <w:sz w:val="24"/>
          <w:szCs w:val="24"/>
        </w:rPr>
        <w:t>e City of London shared the funding, which made it one of the most scrutinised state projects in the UK.</w:t>
      </w:r>
    </w:p>
    <w:p w14:paraId="3007085A" w14:textId="77777777" w:rsidR="0052784E" w:rsidRDefault="00802FB7">
      <w:pPr>
        <w:pStyle w:val="Heading3"/>
      </w:pPr>
      <w:bookmarkStart w:id="8" w:name="_heading=h.ev3fcvsiens8" w:colFirst="0" w:colLast="0"/>
      <w:bookmarkEnd w:id="8"/>
      <w:r>
        <w:t>Time and Project Constraints</w:t>
      </w:r>
    </w:p>
    <w:p w14:paraId="18D82357"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encountered various constraints that influenced the planning and execution. First, there was the issue of technical complexity. The 42km of tunnelling needed under Central London demanded advanced tunnelling gear and close consideration of the surface conditions (</w:t>
      </w:r>
      <w:proofErr w:type="spellStart"/>
      <w:r>
        <w:rPr>
          <w:rFonts w:ascii="Times New Roman" w:eastAsia="Times New Roman" w:hAnsi="Times New Roman" w:cs="Times New Roman"/>
          <w:sz w:val="24"/>
          <w:szCs w:val="24"/>
        </w:rPr>
        <w:t>Gakis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Salak</w:t>
      </w:r>
      <w:proofErr w:type="spellEnd"/>
      <w:r>
        <w:rPr>
          <w:rFonts w:ascii="Times New Roman" w:eastAsia="Times New Roman" w:hAnsi="Times New Roman" w:cs="Times New Roman"/>
          <w:sz w:val="24"/>
          <w:szCs w:val="24"/>
        </w:rPr>
        <w:t xml:space="preserve"> and John, 2022). It put pressure on time and cost as engineers needed to ensure that these underground networks, utilities and historic buildings were not impacted negatively.</w:t>
      </w:r>
    </w:p>
    <w:p w14:paraId="36D06E6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weakness was the integration of contractors and suppliers. The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project included hundreds of cross-border firms that provided items of all sizes, such as tunnelling and signalling (GURBUZ, 2023). Bringing these contractors on board one programme created the risk of misalignment, delays and conflicts. Strong governance was demanded and the delay in time was the direct outcome of integration challenges.</w:t>
      </w:r>
    </w:p>
    <w:p w14:paraId="7527A52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weakness was related to financial control and budgetary stress. Investment in the project by the UK Government, TfL and London businesses required tight accountability, which restricted budgetary flexibility (Stewart and Connolly, 2024). Increased prices led to the signing of new funding contracts, which extended delays in administration.</w:t>
      </w:r>
    </w:p>
    <w:p w14:paraId="0CF6C2A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constraint was on political and reputational risk.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was a very visible project to the people and the media. There was also criticism of inefficiencies and negative project </w:t>
      </w:r>
      <w:r>
        <w:rPr>
          <w:rFonts w:ascii="Times New Roman" w:eastAsia="Times New Roman" w:hAnsi="Times New Roman" w:cs="Times New Roman"/>
          <w:sz w:val="24"/>
          <w:szCs w:val="24"/>
        </w:rPr>
        <w:lastRenderedPageBreak/>
        <w:t>variances that undermined stakeholder confidence. Project managers had to strike a balance between technical delivery and transparent communication to be credible.</w:t>
      </w:r>
    </w:p>
    <w:p w14:paraId="719718A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an overriding problem of time constraint. Its initial completion deadline of 2018 was missed and subsequently it was to open in 2022-2023. This gap harms the passenger expectations and financial forecasts, which emphasise the challenge of building massive infrastructure in the uncertain city conditions.</w:t>
      </w:r>
    </w:p>
    <w:p w14:paraId="4C9A76AB" w14:textId="77777777" w:rsidR="0052784E" w:rsidRDefault="00802FB7">
      <w:pPr>
        <w:pStyle w:val="Heading2"/>
      </w:pPr>
      <w:bookmarkStart w:id="9" w:name="_heading=h.sant10maeuxi" w:colFirst="0" w:colLast="0"/>
      <w:bookmarkEnd w:id="9"/>
      <w:r>
        <w:t xml:space="preserve">Work Breakdown Structure </w:t>
      </w:r>
    </w:p>
    <w:tbl>
      <w:tblPr>
        <w:tblStyle w:val="a2"/>
        <w:tblW w:w="9025" w:type="dxa"/>
        <w:tblBorders>
          <w:top w:val="nil"/>
          <w:left w:val="nil"/>
          <w:bottom w:val="nil"/>
          <w:right w:val="nil"/>
          <w:insideH w:val="nil"/>
          <w:insideV w:val="nil"/>
        </w:tblBorders>
        <w:tblLayout w:type="fixed"/>
        <w:tblLook w:val="0600" w:firstRow="0" w:lastRow="0" w:firstColumn="0" w:lastColumn="0" w:noHBand="1" w:noVBand="1"/>
      </w:tblPr>
      <w:tblGrid>
        <w:gridCol w:w="1783"/>
        <w:gridCol w:w="1616"/>
        <w:gridCol w:w="2742"/>
        <w:gridCol w:w="1046"/>
        <w:gridCol w:w="1838"/>
      </w:tblGrid>
      <w:tr w:rsidR="0052784E" w14:paraId="4D9C16E8" w14:textId="77777777">
        <w:trPr>
          <w:trHeight w:val="500"/>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76572"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Activity</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BB2C2"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Sub-Activities</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55AF57"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Tasks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487E7"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Timeline</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E86F4"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Milestones</w:t>
            </w:r>
          </w:p>
        </w:tc>
      </w:tr>
      <w:tr w:rsidR="0052784E" w14:paraId="37289904" w14:textId="77777777">
        <w:trPr>
          <w:trHeight w:val="105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279B1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Tunnel Construction</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4E4B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Excavation</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7839B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Deploy Tunnel Boring Machines (TBMs), soil removal.</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C1D5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1–2</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F75D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tunnel section completed.</w:t>
            </w:r>
          </w:p>
        </w:tc>
      </w:tr>
      <w:tr w:rsidR="0052784E" w14:paraId="2778CE64"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2F51D"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2180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08AC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 concrete segments, reinforcement.</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7C92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2–3</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CE27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km tunnels completed.</w:t>
            </w:r>
          </w:p>
        </w:tc>
      </w:tr>
      <w:tr w:rsidR="0052784E" w14:paraId="0961DFBC"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2A007"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2143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Safety Checks</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F775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Ventilation, monitoring, certification.</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26FA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3</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2C0F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Tunnel safety approval.</w:t>
            </w:r>
          </w:p>
        </w:tc>
      </w:tr>
      <w:tr w:rsidR="0052784E" w14:paraId="23CED3E4"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0E98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Station Development</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B4BF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E027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Architectural planning, approvals.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28BB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1</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6D38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Designs approved.</w:t>
            </w:r>
          </w:p>
        </w:tc>
      </w:tr>
      <w:tr w:rsidR="0052784E" w14:paraId="39E50286"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39B7B"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0ACB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Civil Works</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F3CC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Foundations, structures, utilities.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A822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2–4</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2F8A9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station works completed.</w:t>
            </w:r>
          </w:p>
        </w:tc>
      </w:tr>
      <w:tr w:rsidR="0052784E" w14:paraId="22BA915C"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EA616"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65C3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Accessibility</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D0CC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 lifts, escalators, signage.</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0748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4–5</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436E4"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Step-free access delivered.</w:t>
            </w:r>
          </w:p>
        </w:tc>
      </w:tr>
      <w:tr w:rsidR="0052784E" w14:paraId="6B557743"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749A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Rolling Stock Delivery</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1F76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Manufacturing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CA21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assembly.</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3931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2–3</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DC1E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train delivered.</w:t>
            </w:r>
          </w:p>
        </w:tc>
      </w:tr>
      <w:tr w:rsidR="0052784E" w14:paraId="3167197C"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D4132"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AFEB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BA83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Safety and performance trials.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16D72"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3–4</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086F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Fleet certified.</w:t>
            </w:r>
          </w:p>
        </w:tc>
      </w:tr>
      <w:tr w:rsidR="0052784E" w14:paraId="469CEE0C" w14:textId="77777777">
        <w:trPr>
          <w:trHeight w:val="500"/>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97CC4"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4596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Commissioning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7657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with line.</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D63C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4</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963F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Fleet operational.</w:t>
            </w:r>
          </w:p>
        </w:tc>
      </w:tr>
      <w:tr w:rsidR="0052784E" w14:paraId="73F04BD0"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50AD2"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Signalling Integration</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5CC03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Installation</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6614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system setup.</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EF1A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3–4</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88B9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Systems installed.</w:t>
            </w:r>
          </w:p>
        </w:tc>
      </w:tr>
      <w:tr w:rsidR="0052784E" w14:paraId="7B73B3E9"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96598"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B5BC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D8A4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Trial runs.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FD36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4–5</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F484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railway readiness.</w:t>
            </w:r>
          </w:p>
        </w:tc>
      </w:tr>
      <w:tr w:rsidR="0052784E" w14:paraId="227A42A9"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9EAB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Operational Readiness</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ECFC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B659A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preparation.</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9B994"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4–5</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123E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trained.</w:t>
            </w:r>
          </w:p>
        </w:tc>
      </w:tr>
      <w:tr w:rsidR="0052784E" w14:paraId="0E391280" w14:textId="77777777">
        <w:trPr>
          <w:trHeight w:val="785"/>
        </w:trPr>
        <w:tc>
          <w:tcPr>
            <w:tcW w:w="1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C11A7" w14:textId="77777777" w:rsidR="0052784E" w:rsidRDefault="0052784E">
            <w:pPr>
              <w:spacing w:before="200" w:after="200" w:line="360" w:lineRule="auto"/>
              <w:jc w:val="both"/>
              <w:rPr>
                <w:rFonts w:ascii="Times New Roman" w:eastAsia="Times New Roman" w:hAnsi="Times New Roman" w:cs="Times New Roman"/>
                <w:sz w:val="24"/>
                <w:szCs w:val="24"/>
              </w:rPr>
            </w:pP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E1FB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Trial Runs</w:t>
            </w:r>
          </w:p>
        </w:tc>
        <w:tc>
          <w:tcPr>
            <w:tcW w:w="27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3867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Simulated operations.</w:t>
            </w:r>
          </w:p>
        </w:tc>
        <w:tc>
          <w:tcPr>
            <w:tcW w:w="1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AA56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 5</w:t>
            </w:r>
          </w:p>
        </w:tc>
        <w:tc>
          <w:tcPr>
            <w:tcW w:w="1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7306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Elizabeth Line launch.</w:t>
            </w:r>
          </w:p>
        </w:tc>
      </w:tr>
    </w:tbl>
    <w:p w14:paraId="3E87709F" w14:textId="77777777" w:rsidR="0052784E" w:rsidRDefault="00802FB7">
      <w:pPr>
        <w:pStyle w:val="Heading2"/>
      </w:pPr>
      <w:bookmarkStart w:id="10" w:name="_heading=h.xkb5zwhrr97s" w:colFirst="0" w:colLast="0"/>
      <w:bookmarkEnd w:id="10"/>
      <w:r>
        <w:t xml:space="preserve">Resources Required </w:t>
      </w:r>
    </w:p>
    <w:p w14:paraId="6CF85F7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resources are the contributions needed for project management to generate the results. These are human resources, like skilled personnel and material resources, like machinery, construction materials and technology (</w:t>
      </w:r>
      <w:proofErr w:type="spellStart"/>
      <w:r>
        <w:rPr>
          <w:rFonts w:ascii="Times New Roman" w:eastAsia="Times New Roman" w:hAnsi="Times New Roman" w:cs="Times New Roman"/>
          <w:sz w:val="24"/>
          <w:szCs w:val="24"/>
        </w:rPr>
        <w:t>Sanusi</w:t>
      </w:r>
      <w:proofErr w:type="spellEnd"/>
      <w:r>
        <w:rPr>
          <w:rFonts w:ascii="Times New Roman" w:eastAsia="Times New Roman" w:hAnsi="Times New Roman" w:cs="Times New Roman"/>
          <w:sz w:val="24"/>
          <w:szCs w:val="24"/>
        </w:rPr>
        <w:t>, 2024). Resource planning facilitates the execution of activities at the required time, budget and quality (</w:t>
      </w:r>
      <w:proofErr w:type="spellStart"/>
      <w:r>
        <w:rPr>
          <w:rFonts w:ascii="Times New Roman" w:eastAsia="Times New Roman" w:hAnsi="Times New Roman" w:cs="Times New Roman"/>
          <w:sz w:val="24"/>
          <w:szCs w:val="24"/>
        </w:rPr>
        <w:t>Nasri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The large-</w:t>
      </w:r>
      <w:r>
        <w:rPr>
          <w:rFonts w:ascii="Times New Roman" w:eastAsia="Times New Roman" w:hAnsi="Times New Roman" w:cs="Times New Roman"/>
          <w:sz w:val="24"/>
          <w:szCs w:val="24"/>
        </w:rPr>
        <w:lastRenderedPageBreak/>
        <w:t>scale infrastructure projects require careful task-sharing of both resources to prevent unfavourable delays, budget over-runs and wastage.</w:t>
      </w:r>
    </w:p>
    <w:p w14:paraId="0F738B6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resources are required in the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project:</w:t>
      </w:r>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1904"/>
        <w:gridCol w:w="3244"/>
        <w:gridCol w:w="3877"/>
      </w:tblGrid>
      <w:tr w:rsidR="0052784E" w14:paraId="71FC8D70" w14:textId="77777777">
        <w:trPr>
          <w:trHeight w:val="500"/>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71421"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Tasks</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C148D"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Personnel</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D218B"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Materials</w:t>
            </w:r>
          </w:p>
        </w:tc>
      </w:tr>
      <w:tr w:rsidR="0052784E" w14:paraId="17E29312" w14:textId="77777777">
        <w:trPr>
          <w:trHeight w:val="1055"/>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AE78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Tunnel Construction</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0871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Civil engineers, geologists, tunnelling crews and safety inspectors.</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BA34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Tunnel Boring Machines (TBMs), concrete segments, steel reinforcements.</w:t>
            </w:r>
          </w:p>
        </w:tc>
      </w:tr>
      <w:tr w:rsidR="0052784E" w14:paraId="50A2113B" w14:textId="77777777">
        <w:trPr>
          <w:trHeight w:val="785"/>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0E94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Station Development</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3034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Architects, construction workers, accessibility specialists.</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29EC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Cement, glass, lifts, escalators and electrical wiring.</w:t>
            </w:r>
          </w:p>
        </w:tc>
      </w:tr>
      <w:tr w:rsidR="0052784E" w14:paraId="5FA991E6" w14:textId="77777777">
        <w:trPr>
          <w:trHeight w:val="785"/>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BF59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Rolling Stock Delivery</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8ECE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Mechanical engineers, technicians and quality inspectors.</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463E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units, electrical systems, seating, safety equipment.</w:t>
            </w:r>
          </w:p>
        </w:tc>
      </w:tr>
      <w:tr w:rsidR="0052784E" w14:paraId="73225936" w14:textId="77777777">
        <w:trPr>
          <w:trHeight w:val="785"/>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EFD8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Signalling Integration</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FBBE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specialists, system engineers, software testers.</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8E47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signalling equipment, control systems, cabling.</w:t>
            </w:r>
          </w:p>
        </w:tc>
      </w:tr>
      <w:tr w:rsidR="0052784E" w14:paraId="26E3AD14" w14:textId="77777777">
        <w:trPr>
          <w:trHeight w:val="785"/>
        </w:trPr>
        <w:tc>
          <w:tcPr>
            <w:tcW w:w="19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569A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Operational Readiness</w:t>
            </w:r>
          </w:p>
        </w:tc>
        <w:tc>
          <w:tcPr>
            <w:tcW w:w="32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73CB7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Trainers, operations staff, customer service teams.</w:t>
            </w:r>
          </w:p>
        </w:tc>
        <w:tc>
          <w:tcPr>
            <w:tcW w:w="3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1883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manuals, simulators and communication devices.</w:t>
            </w:r>
          </w:p>
        </w:tc>
      </w:tr>
    </w:tbl>
    <w:p w14:paraId="07739EDA"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had a long-term impact on the UK rail industry as it generated more than 14,000 construction-related jobs and approximately 600 apprenticeship opportunities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Ltd, 2023). People were recruited from a range of fields such as engineering, architecture, information technology and operations. The suppliers were both local and global. The parts of the tunnels would be supplied with the help of TBMs, whereas complicated signalling apparatus was provided to the tunnel by special companies. TfL controlled</w:t>
      </w:r>
      <w:r>
        <w:rPr>
          <w:rFonts w:ascii="Times New Roman" w:eastAsia="Times New Roman" w:hAnsi="Times New Roman" w:cs="Times New Roman"/>
          <w:sz w:val="24"/>
          <w:szCs w:val="24"/>
        </w:rPr>
        <w:t xml:space="preserve"> resource planning </w:t>
      </w:r>
      <w:r>
        <w:rPr>
          <w:rFonts w:ascii="Times New Roman" w:eastAsia="Times New Roman" w:hAnsi="Times New Roman" w:cs="Times New Roman"/>
          <w:sz w:val="24"/>
          <w:szCs w:val="24"/>
        </w:rPr>
        <w:lastRenderedPageBreak/>
        <w:t>to address the labour targets and procurement standards (Transport for London, 2022). This combination of the professional workforce and sufficient resources was also critical to the success of the Elizabeth Line.</w:t>
      </w:r>
    </w:p>
    <w:p w14:paraId="79A1C8B7" w14:textId="77777777" w:rsidR="0052784E" w:rsidRDefault="00802FB7">
      <w:pPr>
        <w:pStyle w:val="Heading2"/>
      </w:pPr>
      <w:bookmarkStart w:id="11" w:name="_heading=h.vrs6y6pytkfx" w:colFirst="0" w:colLast="0"/>
      <w:bookmarkEnd w:id="11"/>
      <w:r>
        <w:t>Stakeholders’ Analysis</w:t>
      </w:r>
    </w:p>
    <w:tbl>
      <w:tblPr>
        <w:tblStyle w:val="a4"/>
        <w:tblW w:w="9000" w:type="dxa"/>
        <w:tblBorders>
          <w:top w:val="nil"/>
          <w:left w:val="nil"/>
          <w:bottom w:val="nil"/>
          <w:right w:val="nil"/>
          <w:insideH w:val="nil"/>
          <w:insideV w:val="nil"/>
        </w:tblBorders>
        <w:tblLayout w:type="fixed"/>
        <w:tblLook w:val="0600" w:firstRow="0" w:lastRow="0" w:firstColumn="0" w:lastColumn="0" w:noHBand="1" w:noVBand="1"/>
      </w:tblPr>
      <w:tblGrid>
        <w:gridCol w:w="1875"/>
        <w:gridCol w:w="960"/>
        <w:gridCol w:w="960"/>
        <w:gridCol w:w="1290"/>
        <w:gridCol w:w="3915"/>
      </w:tblGrid>
      <w:tr w:rsidR="0052784E" w14:paraId="302A6554" w14:textId="77777777">
        <w:trPr>
          <w:trHeight w:val="105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E052C"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Stakeholders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94A05"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Power</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95DE8"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Interest</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4810B"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Quadrant (Grid Category)</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77543" w14:textId="77777777" w:rsidR="0052784E" w:rsidRDefault="00802FB7">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Management Strategy </w:t>
            </w:r>
          </w:p>
        </w:tc>
      </w:tr>
      <w:tr w:rsidR="0052784E" w14:paraId="013EA9EC"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E271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UK Government (Department for Transport)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FC7C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FC5E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819F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 Closely</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9EE7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frequent formal reporting and compliance with funding agreements, and well-organised interaction with ministers. Address the requirements of the national transport policy. Periodically carry out review meetings to eliminate risks and delays. Be transparent on cost savings to avoid loss of political confidence.</w:t>
            </w:r>
          </w:p>
        </w:tc>
      </w:tr>
      <w:tr w:rsidR="0052784E" w14:paraId="4AB007E1" w14:textId="77777777">
        <w:trPr>
          <w:trHeight w:val="2720"/>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96FE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Transport for London (TfL)</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17522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787E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635D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 Closely</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C290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Assurance platforms, direct programme management, and integration. Arrange daily meetings with contractors. Manage the risks by managing committees. Plan and set up operational readiness and notify the stakeholders. Maintain integrity by giving positive feedback on the delays and the new timeline.</w:t>
            </w:r>
          </w:p>
        </w:tc>
      </w:tr>
      <w:tr w:rsidR="0052784E" w14:paraId="1473F11E"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B1E0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Contractors (construction firms)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AC8F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D1CF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E5E5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 Closely</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762B9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Strict contractual requirements and performance monitoring. Penalise late delivery and reward punctuality. Conduct integration seminars to align various companies. Gain safety and quality authority. Close supervision of the exercises to avoid fragmentation and disputes.</w:t>
            </w:r>
          </w:p>
        </w:tc>
      </w:tr>
      <w:tr w:rsidR="0052784E" w14:paraId="11BB9096"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5BF8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Passengers (end-users)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1574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E830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598F4"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9BAA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Passengers are the main beneficiaries of the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project. They care about them, as they are expected to spend less time travelling, have better accessibility, and get quality services. Even though their formal power is minimal, the representative voice of passengers defines the reputation and political responsibility of the project. Therefore, the engagement strategies should take care of the regular alterations in the services, be effective in conveying openings in phases and use personalised marketing programs to regulate forecasts. Surveys an</w:t>
            </w:r>
            <w:r>
              <w:rPr>
                <w:rFonts w:ascii="Times New Roman" w:eastAsia="Times New Roman" w:hAnsi="Times New Roman" w:cs="Times New Roman"/>
                <w:sz w:val="24"/>
                <w:szCs w:val="24"/>
              </w:rPr>
              <w:t>d feedback will need to record passenger concerns, whereas reputational risks must be addressed by highlighting the long-run benefits of short-run delays. Such a proactive strategy maintains the service to passengers even in the case of momentary delays.</w:t>
            </w:r>
          </w:p>
        </w:tc>
      </w:tr>
      <w:tr w:rsidR="0052784E" w14:paraId="1D15B020" w14:textId="77777777">
        <w:trPr>
          <w:trHeight w:val="216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6892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Local Communities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7B18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912E4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A1FA8"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D482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Communities living near the construction sites have been affected severely by noise, traffic and environmental impacts. They possess significant interest power, but their political power is relatively weak. Effective interaction thus involves consulting residents, elimination of disturbance, and adoption of relevant compensation plans where necessary. Construction schedules must also be made transparent and any concerns must be dealt with promptly. The project will foster goodwill with the community by work</w:t>
            </w:r>
            <w:r>
              <w:rPr>
                <w:rFonts w:ascii="Times New Roman" w:eastAsia="Times New Roman" w:hAnsi="Times New Roman" w:cs="Times New Roman"/>
                <w:sz w:val="24"/>
                <w:szCs w:val="24"/>
              </w:rPr>
              <w:t>ing as an environmentally and socially responsible business, e.g. by minimising carbon emissions and creating jobs in the region and reducing reputational risk.</w:t>
            </w:r>
          </w:p>
        </w:tc>
      </w:tr>
      <w:tr w:rsidR="0052784E" w14:paraId="5CD15C19" w14:textId="77777777">
        <w:trPr>
          <w:trHeight w:val="216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1278B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Trade Unions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CF99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EEC4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BD11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0282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Trade unions are neither weak nor strong, as they provide stability and safety to the workforce. They influence this by joint negotiation and the possibility of industrial action to delay schedules. Engagement strategies must be based on open dialogue, working agreement negotiation and the observance of safety standards. Recognising unions and including them in the decision-making also </w:t>
            </w:r>
            <w:r>
              <w:rPr>
                <w:rFonts w:ascii="Times New Roman" w:eastAsia="Times New Roman" w:hAnsi="Times New Roman" w:cs="Times New Roman"/>
                <w:sz w:val="24"/>
                <w:szCs w:val="24"/>
              </w:rPr>
              <w:lastRenderedPageBreak/>
              <w:t>prevents unrest and maintains stability, which outlines the direct relationship between labour relations and project implementation and the costly delays as a result of unresolved conflict.</w:t>
            </w:r>
          </w:p>
        </w:tc>
      </w:tr>
      <w:tr w:rsidR="0052784E" w14:paraId="2695429D" w14:textId="77777777">
        <w:trPr>
          <w:trHeight w:val="1880"/>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7158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Suppliers (rolling stock, signalling systems)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2C6B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D79E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A414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7EB2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Suppliers play a critical role in the provision of rolling stock and signalling systems, which have medium power and high interest. Their performance is critical in seamless integration and preparedness to operate. The strategies should include technical coordination meetings, a delivery assurance plan and regular inspections. Gradual testing of trains and signalling infrastructure is a way of assuring compatibility and eliminating detachments. Clear delivery timetables are to be conveyed to avoid cascading</w:t>
            </w:r>
            <w:r>
              <w:rPr>
                <w:rFonts w:ascii="Times New Roman" w:eastAsia="Times New Roman" w:hAnsi="Times New Roman" w:cs="Times New Roman"/>
                <w:sz w:val="24"/>
                <w:szCs w:val="24"/>
              </w:rPr>
              <w:t xml:space="preserve"> delays since the involvement of suppliers is realistically crucial in the achievement of technical milestones within the allotted deadline.</w:t>
            </w:r>
          </w:p>
        </w:tc>
      </w:tr>
      <w:tr w:rsidR="0052784E" w14:paraId="43E637B1" w14:textId="77777777">
        <w:trPr>
          <w:trHeight w:val="216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935C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Greater London Authority (GLA)</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1351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D86D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BED9C"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Satisfied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72FEB"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Greater London Authority (GLA) is a strong body with medium interest that aims at creating strategic alignment between the transport and urban planning policies in London (Department for Transport, 2024). The </w:t>
            </w:r>
            <w:r>
              <w:rPr>
                <w:rFonts w:ascii="Times New Roman" w:eastAsia="Times New Roman" w:hAnsi="Times New Roman" w:cs="Times New Roman"/>
                <w:sz w:val="24"/>
                <w:szCs w:val="24"/>
              </w:rPr>
              <w:lastRenderedPageBreak/>
              <w:t>engagement methods should also provide for the incorporation of project results into the development plans of the city. Frequent updates and briefings on the policies perpetuate confidence in the project by underscoring its role in the long-term development of London. The project can meet the requirements of the GLA by proving that it is economically and socially beneficial and will help to resolve political conflicts.</w:t>
            </w:r>
          </w:p>
        </w:tc>
      </w:tr>
      <w:tr w:rsidR="0052784E" w14:paraId="2725E9E2"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F35BA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London Businesses (funding contributors)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1064D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9957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E7349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Informed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9809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should also have been consulted and informed about the economic benefits. The benefits of the £42 </w:t>
            </w:r>
            <w:proofErr w:type="spellStart"/>
            <w:r>
              <w:rPr>
                <w:rFonts w:ascii="Times New Roman" w:eastAsia="Times New Roman" w:hAnsi="Times New Roman" w:cs="Times New Roman"/>
                <w:sz w:val="24"/>
                <w:szCs w:val="24"/>
              </w:rPr>
              <w:t>bn</w:t>
            </w:r>
            <w:proofErr w:type="spellEnd"/>
            <w:r>
              <w:rPr>
                <w:rFonts w:ascii="Times New Roman" w:eastAsia="Times New Roman" w:hAnsi="Times New Roman" w:cs="Times New Roman"/>
                <w:sz w:val="24"/>
                <w:szCs w:val="24"/>
              </w:rPr>
              <w:t xml:space="preserve"> economic effect should be shared to justify fiscal payments. The practice of transparent financial reporting must be sustained and business leaders must be involved in discussions of long-term economic outcomes.</w:t>
            </w:r>
          </w:p>
        </w:tc>
      </w:tr>
      <w:tr w:rsidR="0052784E" w14:paraId="24F19B25" w14:textId="77777777">
        <w:trPr>
          <w:trHeight w:val="216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A4735"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Engineers &amp; Technical Specialists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AC0B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07ECE"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D7994"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Satisfied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E0D5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Engineers and specialists have medium authority, high interest and valuable competency in innovation and risk aversion. The engagement strategies should facilitate technical workshops, appreciate their input and engage them in problem-solving. The focus on ensuring safe practices and quality maintenance of excellence keeps them </w:t>
            </w:r>
            <w:r>
              <w:rPr>
                <w:rFonts w:ascii="Times New Roman" w:eastAsia="Times New Roman" w:hAnsi="Times New Roman" w:cs="Times New Roman"/>
                <w:sz w:val="24"/>
                <w:szCs w:val="24"/>
              </w:rPr>
              <w:lastRenderedPageBreak/>
              <w:t>motivated and makes it easier to resolve technical problems.</w:t>
            </w:r>
          </w:p>
        </w:tc>
      </w:tr>
      <w:tr w:rsidR="0052784E" w14:paraId="01815CFA"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98F30"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Media &amp; Public Opinion</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71FD9"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D818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0EECA2"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Satisfied</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905D3"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communication channels must be implemented in conjunction with proactive outreach. There is a need to issue frequent press releases and manage reputation by fixing delays transparently. Negative coverage can be well addressed by focusing on long-term gains. </w:t>
            </w:r>
          </w:p>
        </w:tc>
      </w:tr>
      <w:tr w:rsidR="0052784E" w14:paraId="6D4EACBB" w14:textId="77777777">
        <w:trPr>
          <w:trHeight w:val="2435"/>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D896D2"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Environmental Groups</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ED261"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99B3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588B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w:t>
            </w:r>
          </w:p>
        </w:tc>
        <w:tc>
          <w:tcPr>
            <w:tcW w:w="3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AC39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essential to comply with sustainability and offer environmentally based reporting. Dialogue must reflect belief in green practices, so that issues are addressed to avoid reputational risk. They should show evidence of a low carbon footprint and environmentally friendly construction practices.</w:t>
            </w:r>
          </w:p>
        </w:tc>
      </w:tr>
    </w:tbl>
    <w:p w14:paraId="7E456E34" w14:textId="77777777" w:rsidR="0052784E" w:rsidRDefault="00802FB7">
      <w:pPr>
        <w:pStyle w:val="Heading1"/>
      </w:pPr>
      <w:bookmarkStart w:id="12" w:name="_heading=h.moflajpppwwx" w:colFirst="0" w:colLast="0"/>
      <w:bookmarkEnd w:id="12"/>
      <w:r>
        <w:t>Conclusion</w:t>
      </w:r>
    </w:p>
    <w:p w14:paraId="48A1ACDD" w14:textId="77777777" w:rsidR="0052784E" w:rsidRDefault="00802FB7">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report critically analyses the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project, which demonstrated the complexity involved in the provision of mega-infrastructure projects, with the importance of aligning the provision of technical services, financial management and the expectations of the stakeholders. The work breakdown structure identified sequencing and dependencies, whereas the resource planning emphasised the level of input, which was more than 14,000 jobs and advanced technologies in tunnelling. The stakeholder matrix created through the Power -Interest Grid </w:t>
      </w:r>
      <w:r>
        <w:rPr>
          <w:rFonts w:ascii="Times New Roman" w:eastAsia="Times New Roman" w:hAnsi="Times New Roman" w:cs="Times New Roman"/>
          <w:sz w:val="24"/>
          <w:szCs w:val="24"/>
        </w:rPr>
        <w:lastRenderedPageBreak/>
        <w:t>h</w:t>
      </w:r>
      <w:r>
        <w:rPr>
          <w:rFonts w:ascii="Times New Roman" w:eastAsia="Times New Roman" w:hAnsi="Times New Roman" w:cs="Times New Roman"/>
          <w:sz w:val="24"/>
          <w:szCs w:val="24"/>
        </w:rPr>
        <w:t>as made it clear that the key factor in the attainment of success is control over high-power stakeholders such as the UK government, TfL and contractors and maintaining the information flow to highly interested stakeholders like passengers and communities. Reputational risk was increased through media coverage and a lack of solid contractor accountability also led to delays.</w:t>
      </w:r>
    </w:p>
    <w:p w14:paraId="7D716A61" w14:textId="77777777" w:rsidR="0052784E" w:rsidRDefault="00802FB7">
      <w:pPr>
        <w:spacing w:before="200" w:after="200" w:line="360" w:lineRule="auto"/>
        <w:jc w:val="both"/>
        <w:rPr>
          <w:rFonts w:ascii="Times New Roman" w:eastAsia="Times New Roman" w:hAnsi="Times New Roman" w:cs="Times New Roman"/>
          <w:b/>
          <w:bCs/>
          <w:sz w:val="24"/>
          <w:szCs w:val="24"/>
        </w:rPr>
      </w:pPr>
      <w:r>
        <w:br w:type="page"/>
      </w:r>
    </w:p>
    <w:p w14:paraId="030B121D" w14:textId="77777777" w:rsidR="0052784E" w:rsidRDefault="00802FB7">
      <w:pPr>
        <w:pStyle w:val="Heading1"/>
      </w:pPr>
      <w:bookmarkStart w:id="13" w:name="_heading=h.sot0fxvuhovz" w:colFirst="0" w:colLast="0"/>
      <w:bookmarkEnd w:id="13"/>
      <w:r>
        <w:lastRenderedPageBreak/>
        <w:t xml:space="preserve">Reference list </w:t>
      </w:r>
    </w:p>
    <w:p w14:paraId="5AC29436"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Ltd (2023). Talent and Resources </w:t>
      </w:r>
      <w:r>
        <w:rPr>
          <w:rFonts w:ascii="Times New Roman" w:eastAsia="Times New Roman" w:hAnsi="Times New Roman" w:cs="Times New Roman"/>
          <w:i/>
          <w:iCs/>
          <w:sz w:val="24"/>
          <w:szCs w:val="24"/>
        </w:rPr>
        <w:t xml:space="preserve">[Online]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sz w:val="24"/>
            <w:szCs w:val="24"/>
            <w:u w:val="single"/>
          </w:rPr>
          <w:t>https://learninglegacy.crossrail.co.uk/learning-legacy-themes/talent-and-resources/?utm_source=copilot.com</w:t>
        </w:r>
      </w:hyperlink>
      <w:r>
        <w:rPr>
          <w:rFonts w:ascii="Times New Roman" w:eastAsia="Times New Roman" w:hAnsi="Times New Roman" w:cs="Times New Roman"/>
          <w:sz w:val="24"/>
          <w:szCs w:val="24"/>
        </w:rPr>
        <w:t xml:space="preserve"> [Accessed On: 18th February, 2026]</w:t>
      </w:r>
    </w:p>
    <w:p w14:paraId="75BCC5DD"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for Transport (2024). Sponsoring a Major Project</w:t>
      </w:r>
      <w:r>
        <w:rPr>
          <w:rFonts w:ascii="Times New Roman" w:eastAsia="Times New Roman" w:hAnsi="Times New Roman" w:cs="Times New Roman"/>
          <w:i/>
          <w:iCs/>
          <w:sz w:val="24"/>
          <w:szCs w:val="24"/>
        </w:rPr>
        <w:t xml:space="preserve"> The </w:t>
      </w:r>
      <w:proofErr w:type="spellStart"/>
      <w:r>
        <w:rPr>
          <w:rFonts w:ascii="Times New Roman" w:eastAsia="Times New Roman" w:hAnsi="Times New Roman" w:cs="Times New Roman"/>
          <w:i/>
          <w:iCs/>
          <w:sz w:val="24"/>
          <w:szCs w:val="24"/>
        </w:rPr>
        <w:t>Crossrail</w:t>
      </w:r>
      <w:proofErr w:type="spellEnd"/>
      <w:r>
        <w:rPr>
          <w:rFonts w:ascii="Times New Roman" w:eastAsia="Times New Roman" w:hAnsi="Times New Roman" w:cs="Times New Roman"/>
          <w:i/>
          <w:iCs/>
          <w:sz w:val="24"/>
          <w:szCs w:val="24"/>
        </w:rPr>
        <w:t xml:space="preserve"> Experience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[Online]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sz w:val="24"/>
            <w:szCs w:val="24"/>
            <w:u w:val="single"/>
          </w:rPr>
          <w:t>https://assets.publishing.service.gov.uk/media/664b0afebd01f5ed32793e3e/crossrail-lessons-learned-report.pdf?utm_source=copilot.com</w:t>
        </w:r>
      </w:hyperlink>
      <w:r>
        <w:rPr>
          <w:rFonts w:ascii="Times New Roman" w:eastAsia="Times New Roman" w:hAnsi="Times New Roman" w:cs="Times New Roman"/>
          <w:sz w:val="24"/>
          <w:szCs w:val="24"/>
        </w:rPr>
        <w:t xml:space="preserve"> [Accessed On: 18th February, 2026]</w:t>
      </w:r>
    </w:p>
    <w:p w14:paraId="65FFB5DB"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Gakis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Salak</w:t>
      </w:r>
      <w:proofErr w:type="spellEnd"/>
      <w:r>
        <w:rPr>
          <w:rFonts w:ascii="Times New Roman" w:eastAsia="Times New Roman" w:hAnsi="Times New Roman" w:cs="Times New Roman"/>
          <w:sz w:val="24"/>
          <w:szCs w:val="24"/>
        </w:rPr>
        <w:t xml:space="preserve">, P. and John, A.S. (2022).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Farringdon Station SCL Tunnels: delivering value through innovation and best practice. </w:t>
      </w:r>
      <w:proofErr w:type="spellStart"/>
      <w:r>
        <w:rPr>
          <w:rFonts w:ascii="Times New Roman" w:eastAsia="Times New Roman" w:hAnsi="Times New Roman" w:cs="Times New Roman"/>
          <w:i/>
          <w:iCs/>
          <w:sz w:val="24"/>
          <w:szCs w:val="24"/>
        </w:rPr>
        <w:t>Crossrail</w:t>
      </w:r>
      <w:proofErr w:type="spellEnd"/>
      <w:r>
        <w:rPr>
          <w:rFonts w:ascii="Times New Roman" w:eastAsia="Times New Roman" w:hAnsi="Times New Roman" w:cs="Times New Roman"/>
          <w:i/>
          <w:iCs/>
          <w:sz w:val="24"/>
          <w:szCs w:val="24"/>
        </w:rPr>
        <w:t xml:space="preserve"> Project</w:t>
      </w:r>
      <w:r>
        <w:rPr>
          <w:rFonts w:ascii="Times New Roman" w:eastAsia="Times New Roman" w:hAnsi="Times New Roman" w:cs="Times New Roman"/>
          <w:sz w:val="24"/>
          <w:szCs w:val="24"/>
        </w:rPr>
        <w:t>, p.263.</w:t>
      </w:r>
    </w:p>
    <w:p w14:paraId="1DF0751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GURBUZ, H. (2023). Overcoming the barriers on rail: a European perspective of long-distance cross-border passenger rail.</w:t>
      </w:r>
    </w:p>
    <w:p w14:paraId="2CC8C7BA"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 of Commons Library (2024). Future transport infrastructure projects and the Elizabeth Line </w:t>
      </w:r>
      <w:r>
        <w:rPr>
          <w:rFonts w:ascii="Times New Roman" w:eastAsia="Times New Roman" w:hAnsi="Times New Roman" w:cs="Times New Roman"/>
          <w:i/>
          <w:iCs/>
          <w:sz w:val="24"/>
          <w:szCs w:val="24"/>
        </w:rPr>
        <w:t xml:space="preserve">[Online] </w:t>
      </w:r>
      <w:r>
        <w:rPr>
          <w:rFonts w:ascii="Times New Roman" w:eastAsia="Times New Roman" w:hAnsi="Times New Roman" w:cs="Times New Roman"/>
          <w:sz w:val="24"/>
          <w:szCs w:val="24"/>
        </w:rPr>
        <w:t xml:space="preserve">Available at: </w:t>
      </w:r>
      <w:hyperlink r:id="rId10">
        <w:r>
          <w:rPr>
            <w:rFonts w:ascii="Times New Roman" w:eastAsia="Times New Roman" w:hAnsi="Times New Roman" w:cs="Times New Roman"/>
            <w:sz w:val="24"/>
            <w:szCs w:val="24"/>
            <w:u w:val="single"/>
          </w:rPr>
          <w:t>https://commonslibrary.parliament.uk/research-briefings/cdp-2024-0146/?utm_source=copilot.com</w:t>
        </w:r>
      </w:hyperlink>
      <w:r>
        <w:rPr>
          <w:rFonts w:ascii="Times New Roman" w:eastAsia="Times New Roman" w:hAnsi="Times New Roman" w:cs="Times New Roman"/>
          <w:sz w:val="24"/>
          <w:szCs w:val="24"/>
        </w:rPr>
        <w:t xml:space="preserve"> [Accessed On: 18th February, 2026]</w:t>
      </w:r>
    </w:p>
    <w:p w14:paraId="2DA2F247"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Landis, J.D. (2022). Unfinished </w:t>
      </w:r>
      <w:proofErr w:type="spellStart"/>
      <w:r>
        <w:rPr>
          <w:rFonts w:ascii="Times New Roman" w:eastAsia="Times New Roman" w:hAnsi="Times New Roman" w:cs="Times New Roman"/>
          <w:sz w:val="24"/>
          <w:szCs w:val="24"/>
        </w:rPr>
        <w:t>business-london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crossrail</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i/>
          <w:iCs/>
          <w:sz w:val="24"/>
          <w:szCs w:val="24"/>
        </w:rPr>
        <w:t>Megaprojects</w:t>
      </w:r>
      <w:proofErr w:type="spellEnd"/>
      <w:r>
        <w:rPr>
          <w:rFonts w:ascii="Times New Roman" w:eastAsia="Times New Roman" w:hAnsi="Times New Roman" w:cs="Times New Roman"/>
          <w:i/>
          <w:iCs/>
          <w:sz w:val="24"/>
          <w:szCs w:val="24"/>
        </w:rPr>
        <w:t xml:space="preserve"> for Megacities</w:t>
      </w:r>
      <w:r>
        <w:rPr>
          <w:rFonts w:ascii="Times New Roman" w:eastAsia="Times New Roman" w:hAnsi="Times New Roman" w:cs="Times New Roman"/>
          <w:sz w:val="24"/>
          <w:szCs w:val="24"/>
        </w:rPr>
        <w:t xml:space="preserve"> (pp. 133-165). Edward Elgar Publishing.</w:t>
      </w:r>
    </w:p>
    <w:p w14:paraId="5F35611D"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Nasri</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Nurman</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Azwirman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Zainal</w:t>
      </w:r>
      <w:proofErr w:type="spellEnd"/>
      <w:r>
        <w:rPr>
          <w:rFonts w:ascii="Times New Roman" w:eastAsia="Times New Roman" w:hAnsi="Times New Roman" w:cs="Times New Roman"/>
          <w:sz w:val="24"/>
          <w:szCs w:val="24"/>
        </w:rPr>
        <w:t xml:space="preserve">, Z. and </w:t>
      </w:r>
      <w:proofErr w:type="spellStart"/>
      <w:r>
        <w:rPr>
          <w:rFonts w:ascii="Times New Roman" w:eastAsia="Times New Roman" w:hAnsi="Times New Roman" w:cs="Times New Roman"/>
          <w:sz w:val="24"/>
          <w:szCs w:val="24"/>
        </w:rPr>
        <w:t>Riauan</w:t>
      </w:r>
      <w:proofErr w:type="spellEnd"/>
      <w:r>
        <w:rPr>
          <w:rFonts w:ascii="Times New Roman" w:eastAsia="Times New Roman" w:hAnsi="Times New Roman" w:cs="Times New Roman"/>
          <w:sz w:val="24"/>
          <w:szCs w:val="24"/>
        </w:rPr>
        <w:t xml:space="preserve">, I. (2022). Implementation of collaboration planning and budget performance information for special allocation fund in budget planning in the regional development planning agency of </w:t>
      </w:r>
      <w:proofErr w:type="spellStart"/>
      <w:r>
        <w:rPr>
          <w:rFonts w:ascii="Times New Roman" w:eastAsia="Times New Roman" w:hAnsi="Times New Roman" w:cs="Times New Roman"/>
          <w:sz w:val="24"/>
          <w:szCs w:val="24"/>
        </w:rPr>
        <w:t>Rokan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Hilir</w:t>
      </w:r>
      <w:proofErr w:type="spellEnd"/>
      <w:r>
        <w:rPr>
          <w:rFonts w:ascii="Times New Roman" w:eastAsia="Times New Roman" w:hAnsi="Times New Roman" w:cs="Times New Roman"/>
          <w:sz w:val="24"/>
          <w:szCs w:val="24"/>
        </w:rPr>
        <w:t xml:space="preserve"> regency. </w:t>
      </w:r>
      <w:r>
        <w:rPr>
          <w:rFonts w:ascii="Times New Roman" w:eastAsia="Times New Roman" w:hAnsi="Times New Roman" w:cs="Times New Roman"/>
          <w:i/>
          <w:iCs/>
          <w:sz w:val="24"/>
          <w:szCs w:val="24"/>
        </w:rPr>
        <w:t>International Journal of Health Sciences (IJHS) Ecuador</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(S4), pp.639-651.</w:t>
      </w:r>
    </w:p>
    <w:p w14:paraId="1DDB6EC7" w14:textId="77777777" w:rsidR="0052784E" w:rsidRDefault="00802FB7">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Sanusi</w:t>
      </w:r>
      <w:proofErr w:type="spellEnd"/>
      <w:r>
        <w:rPr>
          <w:rFonts w:ascii="Times New Roman" w:eastAsia="Times New Roman" w:hAnsi="Times New Roman" w:cs="Times New Roman"/>
          <w:sz w:val="24"/>
          <w:szCs w:val="24"/>
        </w:rPr>
        <w:t xml:space="preserve">, B.O. (2024). The role of data-driven decision-making in reducing project delays and cost overruns in civil engineering projects. </w:t>
      </w:r>
      <w:proofErr w:type="spellStart"/>
      <w:r>
        <w:rPr>
          <w:rFonts w:ascii="Times New Roman" w:eastAsia="Times New Roman" w:hAnsi="Times New Roman" w:cs="Times New Roman"/>
          <w:i/>
          <w:iCs/>
          <w:sz w:val="24"/>
          <w:szCs w:val="24"/>
        </w:rPr>
        <w:t>SAMRIDDHI</w:t>
      </w:r>
      <w:proofErr w:type="spellEnd"/>
      <w:r>
        <w:rPr>
          <w:rFonts w:ascii="Times New Roman" w:eastAsia="Times New Roman" w:hAnsi="Times New Roman" w:cs="Times New Roman"/>
          <w:i/>
          <w:iCs/>
          <w:sz w:val="24"/>
          <w:szCs w:val="24"/>
        </w:rPr>
        <w:t>: A Journal of Physical Sciences, Engineering and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(04), pp.182-192.</w:t>
      </w:r>
    </w:p>
    <w:p w14:paraId="06358896"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Stewart, E. and Connolly, C. (2024), April. UK public sector fiscal reporting: clear and contradictory. In </w:t>
      </w:r>
      <w:r>
        <w:rPr>
          <w:rFonts w:ascii="Times New Roman" w:eastAsia="Times New Roman" w:hAnsi="Times New Roman" w:cs="Times New Roman"/>
          <w:i/>
          <w:iCs/>
          <w:sz w:val="24"/>
          <w:szCs w:val="24"/>
        </w:rPr>
        <w:t>Accounting Forum</w:t>
      </w:r>
      <w:r>
        <w:rPr>
          <w:rFonts w:ascii="Times New Roman" w:eastAsia="Times New Roman" w:hAnsi="Times New Roman" w:cs="Times New Roman"/>
          <w:sz w:val="24"/>
          <w:szCs w:val="24"/>
        </w:rPr>
        <w:t xml:space="preserve"> (Vol. 48, No. 2, pp. 331-355). </w:t>
      </w:r>
      <w:proofErr w:type="spellStart"/>
      <w:r>
        <w:rPr>
          <w:rFonts w:ascii="Times New Roman" w:eastAsia="Times New Roman" w:hAnsi="Times New Roman" w:cs="Times New Roman"/>
          <w:sz w:val="24"/>
          <w:szCs w:val="24"/>
        </w:rPr>
        <w:t>Routledge</w:t>
      </w:r>
      <w:proofErr w:type="spellEnd"/>
      <w:r>
        <w:rPr>
          <w:rFonts w:ascii="Times New Roman" w:eastAsia="Times New Roman" w:hAnsi="Times New Roman" w:cs="Times New Roman"/>
          <w:sz w:val="24"/>
          <w:szCs w:val="24"/>
        </w:rPr>
        <w:t>.</w:t>
      </w:r>
    </w:p>
    <w:p w14:paraId="4EC5901F" w14:textId="77777777" w:rsidR="0052784E" w:rsidRDefault="00802FB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for London (2022). Elizabeth line: evidencing the value Benefits framework</w:t>
      </w:r>
      <w:r>
        <w:rPr>
          <w:rFonts w:ascii="Times New Roman" w:eastAsia="Times New Roman" w:hAnsi="Times New Roman" w:cs="Times New Roman"/>
          <w:i/>
          <w:iCs/>
          <w:sz w:val="24"/>
          <w:szCs w:val="24"/>
        </w:rPr>
        <w:t xml:space="preserve"> [Online]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sz w:val="24"/>
            <w:szCs w:val="24"/>
            <w:u w:val="single"/>
          </w:rPr>
          <w:t>https://content.tfl.gov.uk/tfl-elizabeth-line-benefits-framework.pdf?utm_source=copilot.com</w:t>
        </w:r>
      </w:hyperlink>
      <w:r>
        <w:rPr>
          <w:rFonts w:ascii="Times New Roman" w:eastAsia="Times New Roman" w:hAnsi="Times New Roman" w:cs="Times New Roman"/>
          <w:sz w:val="24"/>
          <w:szCs w:val="24"/>
        </w:rPr>
        <w:t xml:space="preserve"> [Accessed On: 18th February, 2026]</w:t>
      </w:r>
    </w:p>
    <w:sectPr w:rsidR="0052784E">
      <w:footerReference w:type="defaul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CBCA4" w14:textId="77777777" w:rsidR="00802FB7" w:rsidRDefault="00802FB7">
      <w:pPr>
        <w:spacing w:line="240" w:lineRule="auto"/>
      </w:pPr>
      <w:r>
        <w:separator/>
      </w:r>
    </w:p>
  </w:endnote>
  <w:endnote w:type="continuationSeparator" w:id="0">
    <w:p w14:paraId="32F738EE" w14:textId="77777777" w:rsidR="00802FB7" w:rsidRDefault="00802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A31CD" w14:textId="77777777" w:rsidR="0052784E" w:rsidRDefault="00802FB7">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C133F">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13F585FA" w14:textId="77777777" w:rsidR="0052784E" w:rsidRDefault="0052784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A79A0" w14:textId="77777777" w:rsidR="00802FB7" w:rsidRDefault="00802FB7">
      <w:pPr>
        <w:spacing w:line="240" w:lineRule="auto"/>
      </w:pPr>
      <w:r>
        <w:separator/>
      </w:r>
    </w:p>
  </w:footnote>
  <w:footnote w:type="continuationSeparator" w:id="0">
    <w:p w14:paraId="3BD188F9" w14:textId="77777777" w:rsidR="00802FB7" w:rsidRDefault="00802F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B2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36340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3670784">
    <w:abstractNumId w:val="1"/>
  </w:num>
  <w:num w:numId="2" w16cid:durableId="548885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84E"/>
    <w:rsid w:val="000555AE"/>
    <w:rsid w:val="00185647"/>
    <w:rsid w:val="002C133F"/>
    <w:rsid w:val="003550AE"/>
    <w:rsid w:val="0052784E"/>
    <w:rsid w:val="00581454"/>
    <w:rsid w:val="00802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03E9AB"/>
  <w15:docId w15:val="{6D9A8E02-40AF-A245-A639-79E7E869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200" w:after="200"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paragraph" w:styleId="TOCHeading">
    <w:name w:val="TOC Heading"/>
    <w:basedOn w:val="Heading1"/>
    <w:next w:val="Normal"/>
    <w:uiPriority w:val="39"/>
    <w:unhideWhenUsed/>
    <w:qFormat/>
    <w:rsid w:val="0062571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25719"/>
    <w:pPr>
      <w:spacing w:after="100"/>
    </w:pPr>
  </w:style>
  <w:style w:type="paragraph" w:styleId="TOC2">
    <w:name w:val="toc 2"/>
    <w:basedOn w:val="Normal"/>
    <w:next w:val="Normal"/>
    <w:autoRedefine/>
    <w:uiPriority w:val="39"/>
    <w:unhideWhenUsed/>
    <w:rsid w:val="00625719"/>
    <w:pPr>
      <w:spacing w:after="100"/>
      <w:ind w:left="220"/>
    </w:pPr>
  </w:style>
  <w:style w:type="paragraph" w:styleId="TOC3">
    <w:name w:val="toc 3"/>
    <w:basedOn w:val="Normal"/>
    <w:next w:val="Normal"/>
    <w:autoRedefine/>
    <w:uiPriority w:val="39"/>
    <w:unhideWhenUsed/>
    <w:rsid w:val="00625719"/>
    <w:pPr>
      <w:spacing w:after="100"/>
      <w:ind w:left="440"/>
    </w:pPr>
  </w:style>
  <w:style w:type="character" w:styleId="Hyperlink">
    <w:name w:val="Hyperlink"/>
    <w:basedOn w:val="DefaultParagraphFont"/>
    <w:uiPriority w:val="99"/>
    <w:unhideWhenUsed/>
    <w:rsid w:val="00625719"/>
    <w:rPr>
      <w:color w:val="0000FF" w:themeColor="hyperlink"/>
      <w:u w:val="single"/>
    </w:rPr>
  </w:style>
  <w:style w:type="paragraph" w:styleId="Header">
    <w:name w:val="header"/>
    <w:basedOn w:val="Normal"/>
    <w:link w:val="HeaderChar"/>
    <w:uiPriority w:val="99"/>
    <w:unhideWhenUsed/>
    <w:rsid w:val="00625719"/>
    <w:pPr>
      <w:tabs>
        <w:tab w:val="center" w:pos="4513"/>
        <w:tab w:val="right" w:pos="9026"/>
      </w:tabs>
      <w:spacing w:line="240" w:lineRule="auto"/>
    </w:pPr>
  </w:style>
  <w:style w:type="character" w:customStyle="1" w:styleId="HeaderChar">
    <w:name w:val="Header Char"/>
    <w:basedOn w:val="DefaultParagraphFont"/>
    <w:link w:val="Header"/>
    <w:uiPriority w:val="99"/>
    <w:rsid w:val="00625719"/>
  </w:style>
  <w:style w:type="paragraph" w:styleId="Footer">
    <w:name w:val="footer"/>
    <w:basedOn w:val="Normal"/>
    <w:link w:val="FooterChar"/>
    <w:uiPriority w:val="99"/>
    <w:unhideWhenUsed/>
    <w:rsid w:val="00625719"/>
    <w:pPr>
      <w:tabs>
        <w:tab w:val="center" w:pos="4513"/>
        <w:tab w:val="right" w:pos="9026"/>
      </w:tabs>
      <w:spacing w:line="240" w:lineRule="auto"/>
    </w:pPr>
  </w:style>
  <w:style w:type="character" w:customStyle="1" w:styleId="FooterChar">
    <w:name w:val="Footer Char"/>
    <w:basedOn w:val="DefaultParagraphFont"/>
    <w:link w:val="Footer"/>
    <w:uiPriority w:val="99"/>
    <w:rsid w:val="00625719"/>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earninglegacy.crossrail.co.uk/learning-legacy-themes/talent-and-resources/?utm_source=copilo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tfl.gov.uk/tfl-elizabeth-line-benefits-framework.pdf?utm_source=copilot.com" TargetMode="External"/><Relationship Id="rId5" Type="http://schemas.openxmlformats.org/officeDocument/2006/relationships/webSettings" Target="webSettings.xml"/><Relationship Id="rId10" Type="http://schemas.openxmlformats.org/officeDocument/2006/relationships/hyperlink" Target="https://commonslibrary.parliament.uk/research-briefings/cdp-2024-0146/?utm_source=copilot.com" TargetMode="External"/><Relationship Id="rId4" Type="http://schemas.openxmlformats.org/officeDocument/2006/relationships/settings" Target="settings.xml"/><Relationship Id="rId9" Type="http://schemas.openxmlformats.org/officeDocument/2006/relationships/hyperlink" Target="https://assets.publishing.service.gov.uk/media/664b0afebd01f5ed32793e3e/crossrail-lessons-learned-report.pdf?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kit2XUcD2A/RI3iyjM6xBIS7+A==">CgMxLjAyDmguZnJnb2Myb21jb3hoMg5oLm5rODBmNzVqZTJ6MzIOaC5qZGczMHF5cXFibHYyDmguM2p3NzJhdnl4NWdnMg5oLjltdnppMzh1eXp3MTIOaC5zY21pN3RicnF1eXkyDmgubWdnaGZhYXpjcnAyMg5oLmhxdWNnNjJ2ZzVyMTIOaC5ldjNmY3ZzaWVuczgyDmguc2FudDEwbWFldXhpMg5oLnhrYjV6d2hycjk3czIOaC52cnM2eTZweXRrZngyDmgubW9mbGFqcHBwd3d4Mg5oLnNvdDBmeHZ1aG92ejgAciExd1lEQzhZM2kwVkZaSmYyb3RQcmNWUzZJTjNHN3Z2W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2795</Words>
  <Characters>15934</Characters>
  <Application>Microsoft Office Word</Application>
  <DocSecurity>0</DocSecurity>
  <Lines>132</Lines>
  <Paragraphs>37</Paragraphs>
  <ScaleCrop>false</ScaleCrop>
  <Company/>
  <LinksUpToDate>false</LinksUpToDate>
  <CharactersWithSpaces>18692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USER</dc:creator>
  <cp:lastModifiedBy>Florentina Cosma (2213581)</cp:lastModifiedBy>
  <cp:revision>2</cp:revision>
  <dcterms:created xsi:type="dcterms:W3CDTF">2026-02-26T21:58:00Z</dcterms:created>
  <dcterms:modified xsi:type="dcterms:W3CDTF">2026-02-26T21:58:00Z</dcterms:modified>
</cp:coreProperties>
</file>