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EE3009" w14:textId="30856054" w:rsidR="00537FD2" w:rsidRDefault="000547DF" w:rsidP="000547DF">
      <w:pPr>
        <w:pStyle w:val="Title"/>
        <w:jc w:val="center"/>
      </w:pPr>
      <w:r w:rsidRPr="000547DF">
        <w:t>Strategic Management and Sustainability: British Petrolium (BP) Plc</w:t>
      </w:r>
    </w:p>
    <w:p w14:paraId="5138012A" w14:textId="77777777" w:rsidR="000547DF" w:rsidRDefault="000547DF" w:rsidP="000547DF"/>
    <w:p w14:paraId="1DA8B5F3" w14:textId="6C58FD3F" w:rsidR="000547DF" w:rsidRDefault="000547DF" w:rsidP="000547DF">
      <w:pPr>
        <w:jc w:val="center"/>
      </w:pPr>
      <w:r>
        <w:rPr>
          <w:rFonts w:cs="Times New Roman"/>
          <w:noProof/>
        </w:rPr>
        <w:drawing>
          <wp:inline distT="0" distB="0" distL="0" distR="0" wp14:anchorId="2CF84F27" wp14:editId="566519F1">
            <wp:extent cx="4857750" cy="1391932"/>
            <wp:effectExtent l="228600" t="228600" r="228600" b="227330"/>
            <wp:docPr id="1490455729" name="Picture 14904557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869776" cy="1395378"/>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7AD10A0C" w14:textId="28B182F9" w:rsidR="000547DF" w:rsidRDefault="000547DF" w:rsidP="000547DF">
      <w:pPr>
        <w:rPr>
          <w:rFonts w:ascii="Times New Roman" w:hAnsi="Times New Roman" w:cs="Times New Roman"/>
          <w:b/>
          <w:bCs/>
          <w:sz w:val="50"/>
          <w:szCs w:val="50"/>
        </w:rPr>
      </w:pPr>
      <w:r w:rsidRPr="00336BC7">
        <w:rPr>
          <w:rFonts w:ascii="Times New Roman" w:hAnsi="Times New Roman" w:cs="Times New Roman"/>
          <w:b/>
          <w:bCs/>
          <w:sz w:val="50"/>
          <w:szCs w:val="50"/>
        </w:rPr>
        <w:t>Student name: Ivan Stoyanov (ID:2111872)</w:t>
      </w:r>
      <w:r w:rsidR="00D85641">
        <w:rPr>
          <w:rFonts w:ascii="Times New Roman" w:hAnsi="Times New Roman" w:cs="Times New Roman"/>
          <w:b/>
          <w:bCs/>
          <w:sz w:val="50"/>
          <w:szCs w:val="50"/>
        </w:rPr>
        <w:t xml:space="preserve"> </w:t>
      </w:r>
    </w:p>
    <w:p w14:paraId="6A1229DE" w14:textId="3612A5B9" w:rsidR="00D85641" w:rsidRPr="00336BC7" w:rsidRDefault="00D85641" w:rsidP="000547DF">
      <w:pPr>
        <w:rPr>
          <w:rFonts w:ascii="Times New Roman" w:hAnsi="Times New Roman" w:cs="Times New Roman"/>
          <w:b/>
          <w:bCs/>
          <w:sz w:val="50"/>
          <w:szCs w:val="50"/>
        </w:rPr>
      </w:pPr>
      <w:r>
        <w:rPr>
          <w:rFonts w:ascii="Times New Roman" w:hAnsi="Times New Roman" w:cs="Times New Roman"/>
          <w:b/>
          <w:bCs/>
          <w:sz w:val="50"/>
          <w:szCs w:val="50"/>
        </w:rPr>
        <w:t xml:space="preserve">Assignment </w:t>
      </w:r>
      <w:proofErr w:type="gramStart"/>
      <w:r>
        <w:rPr>
          <w:rFonts w:ascii="Times New Roman" w:hAnsi="Times New Roman" w:cs="Times New Roman"/>
          <w:b/>
          <w:bCs/>
          <w:sz w:val="50"/>
          <w:szCs w:val="50"/>
        </w:rPr>
        <w:t>1 :</w:t>
      </w:r>
      <w:proofErr w:type="gramEnd"/>
      <w:r>
        <w:rPr>
          <w:rFonts w:ascii="Times New Roman" w:hAnsi="Times New Roman" w:cs="Times New Roman"/>
          <w:b/>
          <w:bCs/>
          <w:sz w:val="50"/>
          <w:szCs w:val="50"/>
        </w:rPr>
        <w:t xml:space="preserve"> Written report on </w:t>
      </w:r>
      <w:r w:rsidR="00D33E36">
        <w:rPr>
          <w:rFonts w:ascii="Times New Roman" w:hAnsi="Times New Roman" w:cs="Times New Roman"/>
          <w:b/>
          <w:bCs/>
          <w:sz w:val="50"/>
          <w:szCs w:val="50"/>
        </w:rPr>
        <w:t xml:space="preserve">British </w:t>
      </w:r>
      <w:proofErr w:type="spellStart"/>
      <w:r w:rsidR="00D33E36">
        <w:rPr>
          <w:rFonts w:ascii="Times New Roman" w:hAnsi="Times New Roman" w:cs="Times New Roman"/>
          <w:b/>
          <w:bCs/>
          <w:sz w:val="50"/>
          <w:szCs w:val="50"/>
        </w:rPr>
        <w:t>Petrolium</w:t>
      </w:r>
      <w:proofErr w:type="spellEnd"/>
      <w:r w:rsidR="00D33E36">
        <w:rPr>
          <w:rFonts w:ascii="Times New Roman" w:hAnsi="Times New Roman" w:cs="Times New Roman"/>
          <w:b/>
          <w:bCs/>
          <w:sz w:val="50"/>
          <w:szCs w:val="50"/>
        </w:rPr>
        <w:t xml:space="preserve"> PLC</w:t>
      </w:r>
    </w:p>
    <w:p w14:paraId="1A2DF993" w14:textId="77777777" w:rsidR="000547DF" w:rsidRPr="00D85641" w:rsidRDefault="000547DF">
      <w:pPr>
        <w:rPr>
          <w:rFonts w:ascii="Times New Roman" w:hAnsi="Times New Roman" w:cs="Times New Roman"/>
          <w:sz w:val="40"/>
          <w:szCs w:val="40"/>
        </w:rPr>
      </w:pPr>
      <w:r>
        <w:br w:type="page"/>
      </w:r>
    </w:p>
    <w:sdt>
      <w:sdtPr>
        <w:rPr>
          <w:rFonts w:asciiTheme="minorHAnsi" w:eastAsiaTheme="minorEastAsia" w:hAnsiTheme="minorHAnsi" w:cstheme="minorBidi"/>
          <w:b w:val="0"/>
          <w:bCs w:val="0"/>
          <w:smallCaps w:val="0"/>
          <w:color w:val="auto"/>
          <w:sz w:val="22"/>
          <w:szCs w:val="22"/>
        </w:rPr>
        <w:id w:val="-273557391"/>
        <w:docPartObj>
          <w:docPartGallery w:val="Table of Contents"/>
          <w:docPartUnique/>
        </w:docPartObj>
      </w:sdtPr>
      <w:sdtEndPr/>
      <w:sdtContent>
        <w:p w14:paraId="7EDBDA6D" w14:textId="654DE1B9" w:rsidR="000547DF" w:rsidRPr="002257D4" w:rsidRDefault="000547DF" w:rsidP="002257D4">
          <w:pPr>
            <w:pStyle w:val="TOCHeading"/>
            <w:numPr>
              <w:ilvl w:val="0"/>
              <w:numId w:val="0"/>
            </w:numPr>
            <w:ind w:left="2694"/>
            <w:rPr>
              <w:sz w:val="40"/>
              <w:szCs w:val="40"/>
            </w:rPr>
          </w:pPr>
          <w:r>
            <w:t>Table of Contents</w:t>
          </w:r>
        </w:p>
        <w:p w14:paraId="535789D2" w14:textId="027229FA" w:rsidR="000547DF" w:rsidRPr="002257D4" w:rsidRDefault="000547DF">
          <w:pPr>
            <w:pStyle w:val="TOC1"/>
            <w:rPr>
              <w:b/>
              <w:bCs/>
              <w:sz w:val="40"/>
              <w:szCs w:val="40"/>
            </w:rPr>
          </w:pPr>
          <w:r w:rsidRPr="002257D4">
            <w:rPr>
              <w:b/>
              <w:bCs/>
              <w:sz w:val="40"/>
              <w:szCs w:val="40"/>
            </w:rPr>
            <w:t>1.Introduction</w:t>
          </w:r>
          <w:r w:rsidRPr="002257D4">
            <w:rPr>
              <w:b/>
              <w:bCs/>
              <w:sz w:val="40"/>
              <w:szCs w:val="40"/>
            </w:rPr>
            <w:ptab w:relativeTo="margin" w:alignment="right" w:leader="dot"/>
          </w:r>
          <w:r w:rsidR="00207C57" w:rsidRPr="002257D4">
            <w:rPr>
              <w:b/>
              <w:bCs/>
              <w:sz w:val="40"/>
              <w:szCs w:val="40"/>
            </w:rPr>
            <w:t>3,4</w:t>
          </w:r>
        </w:p>
        <w:p w14:paraId="604F31CD" w14:textId="741AFCEB" w:rsidR="000547DF" w:rsidRPr="002257D4" w:rsidRDefault="000547DF" w:rsidP="000547DF">
          <w:pPr>
            <w:pStyle w:val="TOC2"/>
            <w:ind w:left="0"/>
            <w:rPr>
              <w:b/>
              <w:bCs/>
              <w:sz w:val="40"/>
              <w:szCs w:val="40"/>
            </w:rPr>
          </w:pPr>
          <w:r w:rsidRPr="002257D4">
            <w:rPr>
              <w:b/>
              <w:bCs/>
              <w:sz w:val="40"/>
              <w:szCs w:val="40"/>
            </w:rPr>
            <w:t xml:space="preserve">2.Company Background </w:t>
          </w:r>
          <w:r w:rsidRPr="002257D4">
            <w:rPr>
              <w:b/>
              <w:bCs/>
              <w:sz w:val="40"/>
              <w:szCs w:val="40"/>
            </w:rPr>
            <w:ptab w:relativeTo="margin" w:alignment="right" w:leader="dot"/>
          </w:r>
          <w:r w:rsidR="001F51F9" w:rsidRPr="002257D4">
            <w:rPr>
              <w:b/>
              <w:bCs/>
              <w:sz w:val="40"/>
              <w:szCs w:val="40"/>
            </w:rPr>
            <w:t>4,5</w:t>
          </w:r>
        </w:p>
        <w:p w14:paraId="5936709E" w14:textId="6E8F9785" w:rsidR="000547DF" w:rsidRPr="002257D4" w:rsidRDefault="001F51F9" w:rsidP="001F51F9">
          <w:pPr>
            <w:pStyle w:val="TOC3"/>
            <w:rPr>
              <w:b/>
              <w:bCs/>
            </w:rPr>
          </w:pPr>
          <w:r w:rsidRPr="002257D4">
            <w:rPr>
              <w:b/>
              <w:bCs/>
            </w:rPr>
            <w:t>3.Discussion</w:t>
          </w:r>
          <w:r w:rsidR="000547DF" w:rsidRPr="002257D4">
            <w:rPr>
              <w:b/>
              <w:bCs/>
            </w:rPr>
            <w:ptab w:relativeTo="margin" w:alignment="right" w:leader="dot"/>
          </w:r>
          <w:r w:rsidRPr="002257D4">
            <w:rPr>
              <w:b/>
              <w:bCs/>
            </w:rPr>
            <w:t>5</w:t>
          </w:r>
        </w:p>
        <w:p w14:paraId="188B53DD" w14:textId="3CDE294D" w:rsidR="000547DF" w:rsidRPr="002257D4" w:rsidRDefault="001F51F9">
          <w:pPr>
            <w:pStyle w:val="TOC1"/>
            <w:rPr>
              <w:b/>
              <w:bCs/>
              <w:sz w:val="40"/>
              <w:szCs w:val="40"/>
            </w:rPr>
          </w:pPr>
          <w:r w:rsidRPr="002257D4">
            <w:rPr>
              <w:b/>
              <w:bCs/>
              <w:sz w:val="40"/>
              <w:szCs w:val="40"/>
            </w:rPr>
            <w:t xml:space="preserve">3.1 Identifying key business and Corporate Strategies </w:t>
          </w:r>
          <w:r w:rsidR="000547DF" w:rsidRPr="002257D4">
            <w:rPr>
              <w:b/>
              <w:bCs/>
              <w:sz w:val="40"/>
              <w:szCs w:val="40"/>
            </w:rPr>
            <w:ptab w:relativeTo="margin" w:alignment="right" w:leader="dot"/>
          </w:r>
          <w:r w:rsidRPr="002257D4">
            <w:rPr>
              <w:b/>
              <w:bCs/>
              <w:sz w:val="40"/>
              <w:szCs w:val="40"/>
            </w:rPr>
            <w:t>5,6,</w:t>
          </w:r>
          <w:proofErr w:type="gramStart"/>
          <w:r w:rsidRPr="002257D4">
            <w:rPr>
              <w:b/>
              <w:bCs/>
              <w:sz w:val="40"/>
              <w:szCs w:val="40"/>
            </w:rPr>
            <w:t>7</w:t>
          </w:r>
          <w:proofErr w:type="gramEnd"/>
        </w:p>
        <w:p w14:paraId="341CFF6E" w14:textId="56E3A351" w:rsidR="000547DF" w:rsidRPr="002257D4" w:rsidRDefault="00874F7D">
          <w:pPr>
            <w:pStyle w:val="TOC2"/>
            <w:ind w:left="216"/>
            <w:rPr>
              <w:b/>
              <w:bCs/>
              <w:sz w:val="40"/>
              <w:szCs w:val="40"/>
            </w:rPr>
          </w:pPr>
          <w:r w:rsidRPr="002257D4">
            <w:rPr>
              <w:b/>
              <w:bCs/>
              <w:sz w:val="40"/>
              <w:szCs w:val="40"/>
            </w:rPr>
            <w:t xml:space="preserve">3.2 Analyzing Resources and Capabilities </w:t>
          </w:r>
          <w:r w:rsidR="000547DF" w:rsidRPr="002257D4">
            <w:rPr>
              <w:b/>
              <w:bCs/>
              <w:sz w:val="40"/>
              <w:szCs w:val="40"/>
            </w:rPr>
            <w:ptab w:relativeTo="margin" w:alignment="right" w:leader="dot"/>
          </w:r>
          <w:r w:rsidRPr="002257D4">
            <w:rPr>
              <w:b/>
              <w:bCs/>
              <w:sz w:val="40"/>
              <w:szCs w:val="40"/>
            </w:rPr>
            <w:t>8,9,10,</w:t>
          </w:r>
          <w:proofErr w:type="gramStart"/>
          <w:r w:rsidRPr="002257D4">
            <w:rPr>
              <w:b/>
              <w:bCs/>
              <w:sz w:val="40"/>
              <w:szCs w:val="40"/>
            </w:rPr>
            <w:t>11</w:t>
          </w:r>
          <w:proofErr w:type="gramEnd"/>
        </w:p>
        <w:p w14:paraId="224991FB" w14:textId="29B6AC4F" w:rsidR="00874F7D" w:rsidRPr="002257D4" w:rsidRDefault="00874F7D" w:rsidP="002257D4">
          <w:pPr>
            <w:pStyle w:val="TOC3"/>
            <w:rPr>
              <w:b/>
              <w:bCs/>
            </w:rPr>
          </w:pPr>
          <w:r w:rsidRPr="002257D4">
            <w:rPr>
              <w:b/>
              <w:bCs/>
            </w:rPr>
            <w:t xml:space="preserve">3.3 Evaluating Strategy in Action </w:t>
          </w:r>
          <w:r w:rsidR="000547DF" w:rsidRPr="002257D4">
            <w:rPr>
              <w:b/>
              <w:bCs/>
            </w:rPr>
            <w:ptab w:relativeTo="margin" w:alignment="right" w:leader="dot"/>
          </w:r>
          <w:r w:rsidRPr="002257D4">
            <w:rPr>
              <w:b/>
              <w:bCs/>
            </w:rPr>
            <w:t>11,12,</w:t>
          </w:r>
          <w:proofErr w:type="gramStart"/>
          <w:r w:rsidRPr="002257D4">
            <w:rPr>
              <w:b/>
              <w:bCs/>
            </w:rPr>
            <w:t>13</w:t>
          </w:r>
          <w:proofErr w:type="gramEnd"/>
        </w:p>
        <w:p w14:paraId="46E8ECA8" w14:textId="77777777" w:rsidR="002257D4" w:rsidRPr="002257D4" w:rsidRDefault="002257D4" w:rsidP="00874F7D">
          <w:pPr>
            <w:rPr>
              <w:b/>
              <w:bCs/>
              <w:sz w:val="40"/>
              <w:szCs w:val="40"/>
            </w:rPr>
          </w:pPr>
          <w:r w:rsidRPr="002257D4">
            <w:rPr>
              <w:b/>
              <w:bCs/>
              <w:sz w:val="40"/>
              <w:szCs w:val="40"/>
            </w:rPr>
            <w:t>3.4 Evaluating Sustainability Efforts …………………. 13,14,15</w:t>
          </w:r>
        </w:p>
        <w:p w14:paraId="60AA022C" w14:textId="77777777" w:rsidR="002257D4" w:rsidRDefault="002257D4" w:rsidP="00874F7D">
          <w:pPr>
            <w:rPr>
              <w:b/>
              <w:bCs/>
              <w:sz w:val="40"/>
              <w:szCs w:val="40"/>
              <w:lang w:val="en-US"/>
            </w:rPr>
          </w:pPr>
          <w:r>
            <w:rPr>
              <w:b/>
              <w:bCs/>
              <w:sz w:val="40"/>
              <w:szCs w:val="40"/>
              <w:lang w:val="en-US"/>
            </w:rPr>
            <w:t>4. Conclusion ……………………………</w:t>
          </w:r>
          <w:proofErr w:type="gramStart"/>
          <w:r>
            <w:rPr>
              <w:b/>
              <w:bCs/>
              <w:sz w:val="40"/>
              <w:szCs w:val="40"/>
              <w:lang w:val="en-US"/>
            </w:rPr>
            <w:t>…..</w:t>
          </w:r>
          <w:proofErr w:type="gramEnd"/>
          <w:r>
            <w:rPr>
              <w:b/>
              <w:bCs/>
              <w:sz w:val="40"/>
              <w:szCs w:val="40"/>
              <w:lang w:val="en-US"/>
            </w:rPr>
            <w:t xml:space="preserve"> 15</w:t>
          </w:r>
        </w:p>
        <w:p w14:paraId="577FF700" w14:textId="75F51B55" w:rsidR="000547DF" w:rsidRPr="00874F7D" w:rsidRDefault="002257D4" w:rsidP="00874F7D">
          <w:pPr>
            <w:rPr>
              <w:lang w:val="en-US"/>
            </w:rPr>
          </w:pPr>
          <w:r>
            <w:rPr>
              <w:b/>
              <w:bCs/>
              <w:sz w:val="40"/>
              <w:szCs w:val="40"/>
              <w:lang w:val="en-US"/>
            </w:rPr>
            <w:t>5. References …………………………………16,17</w:t>
          </w:r>
        </w:p>
      </w:sdtContent>
    </w:sdt>
    <w:p w14:paraId="178B3D58" w14:textId="77777777" w:rsidR="000547DF" w:rsidRDefault="000547DF" w:rsidP="000547DF">
      <w:pPr>
        <w:jc w:val="center"/>
        <w:rPr>
          <w:sz w:val="40"/>
          <w:szCs w:val="40"/>
        </w:rPr>
      </w:pPr>
    </w:p>
    <w:p w14:paraId="6DD7A41D" w14:textId="59524A83" w:rsidR="000547DF" w:rsidRDefault="000547DF" w:rsidP="000547DF">
      <w:pPr>
        <w:jc w:val="center"/>
        <w:rPr>
          <w:sz w:val="40"/>
          <w:szCs w:val="40"/>
        </w:rPr>
      </w:pPr>
    </w:p>
    <w:p w14:paraId="45016512" w14:textId="77777777" w:rsidR="000547DF" w:rsidRDefault="000547DF">
      <w:pPr>
        <w:rPr>
          <w:sz w:val="40"/>
          <w:szCs w:val="40"/>
        </w:rPr>
      </w:pPr>
      <w:r>
        <w:rPr>
          <w:sz w:val="40"/>
          <w:szCs w:val="40"/>
        </w:rPr>
        <w:br w:type="page"/>
      </w:r>
    </w:p>
    <w:p w14:paraId="647D4BF0" w14:textId="77777777" w:rsidR="000547DF" w:rsidRPr="00207C57" w:rsidRDefault="000547DF" w:rsidP="000547DF">
      <w:pPr>
        <w:rPr>
          <w:b/>
          <w:bCs/>
          <w:sz w:val="40"/>
          <w:szCs w:val="40"/>
        </w:rPr>
      </w:pPr>
      <w:r w:rsidRPr="00207C57">
        <w:rPr>
          <w:b/>
          <w:bCs/>
          <w:sz w:val="40"/>
          <w:szCs w:val="40"/>
        </w:rPr>
        <w:lastRenderedPageBreak/>
        <w:t>1. Introduction</w:t>
      </w:r>
    </w:p>
    <w:p w14:paraId="07F559F5" w14:textId="068FB81C" w:rsidR="00207C57" w:rsidRPr="001F51F9" w:rsidRDefault="00207C57" w:rsidP="00207C57">
      <w:pPr>
        <w:rPr>
          <w:sz w:val="28"/>
          <w:szCs w:val="28"/>
        </w:rPr>
      </w:pPr>
      <w:r w:rsidRPr="001F51F9">
        <w:rPr>
          <w:sz w:val="28"/>
          <w:szCs w:val="28"/>
        </w:rPr>
        <w:t>In today's dynamic and rapidly evolving business environment, strategic management plays a pivotal role in shaping the trajectory of organizations (Rothaermel, 2019). It encompasses the formulation and execution of strategies aimed at achieving organizational goals, sustaining competitive advantages, and navigating complex market landscapes. At the heart of strategic management lies the ability to anticipate and respond effectively to internal and external factors that impact an organization's performance and long-term viability.</w:t>
      </w:r>
    </w:p>
    <w:p w14:paraId="1C62D522" w14:textId="5296B3D5" w:rsidR="00207C57" w:rsidRPr="001F51F9" w:rsidRDefault="00207C57" w:rsidP="00207C57">
      <w:pPr>
        <w:rPr>
          <w:sz w:val="28"/>
          <w:szCs w:val="28"/>
        </w:rPr>
      </w:pPr>
      <w:r w:rsidRPr="001F51F9">
        <w:rPr>
          <w:sz w:val="28"/>
          <w:szCs w:val="28"/>
        </w:rPr>
        <w:t>For multinational corporations like British Petroleum (BP) plc, strategic management is not merely a theoretical concept but a critical imperative for survival and success in the fiercely competitive energy sector (Teece, 2019). As a leading player in the global oil and gas industry, BP operates in a complex ecosystem characterized by fluctuating energy prices, geopolitical tensions, regulatory pressures, and shifting consumer preferences. In such a landscape, the ability to craft and implement robust strategic initiatives is paramount for BP to thrive amidst uncertainty and disruption.</w:t>
      </w:r>
    </w:p>
    <w:p w14:paraId="1697336D" w14:textId="77777777" w:rsidR="00207C57" w:rsidRPr="001F51F9" w:rsidRDefault="00207C57" w:rsidP="00207C57">
      <w:pPr>
        <w:rPr>
          <w:sz w:val="28"/>
          <w:szCs w:val="28"/>
        </w:rPr>
      </w:pPr>
      <w:r w:rsidRPr="001F51F9">
        <w:rPr>
          <w:sz w:val="28"/>
          <w:szCs w:val="28"/>
        </w:rPr>
        <w:t>This report embarks on a comprehensive exploration of BP's strategic management framework, with a specific focus on its business strategies, resource allocation practices, strategy execution mechanisms, and sustainability endeavors (Rothaermel, 2019). By delving into these key dimensions of BP's strategic approach, we aim to unravel the intricacies of its decision-making processes, assess the alignment between strategy and performance, and evaluate the organization's commitment to sustainability and responsible business practices.</w:t>
      </w:r>
    </w:p>
    <w:p w14:paraId="419C874F" w14:textId="77777777" w:rsidR="00207C57" w:rsidRPr="001F51F9" w:rsidRDefault="00207C57" w:rsidP="00207C57">
      <w:pPr>
        <w:rPr>
          <w:sz w:val="28"/>
          <w:szCs w:val="28"/>
        </w:rPr>
      </w:pPr>
    </w:p>
    <w:p w14:paraId="2CFFA9B5" w14:textId="77777777" w:rsidR="00207C57" w:rsidRPr="001F51F9" w:rsidRDefault="00207C57" w:rsidP="00207C57">
      <w:pPr>
        <w:rPr>
          <w:sz w:val="28"/>
          <w:szCs w:val="28"/>
        </w:rPr>
      </w:pPr>
      <w:r w:rsidRPr="001F51F9">
        <w:rPr>
          <w:sz w:val="28"/>
          <w:szCs w:val="28"/>
        </w:rPr>
        <w:t xml:space="preserve">Drawing upon scholarly literature, industry reports, and primary sources, this report seeks to provide a nuanced understanding of BP's strategic posture, shedding light on the interplay between strategic choices, organizational capabilities, market dynamics, and sustainability imperatives (Teece, 2019). Through rigorous analysis and critical evaluation, we endeavor to offer insights into how BP navigates the complexities of the energy landscape, leverages its resources for </w:t>
      </w:r>
      <w:r w:rsidRPr="001F51F9">
        <w:rPr>
          <w:sz w:val="28"/>
          <w:szCs w:val="28"/>
        </w:rPr>
        <w:lastRenderedPageBreak/>
        <w:t>competitive advantage, and embraces sustainability as a cornerstone of its corporate strategy.</w:t>
      </w:r>
    </w:p>
    <w:p w14:paraId="671E4D95" w14:textId="77777777" w:rsidR="00207C57" w:rsidRPr="001F51F9" w:rsidRDefault="00207C57" w:rsidP="00207C57">
      <w:pPr>
        <w:rPr>
          <w:sz w:val="28"/>
          <w:szCs w:val="28"/>
        </w:rPr>
      </w:pPr>
    </w:p>
    <w:p w14:paraId="10933C40" w14:textId="77777777" w:rsidR="00207C57" w:rsidRPr="001F51F9" w:rsidRDefault="00207C57" w:rsidP="00207C57">
      <w:pPr>
        <w:rPr>
          <w:sz w:val="28"/>
          <w:szCs w:val="28"/>
        </w:rPr>
      </w:pPr>
      <w:r w:rsidRPr="001F51F9">
        <w:rPr>
          <w:sz w:val="28"/>
          <w:szCs w:val="28"/>
        </w:rPr>
        <w:t>As we embark on this journey of strategic exploration, it is imperative to recognize the multifaceted nature of strategic management and its profound implications for organizational success and societal impact (Rothaermel, 2019). By examining BP through the lens of strategic management and sustainability, we aim to glean valuable lessons and best practices that can inform strategic decision-making in the energy sector and beyond, contributing to a more resilient, adaptive, and sustainable business ecosystem.</w:t>
      </w:r>
    </w:p>
    <w:p w14:paraId="5176E594" w14:textId="3E48B68B" w:rsidR="000547DF" w:rsidRPr="001F51F9" w:rsidRDefault="00207C57" w:rsidP="001F51F9">
      <w:pPr>
        <w:rPr>
          <w:sz w:val="28"/>
          <w:szCs w:val="28"/>
        </w:rPr>
      </w:pPr>
      <w:r w:rsidRPr="001F51F9">
        <w:rPr>
          <w:sz w:val="28"/>
          <w:szCs w:val="28"/>
        </w:rPr>
        <w:t>In the subsequent sections, we delve deeper into BP's corporate landscape, dissecting its business strategies, evaluating its resource allocation practices, scrutinizing its strategy execution mechanisms, and assessing its sustainability efforts (Teece, 2019). Through this comprehensive analysis, we endeavor to paint a holistic picture of BP's strategic management journey, offering insights, recommendations, and actionable takeaways for organizational leaders, industry stakeholders, and sustainability advocates alike.</w:t>
      </w:r>
    </w:p>
    <w:p w14:paraId="2408B119" w14:textId="77777777" w:rsidR="00207C57" w:rsidRDefault="00207C57" w:rsidP="00207C57">
      <w:pPr>
        <w:rPr>
          <w:sz w:val="32"/>
          <w:szCs w:val="32"/>
        </w:rPr>
      </w:pPr>
    </w:p>
    <w:p w14:paraId="5E60995F" w14:textId="77777777" w:rsidR="001F51F9" w:rsidRDefault="001F51F9" w:rsidP="001F51F9">
      <w:pPr>
        <w:rPr>
          <w:b/>
          <w:bCs/>
          <w:sz w:val="40"/>
          <w:szCs w:val="40"/>
        </w:rPr>
      </w:pPr>
    </w:p>
    <w:p w14:paraId="31255C79" w14:textId="3AE8B577" w:rsidR="001F51F9" w:rsidRPr="001F51F9" w:rsidRDefault="001F51F9" w:rsidP="001F51F9">
      <w:pPr>
        <w:rPr>
          <w:b/>
          <w:bCs/>
          <w:sz w:val="40"/>
          <w:szCs w:val="40"/>
        </w:rPr>
      </w:pPr>
      <w:r w:rsidRPr="001F51F9">
        <w:rPr>
          <w:b/>
          <w:bCs/>
          <w:sz w:val="40"/>
          <w:szCs w:val="40"/>
        </w:rPr>
        <w:t>2.</w:t>
      </w:r>
      <w:r>
        <w:rPr>
          <w:b/>
          <w:bCs/>
          <w:sz w:val="40"/>
          <w:szCs w:val="40"/>
        </w:rPr>
        <w:t xml:space="preserve"> </w:t>
      </w:r>
      <w:r w:rsidRPr="001F51F9">
        <w:rPr>
          <w:b/>
          <w:bCs/>
          <w:sz w:val="40"/>
          <w:szCs w:val="40"/>
        </w:rPr>
        <w:t>Company Background</w:t>
      </w:r>
    </w:p>
    <w:p w14:paraId="4D323256" w14:textId="197ED105" w:rsidR="001F51F9" w:rsidRPr="001F51F9" w:rsidRDefault="001F51F9" w:rsidP="001F51F9">
      <w:pPr>
        <w:rPr>
          <w:sz w:val="28"/>
          <w:szCs w:val="28"/>
        </w:rPr>
      </w:pPr>
      <w:r w:rsidRPr="001F51F9">
        <w:rPr>
          <w:sz w:val="28"/>
          <w:szCs w:val="28"/>
        </w:rPr>
        <w:t>British Petroleum (BP) plc stands as one of the world's largest energy companies, with a rich history dating back over a century. Founded in 1909 as the Anglo-Persian Oil Company, BP has undergone significant transformations to emerge as a global leader in the oil and gas industry. The company's operations span the entire energy value chain, encompassing exploration, production, refining, distribution, and marketing of petroleum products, natural gas, and renewable energy sources.</w:t>
      </w:r>
    </w:p>
    <w:p w14:paraId="19C1F578" w14:textId="77777777" w:rsidR="001F51F9" w:rsidRPr="001F51F9" w:rsidRDefault="001F51F9" w:rsidP="001F51F9">
      <w:pPr>
        <w:rPr>
          <w:sz w:val="28"/>
          <w:szCs w:val="28"/>
        </w:rPr>
      </w:pPr>
    </w:p>
    <w:p w14:paraId="40F2C978" w14:textId="77777777" w:rsidR="001F51F9" w:rsidRPr="001F51F9" w:rsidRDefault="001F51F9" w:rsidP="001F51F9">
      <w:pPr>
        <w:rPr>
          <w:sz w:val="28"/>
          <w:szCs w:val="28"/>
        </w:rPr>
      </w:pPr>
      <w:r w:rsidRPr="001F51F9">
        <w:rPr>
          <w:sz w:val="28"/>
          <w:szCs w:val="28"/>
        </w:rPr>
        <w:t xml:space="preserve">With headquarters in London, United Kingdom, BP operates in more than 70 countries and employs a diverse workforce of over 70,000 employees </w:t>
      </w:r>
      <w:r w:rsidRPr="001F51F9">
        <w:rPr>
          <w:sz w:val="28"/>
          <w:szCs w:val="28"/>
        </w:rPr>
        <w:lastRenderedPageBreak/>
        <w:t>worldwide. The company's extensive portfolio includes upstream assets in key oil and gas-producing regions, downstream refineries and petrochemical plants, as well as a growing presence in renewable energy ventures such as wind, solar, and biofuels.</w:t>
      </w:r>
    </w:p>
    <w:p w14:paraId="3D27E85F" w14:textId="77777777" w:rsidR="001F51F9" w:rsidRPr="001F51F9" w:rsidRDefault="001F51F9" w:rsidP="001F51F9">
      <w:pPr>
        <w:rPr>
          <w:sz w:val="28"/>
          <w:szCs w:val="28"/>
        </w:rPr>
      </w:pPr>
    </w:p>
    <w:p w14:paraId="3F0A4DF1" w14:textId="77777777" w:rsidR="001F51F9" w:rsidRPr="001F51F9" w:rsidRDefault="001F51F9" w:rsidP="001F51F9">
      <w:pPr>
        <w:rPr>
          <w:sz w:val="28"/>
          <w:szCs w:val="28"/>
        </w:rPr>
      </w:pPr>
      <w:r w:rsidRPr="001F51F9">
        <w:rPr>
          <w:sz w:val="28"/>
          <w:szCs w:val="28"/>
        </w:rPr>
        <w:t>Despite facing numerous challenges over the years, including environmental disasters, market volatility, and regulatory scrutiny, BP has demonstrated resilience and adaptability in navigating turbulent waters. The company has embarked on strategic initiatives to diversify its energy portfolio, reduce carbon emissions, and position itself as a leader in the transition to a low-carbon future.</w:t>
      </w:r>
    </w:p>
    <w:p w14:paraId="095CF0B1" w14:textId="77777777" w:rsidR="001F51F9" w:rsidRPr="001F51F9" w:rsidRDefault="001F51F9" w:rsidP="001F51F9">
      <w:pPr>
        <w:rPr>
          <w:sz w:val="28"/>
          <w:szCs w:val="28"/>
        </w:rPr>
      </w:pPr>
    </w:p>
    <w:p w14:paraId="4D8A7D7B" w14:textId="77777777" w:rsidR="001F51F9" w:rsidRPr="001F51F9" w:rsidRDefault="001F51F9" w:rsidP="001F51F9">
      <w:pPr>
        <w:rPr>
          <w:sz w:val="28"/>
          <w:szCs w:val="28"/>
        </w:rPr>
      </w:pPr>
      <w:r w:rsidRPr="001F51F9">
        <w:rPr>
          <w:sz w:val="28"/>
          <w:szCs w:val="28"/>
        </w:rPr>
        <w:t>As a publicly traded company listed on the London Stock Exchange (LSE) and a constituent of the FTSE 100 Index, BP is subject to rigorous regulatory oversight and shareholder scrutiny. The company's performance is closely monitored by analysts, investors, and industry observers, reflecting the significant influence it wields in shaping global energy markets and environmental policies.</w:t>
      </w:r>
    </w:p>
    <w:p w14:paraId="54FCC6F3" w14:textId="77777777" w:rsidR="001F51F9" w:rsidRPr="001F51F9" w:rsidRDefault="001F51F9" w:rsidP="001F51F9">
      <w:pPr>
        <w:rPr>
          <w:sz w:val="28"/>
          <w:szCs w:val="28"/>
        </w:rPr>
      </w:pPr>
    </w:p>
    <w:p w14:paraId="00694E5E" w14:textId="77777777" w:rsidR="001F51F9" w:rsidRPr="001F51F9" w:rsidRDefault="001F51F9" w:rsidP="001F51F9">
      <w:pPr>
        <w:rPr>
          <w:sz w:val="28"/>
          <w:szCs w:val="28"/>
        </w:rPr>
      </w:pPr>
      <w:r w:rsidRPr="001F51F9">
        <w:rPr>
          <w:sz w:val="28"/>
          <w:szCs w:val="28"/>
        </w:rPr>
        <w:t>In recent years, BP has articulated its commitment to sustainability and climate action, pledging to achieve net-zero carbon emissions by 2050 and aligning its business strategies with the goals of the Paris Agreement. By investing in renewable energy projects, carbon capture and storage technologies, and eco-friendly initiatives, BP aims to transition to a more sustainable and resilient business model while addressing the pressing challenges of climate change and environmental degradation.</w:t>
      </w:r>
    </w:p>
    <w:p w14:paraId="62F029D0" w14:textId="77777777" w:rsidR="001F51F9" w:rsidRPr="001F51F9" w:rsidRDefault="001F51F9" w:rsidP="001F51F9">
      <w:pPr>
        <w:rPr>
          <w:sz w:val="28"/>
          <w:szCs w:val="28"/>
        </w:rPr>
      </w:pPr>
    </w:p>
    <w:p w14:paraId="299ED187" w14:textId="3280FD36" w:rsidR="00207C57" w:rsidRDefault="001F51F9" w:rsidP="001F51F9">
      <w:pPr>
        <w:rPr>
          <w:sz w:val="28"/>
          <w:szCs w:val="28"/>
        </w:rPr>
      </w:pPr>
      <w:r w:rsidRPr="001F51F9">
        <w:rPr>
          <w:sz w:val="28"/>
          <w:szCs w:val="28"/>
        </w:rPr>
        <w:t>As we delve deeper into BP's strategic management framework, it is essential to recognize the company's rich heritage, global footprint, and evolving role in the energy transition. By contextualizing BP's strategic choices within the broader landscape of energy geopolitics, environmental sustainability, and corporate governance, we can gain valuable insights into the company's strategic trajectory and its implications for stakeholders and society at large.</w:t>
      </w:r>
    </w:p>
    <w:p w14:paraId="110EB629" w14:textId="215AD953" w:rsidR="001F51F9" w:rsidRDefault="001F51F9" w:rsidP="001F51F9">
      <w:pPr>
        <w:rPr>
          <w:b/>
          <w:bCs/>
          <w:sz w:val="40"/>
          <w:szCs w:val="40"/>
        </w:rPr>
      </w:pPr>
      <w:r>
        <w:rPr>
          <w:b/>
          <w:bCs/>
          <w:sz w:val="40"/>
          <w:szCs w:val="40"/>
        </w:rPr>
        <w:lastRenderedPageBreak/>
        <w:t>3.</w:t>
      </w:r>
      <w:r w:rsidR="003E0BEC">
        <w:rPr>
          <w:b/>
          <w:bCs/>
          <w:sz w:val="40"/>
          <w:szCs w:val="40"/>
        </w:rPr>
        <w:t xml:space="preserve"> </w:t>
      </w:r>
      <w:r>
        <w:rPr>
          <w:b/>
          <w:bCs/>
          <w:sz w:val="40"/>
          <w:szCs w:val="40"/>
        </w:rPr>
        <w:t>Discussion</w:t>
      </w:r>
    </w:p>
    <w:p w14:paraId="3AC103B8" w14:textId="77777777" w:rsidR="001F51F9" w:rsidRDefault="001F51F9" w:rsidP="001F51F9">
      <w:pPr>
        <w:rPr>
          <w:b/>
          <w:bCs/>
          <w:sz w:val="40"/>
          <w:szCs w:val="40"/>
        </w:rPr>
      </w:pPr>
    </w:p>
    <w:p w14:paraId="489C92CA" w14:textId="68654B82" w:rsidR="001F51F9" w:rsidRPr="001F51F9" w:rsidRDefault="001F51F9" w:rsidP="001F51F9">
      <w:pPr>
        <w:rPr>
          <w:b/>
          <w:bCs/>
          <w:sz w:val="40"/>
          <w:szCs w:val="40"/>
        </w:rPr>
      </w:pPr>
      <w:r w:rsidRPr="001F51F9">
        <w:rPr>
          <w:b/>
          <w:bCs/>
          <w:sz w:val="40"/>
          <w:szCs w:val="40"/>
        </w:rPr>
        <w:t>3.1 Identifying Key Business and Corporate Strategies</w:t>
      </w:r>
    </w:p>
    <w:p w14:paraId="6155FDCE" w14:textId="77777777" w:rsidR="003E0BEC" w:rsidRPr="003E0BEC" w:rsidRDefault="003E0BEC" w:rsidP="003E0BEC">
      <w:pPr>
        <w:rPr>
          <w:sz w:val="28"/>
          <w:szCs w:val="28"/>
        </w:rPr>
      </w:pPr>
      <w:r w:rsidRPr="003E0BEC">
        <w:rPr>
          <w:sz w:val="28"/>
          <w:szCs w:val="28"/>
        </w:rPr>
        <w:t>Strategic management is the cornerstone of any organization's success, and British Petroleum (BP) plc is no exception. In this section, we delve into the intricacies of BP's key business and corporate strategies, examining how they align with the company's overarching goals and enable it to navigate the complex landscape of the energy sector.</w:t>
      </w:r>
    </w:p>
    <w:p w14:paraId="3AF6C26B" w14:textId="77777777" w:rsidR="003E0BEC" w:rsidRPr="003E0BEC" w:rsidRDefault="003E0BEC" w:rsidP="003E0BEC">
      <w:pPr>
        <w:rPr>
          <w:sz w:val="28"/>
          <w:szCs w:val="28"/>
        </w:rPr>
      </w:pPr>
    </w:p>
    <w:p w14:paraId="278D6302" w14:textId="77777777" w:rsidR="003E0BEC" w:rsidRPr="003E0BEC" w:rsidRDefault="003E0BEC" w:rsidP="003E0BEC">
      <w:pPr>
        <w:rPr>
          <w:sz w:val="28"/>
          <w:szCs w:val="28"/>
        </w:rPr>
      </w:pPr>
      <w:r w:rsidRPr="003E0BEC">
        <w:rPr>
          <w:b/>
          <w:bCs/>
          <w:sz w:val="32"/>
          <w:szCs w:val="32"/>
        </w:rPr>
        <w:t>Business Strategies</w:t>
      </w:r>
      <w:r w:rsidRPr="003E0BEC">
        <w:rPr>
          <w:sz w:val="28"/>
          <w:szCs w:val="28"/>
        </w:rPr>
        <w:t>:</w:t>
      </w:r>
    </w:p>
    <w:p w14:paraId="2A297497" w14:textId="5AA40170" w:rsidR="003E0BEC" w:rsidRPr="003E0BEC" w:rsidRDefault="003E0BEC" w:rsidP="003E0BEC">
      <w:pPr>
        <w:rPr>
          <w:sz w:val="28"/>
          <w:szCs w:val="28"/>
        </w:rPr>
      </w:pPr>
      <w:r w:rsidRPr="003E0BEC">
        <w:rPr>
          <w:sz w:val="28"/>
          <w:szCs w:val="28"/>
        </w:rPr>
        <w:t>BP has strategically positioned itself in the global oil and gas industry by adopting a multifaceted approach to its business strategies. At the forefront of its business strategy is a relentless focus on innovation and technology-driven solutions, aligning with Porter's differentiation strategy. By investing heavily in research and development (R&amp;D), BP aims to differentiate itself from competitors by offering unique products and services that address emerging market demands and sustainability concerns (Porter, 2008).</w:t>
      </w:r>
    </w:p>
    <w:p w14:paraId="7993C426" w14:textId="60D802F9" w:rsidR="003E0BEC" w:rsidRPr="003E0BEC" w:rsidRDefault="003E0BEC" w:rsidP="003E0BEC">
      <w:pPr>
        <w:rPr>
          <w:sz w:val="28"/>
          <w:szCs w:val="28"/>
        </w:rPr>
      </w:pPr>
      <w:r w:rsidRPr="003E0BEC">
        <w:rPr>
          <w:sz w:val="28"/>
          <w:szCs w:val="28"/>
        </w:rPr>
        <w:t>Furthermore, BP has embraced a diversified portfolio strategy, leveraging its presence across various segments of the energy value chain. From upstream exploration and production to downstream refining and marketing, BP's business strategy aligns with Porter's focus strategy, allowing it to target specific market segments and tailor its offerings to meet the distinct needs of different customer groups (Porter, 2008). This focused approach not only insulates BP from volatility in commodity prices but also enables it to achieve economies of scale and operational efficiencies in targeted market segments.</w:t>
      </w:r>
    </w:p>
    <w:p w14:paraId="4B392D73" w14:textId="77777777" w:rsidR="003E0BEC" w:rsidRPr="003E0BEC" w:rsidRDefault="003E0BEC" w:rsidP="003E0BEC">
      <w:pPr>
        <w:rPr>
          <w:b/>
          <w:bCs/>
          <w:sz w:val="32"/>
          <w:szCs w:val="32"/>
        </w:rPr>
      </w:pPr>
      <w:r w:rsidRPr="003E0BEC">
        <w:rPr>
          <w:b/>
          <w:bCs/>
          <w:sz w:val="32"/>
          <w:szCs w:val="32"/>
        </w:rPr>
        <w:t>Corporate Strategies:</w:t>
      </w:r>
    </w:p>
    <w:p w14:paraId="7C9E5345" w14:textId="4F9CBE31" w:rsidR="003E0BEC" w:rsidRPr="003E0BEC" w:rsidRDefault="003E0BEC" w:rsidP="003E0BEC">
      <w:pPr>
        <w:rPr>
          <w:sz w:val="28"/>
          <w:szCs w:val="28"/>
        </w:rPr>
      </w:pPr>
      <w:r w:rsidRPr="003E0BEC">
        <w:rPr>
          <w:sz w:val="28"/>
          <w:szCs w:val="28"/>
        </w:rPr>
        <w:t xml:space="preserve">In addition to its business strategies, BP's corporate strategy revolves around fostering long-term sustainability and responsible corporate citizenship. Central to this strategy is BP's commitment to transitioning </w:t>
      </w:r>
      <w:r w:rsidRPr="003E0BEC">
        <w:rPr>
          <w:sz w:val="28"/>
          <w:szCs w:val="28"/>
        </w:rPr>
        <w:lastRenderedPageBreak/>
        <w:t>towards a low-carbon future and reducing its carbon footprint, reflecting elements of Porter's overall cost leadership strategy (Porter, 2008). Through initiatives such as the BP Net Zero campaign, the company aims to achieve cost advantages by minimizing environmental impact and operating more efficiently than competitors (Porter, 2008).</w:t>
      </w:r>
    </w:p>
    <w:p w14:paraId="60ED671D" w14:textId="77777777" w:rsidR="003E0BEC" w:rsidRPr="003E0BEC" w:rsidRDefault="003E0BEC" w:rsidP="003E0BEC">
      <w:pPr>
        <w:rPr>
          <w:sz w:val="28"/>
          <w:szCs w:val="28"/>
        </w:rPr>
      </w:pPr>
    </w:p>
    <w:p w14:paraId="0E99B6DA" w14:textId="77777777" w:rsidR="003E0BEC" w:rsidRPr="003E0BEC" w:rsidRDefault="003E0BEC" w:rsidP="003E0BEC">
      <w:pPr>
        <w:rPr>
          <w:sz w:val="28"/>
          <w:szCs w:val="28"/>
        </w:rPr>
      </w:pPr>
      <w:r w:rsidRPr="003E0BEC">
        <w:rPr>
          <w:sz w:val="28"/>
          <w:szCs w:val="28"/>
        </w:rPr>
        <w:t>Moreover, BP's corporate strategy emphasizes strategic partnerships and stakeholder engagement as key drivers of sustainable growth. By collaborating with governments, NGOs, and local communities, BP seeks to build trust, foster social license to operate, and create shared value (Porter, 2008). This inclusive approach not only enhances BP's reputation but also strengthens its resilience in the face of geopolitical risks and regulatory challenges, aligning with Porter's differentiation focus strategy.</w:t>
      </w:r>
    </w:p>
    <w:p w14:paraId="3A089194" w14:textId="77777777" w:rsidR="003E0BEC" w:rsidRPr="003E0BEC" w:rsidRDefault="003E0BEC" w:rsidP="003E0BEC">
      <w:pPr>
        <w:rPr>
          <w:sz w:val="28"/>
          <w:szCs w:val="28"/>
        </w:rPr>
      </w:pPr>
    </w:p>
    <w:p w14:paraId="75C5A012" w14:textId="77777777" w:rsidR="003E0BEC" w:rsidRPr="003E0BEC" w:rsidRDefault="003E0BEC" w:rsidP="003E0BEC">
      <w:pPr>
        <w:rPr>
          <w:b/>
          <w:bCs/>
          <w:sz w:val="32"/>
          <w:szCs w:val="32"/>
        </w:rPr>
      </w:pPr>
      <w:r w:rsidRPr="003E0BEC">
        <w:rPr>
          <w:b/>
          <w:bCs/>
          <w:sz w:val="32"/>
          <w:szCs w:val="32"/>
        </w:rPr>
        <w:t>Implementation Challenges and Considerations:</w:t>
      </w:r>
    </w:p>
    <w:p w14:paraId="399AD36B" w14:textId="77777777" w:rsidR="003E0BEC" w:rsidRPr="003E0BEC" w:rsidRDefault="003E0BEC" w:rsidP="003E0BEC">
      <w:pPr>
        <w:rPr>
          <w:sz w:val="28"/>
          <w:szCs w:val="28"/>
        </w:rPr>
      </w:pPr>
      <w:r w:rsidRPr="003E0BEC">
        <w:rPr>
          <w:sz w:val="28"/>
          <w:szCs w:val="28"/>
        </w:rPr>
        <w:t>While BP's business and corporate strategies are ambitious and forward-thinking, they are not without challenges and considerations. One of the primary challenges facing BP is the inherent volatility and uncertainty of the energy market, which poses significant risks to its profitability and long-term viability (Porter, 2008). Fluctuations in oil prices, geopolitical tensions, and regulatory changes require BP to continuously adapt its strategies and operations to remain competitive and sustainable in a rapidly changing environment.</w:t>
      </w:r>
    </w:p>
    <w:p w14:paraId="03AD7389" w14:textId="77777777" w:rsidR="003E0BEC" w:rsidRPr="003E0BEC" w:rsidRDefault="003E0BEC" w:rsidP="003E0BEC">
      <w:pPr>
        <w:rPr>
          <w:sz w:val="28"/>
          <w:szCs w:val="28"/>
        </w:rPr>
      </w:pPr>
    </w:p>
    <w:p w14:paraId="30360312" w14:textId="77777777" w:rsidR="003E0BEC" w:rsidRPr="003E0BEC" w:rsidRDefault="003E0BEC" w:rsidP="003E0BEC">
      <w:pPr>
        <w:rPr>
          <w:sz w:val="28"/>
          <w:szCs w:val="28"/>
        </w:rPr>
      </w:pPr>
      <w:r w:rsidRPr="003E0BEC">
        <w:rPr>
          <w:sz w:val="28"/>
          <w:szCs w:val="28"/>
        </w:rPr>
        <w:t>Furthermore, the transition to a low-carbon economy presents both opportunities and challenges for BP. While there is growing demand for renewable energy sources and cleaner technologies, the transition entails substantial investments in R&amp;D and infrastructure upgrades (Porter, 2008). BP must carefully balance its short-term financial performance with its long-term sustainability goals to ensure that its business remains resilient and adaptive in the face of evolving market dynamics.</w:t>
      </w:r>
    </w:p>
    <w:p w14:paraId="23209B23" w14:textId="77777777" w:rsidR="003E0BEC" w:rsidRPr="003E0BEC" w:rsidRDefault="003E0BEC" w:rsidP="003E0BEC">
      <w:pPr>
        <w:rPr>
          <w:sz w:val="28"/>
          <w:szCs w:val="28"/>
        </w:rPr>
      </w:pPr>
    </w:p>
    <w:p w14:paraId="0B47BBE3" w14:textId="6E097BC9" w:rsidR="00CB0C41" w:rsidRDefault="003E0BEC">
      <w:pPr>
        <w:rPr>
          <w:sz w:val="28"/>
          <w:szCs w:val="28"/>
        </w:rPr>
      </w:pPr>
      <w:r>
        <w:rPr>
          <w:sz w:val="28"/>
          <w:szCs w:val="28"/>
        </w:rPr>
        <w:lastRenderedPageBreak/>
        <w:t xml:space="preserve"> </w:t>
      </w:r>
      <w:r w:rsidRPr="003E0BEC">
        <w:rPr>
          <w:sz w:val="28"/>
          <w:szCs w:val="28"/>
        </w:rPr>
        <w:t>BP's strategic approach combines elements of Porter's generic strategies with a focus on innovation, sustainability, and stakeholder engagement. By aligning its business and corporate strategies with market dynamics and sustainability imperatives, BP aims to achieve long-term success and create value for its stakeholders while addressing the challenges of an ever-changing energy landscape.</w:t>
      </w:r>
    </w:p>
    <w:p w14:paraId="068F6104" w14:textId="77777777" w:rsidR="00CB0C41" w:rsidRDefault="00CB0C41">
      <w:pPr>
        <w:rPr>
          <w:sz w:val="28"/>
          <w:szCs w:val="28"/>
        </w:rPr>
      </w:pPr>
    </w:p>
    <w:p w14:paraId="35C2710A" w14:textId="77777777" w:rsidR="00CB0C41" w:rsidRPr="00CB0C41" w:rsidRDefault="00CB0C41" w:rsidP="00CB0C41">
      <w:pPr>
        <w:rPr>
          <w:b/>
          <w:bCs/>
          <w:sz w:val="32"/>
          <w:szCs w:val="32"/>
        </w:rPr>
      </w:pPr>
      <w:r w:rsidRPr="00CB0C41">
        <w:rPr>
          <w:b/>
          <w:bCs/>
          <w:sz w:val="32"/>
          <w:szCs w:val="32"/>
        </w:rPr>
        <w:t>3.2 Analyzing Resources and Capabilities</w:t>
      </w:r>
    </w:p>
    <w:p w14:paraId="214A1126" w14:textId="458983EF" w:rsidR="00CB0C41" w:rsidRPr="00CB0C41" w:rsidRDefault="00CB0C41" w:rsidP="00CB0C41">
      <w:pPr>
        <w:rPr>
          <w:sz w:val="28"/>
          <w:szCs w:val="28"/>
        </w:rPr>
      </w:pPr>
      <w:r w:rsidRPr="00CB0C41">
        <w:rPr>
          <w:sz w:val="28"/>
          <w:szCs w:val="28"/>
        </w:rPr>
        <w:t>Strategic management involves not only crafting robust strategies but also ensuring that organizations possess the requisite resources and capabilities to execute these strategies effectively. In this section, we conduct an exhaustive analysis of British Petroleum (BP) plc's resources and capabilities, exploring their contribution to the company's competitive advantage and strategic positioning in the energy sector.</w:t>
      </w:r>
    </w:p>
    <w:p w14:paraId="3180B426" w14:textId="77777777" w:rsidR="00CB0C41" w:rsidRPr="00CB0C41" w:rsidRDefault="00CB0C41" w:rsidP="00CB0C41">
      <w:pPr>
        <w:rPr>
          <w:sz w:val="28"/>
          <w:szCs w:val="28"/>
        </w:rPr>
      </w:pPr>
      <w:r w:rsidRPr="00CB0C41">
        <w:rPr>
          <w:b/>
          <w:bCs/>
          <w:sz w:val="28"/>
          <w:szCs w:val="28"/>
        </w:rPr>
        <w:t>Resource Analysis</w:t>
      </w:r>
      <w:r w:rsidRPr="00CB0C41">
        <w:rPr>
          <w:sz w:val="28"/>
          <w:szCs w:val="28"/>
        </w:rPr>
        <w:t>:</w:t>
      </w:r>
    </w:p>
    <w:p w14:paraId="318BEB60" w14:textId="77777777" w:rsidR="00CB0C41" w:rsidRPr="00CB0C41" w:rsidRDefault="00CB0C41" w:rsidP="00CB0C41">
      <w:pPr>
        <w:rPr>
          <w:sz w:val="28"/>
          <w:szCs w:val="28"/>
        </w:rPr>
      </w:pPr>
      <w:r w:rsidRPr="00CB0C41">
        <w:rPr>
          <w:sz w:val="28"/>
          <w:szCs w:val="28"/>
        </w:rPr>
        <w:t>BP boasts a diverse array of resources across physical, financial, human, and technological dimensions. One of its most significant physical assets is its extensive global infrastructure, comprising drilling rigs, refineries, pipelines, and distribution networks. This infrastructure grants BP a competitive edge in terms of geographic reach, operational efficiency, and economies of scale (Freeman, Dmytriyev, &amp; Phillips, 2021).</w:t>
      </w:r>
    </w:p>
    <w:p w14:paraId="5FD185FC" w14:textId="77777777" w:rsidR="00CB0C41" w:rsidRPr="00CB0C41" w:rsidRDefault="00CB0C41" w:rsidP="00CB0C41">
      <w:pPr>
        <w:rPr>
          <w:sz w:val="28"/>
          <w:szCs w:val="28"/>
        </w:rPr>
      </w:pPr>
    </w:p>
    <w:p w14:paraId="040DF2A9" w14:textId="77777777" w:rsidR="00CB0C41" w:rsidRPr="00CB0C41" w:rsidRDefault="00CB0C41" w:rsidP="00CB0C41">
      <w:pPr>
        <w:rPr>
          <w:sz w:val="28"/>
          <w:szCs w:val="28"/>
        </w:rPr>
      </w:pPr>
      <w:r w:rsidRPr="00CB0C41">
        <w:rPr>
          <w:sz w:val="28"/>
          <w:szCs w:val="28"/>
        </w:rPr>
        <w:t>Financially, BP maintains a robust balance sheet and access to substantial capital, empowering it to fund ambitious R&amp;D initiatives, strategic acquisitions, and capital-intensive projects. This financial strength not only facilitates investment in innovation and growth but also enhances BP's resilience to economic downturns and market fluctuations (Freeman, 2023).</w:t>
      </w:r>
    </w:p>
    <w:p w14:paraId="2622F644" w14:textId="77777777" w:rsidR="00CB0C41" w:rsidRPr="00CB0C41" w:rsidRDefault="00CB0C41" w:rsidP="00CB0C41">
      <w:pPr>
        <w:rPr>
          <w:sz w:val="28"/>
          <w:szCs w:val="28"/>
        </w:rPr>
      </w:pPr>
    </w:p>
    <w:p w14:paraId="264E6360" w14:textId="459EA236" w:rsidR="00CB0C41" w:rsidRPr="00CB0C41" w:rsidRDefault="00CB0C41" w:rsidP="00CB0C41">
      <w:pPr>
        <w:rPr>
          <w:sz w:val="28"/>
          <w:szCs w:val="28"/>
        </w:rPr>
      </w:pPr>
      <w:r w:rsidRPr="00CB0C41">
        <w:rPr>
          <w:sz w:val="28"/>
          <w:szCs w:val="28"/>
        </w:rPr>
        <w:t xml:space="preserve">Human resources represent another critical asset for BP, encompassing a diverse workforce of skilled professionals, engineers, scientists, and industry experts. The company's emphasis on talent development, training </w:t>
      </w:r>
      <w:r w:rsidRPr="00CB0C41">
        <w:rPr>
          <w:sz w:val="28"/>
          <w:szCs w:val="28"/>
        </w:rPr>
        <w:lastRenderedPageBreak/>
        <w:t>programs, and knowledge sharing fosters a culture of innovation, collaboration, and continuous improvement (Armstrong, 2020).</w:t>
      </w:r>
    </w:p>
    <w:p w14:paraId="28471718" w14:textId="77777777" w:rsidR="00CB0C41" w:rsidRPr="00CB0C41" w:rsidRDefault="00CB0C41" w:rsidP="00CB0C41">
      <w:pPr>
        <w:rPr>
          <w:sz w:val="28"/>
          <w:szCs w:val="28"/>
        </w:rPr>
      </w:pPr>
    </w:p>
    <w:p w14:paraId="4A4DB68E" w14:textId="77777777" w:rsidR="00CB0C41" w:rsidRPr="00CB0C41" w:rsidRDefault="00CB0C41" w:rsidP="00CB0C41">
      <w:pPr>
        <w:rPr>
          <w:sz w:val="28"/>
          <w:szCs w:val="28"/>
        </w:rPr>
      </w:pPr>
      <w:r w:rsidRPr="00CB0C41">
        <w:rPr>
          <w:sz w:val="28"/>
          <w:szCs w:val="28"/>
        </w:rPr>
        <w:t>Technologically, BP leverages cutting-edge technologies and digital tools across its operations, from advanced seismic imaging techniques to data analytics and artificial intelligence. These technological capabilities enable BP to optimize exploration and production processes, improve operational efficiency, and drive innovation in areas such as renewable energy and emissions reduction (Zerfass et al., 2020).</w:t>
      </w:r>
    </w:p>
    <w:p w14:paraId="22614054" w14:textId="77777777" w:rsidR="00CB0C41" w:rsidRPr="00CB0C41" w:rsidRDefault="00CB0C41" w:rsidP="00CB0C41">
      <w:pPr>
        <w:rPr>
          <w:sz w:val="28"/>
          <w:szCs w:val="28"/>
        </w:rPr>
      </w:pPr>
    </w:p>
    <w:p w14:paraId="07ED88B9" w14:textId="77777777" w:rsidR="00CB0C41" w:rsidRPr="00CB0C41" w:rsidRDefault="00CB0C41" w:rsidP="00CB0C41">
      <w:pPr>
        <w:rPr>
          <w:sz w:val="28"/>
          <w:szCs w:val="28"/>
        </w:rPr>
      </w:pPr>
      <w:r w:rsidRPr="0023618D">
        <w:rPr>
          <w:b/>
          <w:bCs/>
          <w:sz w:val="28"/>
          <w:szCs w:val="28"/>
        </w:rPr>
        <w:t>Capability Analysis</w:t>
      </w:r>
      <w:r w:rsidRPr="00CB0C41">
        <w:rPr>
          <w:sz w:val="28"/>
          <w:szCs w:val="28"/>
        </w:rPr>
        <w:t>:</w:t>
      </w:r>
    </w:p>
    <w:p w14:paraId="3EA2C925" w14:textId="77777777" w:rsidR="00CB0C41" w:rsidRPr="00CB0C41" w:rsidRDefault="00CB0C41" w:rsidP="00CB0C41">
      <w:pPr>
        <w:rPr>
          <w:sz w:val="28"/>
          <w:szCs w:val="28"/>
        </w:rPr>
      </w:pPr>
      <w:r w:rsidRPr="00CB0C41">
        <w:rPr>
          <w:sz w:val="28"/>
          <w:szCs w:val="28"/>
        </w:rPr>
        <w:t>BP's capabilities extend beyond individual resources to encompass its organizational processes, systems, and competencies. One of its core capabilities lies in exploration and production (E&amp;P), where BP has amassed decades of experience and expertise in identifying, extracting, and processing hydrocarbon reserves worldwide. This E&amp;P capability enables BP to replenish its resource base, sustain production levels, and capitalize on new opportunities in both conventional and unconventional energy sources (Freeman, Dmytriyev, &amp; Phillips, 2021).</w:t>
      </w:r>
    </w:p>
    <w:p w14:paraId="060B632B" w14:textId="77777777" w:rsidR="00CB0C41" w:rsidRPr="00CB0C41" w:rsidRDefault="00CB0C41" w:rsidP="00CB0C41">
      <w:pPr>
        <w:rPr>
          <w:sz w:val="28"/>
          <w:szCs w:val="28"/>
        </w:rPr>
      </w:pPr>
    </w:p>
    <w:p w14:paraId="7DE80A1C" w14:textId="77777777" w:rsidR="00CB0C41" w:rsidRPr="00CB0C41" w:rsidRDefault="00CB0C41" w:rsidP="00CB0C41">
      <w:pPr>
        <w:rPr>
          <w:sz w:val="28"/>
          <w:szCs w:val="28"/>
        </w:rPr>
      </w:pPr>
      <w:r w:rsidRPr="00CB0C41">
        <w:rPr>
          <w:sz w:val="28"/>
          <w:szCs w:val="28"/>
        </w:rPr>
        <w:t>Additionally, BP possesses strong capabilities in refining and marketing, encompassing refining operations, fuel retailing, lubricants, and petrochemicals. Its integrated downstream operations enable BP to capture value across the entire hydrocarbon value chain, from extraction to end-user consumption, thereby enhancing its profitability and market competitiveness (Freeman, 2023).</w:t>
      </w:r>
    </w:p>
    <w:p w14:paraId="49D8DBCB" w14:textId="77777777" w:rsidR="00CB0C41" w:rsidRPr="00CB0C41" w:rsidRDefault="00CB0C41" w:rsidP="00CB0C41">
      <w:pPr>
        <w:rPr>
          <w:sz w:val="28"/>
          <w:szCs w:val="28"/>
        </w:rPr>
      </w:pPr>
    </w:p>
    <w:p w14:paraId="1F74CBE5" w14:textId="77777777" w:rsidR="00CB0C41" w:rsidRPr="00CB0C41" w:rsidRDefault="00CB0C41" w:rsidP="00CB0C41">
      <w:pPr>
        <w:rPr>
          <w:sz w:val="28"/>
          <w:szCs w:val="28"/>
        </w:rPr>
      </w:pPr>
      <w:r w:rsidRPr="00CB0C41">
        <w:rPr>
          <w:sz w:val="28"/>
          <w:szCs w:val="28"/>
        </w:rPr>
        <w:t>Furthermore, BP has developed advanced capabilities in renewable energy and low-carbon technologies, including solar, wind, biofuels, and hydrogen. Through strategic investments, partnerships, and research initiatives, BP has positioned itself as a leader in the transition to a low-carbon economy, leveraging its expertise to develop sustainable energy solutions and reduce its carbon footprint (Zerfass et al., 2020).</w:t>
      </w:r>
    </w:p>
    <w:p w14:paraId="5EBEDF2A" w14:textId="77777777" w:rsidR="00CB0C41" w:rsidRPr="00CB0C41" w:rsidRDefault="00CB0C41" w:rsidP="00CB0C41">
      <w:pPr>
        <w:rPr>
          <w:sz w:val="28"/>
          <w:szCs w:val="28"/>
        </w:rPr>
      </w:pPr>
    </w:p>
    <w:p w14:paraId="5B843954" w14:textId="77777777" w:rsidR="00CB0C41" w:rsidRPr="00CB0C41" w:rsidRDefault="00CB0C41" w:rsidP="00CB0C41">
      <w:pPr>
        <w:rPr>
          <w:sz w:val="28"/>
          <w:szCs w:val="28"/>
        </w:rPr>
      </w:pPr>
      <w:r w:rsidRPr="00CB0C41">
        <w:rPr>
          <w:b/>
          <w:bCs/>
          <w:sz w:val="32"/>
          <w:szCs w:val="32"/>
        </w:rPr>
        <w:t>Ansoff Matrix Analysis</w:t>
      </w:r>
      <w:r w:rsidRPr="00CB0C41">
        <w:rPr>
          <w:sz w:val="28"/>
          <w:szCs w:val="28"/>
        </w:rPr>
        <w:t>:</w:t>
      </w:r>
    </w:p>
    <w:p w14:paraId="7A983B01" w14:textId="77777777" w:rsidR="00CB0C41" w:rsidRPr="00CB0C41" w:rsidRDefault="00CB0C41" w:rsidP="00CB0C41">
      <w:pPr>
        <w:rPr>
          <w:sz w:val="28"/>
          <w:szCs w:val="28"/>
        </w:rPr>
      </w:pPr>
      <w:r w:rsidRPr="00CB0C41">
        <w:rPr>
          <w:sz w:val="28"/>
          <w:szCs w:val="28"/>
        </w:rPr>
        <w:t>The Ansoff Matrix provides a strategic framework for evaluating BP's growth options and diversification strategies across different markets and products. By analyzing the matrix, BP can identify opportunities for expansion, assess associated risks, and align its strategic priorities accordingly.</w:t>
      </w:r>
    </w:p>
    <w:p w14:paraId="3D1CA05B" w14:textId="77777777" w:rsidR="00CB0C41" w:rsidRPr="00CB0C41" w:rsidRDefault="00CB0C41" w:rsidP="00CB0C41">
      <w:pPr>
        <w:rPr>
          <w:sz w:val="28"/>
          <w:szCs w:val="28"/>
        </w:rPr>
      </w:pPr>
    </w:p>
    <w:p w14:paraId="0E409ACE" w14:textId="5AF63C9D" w:rsidR="00CB0C41" w:rsidRPr="00CB0C41" w:rsidRDefault="00CB0C41" w:rsidP="00CB0C41">
      <w:pPr>
        <w:rPr>
          <w:sz w:val="28"/>
          <w:szCs w:val="28"/>
        </w:rPr>
      </w:pPr>
      <w:r>
        <w:rPr>
          <w:sz w:val="28"/>
          <w:szCs w:val="28"/>
        </w:rPr>
        <w:t>a)</w:t>
      </w:r>
      <w:r w:rsidRPr="00CB0C41">
        <w:rPr>
          <w:b/>
          <w:bCs/>
          <w:sz w:val="28"/>
          <w:szCs w:val="28"/>
        </w:rPr>
        <w:t>Market Penetration</w:t>
      </w:r>
      <w:r w:rsidRPr="00CB0C41">
        <w:rPr>
          <w:sz w:val="28"/>
          <w:szCs w:val="28"/>
        </w:rPr>
        <w:t>: BP can pursue market penetration strategies by expanding its presence in existing markets and increasing market share through aggressive marketing, pricing, and customer retention initiatives. Leveraging established infrastructure, brand reputation, and customer relationships can drive sales growth and profitability in core markets (Aaker &amp; Moorman, 2023).</w:t>
      </w:r>
    </w:p>
    <w:p w14:paraId="5F7F78D9" w14:textId="599C4425" w:rsidR="00CB0C41" w:rsidRPr="00CB0C41" w:rsidRDefault="00CB0C41" w:rsidP="00CB0C41">
      <w:pPr>
        <w:rPr>
          <w:sz w:val="28"/>
          <w:szCs w:val="28"/>
        </w:rPr>
      </w:pPr>
      <w:r>
        <w:rPr>
          <w:sz w:val="28"/>
          <w:szCs w:val="28"/>
        </w:rPr>
        <w:t>b)</w:t>
      </w:r>
      <w:r w:rsidRPr="00CB0C41">
        <w:rPr>
          <w:b/>
          <w:bCs/>
          <w:sz w:val="28"/>
          <w:szCs w:val="28"/>
        </w:rPr>
        <w:t>Product Development</w:t>
      </w:r>
      <w:r w:rsidRPr="00CB0C41">
        <w:rPr>
          <w:sz w:val="28"/>
          <w:szCs w:val="28"/>
        </w:rPr>
        <w:t>: Exploring product development strategies, BP can innovate new products and services to meet evolving customer needs and market trends. Investing in research, technology, and product design to develop cleaner fuels, renewable energy solutions, and advanced mobility offerings can diversify the product portfolio and differentiate from competitors (Rosenbaum-Elliott, 2020).</w:t>
      </w:r>
    </w:p>
    <w:p w14:paraId="384BF686" w14:textId="255E4627" w:rsidR="00CB0C41" w:rsidRPr="00CB0C41" w:rsidRDefault="00CB0C41" w:rsidP="00CB0C41">
      <w:pPr>
        <w:rPr>
          <w:sz w:val="28"/>
          <w:szCs w:val="28"/>
        </w:rPr>
      </w:pPr>
      <w:r>
        <w:rPr>
          <w:sz w:val="28"/>
          <w:szCs w:val="28"/>
        </w:rPr>
        <w:t>c</w:t>
      </w:r>
      <w:r w:rsidRPr="00CB0C41">
        <w:rPr>
          <w:b/>
          <w:bCs/>
          <w:sz w:val="28"/>
          <w:szCs w:val="28"/>
        </w:rPr>
        <w:t>)Market Development</w:t>
      </w:r>
      <w:r w:rsidRPr="00CB0C41">
        <w:rPr>
          <w:sz w:val="28"/>
          <w:szCs w:val="28"/>
        </w:rPr>
        <w:t>: BP can pursue market development strategies by entering new geographic markets or segments with existing products and services. Expanding into emerging economies, underserved regions, or niche market segments where demand for energy products is growing can unlock new growth opportunities and reduce dependence on mature markets (Kretschmer et al., 2022).</w:t>
      </w:r>
    </w:p>
    <w:p w14:paraId="553D366A" w14:textId="5F505CEB" w:rsidR="00CB0C41" w:rsidRPr="00CB0C41" w:rsidRDefault="00CB0C41" w:rsidP="00CB0C41">
      <w:pPr>
        <w:rPr>
          <w:sz w:val="28"/>
          <w:szCs w:val="28"/>
        </w:rPr>
      </w:pPr>
      <w:r>
        <w:rPr>
          <w:sz w:val="28"/>
          <w:szCs w:val="28"/>
        </w:rPr>
        <w:t>d)</w:t>
      </w:r>
      <w:r w:rsidRPr="00CB0C41">
        <w:rPr>
          <w:b/>
          <w:bCs/>
          <w:sz w:val="28"/>
          <w:szCs w:val="28"/>
        </w:rPr>
        <w:t>Diversification</w:t>
      </w:r>
      <w:r w:rsidRPr="00CB0C41">
        <w:rPr>
          <w:sz w:val="28"/>
          <w:szCs w:val="28"/>
        </w:rPr>
        <w:t>: Considering diversification strategies, BP can venture into new business areas or industries complementary to its core energy business. Investing in renewable energy projects, electric vehicle charging infrastructure, energy storage solutions, or sustainable technology startups can spread risks, capitalize on emerging trends, and position for long-term growth in a rapidly changing energy landscape (Teece, 2019).</w:t>
      </w:r>
    </w:p>
    <w:p w14:paraId="411E6CEE" w14:textId="285D6224" w:rsidR="00CB0C41" w:rsidRDefault="00CB0C41" w:rsidP="00CB0C41">
      <w:pPr>
        <w:rPr>
          <w:sz w:val="28"/>
          <w:szCs w:val="28"/>
        </w:rPr>
      </w:pPr>
      <w:r w:rsidRPr="00CB0C41">
        <w:rPr>
          <w:sz w:val="28"/>
          <w:szCs w:val="28"/>
        </w:rPr>
        <w:t xml:space="preserve">By applying the Ansoff Matrix, BP can evaluate the suitability, feasibility, and potential impact of each growth strategy, facilitating informed </w:t>
      </w:r>
      <w:r w:rsidRPr="00CB0C41">
        <w:rPr>
          <w:sz w:val="28"/>
          <w:szCs w:val="28"/>
        </w:rPr>
        <w:lastRenderedPageBreak/>
        <w:t>decision-making and resource allocation to drive sustainable growth and value creation.</w:t>
      </w:r>
    </w:p>
    <w:p w14:paraId="1836244D" w14:textId="42ACACC7" w:rsidR="001E083D" w:rsidRDefault="001E083D" w:rsidP="001E083D">
      <w:pPr>
        <w:rPr>
          <w:sz w:val="28"/>
          <w:szCs w:val="28"/>
        </w:rPr>
      </w:pPr>
      <w:r w:rsidRPr="001E083D">
        <w:rPr>
          <w:sz w:val="28"/>
          <w:szCs w:val="28"/>
        </w:rPr>
        <w:t xml:space="preserve">The </w:t>
      </w:r>
      <w:r w:rsidRPr="008C69B2">
        <w:rPr>
          <w:b/>
          <w:bCs/>
          <w:sz w:val="28"/>
          <w:szCs w:val="28"/>
        </w:rPr>
        <w:t>VRIO</w:t>
      </w:r>
      <w:r w:rsidRPr="001E083D">
        <w:rPr>
          <w:sz w:val="28"/>
          <w:szCs w:val="28"/>
        </w:rPr>
        <w:t xml:space="preserve"> framework evaluates the value, rarity, imitability, and organizational aspects of BP's key resources and capabilities, determining their potential to confer sustainable competitive advantage.</w:t>
      </w:r>
    </w:p>
    <w:tbl>
      <w:tblPr>
        <w:tblStyle w:val="TableGrid"/>
        <w:tblW w:w="11624" w:type="dxa"/>
        <w:tblInd w:w="-1281" w:type="dxa"/>
        <w:tblLook w:val="04A0" w:firstRow="1" w:lastRow="0" w:firstColumn="1" w:lastColumn="0" w:noHBand="0" w:noVBand="1"/>
      </w:tblPr>
      <w:tblGrid>
        <w:gridCol w:w="3119"/>
        <w:gridCol w:w="1166"/>
        <w:gridCol w:w="1503"/>
        <w:gridCol w:w="1503"/>
        <w:gridCol w:w="1503"/>
        <w:gridCol w:w="2830"/>
      </w:tblGrid>
      <w:tr w:rsidR="0009651C" w14:paraId="4B96F02B" w14:textId="77777777" w:rsidTr="00AF38FD">
        <w:trPr>
          <w:trHeight w:val="798"/>
        </w:trPr>
        <w:tc>
          <w:tcPr>
            <w:tcW w:w="3119" w:type="dxa"/>
          </w:tcPr>
          <w:p w14:paraId="40442C85" w14:textId="71174F44" w:rsidR="0009651C" w:rsidRDefault="00150607" w:rsidP="00CB0C41">
            <w:pPr>
              <w:rPr>
                <w:sz w:val="28"/>
                <w:szCs w:val="28"/>
              </w:rPr>
            </w:pPr>
            <w:r>
              <w:rPr>
                <w:rFonts w:ascii="Segoe UI" w:hAnsi="Segoe UI" w:cs="Segoe UI"/>
                <w:b/>
                <w:bCs/>
                <w:color w:val="0D0D0D"/>
                <w:sz w:val="21"/>
                <w:szCs w:val="21"/>
              </w:rPr>
              <w:t>Resources and Capabilities</w:t>
            </w:r>
          </w:p>
        </w:tc>
        <w:tc>
          <w:tcPr>
            <w:tcW w:w="1166" w:type="dxa"/>
          </w:tcPr>
          <w:p w14:paraId="126CD278" w14:textId="2DA8C711" w:rsidR="00D12AF8" w:rsidRPr="00D12AF8" w:rsidRDefault="00D12AF8" w:rsidP="00D12AF8">
            <w:pPr>
              <w:jc w:val="center"/>
              <w:rPr>
                <w:rFonts w:ascii="Segoe UI" w:hAnsi="Segoe UI" w:cs="Segoe UI"/>
                <w:b/>
                <w:bCs/>
                <w:color w:val="0D0D0D"/>
                <w:sz w:val="21"/>
                <w:szCs w:val="21"/>
              </w:rPr>
            </w:pPr>
            <w:r>
              <w:rPr>
                <w:rFonts w:ascii="Segoe UI" w:hAnsi="Segoe UI" w:cs="Segoe UI"/>
                <w:b/>
                <w:bCs/>
                <w:color w:val="0D0D0D"/>
                <w:sz w:val="21"/>
                <w:szCs w:val="21"/>
              </w:rPr>
              <w:t>Valuable</w:t>
            </w:r>
          </w:p>
        </w:tc>
        <w:tc>
          <w:tcPr>
            <w:tcW w:w="1503" w:type="dxa"/>
          </w:tcPr>
          <w:p w14:paraId="73D30B80" w14:textId="62808B29" w:rsidR="00D12AF8" w:rsidRPr="00D12AF8" w:rsidRDefault="00D12AF8" w:rsidP="00D12AF8">
            <w:pPr>
              <w:jc w:val="center"/>
              <w:rPr>
                <w:rFonts w:ascii="Segoe UI" w:hAnsi="Segoe UI" w:cs="Segoe UI"/>
                <w:b/>
                <w:bCs/>
                <w:color w:val="0D0D0D"/>
                <w:sz w:val="21"/>
                <w:szCs w:val="21"/>
              </w:rPr>
            </w:pPr>
            <w:r>
              <w:rPr>
                <w:rFonts w:ascii="Segoe UI" w:hAnsi="Segoe UI" w:cs="Segoe UI"/>
                <w:b/>
                <w:bCs/>
                <w:color w:val="0D0D0D"/>
                <w:sz w:val="21"/>
                <w:szCs w:val="21"/>
              </w:rPr>
              <w:t>Rarity</w:t>
            </w:r>
          </w:p>
        </w:tc>
        <w:tc>
          <w:tcPr>
            <w:tcW w:w="1503" w:type="dxa"/>
          </w:tcPr>
          <w:p w14:paraId="026D1967" w14:textId="222D3CD8" w:rsidR="0009651C" w:rsidRDefault="00F0054E" w:rsidP="00F0054E">
            <w:pPr>
              <w:jc w:val="center"/>
              <w:rPr>
                <w:sz w:val="28"/>
                <w:szCs w:val="28"/>
              </w:rPr>
            </w:pPr>
            <w:r>
              <w:rPr>
                <w:rFonts w:ascii="Segoe UI" w:hAnsi="Segoe UI" w:cs="Segoe UI"/>
                <w:b/>
                <w:bCs/>
                <w:color w:val="0D0D0D"/>
                <w:sz w:val="21"/>
                <w:szCs w:val="21"/>
              </w:rPr>
              <w:t>Imitable</w:t>
            </w:r>
          </w:p>
        </w:tc>
        <w:tc>
          <w:tcPr>
            <w:tcW w:w="1503" w:type="dxa"/>
          </w:tcPr>
          <w:p w14:paraId="2E74271C" w14:textId="40117E5B" w:rsidR="0009651C" w:rsidRDefault="00F0054E" w:rsidP="00CB0C41">
            <w:pPr>
              <w:rPr>
                <w:sz w:val="28"/>
                <w:szCs w:val="28"/>
              </w:rPr>
            </w:pPr>
            <w:r>
              <w:rPr>
                <w:rFonts w:ascii="Segoe UI" w:hAnsi="Segoe UI" w:cs="Segoe UI"/>
                <w:b/>
                <w:bCs/>
                <w:color w:val="0D0D0D"/>
                <w:sz w:val="21"/>
                <w:szCs w:val="21"/>
              </w:rPr>
              <w:t>Organization</w:t>
            </w:r>
          </w:p>
        </w:tc>
        <w:tc>
          <w:tcPr>
            <w:tcW w:w="2830" w:type="dxa"/>
          </w:tcPr>
          <w:p w14:paraId="390D3AD6" w14:textId="7F33E908" w:rsidR="0009651C" w:rsidRDefault="00F0054E" w:rsidP="00F0054E">
            <w:pPr>
              <w:jc w:val="center"/>
              <w:rPr>
                <w:sz w:val="28"/>
                <w:szCs w:val="28"/>
              </w:rPr>
            </w:pPr>
            <w:r>
              <w:rPr>
                <w:rFonts w:ascii="Segoe UI" w:hAnsi="Segoe UI" w:cs="Segoe UI"/>
                <w:b/>
                <w:bCs/>
                <w:color w:val="0D0D0D"/>
                <w:sz w:val="21"/>
                <w:szCs w:val="21"/>
              </w:rPr>
              <w:t>Competitive Benefits</w:t>
            </w:r>
          </w:p>
        </w:tc>
      </w:tr>
      <w:tr w:rsidR="0009651C" w14:paraId="3AEC8EEA" w14:textId="77777777" w:rsidTr="00AF38FD">
        <w:trPr>
          <w:trHeight w:val="552"/>
        </w:trPr>
        <w:tc>
          <w:tcPr>
            <w:tcW w:w="3119" w:type="dxa"/>
          </w:tcPr>
          <w:p w14:paraId="788885F2" w14:textId="6CD3FCDD" w:rsidR="0009651C" w:rsidRPr="00AF38FD" w:rsidRDefault="00AF38FD" w:rsidP="00CB0C41">
            <w:pPr>
              <w:rPr>
                <w:sz w:val="24"/>
                <w:szCs w:val="24"/>
              </w:rPr>
            </w:pPr>
            <w:r w:rsidRPr="00AF38FD">
              <w:rPr>
                <w:sz w:val="24"/>
                <w:szCs w:val="24"/>
              </w:rPr>
              <w:t>Global Infrastructure</w:t>
            </w:r>
          </w:p>
        </w:tc>
        <w:tc>
          <w:tcPr>
            <w:tcW w:w="1166" w:type="dxa"/>
          </w:tcPr>
          <w:p w14:paraId="28879D6F" w14:textId="0E883F62" w:rsidR="0009651C" w:rsidRDefault="0000060D" w:rsidP="00CB0C41">
            <w:pPr>
              <w:rPr>
                <w:sz w:val="28"/>
                <w:szCs w:val="28"/>
              </w:rPr>
            </w:pPr>
            <w:r>
              <w:rPr>
                <w:sz w:val="28"/>
                <w:szCs w:val="28"/>
              </w:rPr>
              <w:t>Yes</w:t>
            </w:r>
          </w:p>
        </w:tc>
        <w:tc>
          <w:tcPr>
            <w:tcW w:w="1503" w:type="dxa"/>
          </w:tcPr>
          <w:p w14:paraId="75AF835D" w14:textId="24499089" w:rsidR="0009651C" w:rsidRDefault="0000060D" w:rsidP="00CB0C41">
            <w:pPr>
              <w:rPr>
                <w:sz w:val="28"/>
                <w:szCs w:val="28"/>
              </w:rPr>
            </w:pPr>
            <w:r>
              <w:rPr>
                <w:sz w:val="28"/>
                <w:szCs w:val="28"/>
              </w:rPr>
              <w:t>Yes</w:t>
            </w:r>
          </w:p>
        </w:tc>
        <w:tc>
          <w:tcPr>
            <w:tcW w:w="1503" w:type="dxa"/>
          </w:tcPr>
          <w:p w14:paraId="694F7108" w14:textId="69069C79" w:rsidR="0009651C" w:rsidRDefault="0000060D" w:rsidP="00CB0C41">
            <w:pPr>
              <w:rPr>
                <w:sz w:val="28"/>
                <w:szCs w:val="28"/>
              </w:rPr>
            </w:pPr>
            <w:r>
              <w:rPr>
                <w:sz w:val="28"/>
                <w:szCs w:val="28"/>
              </w:rPr>
              <w:t>No</w:t>
            </w:r>
          </w:p>
        </w:tc>
        <w:tc>
          <w:tcPr>
            <w:tcW w:w="1503" w:type="dxa"/>
          </w:tcPr>
          <w:p w14:paraId="27B02FA0" w14:textId="1E2983AD" w:rsidR="0009651C" w:rsidRDefault="002353DC" w:rsidP="00CB0C41">
            <w:pPr>
              <w:rPr>
                <w:sz w:val="28"/>
                <w:szCs w:val="28"/>
              </w:rPr>
            </w:pPr>
            <w:r>
              <w:rPr>
                <w:sz w:val="28"/>
                <w:szCs w:val="28"/>
              </w:rPr>
              <w:t>Yes</w:t>
            </w:r>
          </w:p>
        </w:tc>
        <w:tc>
          <w:tcPr>
            <w:tcW w:w="2830" w:type="dxa"/>
          </w:tcPr>
          <w:p w14:paraId="2D1FE04C" w14:textId="1C6C9412" w:rsidR="0009651C" w:rsidRDefault="002353DC" w:rsidP="00CB0C41">
            <w:pPr>
              <w:rPr>
                <w:sz w:val="28"/>
                <w:szCs w:val="28"/>
              </w:rPr>
            </w:pPr>
            <w:r>
              <w:rPr>
                <w:sz w:val="28"/>
                <w:szCs w:val="28"/>
              </w:rPr>
              <w:t>Competitive Advantage</w:t>
            </w:r>
          </w:p>
        </w:tc>
      </w:tr>
      <w:tr w:rsidR="0009651C" w14:paraId="0099A277" w14:textId="77777777" w:rsidTr="00AF38FD">
        <w:trPr>
          <w:trHeight w:val="561"/>
        </w:trPr>
        <w:tc>
          <w:tcPr>
            <w:tcW w:w="3119" w:type="dxa"/>
          </w:tcPr>
          <w:p w14:paraId="20336F8A" w14:textId="2C2FE012" w:rsidR="0009651C" w:rsidRDefault="00AF38FD" w:rsidP="00CB0C41">
            <w:pPr>
              <w:rPr>
                <w:sz w:val="28"/>
                <w:szCs w:val="28"/>
              </w:rPr>
            </w:pPr>
            <w:r>
              <w:rPr>
                <w:sz w:val="28"/>
                <w:szCs w:val="28"/>
              </w:rPr>
              <w:t>Financial Strength</w:t>
            </w:r>
          </w:p>
        </w:tc>
        <w:tc>
          <w:tcPr>
            <w:tcW w:w="1166" w:type="dxa"/>
          </w:tcPr>
          <w:p w14:paraId="704AD460" w14:textId="55703138" w:rsidR="0009651C" w:rsidRDefault="002353DC" w:rsidP="00CB0C41">
            <w:pPr>
              <w:rPr>
                <w:sz w:val="28"/>
                <w:szCs w:val="28"/>
              </w:rPr>
            </w:pPr>
            <w:r>
              <w:rPr>
                <w:sz w:val="28"/>
                <w:szCs w:val="28"/>
              </w:rPr>
              <w:t>Yes</w:t>
            </w:r>
          </w:p>
        </w:tc>
        <w:tc>
          <w:tcPr>
            <w:tcW w:w="1503" w:type="dxa"/>
          </w:tcPr>
          <w:p w14:paraId="01C25F84" w14:textId="6A754D96" w:rsidR="0009651C" w:rsidRDefault="002353DC" w:rsidP="00CB0C41">
            <w:pPr>
              <w:rPr>
                <w:sz w:val="28"/>
                <w:szCs w:val="28"/>
              </w:rPr>
            </w:pPr>
            <w:r>
              <w:rPr>
                <w:sz w:val="28"/>
                <w:szCs w:val="28"/>
              </w:rPr>
              <w:t>Yes</w:t>
            </w:r>
          </w:p>
        </w:tc>
        <w:tc>
          <w:tcPr>
            <w:tcW w:w="1503" w:type="dxa"/>
          </w:tcPr>
          <w:p w14:paraId="18D6E927" w14:textId="59650DA5" w:rsidR="0009651C" w:rsidRDefault="002353DC" w:rsidP="00CB0C41">
            <w:pPr>
              <w:rPr>
                <w:sz w:val="28"/>
                <w:szCs w:val="28"/>
              </w:rPr>
            </w:pPr>
            <w:r>
              <w:rPr>
                <w:sz w:val="28"/>
                <w:szCs w:val="28"/>
              </w:rPr>
              <w:t>Yes</w:t>
            </w:r>
          </w:p>
        </w:tc>
        <w:tc>
          <w:tcPr>
            <w:tcW w:w="1503" w:type="dxa"/>
          </w:tcPr>
          <w:p w14:paraId="07BB385E" w14:textId="495768F0" w:rsidR="0009651C" w:rsidRDefault="002353DC" w:rsidP="00CB0C41">
            <w:pPr>
              <w:rPr>
                <w:sz w:val="28"/>
                <w:szCs w:val="28"/>
              </w:rPr>
            </w:pPr>
            <w:r>
              <w:rPr>
                <w:sz w:val="28"/>
                <w:szCs w:val="28"/>
              </w:rPr>
              <w:t>Yes</w:t>
            </w:r>
          </w:p>
        </w:tc>
        <w:tc>
          <w:tcPr>
            <w:tcW w:w="2830" w:type="dxa"/>
          </w:tcPr>
          <w:p w14:paraId="346E254C" w14:textId="17EF7A10" w:rsidR="0009651C" w:rsidRDefault="002353DC" w:rsidP="00CB0C41">
            <w:pPr>
              <w:rPr>
                <w:sz w:val="28"/>
                <w:szCs w:val="28"/>
              </w:rPr>
            </w:pPr>
            <w:r>
              <w:rPr>
                <w:sz w:val="28"/>
                <w:szCs w:val="28"/>
              </w:rPr>
              <w:t>Competitive Advantage</w:t>
            </w:r>
          </w:p>
        </w:tc>
      </w:tr>
      <w:tr w:rsidR="0009651C" w14:paraId="45DFE12F" w14:textId="77777777" w:rsidTr="00AF38FD">
        <w:trPr>
          <w:trHeight w:val="555"/>
        </w:trPr>
        <w:tc>
          <w:tcPr>
            <w:tcW w:w="3119" w:type="dxa"/>
          </w:tcPr>
          <w:p w14:paraId="20FA5825" w14:textId="23D0A062" w:rsidR="0009651C" w:rsidRDefault="00EA5921" w:rsidP="00CB0C41">
            <w:pPr>
              <w:rPr>
                <w:sz w:val="28"/>
                <w:szCs w:val="28"/>
              </w:rPr>
            </w:pPr>
            <w:r>
              <w:rPr>
                <w:sz w:val="28"/>
                <w:szCs w:val="28"/>
              </w:rPr>
              <w:t>Skilled Workforce</w:t>
            </w:r>
          </w:p>
        </w:tc>
        <w:tc>
          <w:tcPr>
            <w:tcW w:w="1166" w:type="dxa"/>
          </w:tcPr>
          <w:p w14:paraId="3F143DAA" w14:textId="0BEE6C26" w:rsidR="0009651C" w:rsidRDefault="00B356A6" w:rsidP="00CB0C41">
            <w:pPr>
              <w:rPr>
                <w:sz w:val="28"/>
                <w:szCs w:val="28"/>
              </w:rPr>
            </w:pPr>
            <w:r>
              <w:rPr>
                <w:sz w:val="28"/>
                <w:szCs w:val="28"/>
              </w:rPr>
              <w:t>Yes</w:t>
            </w:r>
          </w:p>
        </w:tc>
        <w:tc>
          <w:tcPr>
            <w:tcW w:w="1503" w:type="dxa"/>
          </w:tcPr>
          <w:p w14:paraId="068E66E9" w14:textId="111FD9E5" w:rsidR="0009651C" w:rsidRDefault="00B356A6" w:rsidP="00CB0C41">
            <w:pPr>
              <w:rPr>
                <w:sz w:val="28"/>
                <w:szCs w:val="28"/>
              </w:rPr>
            </w:pPr>
            <w:r>
              <w:rPr>
                <w:sz w:val="28"/>
                <w:szCs w:val="28"/>
              </w:rPr>
              <w:t>Yes</w:t>
            </w:r>
          </w:p>
        </w:tc>
        <w:tc>
          <w:tcPr>
            <w:tcW w:w="1503" w:type="dxa"/>
          </w:tcPr>
          <w:p w14:paraId="200EA0A9" w14:textId="0DED2783" w:rsidR="0009651C" w:rsidRDefault="00B356A6" w:rsidP="00CB0C41">
            <w:pPr>
              <w:rPr>
                <w:sz w:val="28"/>
                <w:szCs w:val="28"/>
              </w:rPr>
            </w:pPr>
            <w:r>
              <w:rPr>
                <w:sz w:val="28"/>
                <w:szCs w:val="28"/>
              </w:rPr>
              <w:t>Yes</w:t>
            </w:r>
          </w:p>
        </w:tc>
        <w:tc>
          <w:tcPr>
            <w:tcW w:w="1503" w:type="dxa"/>
          </w:tcPr>
          <w:p w14:paraId="6C3626B8" w14:textId="1FFC980F" w:rsidR="0009651C" w:rsidRDefault="00B356A6" w:rsidP="00CB0C41">
            <w:pPr>
              <w:rPr>
                <w:sz w:val="28"/>
                <w:szCs w:val="28"/>
              </w:rPr>
            </w:pPr>
            <w:r>
              <w:rPr>
                <w:sz w:val="28"/>
                <w:szCs w:val="28"/>
              </w:rPr>
              <w:t>Yes</w:t>
            </w:r>
          </w:p>
        </w:tc>
        <w:tc>
          <w:tcPr>
            <w:tcW w:w="2830" w:type="dxa"/>
          </w:tcPr>
          <w:p w14:paraId="74784AF0" w14:textId="60D894F8" w:rsidR="0009651C" w:rsidRDefault="00B356A6" w:rsidP="00CB0C41">
            <w:pPr>
              <w:rPr>
                <w:sz w:val="28"/>
                <w:szCs w:val="28"/>
              </w:rPr>
            </w:pPr>
            <w:r>
              <w:rPr>
                <w:sz w:val="28"/>
                <w:szCs w:val="28"/>
              </w:rPr>
              <w:t>Competitive Advantage</w:t>
            </w:r>
          </w:p>
        </w:tc>
      </w:tr>
      <w:tr w:rsidR="0009651C" w14:paraId="58D5DEC4" w14:textId="77777777" w:rsidTr="00AF38FD">
        <w:trPr>
          <w:trHeight w:val="548"/>
        </w:trPr>
        <w:tc>
          <w:tcPr>
            <w:tcW w:w="3119" w:type="dxa"/>
          </w:tcPr>
          <w:p w14:paraId="38CE95A0" w14:textId="54C9C9E2" w:rsidR="0009651C" w:rsidRDefault="00EA5921" w:rsidP="00CB0C41">
            <w:pPr>
              <w:rPr>
                <w:sz w:val="28"/>
                <w:szCs w:val="28"/>
              </w:rPr>
            </w:pPr>
            <w:r>
              <w:rPr>
                <w:sz w:val="28"/>
                <w:szCs w:val="28"/>
              </w:rPr>
              <w:t>Technological Innovations</w:t>
            </w:r>
          </w:p>
        </w:tc>
        <w:tc>
          <w:tcPr>
            <w:tcW w:w="1166" w:type="dxa"/>
          </w:tcPr>
          <w:p w14:paraId="684EF4E3" w14:textId="7DEF0EA0" w:rsidR="0009651C" w:rsidRDefault="00134F73" w:rsidP="00CB0C41">
            <w:pPr>
              <w:rPr>
                <w:sz w:val="28"/>
                <w:szCs w:val="28"/>
              </w:rPr>
            </w:pPr>
            <w:r>
              <w:rPr>
                <w:sz w:val="28"/>
                <w:szCs w:val="28"/>
              </w:rPr>
              <w:t>Yes</w:t>
            </w:r>
          </w:p>
        </w:tc>
        <w:tc>
          <w:tcPr>
            <w:tcW w:w="1503" w:type="dxa"/>
          </w:tcPr>
          <w:p w14:paraId="38159988" w14:textId="7716858A" w:rsidR="0009651C" w:rsidRDefault="00134F73" w:rsidP="00CB0C41">
            <w:pPr>
              <w:rPr>
                <w:sz w:val="28"/>
                <w:szCs w:val="28"/>
              </w:rPr>
            </w:pPr>
            <w:r>
              <w:rPr>
                <w:sz w:val="28"/>
                <w:szCs w:val="28"/>
              </w:rPr>
              <w:t>Yes</w:t>
            </w:r>
          </w:p>
        </w:tc>
        <w:tc>
          <w:tcPr>
            <w:tcW w:w="1503" w:type="dxa"/>
          </w:tcPr>
          <w:p w14:paraId="2FAFD3EB" w14:textId="08A70F2D" w:rsidR="0009651C" w:rsidRDefault="00134F73" w:rsidP="00CB0C41">
            <w:pPr>
              <w:rPr>
                <w:sz w:val="28"/>
                <w:szCs w:val="28"/>
              </w:rPr>
            </w:pPr>
            <w:r>
              <w:rPr>
                <w:sz w:val="28"/>
                <w:szCs w:val="28"/>
              </w:rPr>
              <w:t>Yes</w:t>
            </w:r>
          </w:p>
        </w:tc>
        <w:tc>
          <w:tcPr>
            <w:tcW w:w="1503" w:type="dxa"/>
          </w:tcPr>
          <w:p w14:paraId="0761AC3A" w14:textId="53573A0B" w:rsidR="0009651C" w:rsidRDefault="00134F73" w:rsidP="00CB0C41">
            <w:pPr>
              <w:rPr>
                <w:sz w:val="28"/>
                <w:szCs w:val="28"/>
              </w:rPr>
            </w:pPr>
            <w:r>
              <w:rPr>
                <w:sz w:val="28"/>
                <w:szCs w:val="28"/>
              </w:rPr>
              <w:t>Yes</w:t>
            </w:r>
          </w:p>
        </w:tc>
        <w:tc>
          <w:tcPr>
            <w:tcW w:w="2830" w:type="dxa"/>
          </w:tcPr>
          <w:p w14:paraId="4918D5FB" w14:textId="545A9235" w:rsidR="0009651C" w:rsidRDefault="00134F73" w:rsidP="00CB0C41">
            <w:pPr>
              <w:rPr>
                <w:sz w:val="28"/>
                <w:szCs w:val="28"/>
              </w:rPr>
            </w:pPr>
            <w:r>
              <w:rPr>
                <w:sz w:val="28"/>
                <w:szCs w:val="28"/>
              </w:rPr>
              <w:t>Competitive Advantage</w:t>
            </w:r>
          </w:p>
        </w:tc>
      </w:tr>
      <w:tr w:rsidR="0009651C" w14:paraId="7DA78B0C" w14:textId="77777777" w:rsidTr="00AF38FD">
        <w:trPr>
          <w:trHeight w:val="570"/>
        </w:trPr>
        <w:tc>
          <w:tcPr>
            <w:tcW w:w="3119" w:type="dxa"/>
          </w:tcPr>
          <w:p w14:paraId="1FCFE437" w14:textId="2A9CB422" w:rsidR="00EA5921" w:rsidRDefault="00EA5921" w:rsidP="00CB0C41">
            <w:pPr>
              <w:rPr>
                <w:sz w:val="28"/>
                <w:szCs w:val="28"/>
              </w:rPr>
            </w:pPr>
            <w:r>
              <w:rPr>
                <w:sz w:val="28"/>
                <w:szCs w:val="28"/>
              </w:rPr>
              <w:t>E&amp;P Expertise</w:t>
            </w:r>
          </w:p>
        </w:tc>
        <w:tc>
          <w:tcPr>
            <w:tcW w:w="1166" w:type="dxa"/>
          </w:tcPr>
          <w:p w14:paraId="0572D1C0" w14:textId="09C0D5CC" w:rsidR="0009651C" w:rsidRDefault="00134F73" w:rsidP="00CB0C41">
            <w:pPr>
              <w:rPr>
                <w:sz w:val="28"/>
                <w:szCs w:val="28"/>
              </w:rPr>
            </w:pPr>
            <w:r>
              <w:rPr>
                <w:sz w:val="28"/>
                <w:szCs w:val="28"/>
              </w:rPr>
              <w:t>Yes</w:t>
            </w:r>
          </w:p>
        </w:tc>
        <w:tc>
          <w:tcPr>
            <w:tcW w:w="1503" w:type="dxa"/>
          </w:tcPr>
          <w:p w14:paraId="20E555F8" w14:textId="32BEE6EB" w:rsidR="0009651C" w:rsidRDefault="00134F73" w:rsidP="00CB0C41">
            <w:pPr>
              <w:rPr>
                <w:sz w:val="28"/>
                <w:szCs w:val="28"/>
              </w:rPr>
            </w:pPr>
            <w:r>
              <w:rPr>
                <w:sz w:val="28"/>
                <w:szCs w:val="28"/>
              </w:rPr>
              <w:t>Yes</w:t>
            </w:r>
          </w:p>
        </w:tc>
        <w:tc>
          <w:tcPr>
            <w:tcW w:w="1503" w:type="dxa"/>
          </w:tcPr>
          <w:p w14:paraId="191FCCCF" w14:textId="49355985" w:rsidR="0009651C" w:rsidRDefault="00134F73" w:rsidP="00CB0C41">
            <w:pPr>
              <w:rPr>
                <w:sz w:val="28"/>
                <w:szCs w:val="28"/>
              </w:rPr>
            </w:pPr>
            <w:r>
              <w:rPr>
                <w:sz w:val="28"/>
                <w:szCs w:val="28"/>
              </w:rPr>
              <w:t>No</w:t>
            </w:r>
          </w:p>
        </w:tc>
        <w:tc>
          <w:tcPr>
            <w:tcW w:w="1503" w:type="dxa"/>
          </w:tcPr>
          <w:p w14:paraId="7400E023" w14:textId="27C88614" w:rsidR="0009651C" w:rsidRDefault="00134F73" w:rsidP="00CB0C41">
            <w:pPr>
              <w:rPr>
                <w:sz w:val="28"/>
                <w:szCs w:val="28"/>
              </w:rPr>
            </w:pPr>
            <w:r>
              <w:rPr>
                <w:sz w:val="28"/>
                <w:szCs w:val="28"/>
              </w:rPr>
              <w:t>Yes</w:t>
            </w:r>
          </w:p>
        </w:tc>
        <w:tc>
          <w:tcPr>
            <w:tcW w:w="2830" w:type="dxa"/>
          </w:tcPr>
          <w:p w14:paraId="60A38EBB" w14:textId="40BD3E4C" w:rsidR="0009651C" w:rsidRDefault="001E083D" w:rsidP="00CB0C41">
            <w:pPr>
              <w:rPr>
                <w:sz w:val="28"/>
                <w:szCs w:val="28"/>
              </w:rPr>
            </w:pPr>
            <w:r>
              <w:rPr>
                <w:sz w:val="28"/>
                <w:szCs w:val="28"/>
              </w:rPr>
              <w:t>Competitive Advantage</w:t>
            </w:r>
          </w:p>
        </w:tc>
      </w:tr>
      <w:tr w:rsidR="0009651C" w14:paraId="45354C9F" w14:textId="77777777" w:rsidTr="00AF38FD">
        <w:trPr>
          <w:trHeight w:val="550"/>
        </w:trPr>
        <w:tc>
          <w:tcPr>
            <w:tcW w:w="3119" w:type="dxa"/>
          </w:tcPr>
          <w:p w14:paraId="1F8E59E0" w14:textId="453863A5" w:rsidR="0009651C" w:rsidRDefault="0000060D" w:rsidP="00CB0C41">
            <w:pPr>
              <w:rPr>
                <w:sz w:val="28"/>
                <w:szCs w:val="28"/>
              </w:rPr>
            </w:pPr>
            <w:r>
              <w:rPr>
                <w:sz w:val="28"/>
                <w:szCs w:val="28"/>
              </w:rPr>
              <w:t>Downstream Integration</w:t>
            </w:r>
          </w:p>
        </w:tc>
        <w:tc>
          <w:tcPr>
            <w:tcW w:w="1166" w:type="dxa"/>
          </w:tcPr>
          <w:p w14:paraId="331AAC6F" w14:textId="7832A478" w:rsidR="0009651C" w:rsidRDefault="001E083D" w:rsidP="00CB0C41">
            <w:pPr>
              <w:rPr>
                <w:sz w:val="28"/>
                <w:szCs w:val="28"/>
              </w:rPr>
            </w:pPr>
            <w:r>
              <w:rPr>
                <w:sz w:val="28"/>
                <w:szCs w:val="28"/>
              </w:rPr>
              <w:t>Yes</w:t>
            </w:r>
          </w:p>
        </w:tc>
        <w:tc>
          <w:tcPr>
            <w:tcW w:w="1503" w:type="dxa"/>
          </w:tcPr>
          <w:p w14:paraId="2155F1CC" w14:textId="5E43EB57" w:rsidR="0009651C" w:rsidRDefault="001E083D" w:rsidP="00CB0C41">
            <w:pPr>
              <w:rPr>
                <w:sz w:val="28"/>
                <w:szCs w:val="28"/>
              </w:rPr>
            </w:pPr>
            <w:r>
              <w:rPr>
                <w:sz w:val="28"/>
                <w:szCs w:val="28"/>
              </w:rPr>
              <w:t>Yes</w:t>
            </w:r>
          </w:p>
        </w:tc>
        <w:tc>
          <w:tcPr>
            <w:tcW w:w="1503" w:type="dxa"/>
          </w:tcPr>
          <w:p w14:paraId="7929DFEB" w14:textId="26030E8C" w:rsidR="0009651C" w:rsidRDefault="001E083D" w:rsidP="00CB0C41">
            <w:pPr>
              <w:rPr>
                <w:sz w:val="28"/>
                <w:szCs w:val="28"/>
              </w:rPr>
            </w:pPr>
            <w:r>
              <w:rPr>
                <w:sz w:val="28"/>
                <w:szCs w:val="28"/>
              </w:rPr>
              <w:t>Yes</w:t>
            </w:r>
          </w:p>
        </w:tc>
        <w:tc>
          <w:tcPr>
            <w:tcW w:w="1503" w:type="dxa"/>
          </w:tcPr>
          <w:p w14:paraId="56803F25" w14:textId="227E2A26" w:rsidR="0009651C" w:rsidRDefault="001E083D" w:rsidP="00CB0C41">
            <w:pPr>
              <w:rPr>
                <w:sz w:val="28"/>
                <w:szCs w:val="28"/>
              </w:rPr>
            </w:pPr>
            <w:r>
              <w:rPr>
                <w:sz w:val="28"/>
                <w:szCs w:val="28"/>
              </w:rPr>
              <w:t>Yes</w:t>
            </w:r>
          </w:p>
        </w:tc>
        <w:tc>
          <w:tcPr>
            <w:tcW w:w="2830" w:type="dxa"/>
          </w:tcPr>
          <w:p w14:paraId="11034330" w14:textId="5D23C70C" w:rsidR="0009651C" w:rsidRDefault="001E083D" w:rsidP="00CB0C41">
            <w:pPr>
              <w:rPr>
                <w:sz w:val="28"/>
                <w:szCs w:val="28"/>
              </w:rPr>
            </w:pPr>
            <w:r>
              <w:rPr>
                <w:sz w:val="28"/>
                <w:szCs w:val="28"/>
              </w:rPr>
              <w:t>Competitive Advantage</w:t>
            </w:r>
          </w:p>
        </w:tc>
      </w:tr>
      <w:tr w:rsidR="0009651C" w14:paraId="489AD69F" w14:textId="77777777" w:rsidTr="00AF38FD">
        <w:trPr>
          <w:trHeight w:val="700"/>
        </w:trPr>
        <w:tc>
          <w:tcPr>
            <w:tcW w:w="3119" w:type="dxa"/>
          </w:tcPr>
          <w:p w14:paraId="28C954D7" w14:textId="7498108E" w:rsidR="0009651C" w:rsidRDefault="0000060D" w:rsidP="00CB0C41">
            <w:pPr>
              <w:rPr>
                <w:sz w:val="28"/>
                <w:szCs w:val="28"/>
              </w:rPr>
            </w:pPr>
            <w:r>
              <w:rPr>
                <w:sz w:val="28"/>
                <w:szCs w:val="28"/>
              </w:rPr>
              <w:t xml:space="preserve">Renewable Energy Capabilities </w:t>
            </w:r>
          </w:p>
        </w:tc>
        <w:tc>
          <w:tcPr>
            <w:tcW w:w="1166" w:type="dxa"/>
          </w:tcPr>
          <w:p w14:paraId="4EC89738" w14:textId="394C95FB" w:rsidR="0009651C" w:rsidRDefault="001E083D" w:rsidP="00CB0C41">
            <w:pPr>
              <w:rPr>
                <w:sz w:val="28"/>
                <w:szCs w:val="28"/>
              </w:rPr>
            </w:pPr>
            <w:r>
              <w:rPr>
                <w:sz w:val="28"/>
                <w:szCs w:val="28"/>
              </w:rPr>
              <w:t>Yes</w:t>
            </w:r>
          </w:p>
        </w:tc>
        <w:tc>
          <w:tcPr>
            <w:tcW w:w="1503" w:type="dxa"/>
          </w:tcPr>
          <w:p w14:paraId="005E1464" w14:textId="5EFF1FC4" w:rsidR="0009651C" w:rsidRDefault="001E083D" w:rsidP="00CB0C41">
            <w:pPr>
              <w:rPr>
                <w:sz w:val="28"/>
                <w:szCs w:val="28"/>
              </w:rPr>
            </w:pPr>
            <w:r>
              <w:rPr>
                <w:sz w:val="28"/>
                <w:szCs w:val="28"/>
              </w:rPr>
              <w:t>Yes</w:t>
            </w:r>
          </w:p>
        </w:tc>
        <w:tc>
          <w:tcPr>
            <w:tcW w:w="1503" w:type="dxa"/>
          </w:tcPr>
          <w:p w14:paraId="3440FA06" w14:textId="65FC6C7B" w:rsidR="0009651C" w:rsidRDefault="001E083D" w:rsidP="00CB0C41">
            <w:pPr>
              <w:rPr>
                <w:sz w:val="28"/>
                <w:szCs w:val="28"/>
              </w:rPr>
            </w:pPr>
            <w:r>
              <w:rPr>
                <w:sz w:val="28"/>
                <w:szCs w:val="28"/>
              </w:rPr>
              <w:t>Yes</w:t>
            </w:r>
          </w:p>
        </w:tc>
        <w:tc>
          <w:tcPr>
            <w:tcW w:w="1503" w:type="dxa"/>
          </w:tcPr>
          <w:p w14:paraId="3BC48CC7" w14:textId="3FBEE652" w:rsidR="0009651C" w:rsidRDefault="001E083D" w:rsidP="00CB0C41">
            <w:pPr>
              <w:rPr>
                <w:sz w:val="28"/>
                <w:szCs w:val="28"/>
              </w:rPr>
            </w:pPr>
            <w:r>
              <w:rPr>
                <w:sz w:val="28"/>
                <w:szCs w:val="28"/>
              </w:rPr>
              <w:t>Yes</w:t>
            </w:r>
          </w:p>
        </w:tc>
        <w:tc>
          <w:tcPr>
            <w:tcW w:w="2830" w:type="dxa"/>
          </w:tcPr>
          <w:p w14:paraId="7E5972EC" w14:textId="1996C09E" w:rsidR="0009651C" w:rsidRDefault="001E083D" w:rsidP="00CB0C41">
            <w:pPr>
              <w:rPr>
                <w:sz w:val="28"/>
                <w:szCs w:val="28"/>
              </w:rPr>
            </w:pPr>
            <w:r>
              <w:rPr>
                <w:sz w:val="28"/>
                <w:szCs w:val="28"/>
              </w:rPr>
              <w:t>Competitive Advantage</w:t>
            </w:r>
          </w:p>
        </w:tc>
      </w:tr>
    </w:tbl>
    <w:p w14:paraId="593A802C" w14:textId="77777777" w:rsidR="00E13D6B" w:rsidRDefault="00E13D6B" w:rsidP="00CB0C41">
      <w:pPr>
        <w:rPr>
          <w:sz w:val="28"/>
          <w:szCs w:val="28"/>
        </w:rPr>
      </w:pPr>
    </w:p>
    <w:p w14:paraId="79562AAA" w14:textId="77777777" w:rsidR="002F6EF5" w:rsidRDefault="002F6EF5" w:rsidP="00CB0C41">
      <w:pPr>
        <w:rPr>
          <w:sz w:val="28"/>
          <w:szCs w:val="28"/>
        </w:rPr>
      </w:pPr>
    </w:p>
    <w:p w14:paraId="2619C874" w14:textId="77777777" w:rsidR="00915058" w:rsidRPr="00915058" w:rsidRDefault="00915058" w:rsidP="00915058">
      <w:pPr>
        <w:rPr>
          <w:b/>
          <w:bCs/>
          <w:sz w:val="32"/>
          <w:szCs w:val="32"/>
        </w:rPr>
      </w:pPr>
      <w:r w:rsidRPr="00915058">
        <w:rPr>
          <w:b/>
          <w:bCs/>
          <w:sz w:val="32"/>
          <w:szCs w:val="32"/>
        </w:rPr>
        <w:t>3.3 Evaluating Strategy in Action</w:t>
      </w:r>
    </w:p>
    <w:p w14:paraId="1B0FBA4B" w14:textId="7DFC0FC4" w:rsidR="00915058" w:rsidRPr="00915058" w:rsidRDefault="00915058" w:rsidP="00915058">
      <w:pPr>
        <w:rPr>
          <w:sz w:val="28"/>
          <w:szCs w:val="28"/>
        </w:rPr>
      </w:pPr>
      <w:r w:rsidRPr="00915058">
        <w:rPr>
          <w:sz w:val="28"/>
          <w:szCs w:val="28"/>
        </w:rPr>
        <w:t>Assessing the efficacy of British Petroleum (BP) plc's strategic initiatives involves a comprehensive evaluation of how these strategies are implemented and their impact on organizational performance. This section scrutinizes the execution of BP's strategies, considering their suitability, acceptability, and feasibility within the dynamic energy landscape.</w:t>
      </w:r>
    </w:p>
    <w:p w14:paraId="456A8139" w14:textId="77777777" w:rsidR="00915058" w:rsidRPr="00915058" w:rsidRDefault="00915058" w:rsidP="00915058">
      <w:pPr>
        <w:rPr>
          <w:sz w:val="28"/>
          <w:szCs w:val="28"/>
        </w:rPr>
      </w:pPr>
      <w:r w:rsidRPr="00915058">
        <w:rPr>
          <w:b/>
          <w:bCs/>
          <w:sz w:val="28"/>
          <w:szCs w:val="28"/>
        </w:rPr>
        <w:t>Strategy Suitability</w:t>
      </w:r>
      <w:r w:rsidRPr="00915058">
        <w:rPr>
          <w:sz w:val="28"/>
          <w:szCs w:val="28"/>
        </w:rPr>
        <w:t>:</w:t>
      </w:r>
    </w:p>
    <w:p w14:paraId="21EC4778" w14:textId="77777777" w:rsidR="00915058" w:rsidRPr="00915058" w:rsidRDefault="00915058" w:rsidP="00915058">
      <w:pPr>
        <w:rPr>
          <w:sz w:val="28"/>
          <w:szCs w:val="28"/>
        </w:rPr>
      </w:pPr>
      <w:r w:rsidRPr="00915058">
        <w:rPr>
          <w:sz w:val="28"/>
          <w:szCs w:val="28"/>
        </w:rPr>
        <w:t>BP's business strategy revolves around leveraging innovation and diversification to navigate market complexities and sustain competitive advantages (Rothaermel, 2019). The suitability of this strategy hinges on its alignment with the company's strengths, weaknesses, opportunities, and threats (SWOT analysis).</w:t>
      </w:r>
    </w:p>
    <w:p w14:paraId="007E7F52" w14:textId="77777777" w:rsidR="00915058" w:rsidRPr="00915058" w:rsidRDefault="00915058" w:rsidP="00915058">
      <w:pPr>
        <w:rPr>
          <w:sz w:val="28"/>
          <w:szCs w:val="28"/>
        </w:rPr>
      </w:pPr>
    </w:p>
    <w:p w14:paraId="2DF0A35B" w14:textId="1CCB2ED4" w:rsidR="00915058" w:rsidRPr="00915058" w:rsidRDefault="00915058" w:rsidP="00915058">
      <w:pPr>
        <w:rPr>
          <w:sz w:val="28"/>
          <w:szCs w:val="28"/>
        </w:rPr>
      </w:pPr>
      <w:r w:rsidRPr="00915058">
        <w:rPr>
          <w:sz w:val="28"/>
          <w:szCs w:val="28"/>
        </w:rPr>
        <w:t>The relentless pursuit of innovation underscores BP's commitment to technological advancements and operational excellence. By investing in R&amp;D and digital solutions, BP seeks to enhance efficiency, minimize environmental impact, and unlock new revenue streams (Teece, 2019). This strategy aligns with BP's strengths in exploration and production (E&amp;P) and its opportunities in renewable energy and clean technologies.</w:t>
      </w:r>
    </w:p>
    <w:p w14:paraId="37A7555F" w14:textId="5463079E" w:rsidR="00915058" w:rsidRPr="00915058" w:rsidRDefault="00915058" w:rsidP="00915058">
      <w:pPr>
        <w:rPr>
          <w:sz w:val="28"/>
          <w:szCs w:val="28"/>
        </w:rPr>
      </w:pPr>
      <w:r w:rsidRPr="00915058">
        <w:rPr>
          <w:sz w:val="28"/>
          <w:szCs w:val="28"/>
        </w:rPr>
        <w:t>Moreover, BP's diversification strategy mitigates risks associated with commodity price fluctuations and regulatory uncertainties. The company's balanced portfolio spanning upstream and downstream operations, as well as renewable energy investments, provides resilience and revenue stability (Rothaermel, 2019). This diversification aligns with BP's strengths in financial resources and global infrastructure, enabling it to capture value across diverse market segments.</w:t>
      </w:r>
    </w:p>
    <w:p w14:paraId="2982F957" w14:textId="77777777" w:rsidR="00915058" w:rsidRPr="00915058" w:rsidRDefault="00915058" w:rsidP="00915058">
      <w:pPr>
        <w:rPr>
          <w:sz w:val="28"/>
          <w:szCs w:val="28"/>
        </w:rPr>
      </w:pPr>
      <w:r w:rsidRPr="00915058">
        <w:rPr>
          <w:b/>
          <w:bCs/>
          <w:sz w:val="28"/>
          <w:szCs w:val="28"/>
        </w:rPr>
        <w:t>Strategy Acceptability</w:t>
      </w:r>
      <w:r w:rsidRPr="00915058">
        <w:rPr>
          <w:sz w:val="28"/>
          <w:szCs w:val="28"/>
        </w:rPr>
        <w:t>:</w:t>
      </w:r>
    </w:p>
    <w:p w14:paraId="56B4BAB4" w14:textId="75B71640" w:rsidR="00915058" w:rsidRPr="00915058" w:rsidRDefault="00915058" w:rsidP="00915058">
      <w:pPr>
        <w:rPr>
          <w:sz w:val="28"/>
          <w:szCs w:val="28"/>
        </w:rPr>
      </w:pPr>
      <w:r w:rsidRPr="00915058">
        <w:rPr>
          <w:sz w:val="28"/>
          <w:szCs w:val="28"/>
        </w:rPr>
        <w:t>The acceptability of BP's strategies hinges on their socio-cultural, ethical, and financial implications, as well as their alignment with stakeholder expectations and industry norms (</w:t>
      </w:r>
      <w:proofErr w:type="spellStart"/>
      <w:r w:rsidRPr="00915058">
        <w:rPr>
          <w:sz w:val="28"/>
          <w:szCs w:val="28"/>
        </w:rPr>
        <w:t>Burgelman</w:t>
      </w:r>
      <w:proofErr w:type="spellEnd"/>
      <w:r w:rsidRPr="00915058">
        <w:rPr>
          <w:sz w:val="28"/>
          <w:szCs w:val="28"/>
        </w:rPr>
        <w:t>, 2020). BP's commitment to sustainability and responsible business practices enhances the acceptability of its strategies among various stakeholders.</w:t>
      </w:r>
    </w:p>
    <w:p w14:paraId="2C05985A" w14:textId="0BCC6D82" w:rsidR="00915058" w:rsidRPr="00915058" w:rsidRDefault="00915058" w:rsidP="00915058">
      <w:pPr>
        <w:rPr>
          <w:sz w:val="28"/>
          <w:szCs w:val="28"/>
        </w:rPr>
      </w:pPr>
      <w:r w:rsidRPr="00915058">
        <w:rPr>
          <w:sz w:val="28"/>
          <w:szCs w:val="28"/>
        </w:rPr>
        <w:t>The transition towards a low-carbon future is central to BP's corporate strategy, reflecting its acknowledgment of environmental concerns and societal expectations (Teece, 2019). Initiatives such as the BP Net Zero campaign underscore the company's commitment to reducing carbon emissions and promoting renewable energy solutions, garnering support from investors, regulators, and environmental activists.</w:t>
      </w:r>
    </w:p>
    <w:p w14:paraId="6DB28CBC" w14:textId="77777777" w:rsidR="00915058" w:rsidRPr="00915058" w:rsidRDefault="00915058" w:rsidP="00915058">
      <w:pPr>
        <w:rPr>
          <w:sz w:val="28"/>
          <w:szCs w:val="28"/>
        </w:rPr>
      </w:pPr>
      <w:r w:rsidRPr="00915058">
        <w:rPr>
          <w:sz w:val="28"/>
          <w:szCs w:val="28"/>
        </w:rPr>
        <w:t>Moreover, BP's emphasis on strategic partnerships and stakeholder engagement fosters trust, transparency, and shared value creation (</w:t>
      </w:r>
      <w:proofErr w:type="spellStart"/>
      <w:r w:rsidRPr="00915058">
        <w:rPr>
          <w:sz w:val="28"/>
          <w:szCs w:val="28"/>
        </w:rPr>
        <w:t>Burgelman</w:t>
      </w:r>
      <w:proofErr w:type="spellEnd"/>
      <w:r w:rsidRPr="00915058">
        <w:rPr>
          <w:sz w:val="28"/>
          <w:szCs w:val="28"/>
        </w:rPr>
        <w:t>, 2020). By collaborating with governments, NGOs, and local communities, BP enhances its social license to operate and mitigates reputational risks, reinforcing the acceptability of its strategies.</w:t>
      </w:r>
    </w:p>
    <w:p w14:paraId="75CDF28B" w14:textId="77777777" w:rsidR="00915058" w:rsidRPr="00915058" w:rsidRDefault="00915058" w:rsidP="00915058">
      <w:pPr>
        <w:rPr>
          <w:sz w:val="28"/>
          <w:szCs w:val="28"/>
        </w:rPr>
      </w:pPr>
    </w:p>
    <w:p w14:paraId="78DEAE36" w14:textId="77777777" w:rsidR="00915058" w:rsidRPr="00915058" w:rsidRDefault="00915058" w:rsidP="00915058">
      <w:pPr>
        <w:rPr>
          <w:sz w:val="28"/>
          <w:szCs w:val="28"/>
        </w:rPr>
      </w:pPr>
      <w:r w:rsidRPr="00915058">
        <w:rPr>
          <w:sz w:val="28"/>
          <w:szCs w:val="28"/>
        </w:rPr>
        <w:t>Strategy Feasibility:</w:t>
      </w:r>
    </w:p>
    <w:p w14:paraId="318F4E6B" w14:textId="764A0369" w:rsidR="00915058" w:rsidRPr="00915058" w:rsidRDefault="00915058" w:rsidP="00915058">
      <w:pPr>
        <w:rPr>
          <w:sz w:val="28"/>
          <w:szCs w:val="28"/>
        </w:rPr>
      </w:pPr>
      <w:r w:rsidRPr="00915058">
        <w:rPr>
          <w:sz w:val="28"/>
          <w:szCs w:val="28"/>
        </w:rPr>
        <w:lastRenderedPageBreak/>
        <w:t>The feasibility of BP's strategies hinges on their practicality, affordability, and resource availability, as well as the company's organizational capabilities and competitive dynamics (Teece, 2019). BP's robust financial reserves and technological capabilities enhance the feasibility of its strategic initiatives.</w:t>
      </w:r>
    </w:p>
    <w:p w14:paraId="2421A8C0" w14:textId="2F136369" w:rsidR="00915058" w:rsidRPr="00915058" w:rsidRDefault="00915058" w:rsidP="00915058">
      <w:pPr>
        <w:rPr>
          <w:sz w:val="28"/>
          <w:szCs w:val="28"/>
        </w:rPr>
      </w:pPr>
      <w:r w:rsidRPr="00915058">
        <w:rPr>
          <w:sz w:val="28"/>
          <w:szCs w:val="28"/>
        </w:rPr>
        <w:t>The company's financial strength enables it to fund large-scale projects and weather market uncertainties, ensuring the feasibility of long-term investments in innovation and sustainability (</w:t>
      </w:r>
      <w:proofErr w:type="spellStart"/>
      <w:r w:rsidRPr="00915058">
        <w:rPr>
          <w:sz w:val="28"/>
          <w:szCs w:val="28"/>
        </w:rPr>
        <w:t>Burgelman</w:t>
      </w:r>
      <w:proofErr w:type="spellEnd"/>
      <w:r w:rsidRPr="00915058">
        <w:rPr>
          <w:sz w:val="28"/>
          <w:szCs w:val="28"/>
        </w:rPr>
        <w:t xml:space="preserve">, 2020). Moreover, BP's technological expertise and operational capabilities empower it to execute complex projects and adapt to evolving market conditions, enhancing the feasibility of its strategic </w:t>
      </w:r>
      <w:proofErr w:type="spellStart"/>
      <w:r w:rsidRPr="00915058">
        <w:rPr>
          <w:sz w:val="28"/>
          <w:szCs w:val="28"/>
        </w:rPr>
        <w:t>endeavors</w:t>
      </w:r>
      <w:proofErr w:type="spellEnd"/>
      <w:r w:rsidRPr="00915058">
        <w:rPr>
          <w:sz w:val="28"/>
          <w:szCs w:val="28"/>
        </w:rPr>
        <w:t>.</w:t>
      </w:r>
    </w:p>
    <w:p w14:paraId="6A215768" w14:textId="3A539CE0" w:rsidR="00E13D6B" w:rsidRDefault="00915058" w:rsidP="00915058">
      <w:pPr>
        <w:rPr>
          <w:sz w:val="28"/>
          <w:szCs w:val="28"/>
        </w:rPr>
      </w:pPr>
      <w:r w:rsidRPr="00915058">
        <w:rPr>
          <w:sz w:val="28"/>
          <w:szCs w:val="28"/>
        </w:rPr>
        <w:t>However, BP faces challenges in balancing short-term profitability with long-term sustainability goals, particularly amid volatile energy prices and regulatory pressures (Rothaermel, 2019). Achieving net-zero carbon emissions by 2050 requires substantial investments in renewable energy and carbon capture technologies, posing financial and technological challenges for the company.</w:t>
      </w:r>
    </w:p>
    <w:p w14:paraId="48854CBF" w14:textId="77777777" w:rsidR="00B46E85" w:rsidRPr="00B46E85" w:rsidRDefault="00B46E85" w:rsidP="00B46E85">
      <w:pPr>
        <w:rPr>
          <w:b/>
          <w:bCs/>
          <w:sz w:val="32"/>
          <w:szCs w:val="32"/>
        </w:rPr>
      </w:pPr>
      <w:r w:rsidRPr="00B46E85">
        <w:rPr>
          <w:b/>
          <w:bCs/>
          <w:sz w:val="32"/>
          <w:szCs w:val="32"/>
        </w:rPr>
        <w:t>3.4 Evaluating Sustainability Efforts</w:t>
      </w:r>
    </w:p>
    <w:p w14:paraId="3CDE0AF6" w14:textId="77777777" w:rsidR="00B46E85" w:rsidRPr="00B46E85" w:rsidRDefault="00B46E85" w:rsidP="00B46E85">
      <w:pPr>
        <w:rPr>
          <w:sz w:val="28"/>
          <w:szCs w:val="28"/>
          <w:u w:val="single"/>
        </w:rPr>
      </w:pPr>
      <w:r w:rsidRPr="00B46E85">
        <w:rPr>
          <w:sz w:val="28"/>
          <w:szCs w:val="28"/>
        </w:rPr>
        <w:t>Assessing the sustainability endeavours of British Petroleum (BP) plc entails a holistic examination of its environmental, social, and governance (ESG) practices, as well as their alignment with corporate strategy and industry best practices. This section evaluates BP's sustainability initiatives, focusing on their effectiveness, alignment with strategic goals, and implications for long-term value creation.</w:t>
      </w:r>
    </w:p>
    <w:p w14:paraId="0A765E65" w14:textId="77777777" w:rsidR="00B46E85" w:rsidRPr="00B46E85" w:rsidRDefault="00B46E85" w:rsidP="00B46E85">
      <w:pPr>
        <w:rPr>
          <w:b/>
          <w:bCs/>
          <w:sz w:val="28"/>
          <w:szCs w:val="28"/>
        </w:rPr>
      </w:pPr>
      <w:r w:rsidRPr="00B46E85">
        <w:rPr>
          <w:b/>
          <w:bCs/>
          <w:sz w:val="28"/>
          <w:szCs w:val="28"/>
        </w:rPr>
        <w:t>Environmental Sustainability:</w:t>
      </w:r>
    </w:p>
    <w:p w14:paraId="7A1009F3" w14:textId="77777777" w:rsidR="00B46E85" w:rsidRPr="00B46E85" w:rsidRDefault="00B46E85" w:rsidP="00B46E85">
      <w:pPr>
        <w:rPr>
          <w:sz w:val="28"/>
          <w:szCs w:val="28"/>
        </w:rPr>
      </w:pPr>
      <w:r w:rsidRPr="00B46E85">
        <w:rPr>
          <w:sz w:val="28"/>
          <w:szCs w:val="28"/>
        </w:rPr>
        <w:t>BP's commitment to environmental sustainability is evident in its ambitious targets to reduce carbon emissions, conserve natural resources, and transition towards renewable energy sources (Sustainability at BP, 2024). The company's adoption of a low-carbon roadmap, as outlined in the BP Net Zero campaign, underscores its determination to address climate change and contribute to a more sustainable future.</w:t>
      </w:r>
    </w:p>
    <w:p w14:paraId="545AB77F" w14:textId="77777777" w:rsidR="00B46E85" w:rsidRPr="00B46E85" w:rsidRDefault="00B46E85" w:rsidP="00B46E85">
      <w:pPr>
        <w:rPr>
          <w:sz w:val="28"/>
          <w:szCs w:val="28"/>
        </w:rPr>
      </w:pPr>
    </w:p>
    <w:p w14:paraId="6FCF257D" w14:textId="73CAEE89" w:rsidR="00B46E85" w:rsidRPr="00B46E85" w:rsidRDefault="00B46E85" w:rsidP="00B46E85">
      <w:pPr>
        <w:rPr>
          <w:sz w:val="28"/>
          <w:szCs w:val="28"/>
        </w:rPr>
      </w:pPr>
      <w:r w:rsidRPr="00B46E85">
        <w:rPr>
          <w:sz w:val="28"/>
          <w:szCs w:val="28"/>
        </w:rPr>
        <w:lastRenderedPageBreak/>
        <w:t>Key initiatives such as investing in renewable energy projects, expanding carbon capture and storage (CCS) technologies, and improving energy efficiency across operations demonstrate BP's proactive stance towards environmental stewardship (Sustainability at BP, 2024). By aligning these efforts with its corporate strategy, BP aims to mitigate environmental risks, enhance operational resilience, and capitalise on emerging opportunities in the transition to a low-carbon economy.</w:t>
      </w:r>
    </w:p>
    <w:p w14:paraId="78DE1A7A" w14:textId="77777777" w:rsidR="00B46E85" w:rsidRPr="00B46E85" w:rsidRDefault="00B46E85" w:rsidP="00B46E85">
      <w:pPr>
        <w:rPr>
          <w:sz w:val="28"/>
          <w:szCs w:val="28"/>
        </w:rPr>
      </w:pPr>
      <w:r w:rsidRPr="00B46E85">
        <w:rPr>
          <w:b/>
          <w:bCs/>
          <w:sz w:val="28"/>
          <w:szCs w:val="28"/>
        </w:rPr>
        <w:t>Social Sustainability</w:t>
      </w:r>
      <w:r w:rsidRPr="00B46E85">
        <w:rPr>
          <w:sz w:val="28"/>
          <w:szCs w:val="28"/>
        </w:rPr>
        <w:t>:</w:t>
      </w:r>
    </w:p>
    <w:p w14:paraId="5ECB438C" w14:textId="2361DFC8" w:rsidR="00B46E85" w:rsidRPr="00B46E85" w:rsidRDefault="00B46E85" w:rsidP="00B46E85">
      <w:pPr>
        <w:rPr>
          <w:sz w:val="28"/>
          <w:szCs w:val="28"/>
        </w:rPr>
      </w:pPr>
      <w:r w:rsidRPr="00B46E85">
        <w:rPr>
          <w:sz w:val="28"/>
          <w:szCs w:val="28"/>
        </w:rPr>
        <w:t>BP's social sustainability initiatives focus on fostering community engagement, promoting diversity and inclusion, and enhancing stakeholder relations (Sustainability at BP, 2024). The company recognises the importance of building trust, fostering dialogue, and addressing societal concerns to secure its social licence to operate and maintain its reputation as a responsible corporate citizen.</w:t>
      </w:r>
    </w:p>
    <w:p w14:paraId="7953E88A" w14:textId="26BA1F5B" w:rsidR="00B46E85" w:rsidRPr="00B46E85" w:rsidRDefault="00B46E85" w:rsidP="00B46E85">
      <w:pPr>
        <w:rPr>
          <w:sz w:val="28"/>
          <w:szCs w:val="28"/>
        </w:rPr>
      </w:pPr>
      <w:r w:rsidRPr="00B46E85">
        <w:rPr>
          <w:sz w:val="28"/>
          <w:szCs w:val="28"/>
        </w:rPr>
        <w:t>Through partnerships with local communities, NGOs, and governments, BP seeks to create shared value, support socioeconomic development, and address local needs and priorities (Sustainability at BP, 2024). By investing in education, healthcare, and infrastructure projects in host communities, BP aims to leave a positive legacy and build enduring relationships based on mutual respect and collaboration.</w:t>
      </w:r>
    </w:p>
    <w:p w14:paraId="230CE075" w14:textId="77777777" w:rsidR="00B46E85" w:rsidRPr="00B46E85" w:rsidRDefault="00B46E85" w:rsidP="00B46E85">
      <w:pPr>
        <w:rPr>
          <w:sz w:val="28"/>
          <w:szCs w:val="28"/>
        </w:rPr>
      </w:pPr>
      <w:r w:rsidRPr="00B46E85">
        <w:rPr>
          <w:b/>
          <w:bCs/>
          <w:sz w:val="28"/>
          <w:szCs w:val="28"/>
        </w:rPr>
        <w:t>Governance Sustainability</w:t>
      </w:r>
      <w:r w:rsidRPr="00B46E85">
        <w:rPr>
          <w:sz w:val="28"/>
          <w:szCs w:val="28"/>
        </w:rPr>
        <w:t>:</w:t>
      </w:r>
    </w:p>
    <w:p w14:paraId="1CBB8C32" w14:textId="7366522E" w:rsidR="00B46E85" w:rsidRPr="00B46E85" w:rsidRDefault="00B46E85" w:rsidP="00B46E85">
      <w:pPr>
        <w:rPr>
          <w:sz w:val="28"/>
          <w:szCs w:val="28"/>
        </w:rPr>
      </w:pPr>
      <w:r w:rsidRPr="00B46E85">
        <w:rPr>
          <w:sz w:val="28"/>
          <w:szCs w:val="28"/>
        </w:rPr>
        <w:t>BP's governance sustainability practices are anchored in principles of transparency, accountability, and ethical conduct, as well as compliance with regulatory requirements and industry standards (Sustainability at BP, 2024). The company's board oversight, risk management frameworks, and internal controls are designed to ensure integrity, fairness, and long-term value creation for all stakeholders.</w:t>
      </w:r>
    </w:p>
    <w:p w14:paraId="61FE29F6" w14:textId="77777777" w:rsidR="00B46E85" w:rsidRPr="00B46E85" w:rsidRDefault="00B46E85" w:rsidP="00B46E85">
      <w:pPr>
        <w:rPr>
          <w:sz w:val="28"/>
          <w:szCs w:val="28"/>
        </w:rPr>
      </w:pPr>
      <w:r w:rsidRPr="00B46E85">
        <w:rPr>
          <w:sz w:val="28"/>
          <w:szCs w:val="28"/>
        </w:rPr>
        <w:t>BP's commitment to upholding high standards of corporate governance is reflected in its adherence to best practices, regular stakeholder engagement, and transparent reporting on ESG performance (Sustainability at BP, 2024). By embedding sustainability considerations into its governance structure and decision-making processes, BP aims to mitigate risks, enhance resilience, and create sustainable value for shareholders and society.</w:t>
      </w:r>
    </w:p>
    <w:p w14:paraId="6E9CAD5D" w14:textId="77777777" w:rsidR="00B46E85" w:rsidRPr="00B46E85" w:rsidRDefault="00B46E85" w:rsidP="00B46E85">
      <w:pPr>
        <w:rPr>
          <w:sz w:val="28"/>
          <w:szCs w:val="28"/>
        </w:rPr>
      </w:pPr>
    </w:p>
    <w:p w14:paraId="0BB3B150" w14:textId="77777777" w:rsidR="00B46E85" w:rsidRPr="00B46E85" w:rsidRDefault="00B46E85" w:rsidP="00B46E85">
      <w:pPr>
        <w:rPr>
          <w:sz w:val="28"/>
          <w:szCs w:val="28"/>
        </w:rPr>
      </w:pPr>
      <w:r w:rsidRPr="00B46E85">
        <w:rPr>
          <w:b/>
          <w:bCs/>
          <w:sz w:val="28"/>
          <w:szCs w:val="28"/>
        </w:rPr>
        <w:t>Evaluation and Outlook</w:t>
      </w:r>
      <w:r w:rsidRPr="00B46E85">
        <w:rPr>
          <w:sz w:val="28"/>
          <w:szCs w:val="28"/>
        </w:rPr>
        <w:t>:</w:t>
      </w:r>
    </w:p>
    <w:p w14:paraId="083B4EF1" w14:textId="3D7E3A15" w:rsidR="00B46E85" w:rsidRPr="00B46E85" w:rsidRDefault="00B46E85" w:rsidP="00B46E85">
      <w:pPr>
        <w:rPr>
          <w:sz w:val="28"/>
          <w:szCs w:val="28"/>
        </w:rPr>
      </w:pPr>
      <w:r w:rsidRPr="00B46E85">
        <w:rPr>
          <w:sz w:val="28"/>
          <w:szCs w:val="28"/>
        </w:rPr>
        <w:t>Overall, BP's sustainability efforts are commendable in their scope, ambition, and alignment with corporate strategy. However, the company faces challenges in achieving its sustainability goals, including technological barriers, regulatory uncertainties, and market dynamics (Sustainability at BP, 2024).</w:t>
      </w:r>
    </w:p>
    <w:p w14:paraId="26DF8AB0" w14:textId="66503A5B" w:rsidR="00B46E85" w:rsidRDefault="00B46E85" w:rsidP="00B46E85">
      <w:pPr>
        <w:rPr>
          <w:sz w:val="28"/>
          <w:szCs w:val="28"/>
        </w:rPr>
      </w:pPr>
      <w:r w:rsidRPr="00B46E85">
        <w:rPr>
          <w:sz w:val="28"/>
          <w:szCs w:val="28"/>
        </w:rPr>
        <w:t>Moving forward, BP must continue to invest in innovation, stakeholder engagement, and risk management to overcome these challenges and realise its vision of a sustainable energy future (Sustainability at BP, 2024). By integrating sustainability into its core business practices and decision-making processes, BP can enhance its competitiveness, resilience, and long-term value creation potential.</w:t>
      </w:r>
    </w:p>
    <w:p w14:paraId="10092B02" w14:textId="3CA652F4" w:rsidR="00B46E85" w:rsidRPr="00D66F72" w:rsidRDefault="00D66F72" w:rsidP="00B46E85">
      <w:pPr>
        <w:rPr>
          <w:sz w:val="32"/>
          <w:szCs w:val="32"/>
        </w:rPr>
      </w:pPr>
      <w:r w:rsidRPr="00874F7D">
        <w:rPr>
          <w:b/>
          <w:bCs/>
          <w:sz w:val="32"/>
          <w:szCs w:val="32"/>
        </w:rPr>
        <w:t>4.Conclusion</w:t>
      </w:r>
      <w:r>
        <w:rPr>
          <w:sz w:val="32"/>
          <w:szCs w:val="32"/>
        </w:rPr>
        <w:t>:</w:t>
      </w:r>
    </w:p>
    <w:p w14:paraId="28125FBC" w14:textId="6C324DF3" w:rsidR="00231473" w:rsidRDefault="00231473" w:rsidP="00B46E85">
      <w:pPr>
        <w:rPr>
          <w:sz w:val="28"/>
          <w:szCs w:val="28"/>
        </w:rPr>
      </w:pPr>
      <w:r w:rsidRPr="00231473">
        <w:rPr>
          <w:sz w:val="28"/>
          <w:szCs w:val="28"/>
        </w:rPr>
        <w:t>In conclusion, British Petroleum (BP) plc exemplifies strategic management excellence in the dynamic and highly competitive energy sector. Throughout this report, we have examined BP's strategic framework, business strategies, resource allocation practices, and sustainability initiatives, shedding light on the company's strategic posture and its implications for long-term success and sustainability.</w:t>
      </w:r>
      <w:r w:rsidR="00D66F72" w:rsidRPr="00D66F72">
        <w:t xml:space="preserve"> </w:t>
      </w:r>
      <w:r w:rsidR="00D66F72" w:rsidRPr="00D66F72">
        <w:rPr>
          <w:sz w:val="28"/>
          <w:szCs w:val="28"/>
        </w:rPr>
        <w:t>British Petroleum (BP) plc stands at the forefront of strategic management and sustainability in the energy sector. By embracing innovation, diversification, and sustainability, BP is well-positioned to navigate the complexities of the energy landscape and create sustainable value for generations to come.</w:t>
      </w:r>
    </w:p>
    <w:p w14:paraId="1159965E" w14:textId="77777777" w:rsidR="00787C7C" w:rsidRDefault="00787C7C" w:rsidP="00915058">
      <w:pPr>
        <w:rPr>
          <w:sz w:val="28"/>
          <w:szCs w:val="28"/>
        </w:rPr>
      </w:pPr>
    </w:p>
    <w:p w14:paraId="19B98316" w14:textId="0F5C8A59" w:rsidR="00DA0029" w:rsidRDefault="00DA0029" w:rsidP="00915058">
      <w:pPr>
        <w:rPr>
          <w:sz w:val="28"/>
          <w:szCs w:val="28"/>
        </w:rPr>
      </w:pPr>
    </w:p>
    <w:p w14:paraId="6C3426EF" w14:textId="77777777" w:rsidR="00DA0029" w:rsidRDefault="00DA0029">
      <w:pPr>
        <w:rPr>
          <w:sz w:val="28"/>
          <w:szCs w:val="28"/>
        </w:rPr>
      </w:pPr>
      <w:r>
        <w:rPr>
          <w:sz w:val="28"/>
          <w:szCs w:val="28"/>
        </w:rPr>
        <w:br w:type="page"/>
      </w:r>
    </w:p>
    <w:p w14:paraId="6FBE571A" w14:textId="0ED26025" w:rsidR="0024665B" w:rsidRPr="0024665B" w:rsidRDefault="00DA0029" w:rsidP="0024665B">
      <w:pPr>
        <w:jc w:val="center"/>
        <w:rPr>
          <w:sz w:val="28"/>
          <w:szCs w:val="28"/>
        </w:rPr>
      </w:pPr>
      <w:proofErr w:type="gramStart"/>
      <w:r w:rsidRPr="00DA0029">
        <w:rPr>
          <w:b/>
          <w:bCs/>
          <w:sz w:val="52"/>
          <w:szCs w:val="52"/>
        </w:rPr>
        <w:lastRenderedPageBreak/>
        <w:t>References</w:t>
      </w:r>
      <w:r w:rsidR="0024665B">
        <w:rPr>
          <w:b/>
          <w:bCs/>
          <w:sz w:val="52"/>
          <w:szCs w:val="52"/>
        </w:rPr>
        <w:t xml:space="preserve"> :</w:t>
      </w:r>
      <w:proofErr w:type="gramEnd"/>
      <w:r w:rsidR="0024665B">
        <w:rPr>
          <w:b/>
          <w:bCs/>
          <w:sz w:val="52"/>
          <w:szCs w:val="52"/>
        </w:rPr>
        <w:br/>
      </w:r>
    </w:p>
    <w:p w14:paraId="1D6FF801" w14:textId="21606C94" w:rsidR="0024665B" w:rsidRPr="0024665B" w:rsidRDefault="0024665B" w:rsidP="0024665B">
      <w:pPr>
        <w:jc w:val="center"/>
        <w:rPr>
          <w:sz w:val="28"/>
          <w:szCs w:val="28"/>
        </w:rPr>
      </w:pPr>
      <w:r w:rsidRPr="0024665B">
        <w:rPr>
          <w:sz w:val="28"/>
          <w:szCs w:val="28"/>
        </w:rPr>
        <w:t>Aaker, D.A. and Moorman, C. (2023). Strategic market management. John Wiley &amp; Sons.</w:t>
      </w:r>
    </w:p>
    <w:p w14:paraId="26B64F47" w14:textId="187533FA" w:rsidR="0024665B" w:rsidRPr="0024665B" w:rsidRDefault="0024665B" w:rsidP="0024665B">
      <w:pPr>
        <w:jc w:val="center"/>
        <w:rPr>
          <w:sz w:val="28"/>
          <w:szCs w:val="28"/>
        </w:rPr>
      </w:pPr>
      <w:proofErr w:type="spellStart"/>
      <w:r w:rsidRPr="0024665B">
        <w:rPr>
          <w:sz w:val="28"/>
          <w:szCs w:val="28"/>
        </w:rPr>
        <w:t>Aguinis</w:t>
      </w:r>
      <w:proofErr w:type="spellEnd"/>
      <w:r w:rsidRPr="0024665B">
        <w:rPr>
          <w:sz w:val="28"/>
          <w:szCs w:val="28"/>
        </w:rPr>
        <w:t xml:space="preserve">, H. and </w:t>
      </w:r>
      <w:proofErr w:type="spellStart"/>
      <w:r w:rsidRPr="0024665B">
        <w:rPr>
          <w:sz w:val="28"/>
          <w:szCs w:val="28"/>
        </w:rPr>
        <w:t>Solarino</w:t>
      </w:r>
      <w:proofErr w:type="spellEnd"/>
      <w:r w:rsidRPr="0024665B">
        <w:rPr>
          <w:sz w:val="28"/>
          <w:szCs w:val="28"/>
        </w:rPr>
        <w:t>, A.M. (2019). Transparency and replicability in qualitative research: The case of interviews with elite informants. Strategic Management Journal, 40(8), pp.1291-1315.</w:t>
      </w:r>
    </w:p>
    <w:p w14:paraId="5C4E188F" w14:textId="2F88F800" w:rsidR="0024665B" w:rsidRPr="0024665B" w:rsidRDefault="0024665B" w:rsidP="0024665B">
      <w:pPr>
        <w:jc w:val="center"/>
        <w:rPr>
          <w:sz w:val="28"/>
          <w:szCs w:val="28"/>
        </w:rPr>
      </w:pPr>
      <w:r w:rsidRPr="0024665B">
        <w:rPr>
          <w:sz w:val="28"/>
          <w:szCs w:val="28"/>
        </w:rPr>
        <w:t xml:space="preserve">Armstrong, M. (2020). Strategic human resource management: </w:t>
      </w:r>
      <w:r>
        <w:rPr>
          <w:sz w:val="28"/>
          <w:szCs w:val="28"/>
        </w:rPr>
        <w:t>An action guide</w:t>
      </w:r>
      <w:r w:rsidRPr="0024665B">
        <w:rPr>
          <w:sz w:val="28"/>
          <w:szCs w:val="28"/>
        </w:rPr>
        <w:t>. Kogan Page.</w:t>
      </w:r>
    </w:p>
    <w:p w14:paraId="17F7E5A0" w14:textId="41878074" w:rsidR="0024665B" w:rsidRPr="0024665B" w:rsidRDefault="0024665B" w:rsidP="0024665B">
      <w:pPr>
        <w:jc w:val="center"/>
        <w:rPr>
          <w:sz w:val="28"/>
          <w:szCs w:val="28"/>
        </w:rPr>
      </w:pPr>
      <w:proofErr w:type="spellStart"/>
      <w:r w:rsidRPr="0024665B">
        <w:rPr>
          <w:sz w:val="28"/>
          <w:szCs w:val="28"/>
        </w:rPr>
        <w:t>Burgelman</w:t>
      </w:r>
      <w:proofErr w:type="spellEnd"/>
      <w:r w:rsidRPr="0024665B">
        <w:rPr>
          <w:sz w:val="28"/>
          <w:szCs w:val="28"/>
        </w:rPr>
        <w:t>, R.A. (2020). Strategy is destiny: How strategy-making shapes a company's future. Free Press.</w:t>
      </w:r>
    </w:p>
    <w:p w14:paraId="19EF8A96" w14:textId="0163AB74" w:rsidR="0024665B" w:rsidRPr="0024665B" w:rsidRDefault="0024665B" w:rsidP="0024665B">
      <w:pPr>
        <w:jc w:val="center"/>
        <w:rPr>
          <w:sz w:val="28"/>
          <w:szCs w:val="28"/>
        </w:rPr>
      </w:pPr>
      <w:proofErr w:type="spellStart"/>
      <w:r w:rsidRPr="0024665B">
        <w:rPr>
          <w:sz w:val="28"/>
          <w:szCs w:val="28"/>
        </w:rPr>
        <w:t>Centobelli</w:t>
      </w:r>
      <w:proofErr w:type="spellEnd"/>
      <w:r w:rsidRPr="0024665B">
        <w:rPr>
          <w:sz w:val="28"/>
          <w:szCs w:val="28"/>
        </w:rPr>
        <w:t xml:space="preserve">, P., </w:t>
      </w:r>
      <w:proofErr w:type="spellStart"/>
      <w:r w:rsidRPr="0024665B">
        <w:rPr>
          <w:sz w:val="28"/>
          <w:szCs w:val="28"/>
        </w:rPr>
        <w:t>Cerchione</w:t>
      </w:r>
      <w:proofErr w:type="spellEnd"/>
      <w:r w:rsidRPr="0024665B">
        <w:rPr>
          <w:sz w:val="28"/>
          <w:szCs w:val="28"/>
        </w:rPr>
        <w:t xml:space="preserve">, R., </w:t>
      </w:r>
      <w:proofErr w:type="spellStart"/>
      <w:r w:rsidRPr="0024665B">
        <w:rPr>
          <w:sz w:val="28"/>
          <w:szCs w:val="28"/>
        </w:rPr>
        <w:t>Chiaroni</w:t>
      </w:r>
      <w:proofErr w:type="spellEnd"/>
      <w:r w:rsidRPr="0024665B">
        <w:rPr>
          <w:sz w:val="28"/>
          <w:szCs w:val="28"/>
        </w:rPr>
        <w:t>, D., Del Vecchio, P. and Urbinati, A. (2020). Designing business models in circular economy: A systematic literature review and research agenda. Business Strategy and the Environment, 29(4), pp.1734-1749.</w:t>
      </w:r>
    </w:p>
    <w:p w14:paraId="5C5A663B" w14:textId="639F09AB" w:rsidR="0024665B" w:rsidRPr="0024665B" w:rsidRDefault="0024665B" w:rsidP="0024665B">
      <w:pPr>
        <w:jc w:val="center"/>
        <w:rPr>
          <w:sz w:val="28"/>
          <w:szCs w:val="28"/>
        </w:rPr>
      </w:pPr>
      <w:r w:rsidRPr="0024665B">
        <w:rPr>
          <w:sz w:val="28"/>
          <w:szCs w:val="28"/>
        </w:rPr>
        <w:t>Freeman, R.E. (2023). Stakeholder management: framework and philosophy. In R. Edward Freeman’s Selected Works on Stakeholder Theory and Business Ethics (pp. 61-88). Cham: Springer International Publishing.</w:t>
      </w:r>
    </w:p>
    <w:p w14:paraId="1310BB61" w14:textId="77777777" w:rsidR="0024665B" w:rsidRPr="0024665B" w:rsidRDefault="0024665B" w:rsidP="0024665B">
      <w:pPr>
        <w:jc w:val="center"/>
        <w:rPr>
          <w:sz w:val="28"/>
          <w:szCs w:val="28"/>
        </w:rPr>
      </w:pPr>
      <w:r w:rsidRPr="0024665B">
        <w:rPr>
          <w:sz w:val="28"/>
          <w:szCs w:val="28"/>
        </w:rPr>
        <w:t xml:space="preserve">Freeman, R.E., </w:t>
      </w:r>
      <w:proofErr w:type="spellStart"/>
      <w:r w:rsidRPr="0024665B">
        <w:rPr>
          <w:sz w:val="28"/>
          <w:szCs w:val="28"/>
        </w:rPr>
        <w:t>Dmytriyev</w:t>
      </w:r>
      <w:proofErr w:type="spellEnd"/>
      <w:r w:rsidRPr="0024665B">
        <w:rPr>
          <w:sz w:val="28"/>
          <w:szCs w:val="28"/>
        </w:rPr>
        <w:t>, S.D. and Phillips, R.A. (2021). Stakeholder theory and the resource-based view of the firm. Journal of Management, 47(7), pp.1757-1770.</w:t>
      </w:r>
    </w:p>
    <w:p w14:paraId="03F138D5" w14:textId="77777777" w:rsidR="0024665B" w:rsidRPr="0024665B" w:rsidRDefault="0024665B" w:rsidP="0024665B">
      <w:pPr>
        <w:jc w:val="center"/>
        <w:rPr>
          <w:sz w:val="28"/>
          <w:szCs w:val="28"/>
        </w:rPr>
      </w:pPr>
    </w:p>
    <w:p w14:paraId="0E215D6D" w14:textId="52D6C989" w:rsidR="0024665B" w:rsidRPr="0024665B" w:rsidRDefault="0024665B" w:rsidP="0024665B">
      <w:pPr>
        <w:jc w:val="center"/>
        <w:rPr>
          <w:sz w:val="28"/>
          <w:szCs w:val="28"/>
        </w:rPr>
      </w:pPr>
      <w:r w:rsidRPr="0024665B">
        <w:rPr>
          <w:sz w:val="28"/>
          <w:szCs w:val="28"/>
        </w:rPr>
        <w:t xml:space="preserve">Kretschmer, T., </w:t>
      </w:r>
      <w:proofErr w:type="spellStart"/>
      <w:r w:rsidRPr="0024665B">
        <w:rPr>
          <w:sz w:val="28"/>
          <w:szCs w:val="28"/>
        </w:rPr>
        <w:t>Leiponen</w:t>
      </w:r>
      <w:proofErr w:type="spellEnd"/>
      <w:r w:rsidRPr="0024665B">
        <w:rPr>
          <w:sz w:val="28"/>
          <w:szCs w:val="28"/>
        </w:rPr>
        <w:t>, A., Schilling, M. and Vasudeva, G. (2022). Platform ecosystems as meta</w:t>
      </w:r>
      <w:r w:rsidRPr="0024665B">
        <w:rPr>
          <w:rFonts w:ascii="Cambria Math" w:hAnsi="Cambria Math" w:cs="Cambria Math"/>
          <w:sz w:val="28"/>
          <w:szCs w:val="28"/>
        </w:rPr>
        <w:t>‐</w:t>
      </w:r>
      <w:r w:rsidRPr="0024665B">
        <w:rPr>
          <w:sz w:val="28"/>
          <w:szCs w:val="28"/>
        </w:rPr>
        <w:t>organizations: Implications for platform strategies. Strategic Management Journal, 43(3), pp.405-424.</w:t>
      </w:r>
    </w:p>
    <w:p w14:paraId="6322D9AC" w14:textId="0708EAD2" w:rsidR="0024665B" w:rsidRPr="0024665B" w:rsidRDefault="0024665B" w:rsidP="0024665B">
      <w:pPr>
        <w:jc w:val="center"/>
        <w:rPr>
          <w:sz w:val="28"/>
          <w:szCs w:val="28"/>
        </w:rPr>
      </w:pPr>
      <w:r w:rsidRPr="0024665B">
        <w:rPr>
          <w:sz w:val="28"/>
          <w:szCs w:val="28"/>
        </w:rPr>
        <w:t>Rosenbaum-Elliott, R. (2020). Strategic advertising management. Oxford University Press.</w:t>
      </w:r>
    </w:p>
    <w:p w14:paraId="2F275826" w14:textId="440D437B" w:rsidR="0024665B" w:rsidRPr="0024665B" w:rsidRDefault="0024665B" w:rsidP="0024665B">
      <w:pPr>
        <w:jc w:val="center"/>
        <w:rPr>
          <w:sz w:val="28"/>
          <w:szCs w:val="28"/>
        </w:rPr>
      </w:pPr>
      <w:r w:rsidRPr="0024665B">
        <w:rPr>
          <w:sz w:val="28"/>
          <w:szCs w:val="28"/>
        </w:rPr>
        <w:t>Rothaermel, F.T. (2019). Strategic management. McGraw-Hill.</w:t>
      </w:r>
    </w:p>
    <w:p w14:paraId="68B9C122" w14:textId="60DF2FCE" w:rsidR="0024665B" w:rsidRPr="0024665B" w:rsidRDefault="0024665B" w:rsidP="0024665B">
      <w:pPr>
        <w:jc w:val="center"/>
        <w:rPr>
          <w:sz w:val="28"/>
          <w:szCs w:val="28"/>
        </w:rPr>
      </w:pPr>
      <w:r w:rsidRPr="0024665B">
        <w:rPr>
          <w:sz w:val="28"/>
          <w:szCs w:val="28"/>
        </w:rPr>
        <w:t>Schermerhorn Jr, J.R. and Bachrach, D.G. (2023). Management. John Wiley &amp; Sons.</w:t>
      </w:r>
    </w:p>
    <w:p w14:paraId="78CEC5F7" w14:textId="6B094B0A" w:rsidR="0024665B" w:rsidRPr="0024665B" w:rsidRDefault="0024665B" w:rsidP="0024665B">
      <w:pPr>
        <w:jc w:val="center"/>
        <w:rPr>
          <w:sz w:val="28"/>
          <w:szCs w:val="28"/>
        </w:rPr>
      </w:pPr>
      <w:r w:rsidRPr="0024665B">
        <w:rPr>
          <w:sz w:val="28"/>
          <w:szCs w:val="28"/>
        </w:rPr>
        <w:lastRenderedPageBreak/>
        <w:t>Schermerhorn Jr, J.R., Bachrach, D.G. and Wright, B. (2020). Management. John Wiley &amp; Sons.</w:t>
      </w:r>
    </w:p>
    <w:p w14:paraId="674C52E9" w14:textId="46CAC1FB" w:rsidR="0024665B" w:rsidRPr="0024665B" w:rsidRDefault="0024665B" w:rsidP="0024665B">
      <w:pPr>
        <w:jc w:val="center"/>
        <w:rPr>
          <w:sz w:val="28"/>
          <w:szCs w:val="28"/>
        </w:rPr>
      </w:pPr>
      <w:r w:rsidRPr="0024665B">
        <w:rPr>
          <w:sz w:val="28"/>
          <w:szCs w:val="28"/>
        </w:rPr>
        <w:t>Simons, R. (2019). The role of management control systems in creating competitive advantage: new perspectives. In Management Control Theory (pp. 173-194). Routledge.</w:t>
      </w:r>
    </w:p>
    <w:p w14:paraId="38DEE4FB" w14:textId="604E0A20" w:rsidR="0024665B" w:rsidRPr="0024665B" w:rsidRDefault="0024665B" w:rsidP="0024665B">
      <w:pPr>
        <w:jc w:val="center"/>
        <w:rPr>
          <w:sz w:val="28"/>
          <w:szCs w:val="28"/>
        </w:rPr>
      </w:pPr>
      <w:r w:rsidRPr="0024665B">
        <w:rPr>
          <w:sz w:val="28"/>
          <w:szCs w:val="28"/>
        </w:rPr>
        <w:t>Teece, D.J. (2019). A capability theory of the firm: an economics and (strategic) management perspective. New Zealand Economic Papers, 53(1), pp.1-43.</w:t>
      </w:r>
    </w:p>
    <w:p w14:paraId="499BCB49" w14:textId="47148238" w:rsidR="0024665B" w:rsidRPr="0024665B" w:rsidRDefault="0024665B" w:rsidP="0024665B">
      <w:pPr>
        <w:jc w:val="center"/>
        <w:rPr>
          <w:sz w:val="28"/>
          <w:szCs w:val="28"/>
        </w:rPr>
      </w:pPr>
      <w:r w:rsidRPr="0024665B">
        <w:rPr>
          <w:sz w:val="28"/>
          <w:szCs w:val="28"/>
        </w:rPr>
        <w:t>Tescoplc.com. (2024). [online]. Accessed from https://www.tescoplc.com/ [Accessed on 15th April 2024].</w:t>
      </w:r>
    </w:p>
    <w:p w14:paraId="3FB2E2AE" w14:textId="6110F394" w:rsidR="0024665B" w:rsidRPr="0024665B" w:rsidRDefault="0024665B" w:rsidP="0024665B">
      <w:pPr>
        <w:jc w:val="center"/>
        <w:rPr>
          <w:sz w:val="28"/>
          <w:szCs w:val="28"/>
        </w:rPr>
      </w:pPr>
      <w:r w:rsidRPr="0024665B">
        <w:rPr>
          <w:sz w:val="28"/>
          <w:szCs w:val="28"/>
        </w:rPr>
        <w:t>Tescoplc.com. (2024). Sustainability at Tesco. [online]. Accessed from https://www.tescoplc.com/sustainability#:~:text=We%20were%20the%20first%20business,farm%20to%20fork%20by%202050. [Accessed on 15th April 2024].</w:t>
      </w:r>
    </w:p>
    <w:p w14:paraId="727D4615" w14:textId="263961B6" w:rsidR="0024665B" w:rsidRPr="0024665B" w:rsidRDefault="0024665B" w:rsidP="0024665B">
      <w:pPr>
        <w:jc w:val="center"/>
        <w:rPr>
          <w:sz w:val="28"/>
          <w:szCs w:val="28"/>
        </w:rPr>
      </w:pPr>
      <w:r w:rsidRPr="0024665B">
        <w:rPr>
          <w:sz w:val="28"/>
          <w:szCs w:val="28"/>
        </w:rPr>
        <w:t>Tescoplc.com. (2024). Business Strategy of Tesco. [online]. Accessed from https://www.retail-week.com/retail-navigator/tesco/tesco-strategy/7037600.supplierarticle#:~:text=CEO%20Ken%20Murphy%20set%20out,centre%20of%20its%20evolving%20ecosystem [Accessed on 15th April 2024].</w:t>
      </w:r>
    </w:p>
    <w:p w14:paraId="6C481587" w14:textId="1C0CE419" w:rsidR="0024665B" w:rsidRPr="0024665B" w:rsidRDefault="0024665B" w:rsidP="0024665B">
      <w:pPr>
        <w:jc w:val="center"/>
        <w:rPr>
          <w:sz w:val="28"/>
          <w:szCs w:val="28"/>
        </w:rPr>
      </w:pPr>
      <w:r w:rsidRPr="0024665B">
        <w:rPr>
          <w:sz w:val="28"/>
          <w:szCs w:val="28"/>
        </w:rPr>
        <w:t>Tescoplc.com. (2024). Corporate Strategy of Tesco. [online]. Accessed from https://www.retail-week.com/retail-navigator/tesco/tesco-strategy/7037600.supplierarticle#:~:text=Tesco%20aims%20to%20serve%20customers,behaviour%20and%20shifting%20channel%20priorities. [Accessed on 15th April 2024].</w:t>
      </w:r>
    </w:p>
    <w:p w14:paraId="47724332" w14:textId="1B686ECB" w:rsidR="0024665B" w:rsidRPr="0024665B" w:rsidRDefault="0024665B" w:rsidP="0024665B">
      <w:pPr>
        <w:jc w:val="center"/>
        <w:rPr>
          <w:sz w:val="28"/>
          <w:szCs w:val="28"/>
        </w:rPr>
      </w:pPr>
      <w:r w:rsidRPr="0024665B">
        <w:rPr>
          <w:sz w:val="28"/>
          <w:szCs w:val="28"/>
        </w:rPr>
        <w:t xml:space="preserve">Zerfass, A., </w:t>
      </w:r>
      <w:proofErr w:type="spellStart"/>
      <w:r w:rsidRPr="0024665B">
        <w:rPr>
          <w:sz w:val="28"/>
          <w:szCs w:val="28"/>
        </w:rPr>
        <w:t>Verčič</w:t>
      </w:r>
      <w:proofErr w:type="spellEnd"/>
      <w:r w:rsidRPr="0024665B">
        <w:rPr>
          <w:sz w:val="28"/>
          <w:szCs w:val="28"/>
        </w:rPr>
        <w:t xml:space="preserve">, D., </w:t>
      </w:r>
      <w:proofErr w:type="spellStart"/>
      <w:r w:rsidRPr="0024665B">
        <w:rPr>
          <w:sz w:val="28"/>
          <w:szCs w:val="28"/>
        </w:rPr>
        <w:t>Nothhaft</w:t>
      </w:r>
      <w:proofErr w:type="spellEnd"/>
      <w:r w:rsidRPr="0024665B">
        <w:rPr>
          <w:sz w:val="28"/>
          <w:szCs w:val="28"/>
        </w:rPr>
        <w:t>, H. and Werder, K.P. (2020). Strategic communication: Defining the field and its contribution to research and practice. In Future directions of strategic communication (pp. 159-177). Routledge.</w:t>
      </w:r>
    </w:p>
    <w:p w14:paraId="0588A3D8" w14:textId="77777777" w:rsidR="0024665B" w:rsidRPr="0024665B" w:rsidRDefault="0024665B" w:rsidP="0024665B">
      <w:pPr>
        <w:jc w:val="center"/>
        <w:rPr>
          <w:sz w:val="28"/>
          <w:szCs w:val="28"/>
        </w:rPr>
      </w:pPr>
    </w:p>
    <w:p w14:paraId="66023E4D" w14:textId="77777777" w:rsidR="0024665B" w:rsidRPr="0024665B" w:rsidRDefault="0024665B" w:rsidP="0024665B">
      <w:pPr>
        <w:jc w:val="center"/>
        <w:rPr>
          <w:sz w:val="28"/>
          <w:szCs w:val="28"/>
        </w:rPr>
      </w:pPr>
    </w:p>
    <w:p w14:paraId="7F1D0FF2" w14:textId="77777777" w:rsidR="0024665B" w:rsidRPr="0024665B" w:rsidRDefault="0024665B" w:rsidP="0024665B">
      <w:pPr>
        <w:jc w:val="center"/>
        <w:rPr>
          <w:sz w:val="28"/>
          <w:szCs w:val="28"/>
        </w:rPr>
      </w:pPr>
    </w:p>
    <w:p w14:paraId="1B39B189" w14:textId="18F9C069" w:rsidR="00787C7C" w:rsidRPr="0024665B" w:rsidRDefault="00787C7C" w:rsidP="0024665B">
      <w:pPr>
        <w:jc w:val="center"/>
        <w:rPr>
          <w:sz w:val="28"/>
          <w:szCs w:val="28"/>
        </w:rPr>
      </w:pPr>
    </w:p>
    <w:sectPr w:rsidR="00787C7C" w:rsidRPr="0024665B">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1FBF26" w14:textId="77777777" w:rsidR="000547DF" w:rsidRDefault="000547DF" w:rsidP="000547DF">
      <w:pPr>
        <w:spacing w:after="0" w:line="240" w:lineRule="auto"/>
      </w:pPr>
      <w:r>
        <w:separator/>
      </w:r>
    </w:p>
  </w:endnote>
  <w:endnote w:type="continuationSeparator" w:id="0">
    <w:p w14:paraId="0F989CFE" w14:textId="77777777" w:rsidR="000547DF" w:rsidRDefault="000547DF" w:rsidP="000547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4452022"/>
      <w:docPartObj>
        <w:docPartGallery w:val="Page Numbers (Bottom of Page)"/>
        <w:docPartUnique/>
      </w:docPartObj>
    </w:sdtPr>
    <w:sdtEndPr>
      <w:rPr>
        <w:noProof/>
      </w:rPr>
    </w:sdtEndPr>
    <w:sdtContent>
      <w:p w14:paraId="7AD71202" w14:textId="4568C250" w:rsidR="00207C57" w:rsidRDefault="00207C57">
        <w:pPr>
          <w:pStyle w:val="Footer"/>
        </w:pPr>
        <w:r>
          <w:fldChar w:fldCharType="begin"/>
        </w:r>
        <w:r>
          <w:instrText xml:space="preserve"> PAGE   \* MERGEFORMAT </w:instrText>
        </w:r>
        <w:r>
          <w:fldChar w:fldCharType="separate"/>
        </w:r>
        <w:r>
          <w:rPr>
            <w:noProof/>
          </w:rPr>
          <w:t>2</w:t>
        </w:r>
        <w:r>
          <w:rPr>
            <w:noProof/>
          </w:rPr>
          <w:fldChar w:fldCharType="end"/>
        </w:r>
      </w:p>
    </w:sdtContent>
  </w:sdt>
  <w:p w14:paraId="631BD131" w14:textId="77777777" w:rsidR="00207C57" w:rsidRDefault="00207C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933390" w14:textId="77777777" w:rsidR="000547DF" w:rsidRDefault="000547DF" w:rsidP="000547DF">
      <w:pPr>
        <w:spacing w:after="0" w:line="240" w:lineRule="auto"/>
      </w:pPr>
      <w:r>
        <w:separator/>
      </w:r>
    </w:p>
  </w:footnote>
  <w:footnote w:type="continuationSeparator" w:id="0">
    <w:p w14:paraId="7ABBF3D0" w14:textId="77777777" w:rsidR="000547DF" w:rsidRDefault="000547DF" w:rsidP="000547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107A7F" w14:textId="40382417" w:rsidR="000547DF" w:rsidRPr="000547DF" w:rsidRDefault="000547DF">
    <w:pPr>
      <w:pStyle w:val="Header"/>
      <w:rPr>
        <w:sz w:val="32"/>
        <w:szCs w:val="32"/>
      </w:rPr>
    </w:pPr>
    <w:r w:rsidRPr="000547DF">
      <w:rPr>
        <w:sz w:val="32"/>
        <w:szCs w:val="32"/>
      </w:rPr>
      <w:t>Strategic Management and Sustainability</w:t>
    </w:r>
  </w:p>
  <w:p w14:paraId="4C927EE2" w14:textId="77777777" w:rsidR="000547DF" w:rsidRDefault="000547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D1B5B"/>
    <w:multiLevelType w:val="hybridMultilevel"/>
    <w:tmpl w:val="D7067824"/>
    <w:lvl w:ilvl="0" w:tplc="1942733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82775B"/>
    <w:multiLevelType w:val="multilevel"/>
    <w:tmpl w:val="0EBA3C40"/>
    <w:lvl w:ilvl="0">
      <w:start w:val="1"/>
      <w:numFmt w:val="decimal"/>
      <w:pStyle w:val="Heading1"/>
      <w:lvlText w:val="%1"/>
      <w:lvlJc w:val="left"/>
      <w:pPr>
        <w:ind w:left="3126" w:hanging="432"/>
      </w:pPr>
    </w:lvl>
    <w:lvl w:ilvl="1">
      <w:start w:val="1"/>
      <w:numFmt w:val="decimal"/>
      <w:pStyle w:val="Heading2"/>
      <w:lvlText w:val="%1.%2"/>
      <w:lvlJc w:val="left"/>
      <w:pPr>
        <w:ind w:left="3270" w:hanging="576"/>
      </w:pPr>
    </w:lvl>
    <w:lvl w:ilvl="2">
      <w:start w:val="1"/>
      <w:numFmt w:val="decimal"/>
      <w:pStyle w:val="Heading3"/>
      <w:lvlText w:val="%1.%2.%3"/>
      <w:lvlJc w:val="left"/>
      <w:pPr>
        <w:ind w:left="3414" w:hanging="720"/>
      </w:pPr>
    </w:lvl>
    <w:lvl w:ilvl="3">
      <w:start w:val="1"/>
      <w:numFmt w:val="decimal"/>
      <w:pStyle w:val="Heading4"/>
      <w:lvlText w:val="%1.%2.%3.%4"/>
      <w:lvlJc w:val="left"/>
      <w:pPr>
        <w:ind w:left="3558" w:hanging="864"/>
      </w:pPr>
    </w:lvl>
    <w:lvl w:ilvl="4">
      <w:start w:val="1"/>
      <w:numFmt w:val="decimal"/>
      <w:pStyle w:val="Heading5"/>
      <w:lvlText w:val="%1.%2.%3.%4.%5"/>
      <w:lvlJc w:val="left"/>
      <w:pPr>
        <w:ind w:left="3702" w:hanging="1008"/>
      </w:pPr>
    </w:lvl>
    <w:lvl w:ilvl="5">
      <w:start w:val="1"/>
      <w:numFmt w:val="decimal"/>
      <w:pStyle w:val="Heading6"/>
      <w:lvlText w:val="%1.%2.%3.%4.%5.%6"/>
      <w:lvlJc w:val="left"/>
      <w:pPr>
        <w:ind w:left="3846" w:hanging="1152"/>
      </w:pPr>
    </w:lvl>
    <w:lvl w:ilvl="6">
      <w:start w:val="1"/>
      <w:numFmt w:val="decimal"/>
      <w:pStyle w:val="Heading7"/>
      <w:lvlText w:val="%1.%2.%3.%4.%5.%6.%7"/>
      <w:lvlJc w:val="left"/>
      <w:pPr>
        <w:ind w:left="3990" w:hanging="1296"/>
      </w:pPr>
    </w:lvl>
    <w:lvl w:ilvl="7">
      <w:start w:val="1"/>
      <w:numFmt w:val="decimal"/>
      <w:pStyle w:val="Heading8"/>
      <w:lvlText w:val="%1.%2.%3.%4.%5.%6.%7.%8"/>
      <w:lvlJc w:val="left"/>
      <w:pPr>
        <w:ind w:left="4134" w:hanging="1440"/>
      </w:pPr>
    </w:lvl>
    <w:lvl w:ilvl="8">
      <w:start w:val="1"/>
      <w:numFmt w:val="decimal"/>
      <w:pStyle w:val="Heading9"/>
      <w:lvlText w:val="%1.%2.%3.%4.%5.%6.%7.%8.%9"/>
      <w:lvlJc w:val="left"/>
      <w:pPr>
        <w:ind w:left="4278" w:hanging="1584"/>
      </w:pPr>
    </w:lvl>
  </w:abstractNum>
  <w:abstractNum w:abstractNumId="2" w15:restartNumberingAfterBreak="0">
    <w:nsid w:val="50687C28"/>
    <w:multiLevelType w:val="hybridMultilevel"/>
    <w:tmpl w:val="B3180C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C2739E"/>
    <w:multiLevelType w:val="hybridMultilevel"/>
    <w:tmpl w:val="864482C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8138451">
    <w:abstractNumId w:val="1"/>
  </w:num>
  <w:num w:numId="2" w16cid:durableId="1831285125">
    <w:abstractNumId w:val="1"/>
  </w:num>
  <w:num w:numId="3" w16cid:durableId="1048528411">
    <w:abstractNumId w:val="1"/>
  </w:num>
  <w:num w:numId="4" w16cid:durableId="1890073868">
    <w:abstractNumId w:val="1"/>
  </w:num>
  <w:num w:numId="5" w16cid:durableId="1457945561">
    <w:abstractNumId w:val="1"/>
  </w:num>
  <w:num w:numId="6" w16cid:durableId="1504081883">
    <w:abstractNumId w:val="1"/>
  </w:num>
  <w:num w:numId="7" w16cid:durableId="13070767">
    <w:abstractNumId w:val="1"/>
  </w:num>
  <w:num w:numId="8" w16cid:durableId="1411467648">
    <w:abstractNumId w:val="1"/>
  </w:num>
  <w:num w:numId="9" w16cid:durableId="1887646120">
    <w:abstractNumId w:val="1"/>
  </w:num>
  <w:num w:numId="10" w16cid:durableId="1848012194">
    <w:abstractNumId w:val="1"/>
  </w:num>
  <w:num w:numId="11" w16cid:durableId="1937711120">
    <w:abstractNumId w:val="2"/>
  </w:num>
  <w:num w:numId="12" w16cid:durableId="243339621">
    <w:abstractNumId w:val="0"/>
  </w:num>
  <w:num w:numId="13" w16cid:durableId="18307529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47DF"/>
    <w:rsid w:val="0000060D"/>
    <w:rsid w:val="000547DF"/>
    <w:rsid w:val="0009651C"/>
    <w:rsid w:val="00134F73"/>
    <w:rsid w:val="00150607"/>
    <w:rsid w:val="00191051"/>
    <w:rsid w:val="001B75F3"/>
    <w:rsid w:val="001E083D"/>
    <w:rsid w:val="001F51F9"/>
    <w:rsid w:val="00207C57"/>
    <w:rsid w:val="002257D4"/>
    <w:rsid w:val="00231473"/>
    <w:rsid w:val="002353DC"/>
    <w:rsid w:val="0023618D"/>
    <w:rsid w:val="0024665B"/>
    <w:rsid w:val="002F6EF5"/>
    <w:rsid w:val="003843B1"/>
    <w:rsid w:val="003E0BEC"/>
    <w:rsid w:val="0049527A"/>
    <w:rsid w:val="00537FD2"/>
    <w:rsid w:val="00787C7C"/>
    <w:rsid w:val="00874F7D"/>
    <w:rsid w:val="008C69B2"/>
    <w:rsid w:val="00915058"/>
    <w:rsid w:val="00AF38FD"/>
    <w:rsid w:val="00B356A6"/>
    <w:rsid w:val="00B46E85"/>
    <w:rsid w:val="00CB0C41"/>
    <w:rsid w:val="00CF1CBA"/>
    <w:rsid w:val="00D12AF8"/>
    <w:rsid w:val="00D33E36"/>
    <w:rsid w:val="00D66F72"/>
    <w:rsid w:val="00D85641"/>
    <w:rsid w:val="00DA0029"/>
    <w:rsid w:val="00E13D6B"/>
    <w:rsid w:val="00EA5921"/>
    <w:rsid w:val="00F005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07407725"/>
  <w15:chartTrackingRefBased/>
  <w15:docId w15:val="{6917D04F-05EA-4C47-88F7-1E1F67252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47DF"/>
  </w:style>
  <w:style w:type="paragraph" w:styleId="Heading1">
    <w:name w:val="heading 1"/>
    <w:basedOn w:val="Normal"/>
    <w:next w:val="Normal"/>
    <w:link w:val="Heading1Char"/>
    <w:uiPriority w:val="9"/>
    <w:qFormat/>
    <w:rsid w:val="000547DF"/>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0547DF"/>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0547DF"/>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0547DF"/>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0547DF"/>
    <w:pPr>
      <w:keepNext/>
      <w:keepLines/>
      <w:numPr>
        <w:ilvl w:val="4"/>
        <w:numId w:val="10"/>
      </w:numPr>
      <w:spacing w:before="200" w:after="0"/>
      <w:outlineLvl w:val="4"/>
    </w:pPr>
    <w:rPr>
      <w:rFonts w:asciiTheme="majorHAnsi" w:eastAsiaTheme="majorEastAsia" w:hAnsiTheme="majorHAnsi" w:cstheme="majorBidi"/>
      <w:color w:val="0A1D30" w:themeColor="text2" w:themeShade="BF"/>
    </w:rPr>
  </w:style>
  <w:style w:type="paragraph" w:styleId="Heading6">
    <w:name w:val="heading 6"/>
    <w:basedOn w:val="Normal"/>
    <w:next w:val="Normal"/>
    <w:link w:val="Heading6Char"/>
    <w:uiPriority w:val="9"/>
    <w:semiHidden/>
    <w:unhideWhenUsed/>
    <w:qFormat/>
    <w:rsid w:val="000547DF"/>
    <w:pPr>
      <w:keepNext/>
      <w:keepLines/>
      <w:numPr>
        <w:ilvl w:val="5"/>
        <w:numId w:val="10"/>
      </w:numPr>
      <w:spacing w:before="200" w:after="0"/>
      <w:outlineLvl w:val="5"/>
    </w:pPr>
    <w:rPr>
      <w:rFonts w:asciiTheme="majorHAnsi" w:eastAsiaTheme="majorEastAsia" w:hAnsiTheme="majorHAnsi" w:cstheme="majorBidi"/>
      <w:i/>
      <w:iCs/>
      <w:color w:val="0A1D30" w:themeColor="text2" w:themeShade="BF"/>
    </w:rPr>
  </w:style>
  <w:style w:type="paragraph" w:styleId="Heading7">
    <w:name w:val="heading 7"/>
    <w:basedOn w:val="Normal"/>
    <w:next w:val="Normal"/>
    <w:link w:val="Heading7Char"/>
    <w:uiPriority w:val="9"/>
    <w:semiHidden/>
    <w:unhideWhenUsed/>
    <w:qFormat/>
    <w:rsid w:val="000547DF"/>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0547DF"/>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0547DF"/>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47DF"/>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0547DF"/>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0547DF"/>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0547DF"/>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0547DF"/>
    <w:rPr>
      <w:rFonts w:asciiTheme="majorHAnsi" w:eastAsiaTheme="majorEastAsia" w:hAnsiTheme="majorHAnsi" w:cstheme="majorBidi"/>
      <w:color w:val="0A1D30" w:themeColor="text2" w:themeShade="BF"/>
    </w:rPr>
  </w:style>
  <w:style w:type="character" w:customStyle="1" w:styleId="Heading6Char">
    <w:name w:val="Heading 6 Char"/>
    <w:basedOn w:val="DefaultParagraphFont"/>
    <w:link w:val="Heading6"/>
    <w:uiPriority w:val="9"/>
    <w:semiHidden/>
    <w:rsid w:val="000547DF"/>
    <w:rPr>
      <w:rFonts w:asciiTheme="majorHAnsi" w:eastAsiaTheme="majorEastAsia" w:hAnsiTheme="majorHAnsi" w:cstheme="majorBidi"/>
      <w:i/>
      <w:iCs/>
      <w:color w:val="0A1D30" w:themeColor="text2" w:themeShade="BF"/>
    </w:rPr>
  </w:style>
  <w:style w:type="character" w:customStyle="1" w:styleId="Heading7Char">
    <w:name w:val="Heading 7 Char"/>
    <w:basedOn w:val="DefaultParagraphFont"/>
    <w:link w:val="Heading7"/>
    <w:uiPriority w:val="9"/>
    <w:semiHidden/>
    <w:rsid w:val="000547D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0547DF"/>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0547DF"/>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0547DF"/>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0547DF"/>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0547DF"/>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0547DF"/>
    <w:rPr>
      <w:color w:val="5A5A5A" w:themeColor="text1" w:themeTint="A5"/>
      <w:spacing w:val="10"/>
    </w:rPr>
  </w:style>
  <w:style w:type="paragraph" w:styleId="Quote">
    <w:name w:val="Quote"/>
    <w:basedOn w:val="Normal"/>
    <w:next w:val="Normal"/>
    <w:link w:val="QuoteChar"/>
    <w:uiPriority w:val="29"/>
    <w:qFormat/>
    <w:rsid w:val="000547DF"/>
    <w:pPr>
      <w:spacing w:before="160"/>
      <w:ind w:left="720" w:right="720"/>
    </w:pPr>
    <w:rPr>
      <w:i/>
      <w:iCs/>
      <w:color w:val="000000" w:themeColor="text1"/>
    </w:rPr>
  </w:style>
  <w:style w:type="character" w:customStyle="1" w:styleId="QuoteChar">
    <w:name w:val="Quote Char"/>
    <w:basedOn w:val="DefaultParagraphFont"/>
    <w:link w:val="Quote"/>
    <w:uiPriority w:val="29"/>
    <w:rsid w:val="000547DF"/>
    <w:rPr>
      <w:i/>
      <w:iCs/>
      <w:color w:val="000000" w:themeColor="text1"/>
    </w:rPr>
  </w:style>
  <w:style w:type="paragraph" w:styleId="ListParagraph">
    <w:name w:val="List Paragraph"/>
    <w:basedOn w:val="Normal"/>
    <w:uiPriority w:val="34"/>
    <w:qFormat/>
    <w:rsid w:val="000547DF"/>
    <w:pPr>
      <w:ind w:left="720"/>
      <w:contextualSpacing/>
    </w:pPr>
  </w:style>
  <w:style w:type="character" w:styleId="IntenseEmphasis">
    <w:name w:val="Intense Emphasis"/>
    <w:basedOn w:val="DefaultParagraphFont"/>
    <w:uiPriority w:val="21"/>
    <w:qFormat/>
    <w:rsid w:val="000547DF"/>
    <w:rPr>
      <w:b/>
      <w:bCs/>
      <w:i/>
      <w:iCs/>
      <w:caps/>
    </w:rPr>
  </w:style>
  <w:style w:type="paragraph" w:styleId="IntenseQuote">
    <w:name w:val="Intense Quote"/>
    <w:basedOn w:val="Normal"/>
    <w:next w:val="Normal"/>
    <w:link w:val="IntenseQuoteChar"/>
    <w:uiPriority w:val="30"/>
    <w:qFormat/>
    <w:rsid w:val="000547DF"/>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0547DF"/>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0547DF"/>
    <w:rPr>
      <w:b/>
      <w:bCs/>
      <w:smallCaps/>
      <w:u w:val="single"/>
    </w:rPr>
  </w:style>
  <w:style w:type="paragraph" w:styleId="Caption">
    <w:name w:val="caption"/>
    <w:basedOn w:val="Normal"/>
    <w:next w:val="Normal"/>
    <w:uiPriority w:val="35"/>
    <w:semiHidden/>
    <w:unhideWhenUsed/>
    <w:qFormat/>
    <w:rsid w:val="000547DF"/>
    <w:pPr>
      <w:spacing w:after="200" w:line="240" w:lineRule="auto"/>
    </w:pPr>
    <w:rPr>
      <w:i/>
      <w:iCs/>
      <w:color w:val="0E2841" w:themeColor="text2"/>
      <w:sz w:val="18"/>
      <w:szCs w:val="18"/>
    </w:rPr>
  </w:style>
  <w:style w:type="character" w:styleId="Strong">
    <w:name w:val="Strong"/>
    <w:basedOn w:val="DefaultParagraphFont"/>
    <w:uiPriority w:val="22"/>
    <w:qFormat/>
    <w:rsid w:val="000547DF"/>
    <w:rPr>
      <w:b/>
      <w:bCs/>
      <w:color w:val="000000" w:themeColor="text1"/>
    </w:rPr>
  </w:style>
  <w:style w:type="character" w:styleId="Emphasis">
    <w:name w:val="Emphasis"/>
    <w:basedOn w:val="DefaultParagraphFont"/>
    <w:uiPriority w:val="20"/>
    <w:qFormat/>
    <w:rsid w:val="000547DF"/>
    <w:rPr>
      <w:i/>
      <w:iCs/>
      <w:color w:val="auto"/>
    </w:rPr>
  </w:style>
  <w:style w:type="paragraph" w:styleId="NoSpacing">
    <w:name w:val="No Spacing"/>
    <w:uiPriority w:val="1"/>
    <w:qFormat/>
    <w:rsid w:val="000547DF"/>
    <w:pPr>
      <w:spacing w:after="0" w:line="240" w:lineRule="auto"/>
    </w:pPr>
  </w:style>
  <w:style w:type="character" w:styleId="SubtleEmphasis">
    <w:name w:val="Subtle Emphasis"/>
    <w:basedOn w:val="DefaultParagraphFont"/>
    <w:uiPriority w:val="19"/>
    <w:qFormat/>
    <w:rsid w:val="000547DF"/>
    <w:rPr>
      <w:i/>
      <w:iCs/>
      <w:color w:val="404040" w:themeColor="text1" w:themeTint="BF"/>
    </w:rPr>
  </w:style>
  <w:style w:type="character" w:styleId="SubtleReference">
    <w:name w:val="Subtle Reference"/>
    <w:basedOn w:val="DefaultParagraphFont"/>
    <w:uiPriority w:val="31"/>
    <w:qFormat/>
    <w:rsid w:val="000547DF"/>
    <w:rPr>
      <w:smallCaps/>
      <w:color w:val="404040" w:themeColor="text1" w:themeTint="BF"/>
      <w:u w:val="single" w:color="7F7F7F" w:themeColor="text1" w:themeTint="80"/>
    </w:rPr>
  </w:style>
  <w:style w:type="character" w:styleId="BookTitle">
    <w:name w:val="Book Title"/>
    <w:basedOn w:val="DefaultParagraphFont"/>
    <w:uiPriority w:val="33"/>
    <w:qFormat/>
    <w:rsid w:val="000547DF"/>
    <w:rPr>
      <w:b w:val="0"/>
      <w:bCs w:val="0"/>
      <w:smallCaps/>
      <w:spacing w:val="5"/>
    </w:rPr>
  </w:style>
  <w:style w:type="paragraph" w:styleId="TOCHeading">
    <w:name w:val="TOC Heading"/>
    <w:basedOn w:val="Heading1"/>
    <w:next w:val="Normal"/>
    <w:uiPriority w:val="39"/>
    <w:unhideWhenUsed/>
    <w:qFormat/>
    <w:rsid w:val="000547DF"/>
    <w:pPr>
      <w:outlineLvl w:val="9"/>
    </w:pPr>
  </w:style>
  <w:style w:type="paragraph" w:styleId="Header">
    <w:name w:val="header"/>
    <w:basedOn w:val="Normal"/>
    <w:link w:val="HeaderChar"/>
    <w:uiPriority w:val="99"/>
    <w:unhideWhenUsed/>
    <w:rsid w:val="000547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47DF"/>
  </w:style>
  <w:style w:type="paragraph" w:styleId="Footer">
    <w:name w:val="footer"/>
    <w:basedOn w:val="Normal"/>
    <w:link w:val="FooterChar"/>
    <w:uiPriority w:val="99"/>
    <w:unhideWhenUsed/>
    <w:rsid w:val="000547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47DF"/>
  </w:style>
  <w:style w:type="paragraph" w:styleId="TOC2">
    <w:name w:val="toc 2"/>
    <w:basedOn w:val="Normal"/>
    <w:next w:val="Normal"/>
    <w:autoRedefine/>
    <w:uiPriority w:val="39"/>
    <w:unhideWhenUsed/>
    <w:rsid w:val="000547DF"/>
    <w:pPr>
      <w:spacing w:after="100"/>
      <w:ind w:left="220"/>
    </w:pPr>
    <w:rPr>
      <w:rFonts w:cs="Times New Roman"/>
      <w:lang w:val="en-US"/>
    </w:rPr>
  </w:style>
  <w:style w:type="paragraph" w:styleId="TOC1">
    <w:name w:val="toc 1"/>
    <w:basedOn w:val="Normal"/>
    <w:next w:val="Normal"/>
    <w:autoRedefine/>
    <w:uiPriority w:val="39"/>
    <w:unhideWhenUsed/>
    <w:rsid w:val="000547DF"/>
    <w:pPr>
      <w:spacing w:after="100"/>
    </w:pPr>
    <w:rPr>
      <w:rFonts w:cs="Times New Roman"/>
      <w:lang w:val="en-US"/>
    </w:rPr>
  </w:style>
  <w:style w:type="paragraph" w:styleId="TOC3">
    <w:name w:val="toc 3"/>
    <w:basedOn w:val="Normal"/>
    <w:next w:val="Normal"/>
    <w:autoRedefine/>
    <w:uiPriority w:val="39"/>
    <w:unhideWhenUsed/>
    <w:rsid w:val="001F51F9"/>
    <w:pPr>
      <w:spacing w:after="100"/>
    </w:pPr>
    <w:rPr>
      <w:rFonts w:cs="Times New Roman"/>
      <w:sz w:val="40"/>
      <w:szCs w:val="40"/>
      <w:lang w:val="en-US"/>
    </w:rPr>
  </w:style>
  <w:style w:type="table" w:styleId="TableGrid">
    <w:name w:val="Table Grid"/>
    <w:basedOn w:val="TableNormal"/>
    <w:uiPriority w:val="39"/>
    <w:rsid w:val="000965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532527">
      <w:bodyDiv w:val="1"/>
      <w:marLeft w:val="0"/>
      <w:marRight w:val="0"/>
      <w:marTop w:val="0"/>
      <w:marBottom w:val="0"/>
      <w:divBdr>
        <w:top w:val="none" w:sz="0" w:space="0" w:color="auto"/>
        <w:left w:val="none" w:sz="0" w:space="0" w:color="auto"/>
        <w:bottom w:val="none" w:sz="0" w:space="0" w:color="auto"/>
        <w:right w:val="none" w:sz="0" w:space="0" w:color="auto"/>
      </w:divBdr>
      <w:divsChild>
        <w:div w:id="2099982554">
          <w:marLeft w:val="0"/>
          <w:marRight w:val="0"/>
          <w:marTop w:val="0"/>
          <w:marBottom w:val="0"/>
          <w:divBdr>
            <w:top w:val="single" w:sz="2" w:space="0" w:color="E3E3E3"/>
            <w:left w:val="single" w:sz="2" w:space="0" w:color="E3E3E3"/>
            <w:bottom w:val="single" w:sz="2" w:space="0" w:color="E3E3E3"/>
            <w:right w:val="single" w:sz="2" w:space="0" w:color="E3E3E3"/>
          </w:divBdr>
          <w:divsChild>
            <w:div w:id="1020280576">
              <w:marLeft w:val="0"/>
              <w:marRight w:val="0"/>
              <w:marTop w:val="0"/>
              <w:marBottom w:val="0"/>
              <w:divBdr>
                <w:top w:val="single" w:sz="2" w:space="0" w:color="E3E3E3"/>
                <w:left w:val="single" w:sz="2" w:space="0" w:color="E3E3E3"/>
                <w:bottom w:val="single" w:sz="2" w:space="0" w:color="E3E3E3"/>
                <w:right w:val="single" w:sz="2" w:space="0" w:color="E3E3E3"/>
              </w:divBdr>
              <w:divsChild>
                <w:div w:id="350687368">
                  <w:marLeft w:val="0"/>
                  <w:marRight w:val="0"/>
                  <w:marTop w:val="0"/>
                  <w:marBottom w:val="0"/>
                  <w:divBdr>
                    <w:top w:val="single" w:sz="2" w:space="0" w:color="E3E3E3"/>
                    <w:left w:val="single" w:sz="2" w:space="0" w:color="E3E3E3"/>
                    <w:bottom w:val="single" w:sz="2" w:space="0" w:color="E3E3E3"/>
                    <w:right w:val="single" w:sz="2" w:space="0" w:color="E3E3E3"/>
                  </w:divBdr>
                  <w:divsChild>
                    <w:div w:id="1413549444">
                      <w:marLeft w:val="0"/>
                      <w:marRight w:val="0"/>
                      <w:marTop w:val="0"/>
                      <w:marBottom w:val="0"/>
                      <w:divBdr>
                        <w:top w:val="single" w:sz="2" w:space="0" w:color="E3E3E3"/>
                        <w:left w:val="single" w:sz="2" w:space="0" w:color="E3E3E3"/>
                        <w:bottom w:val="single" w:sz="2" w:space="0" w:color="E3E3E3"/>
                        <w:right w:val="single" w:sz="2" w:space="0" w:color="E3E3E3"/>
                      </w:divBdr>
                      <w:divsChild>
                        <w:div w:id="1196894396">
                          <w:marLeft w:val="0"/>
                          <w:marRight w:val="0"/>
                          <w:marTop w:val="0"/>
                          <w:marBottom w:val="0"/>
                          <w:divBdr>
                            <w:top w:val="single" w:sz="2" w:space="0" w:color="E3E3E3"/>
                            <w:left w:val="single" w:sz="2" w:space="0" w:color="E3E3E3"/>
                            <w:bottom w:val="single" w:sz="2" w:space="0" w:color="E3E3E3"/>
                            <w:right w:val="single" w:sz="2" w:space="0" w:color="E3E3E3"/>
                          </w:divBdr>
                          <w:divsChild>
                            <w:div w:id="82458279">
                              <w:marLeft w:val="0"/>
                              <w:marRight w:val="0"/>
                              <w:marTop w:val="0"/>
                              <w:marBottom w:val="0"/>
                              <w:divBdr>
                                <w:top w:val="single" w:sz="2" w:space="0" w:color="E3E3E3"/>
                                <w:left w:val="single" w:sz="2" w:space="0" w:color="E3E3E3"/>
                                <w:bottom w:val="single" w:sz="2" w:space="0" w:color="E3E3E3"/>
                                <w:right w:val="single" w:sz="2" w:space="0" w:color="E3E3E3"/>
                              </w:divBdr>
                              <w:divsChild>
                                <w:div w:id="247932744">
                                  <w:marLeft w:val="0"/>
                                  <w:marRight w:val="0"/>
                                  <w:marTop w:val="100"/>
                                  <w:marBottom w:val="100"/>
                                  <w:divBdr>
                                    <w:top w:val="single" w:sz="2" w:space="0" w:color="E3E3E3"/>
                                    <w:left w:val="single" w:sz="2" w:space="0" w:color="E3E3E3"/>
                                    <w:bottom w:val="single" w:sz="2" w:space="0" w:color="E3E3E3"/>
                                    <w:right w:val="single" w:sz="2" w:space="0" w:color="E3E3E3"/>
                                  </w:divBdr>
                                  <w:divsChild>
                                    <w:div w:id="1862353555">
                                      <w:marLeft w:val="0"/>
                                      <w:marRight w:val="0"/>
                                      <w:marTop w:val="0"/>
                                      <w:marBottom w:val="0"/>
                                      <w:divBdr>
                                        <w:top w:val="single" w:sz="2" w:space="0" w:color="E3E3E3"/>
                                        <w:left w:val="single" w:sz="2" w:space="0" w:color="E3E3E3"/>
                                        <w:bottom w:val="single" w:sz="2" w:space="0" w:color="E3E3E3"/>
                                        <w:right w:val="single" w:sz="2" w:space="0" w:color="E3E3E3"/>
                                      </w:divBdr>
                                      <w:divsChild>
                                        <w:div w:id="951058808">
                                          <w:marLeft w:val="0"/>
                                          <w:marRight w:val="0"/>
                                          <w:marTop w:val="0"/>
                                          <w:marBottom w:val="0"/>
                                          <w:divBdr>
                                            <w:top w:val="single" w:sz="2" w:space="0" w:color="E3E3E3"/>
                                            <w:left w:val="single" w:sz="2" w:space="0" w:color="E3E3E3"/>
                                            <w:bottom w:val="single" w:sz="2" w:space="0" w:color="E3E3E3"/>
                                            <w:right w:val="single" w:sz="2" w:space="0" w:color="E3E3E3"/>
                                          </w:divBdr>
                                          <w:divsChild>
                                            <w:div w:id="1035156055">
                                              <w:marLeft w:val="0"/>
                                              <w:marRight w:val="0"/>
                                              <w:marTop w:val="0"/>
                                              <w:marBottom w:val="0"/>
                                              <w:divBdr>
                                                <w:top w:val="single" w:sz="2" w:space="0" w:color="E3E3E3"/>
                                                <w:left w:val="single" w:sz="2" w:space="0" w:color="E3E3E3"/>
                                                <w:bottom w:val="single" w:sz="2" w:space="0" w:color="E3E3E3"/>
                                                <w:right w:val="single" w:sz="2" w:space="0" w:color="E3E3E3"/>
                                              </w:divBdr>
                                              <w:divsChild>
                                                <w:div w:id="772869386">
                                                  <w:marLeft w:val="0"/>
                                                  <w:marRight w:val="0"/>
                                                  <w:marTop w:val="0"/>
                                                  <w:marBottom w:val="0"/>
                                                  <w:divBdr>
                                                    <w:top w:val="single" w:sz="2" w:space="0" w:color="E3E3E3"/>
                                                    <w:left w:val="single" w:sz="2" w:space="0" w:color="E3E3E3"/>
                                                    <w:bottom w:val="single" w:sz="2" w:space="0" w:color="E3E3E3"/>
                                                    <w:right w:val="single" w:sz="2" w:space="0" w:color="E3E3E3"/>
                                                  </w:divBdr>
                                                  <w:divsChild>
                                                    <w:div w:id="897474311">
                                                      <w:marLeft w:val="0"/>
                                                      <w:marRight w:val="0"/>
                                                      <w:marTop w:val="0"/>
                                                      <w:marBottom w:val="0"/>
                                                      <w:divBdr>
                                                        <w:top w:val="single" w:sz="2" w:space="0" w:color="E3E3E3"/>
                                                        <w:left w:val="single" w:sz="2" w:space="0" w:color="E3E3E3"/>
                                                        <w:bottom w:val="single" w:sz="2" w:space="0" w:color="E3E3E3"/>
                                                        <w:right w:val="single" w:sz="2" w:space="0" w:color="E3E3E3"/>
                                                      </w:divBdr>
                                                      <w:divsChild>
                                                        <w:div w:id="5800626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03692482">
          <w:marLeft w:val="0"/>
          <w:marRight w:val="0"/>
          <w:marTop w:val="0"/>
          <w:marBottom w:val="0"/>
          <w:divBdr>
            <w:top w:val="none" w:sz="0" w:space="0" w:color="auto"/>
            <w:left w:val="none" w:sz="0" w:space="0" w:color="auto"/>
            <w:bottom w:val="none" w:sz="0" w:space="0" w:color="auto"/>
            <w:right w:val="none" w:sz="0" w:space="0" w:color="auto"/>
          </w:divBdr>
        </w:div>
      </w:divsChild>
    </w:div>
    <w:div w:id="366417880">
      <w:bodyDiv w:val="1"/>
      <w:marLeft w:val="0"/>
      <w:marRight w:val="0"/>
      <w:marTop w:val="0"/>
      <w:marBottom w:val="0"/>
      <w:divBdr>
        <w:top w:val="none" w:sz="0" w:space="0" w:color="auto"/>
        <w:left w:val="none" w:sz="0" w:space="0" w:color="auto"/>
        <w:bottom w:val="none" w:sz="0" w:space="0" w:color="auto"/>
        <w:right w:val="none" w:sz="0" w:space="0" w:color="auto"/>
      </w:divBdr>
    </w:div>
    <w:div w:id="592662274">
      <w:bodyDiv w:val="1"/>
      <w:marLeft w:val="0"/>
      <w:marRight w:val="0"/>
      <w:marTop w:val="0"/>
      <w:marBottom w:val="0"/>
      <w:divBdr>
        <w:top w:val="none" w:sz="0" w:space="0" w:color="auto"/>
        <w:left w:val="none" w:sz="0" w:space="0" w:color="auto"/>
        <w:bottom w:val="none" w:sz="0" w:space="0" w:color="auto"/>
        <w:right w:val="none" w:sz="0" w:space="0" w:color="auto"/>
      </w:divBdr>
    </w:div>
    <w:div w:id="613751561">
      <w:bodyDiv w:val="1"/>
      <w:marLeft w:val="0"/>
      <w:marRight w:val="0"/>
      <w:marTop w:val="0"/>
      <w:marBottom w:val="0"/>
      <w:divBdr>
        <w:top w:val="none" w:sz="0" w:space="0" w:color="auto"/>
        <w:left w:val="none" w:sz="0" w:space="0" w:color="auto"/>
        <w:bottom w:val="none" w:sz="0" w:space="0" w:color="auto"/>
        <w:right w:val="none" w:sz="0" w:space="0" w:color="auto"/>
      </w:divBdr>
    </w:div>
    <w:div w:id="643512383">
      <w:bodyDiv w:val="1"/>
      <w:marLeft w:val="0"/>
      <w:marRight w:val="0"/>
      <w:marTop w:val="0"/>
      <w:marBottom w:val="0"/>
      <w:divBdr>
        <w:top w:val="none" w:sz="0" w:space="0" w:color="auto"/>
        <w:left w:val="none" w:sz="0" w:space="0" w:color="auto"/>
        <w:bottom w:val="none" w:sz="0" w:space="0" w:color="auto"/>
        <w:right w:val="none" w:sz="0" w:space="0" w:color="auto"/>
      </w:divBdr>
    </w:div>
    <w:div w:id="753547674">
      <w:bodyDiv w:val="1"/>
      <w:marLeft w:val="0"/>
      <w:marRight w:val="0"/>
      <w:marTop w:val="0"/>
      <w:marBottom w:val="0"/>
      <w:divBdr>
        <w:top w:val="none" w:sz="0" w:space="0" w:color="auto"/>
        <w:left w:val="none" w:sz="0" w:space="0" w:color="auto"/>
        <w:bottom w:val="none" w:sz="0" w:space="0" w:color="auto"/>
        <w:right w:val="none" w:sz="0" w:space="0" w:color="auto"/>
      </w:divBdr>
    </w:div>
    <w:div w:id="977492958">
      <w:bodyDiv w:val="1"/>
      <w:marLeft w:val="0"/>
      <w:marRight w:val="0"/>
      <w:marTop w:val="0"/>
      <w:marBottom w:val="0"/>
      <w:divBdr>
        <w:top w:val="none" w:sz="0" w:space="0" w:color="auto"/>
        <w:left w:val="none" w:sz="0" w:space="0" w:color="auto"/>
        <w:bottom w:val="none" w:sz="0" w:space="0" w:color="auto"/>
        <w:right w:val="none" w:sz="0" w:space="0" w:color="auto"/>
      </w:divBdr>
    </w:div>
    <w:div w:id="1191063312">
      <w:bodyDiv w:val="1"/>
      <w:marLeft w:val="0"/>
      <w:marRight w:val="0"/>
      <w:marTop w:val="0"/>
      <w:marBottom w:val="0"/>
      <w:divBdr>
        <w:top w:val="none" w:sz="0" w:space="0" w:color="auto"/>
        <w:left w:val="none" w:sz="0" w:space="0" w:color="auto"/>
        <w:bottom w:val="none" w:sz="0" w:space="0" w:color="auto"/>
        <w:right w:val="none" w:sz="0" w:space="0" w:color="auto"/>
      </w:divBdr>
    </w:div>
    <w:div w:id="1221937370">
      <w:bodyDiv w:val="1"/>
      <w:marLeft w:val="0"/>
      <w:marRight w:val="0"/>
      <w:marTop w:val="0"/>
      <w:marBottom w:val="0"/>
      <w:divBdr>
        <w:top w:val="none" w:sz="0" w:space="0" w:color="auto"/>
        <w:left w:val="none" w:sz="0" w:space="0" w:color="auto"/>
        <w:bottom w:val="none" w:sz="0" w:space="0" w:color="auto"/>
        <w:right w:val="none" w:sz="0" w:space="0" w:color="auto"/>
      </w:divBdr>
    </w:div>
    <w:div w:id="1301571310">
      <w:bodyDiv w:val="1"/>
      <w:marLeft w:val="0"/>
      <w:marRight w:val="0"/>
      <w:marTop w:val="0"/>
      <w:marBottom w:val="0"/>
      <w:divBdr>
        <w:top w:val="none" w:sz="0" w:space="0" w:color="auto"/>
        <w:left w:val="none" w:sz="0" w:space="0" w:color="auto"/>
        <w:bottom w:val="none" w:sz="0" w:space="0" w:color="auto"/>
        <w:right w:val="none" w:sz="0" w:space="0" w:color="auto"/>
      </w:divBdr>
    </w:div>
    <w:div w:id="1317370381">
      <w:bodyDiv w:val="1"/>
      <w:marLeft w:val="0"/>
      <w:marRight w:val="0"/>
      <w:marTop w:val="0"/>
      <w:marBottom w:val="0"/>
      <w:divBdr>
        <w:top w:val="none" w:sz="0" w:space="0" w:color="auto"/>
        <w:left w:val="none" w:sz="0" w:space="0" w:color="auto"/>
        <w:bottom w:val="none" w:sz="0" w:space="0" w:color="auto"/>
        <w:right w:val="none" w:sz="0" w:space="0" w:color="auto"/>
      </w:divBdr>
    </w:div>
    <w:div w:id="1492598271">
      <w:bodyDiv w:val="1"/>
      <w:marLeft w:val="0"/>
      <w:marRight w:val="0"/>
      <w:marTop w:val="0"/>
      <w:marBottom w:val="0"/>
      <w:divBdr>
        <w:top w:val="none" w:sz="0" w:space="0" w:color="auto"/>
        <w:left w:val="none" w:sz="0" w:space="0" w:color="auto"/>
        <w:bottom w:val="none" w:sz="0" w:space="0" w:color="auto"/>
        <w:right w:val="none" w:sz="0" w:space="0" w:color="auto"/>
      </w:divBdr>
    </w:div>
    <w:div w:id="1517310230">
      <w:bodyDiv w:val="1"/>
      <w:marLeft w:val="0"/>
      <w:marRight w:val="0"/>
      <w:marTop w:val="0"/>
      <w:marBottom w:val="0"/>
      <w:divBdr>
        <w:top w:val="none" w:sz="0" w:space="0" w:color="auto"/>
        <w:left w:val="none" w:sz="0" w:space="0" w:color="auto"/>
        <w:bottom w:val="none" w:sz="0" w:space="0" w:color="auto"/>
        <w:right w:val="none" w:sz="0" w:space="0" w:color="auto"/>
      </w:divBdr>
    </w:div>
    <w:div w:id="1543517349">
      <w:bodyDiv w:val="1"/>
      <w:marLeft w:val="0"/>
      <w:marRight w:val="0"/>
      <w:marTop w:val="0"/>
      <w:marBottom w:val="0"/>
      <w:divBdr>
        <w:top w:val="none" w:sz="0" w:space="0" w:color="auto"/>
        <w:left w:val="none" w:sz="0" w:space="0" w:color="auto"/>
        <w:bottom w:val="none" w:sz="0" w:space="0" w:color="auto"/>
        <w:right w:val="none" w:sz="0" w:space="0" w:color="auto"/>
      </w:divBdr>
    </w:div>
    <w:div w:id="1693604241">
      <w:bodyDiv w:val="1"/>
      <w:marLeft w:val="0"/>
      <w:marRight w:val="0"/>
      <w:marTop w:val="0"/>
      <w:marBottom w:val="0"/>
      <w:divBdr>
        <w:top w:val="none" w:sz="0" w:space="0" w:color="auto"/>
        <w:left w:val="none" w:sz="0" w:space="0" w:color="auto"/>
        <w:bottom w:val="none" w:sz="0" w:space="0" w:color="auto"/>
        <w:right w:val="none" w:sz="0" w:space="0" w:color="auto"/>
      </w:divBdr>
    </w:div>
    <w:div w:id="1964800081">
      <w:bodyDiv w:val="1"/>
      <w:marLeft w:val="0"/>
      <w:marRight w:val="0"/>
      <w:marTop w:val="0"/>
      <w:marBottom w:val="0"/>
      <w:divBdr>
        <w:top w:val="none" w:sz="0" w:space="0" w:color="auto"/>
        <w:left w:val="none" w:sz="0" w:space="0" w:color="auto"/>
        <w:bottom w:val="none" w:sz="0" w:space="0" w:color="auto"/>
        <w:right w:val="none" w:sz="0" w:space="0" w:color="auto"/>
      </w:divBdr>
      <w:divsChild>
        <w:div w:id="980621505">
          <w:marLeft w:val="0"/>
          <w:marRight w:val="0"/>
          <w:marTop w:val="0"/>
          <w:marBottom w:val="0"/>
          <w:divBdr>
            <w:top w:val="single" w:sz="2" w:space="0" w:color="E3E3E3"/>
            <w:left w:val="single" w:sz="2" w:space="0" w:color="E3E3E3"/>
            <w:bottom w:val="single" w:sz="2" w:space="0" w:color="E3E3E3"/>
            <w:right w:val="single" w:sz="2" w:space="0" w:color="E3E3E3"/>
          </w:divBdr>
          <w:divsChild>
            <w:div w:id="1668248409">
              <w:marLeft w:val="0"/>
              <w:marRight w:val="0"/>
              <w:marTop w:val="0"/>
              <w:marBottom w:val="0"/>
              <w:divBdr>
                <w:top w:val="single" w:sz="2" w:space="0" w:color="E3E3E3"/>
                <w:left w:val="single" w:sz="2" w:space="0" w:color="E3E3E3"/>
                <w:bottom w:val="single" w:sz="2" w:space="0" w:color="E3E3E3"/>
                <w:right w:val="single" w:sz="2" w:space="0" w:color="E3E3E3"/>
              </w:divBdr>
              <w:divsChild>
                <w:div w:id="480930706">
                  <w:marLeft w:val="0"/>
                  <w:marRight w:val="0"/>
                  <w:marTop w:val="0"/>
                  <w:marBottom w:val="0"/>
                  <w:divBdr>
                    <w:top w:val="single" w:sz="2" w:space="0" w:color="E3E3E3"/>
                    <w:left w:val="single" w:sz="2" w:space="0" w:color="E3E3E3"/>
                    <w:bottom w:val="single" w:sz="2" w:space="0" w:color="E3E3E3"/>
                    <w:right w:val="single" w:sz="2" w:space="0" w:color="E3E3E3"/>
                  </w:divBdr>
                  <w:divsChild>
                    <w:div w:id="821698706">
                      <w:marLeft w:val="0"/>
                      <w:marRight w:val="0"/>
                      <w:marTop w:val="0"/>
                      <w:marBottom w:val="0"/>
                      <w:divBdr>
                        <w:top w:val="single" w:sz="2" w:space="0" w:color="E3E3E3"/>
                        <w:left w:val="single" w:sz="2" w:space="0" w:color="E3E3E3"/>
                        <w:bottom w:val="single" w:sz="2" w:space="0" w:color="E3E3E3"/>
                        <w:right w:val="single" w:sz="2" w:space="0" w:color="E3E3E3"/>
                      </w:divBdr>
                      <w:divsChild>
                        <w:div w:id="2004622362">
                          <w:marLeft w:val="0"/>
                          <w:marRight w:val="0"/>
                          <w:marTop w:val="0"/>
                          <w:marBottom w:val="0"/>
                          <w:divBdr>
                            <w:top w:val="single" w:sz="2" w:space="0" w:color="E3E3E3"/>
                            <w:left w:val="single" w:sz="2" w:space="0" w:color="E3E3E3"/>
                            <w:bottom w:val="single" w:sz="2" w:space="0" w:color="E3E3E3"/>
                            <w:right w:val="single" w:sz="2" w:space="0" w:color="E3E3E3"/>
                          </w:divBdr>
                          <w:divsChild>
                            <w:div w:id="1132555558">
                              <w:marLeft w:val="0"/>
                              <w:marRight w:val="0"/>
                              <w:marTop w:val="0"/>
                              <w:marBottom w:val="0"/>
                              <w:divBdr>
                                <w:top w:val="single" w:sz="2" w:space="0" w:color="E3E3E3"/>
                                <w:left w:val="single" w:sz="2" w:space="0" w:color="E3E3E3"/>
                                <w:bottom w:val="single" w:sz="2" w:space="0" w:color="E3E3E3"/>
                                <w:right w:val="single" w:sz="2" w:space="0" w:color="E3E3E3"/>
                              </w:divBdr>
                              <w:divsChild>
                                <w:div w:id="1448964332">
                                  <w:marLeft w:val="0"/>
                                  <w:marRight w:val="0"/>
                                  <w:marTop w:val="100"/>
                                  <w:marBottom w:val="100"/>
                                  <w:divBdr>
                                    <w:top w:val="single" w:sz="2" w:space="0" w:color="E3E3E3"/>
                                    <w:left w:val="single" w:sz="2" w:space="0" w:color="E3E3E3"/>
                                    <w:bottom w:val="single" w:sz="2" w:space="0" w:color="E3E3E3"/>
                                    <w:right w:val="single" w:sz="2" w:space="0" w:color="E3E3E3"/>
                                  </w:divBdr>
                                  <w:divsChild>
                                    <w:div w:id="1772698070">
                                      <w:marLeft w:val="0"/>
                                      <w:marRight w:val="0"/>
                                      <w:marTop w:val="0"/>
                                      <w:marBottom w:val="0"/>
                                      <w:divBdr>
                                        <w:top w:val="single" w:sz="2" w:space="0" w:color="E3E3E3"/>
                                        <w:left w:val="single" w:sz="2" w:space="0" w:color="E3E3E3"/>
                                        <w:bottom w:val="single" w:sz="2" w:space="0" w:color="E3E3E3"/>
                                        <w:right w:val="single" w:sz="2" w:space="0" w:color="E3E3E3"/>
                                      </w:divBdr>
                                      <w:divsChild>
                                        <w:div w:id="680160677">
                                          <w:marLeft w:val="0"/>
                                          <w:marRight w:val="0"/>
                                          <w:marTop w:val="0"/>
                                          <w:marBottom w:val="0"/>
                                          <w:divBdr>
                                            <w:top w:val="single" w:sz="2" w:space="0" w:color="E3E3E3"/>
                                            <w:left w:val="single" w:sz="2" w:space="0" w:color="E3E3E3"/>
                                            <w:bottom w:val="single" w:sz="2" w:space="0" w:color="E3E3E3"/>
                                            <w:right w:val="single" w:sz="2" w:space="0" w:color="E3E3E3"/>
                                          </w:divBdr>
                                          <w:divsChild>
                                            <w:div w:id="1577713988">
                                              <w:marLeft w:val="0"/>
                                              <w:marRight w:val="0"/>
                                              <w:marTop w:val="0"/>
                                              <w:marBottom w:val="0"/>
                                              <w:divBdr>
                                                <w:top w:val="single" w:sz="2" w:space="0" w:color="E3E3E3"/>
                                                <w:left w:val="single" w:sz="2" w:space="0" w:color="E3E3E3"/>
                                                <w:bottom w:val="single" w:sz="2" w:space="0" w:color="E3E3E3"/>
                                                <w:right w:val="single" w:sz="2" w:space="0" w:color="E3E3E3"/>
                                              </w:divBdr>
                                              <w:divsChild>
                                                <w:div w:id="607473659">
                                                  <w:marLeft w:val="0"/>
                                                  <w:marRight w:val="0"/>
                                                  <w:marTop w:val="0"/>
                                                  <w:marBottom w:val="0"/>
                                                  <w:divBdr>
                                                    <w:top w:val="single" w:sz="2" w:space="0" w:color="E3E3E3"/>
                                                    <w:left w:val="single" w:sz="2" w:space="0" w:color="E3E3E3"/>
                                                    <w:bottom w:val="single" w:sz="2" w:space="0" w:color="E3E3E3"/>
                                                    <w:right w:val="single" w:sz="2" w:space="0" w:color="E3E3E3"/>
                                                  </w:divBdr>
                                                  <w:divsChild>
                                                    <w:div w:id="1581674324">
                                                      <w:marLeft w:val="0"/>
                                                      <w:marRight w:val="0"/>
                                                      <w:marTop w:val="0"/>
                                                      <w:marBottom w:val="0"/>
                                                      <w:divBdr>
                                                        <w:top w:val="single" w:sz="2" w:space="0" w:color="E3E3E3"/>
                                                        <w:left w:val="single" w:sz="2" w:space="0" w:color="E3E3E3"/>
                                                        <w:bottom w:val="single" w:sz="2" w:space="0" w:color="E3E3E3"/>
                                                        <w:right w:val="single" w:sz="2" w:space="0" w:color="E3E3E3"/>
                                                      </w:divBdr>
                                                      <w:divsChild>
                                                        <w:div w:id="15590512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93903001">
          <w:marLeft w:val="0"/>
          <w:marRight w:val="0"/>
          <w:marTop w:val="0"/>
          <w:marBottom w:val="0"/>
          <w:divBdr>
            <w:top w:val="none" w:sz="0" w:space="0" w:color="auto"/>
            <w:left w:val="none" w:sz="0" w:space="0" w:color="auto"/>
            <w:bottom w:val="none" w:sz="0" w:space="0" w:color="auto"/>
            <w:right w:val="none" w:sz="0" w:space="0" w:color="auto"/>
          </w:divBdr>
        </w:div>
      </w:divsChild>
    </w:div>
    <w:div w:id="2045595143">
      <w:bodyDiv w:val="1"/>
      <w:marLeft w:val="0"/>
      <w:marRight w:val="0"/>
      <w:marTop w:val="0"/>
      <w:marBottom w:val="0"/>
      <w:divBdr>
        <w:top w:val="none" w:sz="0" w:space="0" w:color="auto"/>
        <w:left w:val="none" w:sz="0" w:space="0" w:color="auto"/>
        <w:bottom w:val="none" w:sz="0" w:space="0" w:color="auto"/>
        <w:right w:val="none" w:sz="0" w:space="0" w:color="auto"/>
      </w:divBdr>
    </w:div>
    <w:div w:id="2068213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90DB1C-3232-4E9F-8500-4B0148C7D3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17</Pages>
  <Words>3649</Words>
  <Characters>24576</Characters>
  <Application>Microsoft Office Word</Application>
  <DocSecurity>0</DocSecurity>
  <Lines>555</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 Stoyanov</dc:creator>
  <cp:keywords/>
  <dc:description/>
  <cp:lastModifiedBy>Ivan Stoyanov</cp:lastModifiedBy>
  <cp:revision>7</cp:revision>
  <dcterms:created xsi:type="dcterms:W3CDTF">2024-04-23T07:15:00Z</dcterms:created>
  <dcterms:modified xsi:type="dcterms:W3CDTF">2024-04-23T07:37:00Z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d28acc22-9b35-4286-af76-e97462178a30</vt:lpwstr>
  </property>
</Properties>
</file>