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F64CA1" w14:textId="77882B45" w:rsidR="00960A6A" w:rsidRPr="00304349" w:rsidRDefault="00960A6A" w:rsidP="59027E0E">
      <w:pPr>
        <w:jc w:val="center"/>
        <w:rPr>
          <w:rFonts w:ascii="Times New Roman" w:eastAsia="Times New Roman" w:hAnsi="Times New Roman" w:cs="Times New Roman"/>
          <w:color w:val="000000" w:themeColor="text1"/>
          <w:sz w:val="24"/>
          <w:szCs w:val="24"/>
          <w:lang w:val="en-GB"/>
        </w:rPr>
      </w:pPr>
    </w:p>
    <w:p w14:paraId="71675948" w14:textId="0F67B91E" w:rsidR="00960A6A" w:rsidRPr="00304349" w:rsidRDefault="00960A6A" w:rsidP="59027E0E">
      <w:pPr>
        <w:jc w:val="center"/>
        <w:rPr>
          <w:rFonts w:ascii="Times New Roman" w:eastAsia="Times New Roman" w:hAnsi="Times New Roman" w:cs="Times New Roman"/>
          <w:color w:val="000000" w:themeColor="text1"/>
          <w:sz w:val="24"/>
          <w:szCs w:val="24"/>
          <w:lang w:val="en-GB"/>
        </w:rPr>
      </w:pPr>
    </w:p>
    <w:p w14:paraId="396D3253" w14:textId="3B6353B0" w:rsidR="00960A6A" w:rsidRPr="00304349" w:rsidRDefault="00960A6A" w:rsidP="59027E0E">
      <w:pPr>
        <w:jc w:val="center"/>
        <w:rPr>
          <w:rFonts w:ascii="Times New Roman" w:eastAsia="Times New Roman" w:hAnsi="Times New Roman" w:cs="Times New Roman"/>
          <w:color w:val="000000" w:themeColor="text1"/>
          <w:sz w:val="24"/>
          <w:szCs w:val="24"/>
          <w:lang w:val="en-GB"/>
        </w:rPr>
      </w:pPr>
    </w:p>
    <w:p w14:paraId="3DA5A054" w14:textId="56C84DE4" w:rsidR="00960A6A" w:rsidRPr="00304349" w:rsidRDefault="00960A6A" w:rsidP="59027E0E">
      <w:pPr>
        <w:jc w:val="center"/>
        <w:rPr>
          <w:rFonts w:ascii="Times New Roman" w:eastAsia="Times New Roman" w:hAnsi="Times New Roman" w:cs="Times New Roman"/>
          <w:color w:val="000000" w:themeColor="text1"/>
          <w:sz w:val="24"/>
          <w:szCs w:val="24"/>
          <w:lang w:val="en-GB"/>
        </w:rPr>
      </w:pPr>
    </w:p>
    <w:p w14:paraId="720FF86A" w14:textId="6E8B7CEB" w:rsidR="00960A6A" w:rsidRPr="00304349" w:rsidRDefault="00960A6A" w:rsidP="59027E0E">
      <w:pPr>
        <w:jc w:val="center"/>
        <w:rPr>
          <w:rFonts w:ascii="Times New Roman" w:eastAsia="Times New Roman" w:hAnsi="Times New Roman" w:cs="Times New Roman"/>
          <w:color w:val="000000" w:themeColor="text1"/>
          <w:sz w:val="24"/>
          <w:szCs w:val="24"/>
          <w:lang w:val="en-GB"/>
        </w:rPr>
      </w:pPr>
    </w:p>
    <w:p w14:paraId="0B77F261" w14:textId="5FAFFC1D" w:rsidR="00960A6A" w:rsidRPr="00304349" w:rsidRDefault="00960A6A" w:rsidP="59027E0E">
      <w:pPr>
        <w:jc w:val="center"/>
        <w:rPr>
          <w:rFonts w:ascii="Times New Roman" w:eastAsia="Times New Roman" w:hAnsi="Times New Roman" w:cs="Times New Roman"/>
          <w:color w:val="000000" w:themeColor="text1"/>
          <w:sz w:val="24"/>
          <w:szCs w:val="24"/>
          <w:lang w:val="en-GB"/>
        </w:rPr>
      </w:pPr>
    </w:p>
    <w:p w14:paraId="1D82C3C9" w14:textId="3CF6118F" w:rsidR="00960A6A" w:rsidRPr="00304349" w:rsidRDefault="00960A6A" w:rsidP="59027E0E">
      <w:pPr>
        <w:jc w:val="center"/>
        <w:rPr>
          <w:rFonts w:ascii="Times New Roman" w:eastAsia="Times New Roman" w:hAnsi="Times New Roman" w:cs="Times New Roman"/>
          <w:color w:val="000000" w:themeColor="text1"/>
          <w:sz w:val="24"/>
          <w:szCs w:val="24"/>
          <w:lang w:val="en-GB"/>
        </w:rPr>
      </w:pPr>
    </w:p>
    <w:p w14:paraId="04EBC341" w14:textId="3C817382" w:rsidR="00960A6A" w:rsidRPr="00304349" w:rsidRDefault="59027E0E" w:rsidP="59027E0E">
      <w:pPr>
        <w:jc w:val="center"/>
        <w:rPr>
          <w:rFonts w:ascii="Times New Roman" w:eastAsia="Times New Roman" w:hAnsi="Times New Roman" w:cs="Times New Roman"/>
          <w:color w:val="000000" w:themeColor="text1"/>
          <w:sz w:val="24"/>
          <w:szCs w:val="24"/>
          <w:lang w:val="en-GB"/>
        </w:rPr>
      </w:pPr>
      <w:r w:rsidRPr="00304349">
        <w:rPr>
          <w:rFonts w:ascii="Times New Roman" w:eastAsia="Times New Roman" w:hAnsi="Times New Roman" w:cs="Times New Roman"/>
          <w:color w:val="000000" w:themeColor="text1"/>
          <w:sz w:val="24"/>
          <w:szCs w:val="24"/>
          <w:lang w:val="en-GB"/>
        </w:rPr>
        <w:t>Law Portfolio</w:t>
      </w:r>
    </w:p>
    <w:p w14:paraId="374BDC22" w14:textId="7A71B2E0" w:rsidR="00960A6A" w:rsidRPr="00304349" w:rsidRDefault="59027E0E" w:rsidP="59027E0E">
      <w:pPr>
        <w:jc w:val="center"/>
        <w:rPr>
          <w:rFonts w:ascii="Times New Roman" w:eastAsia="Times New Roman" w:hAnsi="Times New Roman" w:cs="Times New Roman"/>
          <w:color w:val="000000" w:themeColor="text1"/>
          <w:sz w:val="24"/>
          <w:szCs w:val="24"/>
          <w:lang w:val="en-GB"/>
        </w:rPr>
      </w:pPr>
      <w:r w:rsidRPr="00304349">
        <w:rPr>
          <w:rFonts w:ascii="Times New Roman" w:eastAsia="Times New Roman" w:hAnsi="Times New Roman" w:cs="Times New Roman"/>
          <w:color w:val="000000" w:themeColor="text1"/>
          <w:sz w:val="24"/>
          <w:szCs w:val="24"/>
          <w:lang w:val="en-GB"/>
        </w:rPr>
        <w:t>Criminal Law</w:t>
      </w:r>
    </w:p>
    <w:p w14:paraId="5217D788" w14:textId="3E4A209A" w:rsidR="00960A6A" w:rsidRPr="00304349" w:rsidRDefault="59027E0E" w:rsidP="59027E0E">
      <w:pPr>
        <w:jc w:val="center"/>
        <w:rPr>
          <w:rFonts w:ascii="Times New Roman" w:eastAsia="Times New Roman" w:hAnsi="Times New Roman" w:cs="Times New Roman"/>
          <w:color w:val="000000" w:themeColor="text1"/>
          <w:sz w:val="24"/>
          <w:szCs w:val="24"/>
          <w:lang w:val="en-GB"/>
        </w:rPr>
      </w:pPr>
      <w:r w:rsidRPr="00304349">
        <w:rPr>
          <w:rFonts w:ascii="Times New Roman" w:eastAsia="Times New Roman" w:hAnsi="Times New Roman" w:cs="Times New Roman"/>
          <w:color w:val="000000" w:themeColor="text1"/>
          <w:sz w:val="24"/>
          <w:szCs w:val="24"/>
          <w:lang w:val="en-GB"/>
        </w:rPr>
        <w:t>“Reform Of Homicide”</w:t>
      </w:r>
    </w:p>
    <w:p w14:paraId="1C6EFBF8" w14:textId="4F2C3667" w:rsidR="00960A6A" w:rsidRPr="00304349" w:rsidRDefault="59027E0E" w:rsidP="59027E0E">
      <w:pPr>
        <w:jc w:val="center"/>
        <w:rPr>
          <w:rFonts w:ascii="Times New Roman" w:eastAsia="Times New Roman" w:hAnsi="Times New Roman" w:cs="Times New Roman"/>
          <w:color w:val="000000" w:themeColor="text1"/>
          <w:sz w:val="24"/>
          <w:szCs w:val="24"/>
          <w:lang w:val="en-GB"/>
        </w:rPr>
      </w:pPr>
      <w:r w:rsidRPr="00304349">
        <w:rPr>
          <w:rFonts w:ascii="Times New Roman" w:eastAsia="Times New Roman" w:hAnsi="Times New Roman" w:cs="Times New Roman"/>
          <w:color w:val="000000" w:themeColor="text1"/>
          <w:sz w:val="24"/>
          <w:szCs w:val="24"/>
          <w:lang w:val="en-GB"/>
        </w:rPr>
        <w:t>Essay</w:t>
      </w:r>
    </w:p>
    <w:p w14:paraId="2CC5E8DB" w14:textId="52D776CB" w:rsidR="00960A6A" w:rsidRPr="00304349" w:rsidRDefault="59027E0E" w:rsidP="59027E0E">
      <w:pPr>
        <w:jc w:val="center"/>
        <w:rPr>
          <w:rFonts w:ascii="Times New Roman" w:eastAsia="Times New Roman" w:hAnsi="Times New Roman" w:cs="Times New Roman"/>
          <w:color w:val="000000" w:themeColor="text1"/>
          <w:sz w:val="24"/>
          <w:szCs w:val="24"/>
          <w:lang w:val="en-GB"/>
        </w:rPr>
      </w:pPr>
      <w:r w:rsidRPr="00304349">
        <w:rPr>
          <w:rFonts w:ascii="Times New Roman" w:eastAsia="Times New Roman" w:hAnsi="Times New Roman" w:cs="Times New Roman"/>
          <w:color w:val="000000" w:themeColor="text1"/>
          <w:sz w:val="24"/>
          <w:szCs w:val="24"/>
          <w:lang w:val="en-GB"/>
        </w:rPr>
        <w:t>Student Number</w:t>
      </w:r>
      <w:r w:rsidR="001C76EB">
        <w:rPr>
          <w:rFonts w:ascii="Times New Roman" w:eastAsia="Times New Roman" w:hAnsi="Times New Roman" w:cs="Times New Roman"/>
          <w:color w:val="000000" w:themeColor="text1"/>
          <w:sz w:val="24"/>
          <w:szCs w:val="24"/>
          <w:lang w:val="en-GB"/>
        </w:rPr>
        <w:t>: 2210417</w:t>
      </w:r>
    </w:p>
    <w:p w14:paraId="70913F40" w14:textId="2EF51AD2" w:rsidR="00960A6A" w:rsidRPr="00304349" w:rsidRDefault="59027E0E" w:rsidP="59027E0E">
      <w:pPr>
        <w:jc w:val="center"/>
        <w:rPr>
          <w:rFonts w:ascii="Times New Roman" w:eastAsia="Times New Roman" w:hAnsi="Times New Roman" w:cs="Times New Roman"/>
          <w:color w:val="000000" w:themeColor="text1"/>
          <w:sz w:val="24"/>
          <w:szCs w:val="24"/>
          <w:lang w:val="en-GB"/>
        </w:rPr>
      </w:pPr>
      <w:r w:rsidRPr="00304349">
        <w:rPr>
          <w:rFonts w:ascii="Times New Roman" w:eastAsia="Times New Roman" w:hAnsi="Times New Roman" w:cs="Times New Roman"/>
          <w:color w:val="000000" w:themeColor="text1"/>
          <w:sz w:val="24"/>
          <w:szCs w:val="24"/>
          <w:lang w:val="en-GB"/>
        </w:rPr>
        <w:t>Submission Date</w:t>
      </w:r>
      <w:r w:rsidR="001C76EB">
        <w:rPr>
          <w:rFonts w:ascii="Times New Roman" w:eastAsia="Times New Roman" w:hAnsi="Times New Roman" w:cs="Times New Roman"/>
          <w:color w:val="000000" w:themeColor="text1"/>
          <w:sz w:val="24"/>
          <w:szCs w:val="24"/>
          <w:lang w:val="en-GB"/>
        </w:rPr>
        <w:t>: 28.07.2023</w:t>
      </w:r>
      <w:bookmarkStart w:id="0" w:name="_GoBack"/>
      <w:bookmarkEnd w:id="0"/>
    </w:p>
    <w:p w14:paraId="59118BC2" w14:textId="6EA4BB08" w:rsidR="00960A6A" w:rsidRPr="00304349" w:rsidRDefault="00960A6A" w:rsidP="59027E0E">
      <w:pPr>
        <w:spacing w:line="360" w:lineRule="auto"/>
        <w:jc w:val="both"/>
        <w:rPr>
          <w:rFonts w:ascii="Times New Roman" w:eastAsia="Times New Roman" w:hAnsi="Times New Roman" w:cs="Times New Roman"/>
          <w:sz w:val="24"/>
          <w:szCs w:val="24"/>
          <w:lang w:val="en-GB"/>
        </w:rPr>
      </w:pPr>
    </w:p>
    <w:p w14:paraId="56020904" w14:textId="2F4F3FFD" w:rsidR="00960A6A" w:rsidRPr="00304349" w:rsidRDefault="00960A6A" w:rsidP="59027E0E">
      <w:pPr>
        <w:spacing w:line="360" w:lineRule="auto"/>
        <w:jc w:val="both"/>
        <w:rPr>
          <w:rFonts w:ascii="Times New Roman" w:eastAsia="Times New Roman" w:hAnsi="Times New Roman" w:cs="Times New Roman"/>
          <w:sz w:val="24"/>
          <w:szCs w:val="24"/>
          <w:lang w:val="en-GB"/>
        </w:rPr>
      </w:pPr>
    </w:p>
    <w:p w14:paraId="15BC77EC" w14:textId="2BBBB26C" w:rsidR="00960A6A" w:rsidRPr="00304349" w:rsidRDefault="00960A6A" w:rsidP="59027E0E">
      <w:pPr>
        <w:spacing w:line="360" w:lineRule="auto"/>
        <w:jc w:val="both"/>
        <w:rPr>
          <w:rFonts w:ascii="Times New Roman" w:eastAsia="Times New Roman" w:hAnsi="Times New Roman" w:cs="Times New Roman"/>
          <w:sz w:val="24"/>
          <w:szCs w:val="24"/>
          <w:lang w:val="en-GB"/>
        </w:rPr>
      </w:pPr>
    </w:p>
    <w:p w14:paraId="7D5B1731" w14:textId="65D1A41B" w:rsidR="00960A6A" w:rsidRDefault="00960A6A" w:rsidP="59027E0E">
      <w:pPr>
        <w:spacing w:line="360" w:lineRule="auto"/>
        <w:jc w:val="both"/>
        <w:rPr>
          <w:rFonts w:ascii="Times New Roman" w:eastAsia="Times New Roman" w:hAnsi="Times New Roman" w:cs="Times New Roman"/>
          <w:sz w:val="24"/>
          <w:szCs w:val="24"/>
          <w:lang w:val="en-GB"/>
        </w:rPr>
      </w:pPr>
    </w:p>
    <w:p w14:paraId="18420E12" w14:textId="6738BF5D" w:rsidR="00960A6A" w:rsidRDefault="00960A6A" w:rsidP="59027E0E">
      <w:pPr>
        <w:spacing w:line="360" w:lineRule="auto"/>
        <w:jc w:val="both"/>
        <w:rPr>
          <w:rFonts w:ascii="Times New Roman" w:eastAsia="Times New Roman" w:hAnsi="Times New Roman" w:cs="Times New Roman"/>
          <w:sz w:val="24"/>
          <w:szCs w:val="24"/>
          <w:lang w:val="en-GB"/>
        </w:rPr>
      </w:pPr>
    </w:p>
    <w:p w14:paraId="7F302CF0" w14:textId="626C3804" w:rsidR="00960A6A" w:rsidRDefault="00960A6A" w:rsidP="59027E0E">
      <w:pPr>
        <w:spacing w:line="360" w:lineRule="auto"/>
        <w:jc w:val="both"/>
        <w:rPr>
          <w:rFonts w:ascii="Times New Roman" w:eastAsia="Times New Roman" w:hAnsi="Times New Roman" w:cs="Times New Roman"/>
          <w:sz w:val="24"/>
          <w:szCs w:val="24"/>
          <w:lang w:val="en-GB"/>
        </w:rPr>
      </w:pPr>
    </w:p>
    <w:p w14:paraId="411D7185" w14:textId="5D225C66" w:rsidR="00960A6A" w:rsidRDefault="00960A6A" w:rsidP="59027E0E">
      <w:pPr>
        <w:spacing w:line="360" w:lineRule="auto"/>
        <w:jc w:val="both"/>
        <w:rPr>
          <w:rFonts w:ascii="Times New Roman" w:eastAsia="Times New Roman" w:hAnsi="Times New Roman" w:cs="Times New Roman"/>
          <w:sz w:val="24"/>
          <w:szCs w:val="24"/>
          <w:lang w:val="en-GB"/>
        </w:rPr>
      </w:pPr>
    </w:p>
    <w:p w14:paraId="1E5B8C92" w14:textId="7E75C3EA" w:rsidR="00960A6A" w:rsidRDefault="00960A6A" w:rsidP="59027E0E">
      <w:pPr>
        <w:spacing w:line="360" w:lineRule="auto"/>
        <w:jc w:val="both"/>
        <w:rPr>
          <w:rFonts w:ascii="Times New Roman" w:eastAsia="Times New Roman" w:hAnsi="Times New Roman" w:cs="Times New Roman"/>
          <w:sz w:val="24"/>
          <w:szCs w:val="24"/>
          <w:lang w:val="en-GB"/>
        </w:rPr>
      </w:pPr>
    </w:p>
    <w:p w14:paraId="3BF28DF7" w14:textId="7490805C" w:rsidR="00960A6A" w:rsidRDefault="00960A6A" w:rsidP="59027E0E">
      <w:pPr>
        <w:spacing w:line="360" w:lineRule="auto"/>
        <w:jc w:val="both"/>
        <w:rPr>
          <w:rFonts w:ascii="Times New Roman" w:eastAsia="Times New Roman" w:hAnsi="Times New Roman" w:cs="Times New Roman"/>
          <w:sz w:val="24"/>
          <w:szCs w:val="24"/>
          <w:lang w:val="en-GB"/>
        </w:rPr>
      </w:pPr>
    </w:p>
    <w:p w14:paraId="7DD38167" w14:textId="0A9FC4EE" w:rsidR="00960A6A" w:rsidRDefault="00960A6A" w:rsidP="59027E0E">
      <w:pPr>
        <w:spacing w:line="360" w:lineRule="auto"/>
        <w:jc w:val="both"/>
        <w:rPr>
          <w:rFonts w:ascii="Times New Roman" w:eastAsia="Times New Roman" w:hAnsi="Times New Roman" w:cs="Times New Roman"/>
          <w:sz w:val="24"/>
          <w:szCs w:val="24"/>
          <w:lang w:val="en-GB"/>
        </w:rPr>
      </w:pPr>
    </w:p>
    <w:p w14:paraId="459135C2" w14:textId="450F0587" w:rsidR="00960A6A" w:rsidRDefault="00960A6A" w:rsidP="59027E0E">
      <w:pPr>
        <w:spacing w:line="360" w:lineRule="auto"/>
        <w:jc w:val="both"/>
        <w:rPr>
          <w:rFonts w:ascii="Times New Roman" w:eastAsia="Times New Roman" w:hAnsi="Times New Roman" w:cs="Times New Roman"/>
          <w:sz w:val="24"/>
          <w:szCs w:val="24"/>
          <w:lang w:val="en-GB"/>
        </w:rPr>
      </w:pPr>
    </w:p>
    <w:p w14:paraId="77B2AA53" w14:textId="77777777" w:rsidR="00304349" w:rsidRDefault="00304349">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71DBA926" w14:textId="0B1129E4" w:rsidR="00304349" w:rsidRPr="00304349" w:rsidRDefault="00304349" w:rsidP="00304349">
      <w:pPr>
        <w:pStyle w:val="Heading1"/>
        <w:rPr>
          <w:rFonts w:ascii="Times New Roman" w:eastAsia="Times New Roman" w:hAnsi="Times New Roman" w:cs="Times New Roman"/>
          <w:b/>
          <w:bCs/>
          <w:color w:val="auto"/>
          <w:sz w:val="24"/>
          <w:szCs w:val="24"/>
          <w:lang w:val="en-GB"/>
        </w:rPr>
      </w:pPr>
      <w:r w:rsidRPr="00304349">
        <w:rPr>
          <w:rFonts w:ascii="Times New Roman" w:eastAsia="Times New Roman" w:hAnsi="Times New Roman" w:cs="Times New Roman"/>
          <w:b/>
          <w:bCs/>
          <w:color w:val="auto"/>
          <w:sz w:val="24"/>
          <w:szCs w:val="24"/>
          <w:lang w:val="en-GB"/>
        </w:rPr>
        <w:lastRenderedPageBreak/>
        <w:t>Does the law that govern homicide in England and Wales need reforming?</w:t>
      </w:r>
    </w:p>
    <w:p w14:paraId="2C078E63" w14:textId="1C3D2C5D" w:rsidR="00960A6A" w:rsidRDefault="59027E0E" w:rsidP="59027E0E">
      <w:pPr>
        <w:spacing w:line="360" w:lineRule="auto"/>
        <w:jc w:val="both"/>
        <w:rPr>
          <w:rFonts w:ascii="Times New Roman" w:eastAsia="Times New Roman" w:hAnsi="Times New Roman" w:cs="Times New Roman"/>
          <w:sz w:val="24"/>
          <w:szCs w:val="24"/>
          <w:lang w:val="en-GB"/>
        </w:rPr>
      </w:pPr>
      <w:r w:rsidRPr="59027E0E">
        <w:rPr>
          <w:rFonts w:ascii="Times New Roman" w:eastAsia="Times New Roman" w:hAnsi="Times New Roman" w:cs="Times New Roman"/>
          <w:sz w:val="24"/>
          <w:szCs w:val="24"/>
          <w:lang w:val="en-GB"/>
        </w:rPr>
        <w:t>In England and Wales, the criminal legislation governing homicide has long been a pillar of the justice system and is intended to deal with the most serious offences regarding the taking of human life. However, questions have been made concerning the sufficiency and impartiality of the present-day legal system as society changes and new problems appear. The urgent need for homicide changes in England and Wales is critically examined in this paper using insights from reputable sources, including the writings of legal experts, commentators, and top textbooks. The analysis's goals are to pinpoint problem areas and determine whether the suggested adjustments will result in a more complex, fair, and just system of homicide punishment. We will examine various facets of murder law as we work our way through these sources, including topics like fair labelling, intent standards, classification of manslaughter offences, and the effects of the corporate criminal procedure reforms. We will also take historical viewpoints into account in order to gain useful knowledge and context for assessing potential reform initiatives in contemporary England and Wales.</w:t>
      </w:r>
    </w:p>
    <w:p w14:paraId="1A4069A5" w14:textId="2F2FAD7B" w:rsidR="59027E0E" w:rsidRDefault="59027E0E" w:rsidP="59027E0E">
      <w:pPr>
        <w:spacing w:line="360" w:lineRule="auto"/>
        <w:jc w:val="both"/>
        <w:rPr>
          <w:rFonts w:ascii="Times New Roman" w:eastAsia="Times New Roman" w:hAnsi="Times New Roman" w:cs="Times New Roman"/>
          <w:sz w:val="24"/>
          <w:szCs w:val="24"/>
          <w:lang w:val="en-GB"/>
        </w:rPr>
      </w:pPr>
      <w:r w:rsidRPr="59027E0E">
        <w:rPr>
          <w:rFonts w:ascii="Times New Roman" w:eastAsia="Times New Roman" w:hAnsi="Times New Roman" w:cs="Times New Roman"/>
          <w:sz w:val="24"/>
          <w:szCs w:val="24"/>
          <w:lang w:val="en-GB"/>
        </w:rPr>
        <w:t xml:space="preserve">The Homicide Act of 1957 and common law principles provide the foundation of the current homicide legislation in England and Wales (Fletcher, 1998). According to Ormerod et al. (2018), the definition of murder is the </w:t>
      </w:r>
      <w:proofErr w:type="spellStart"/>
      <w:r w:rsidRPr="59027E0E">
        <w:rPr>
          <w:rFonts w:ascii="Times New Roman" w:eastAsia="Times New Roman" w:hAnsi="Times New Roman" w:cs="Times New Roman"/>
          <w:sz w:val="24"/>
          <w:szCs w:val="24"/>
          <w:lang w:val="en-GB"/>
        </w:rPr>
        <w:t>willful</w:t>
      </w:r>
      <w:proofErr w:type="spellEnd"/>
      <w:r w:rsidRPr="59027E0E">
        <w:rPr>
          <w:rFonts w:ascii="Times New Roman" w:eastAsia="Times New Roman" w:hAnsi="Times New Roman" w:cs="Times New Roman"/>
          <w:sz w:val="24"/>
          <w:szCs w:val="24"/>
          <w:lang w:val="en-GB"/>
        </w:rPr>
        <w:t xml:space="preserve"> killing of a human person with malice aforethought. This crime requires both the actus reus of inflicting death as well as the </w:t>
      </w:r>
      <w:proofErr w:type="spellStart"/>
      <w:r w:rsidRPr="59027E0E">
        <w:rPr>
          <w:rFonts w:ascii="Times New Roman" w:eastAsia="Times New Roman" w:hAnsi="Times New Roman" w:cs="Times New Roman"/>
          <w:sz w:val="24"/>
          <w:szCs w:val="24"/>
          <w:lang w:val="en-GB"/>
        </w:rPr>
        <w:t>mens</w:t>
      </w:r>
      <w:proofErr w:type="spellEnd"/>
      <w:r w:rsidRPr="59027E0E">
        <w:rPr>
          <w:rFonts w:ascii="Times New Roman" w:eastAsia="Times New Roman" w:hAnsi="Times New Roman" w:cs="Times New Roman"/>
          <w:sz w:val="24"/>
          <w:szCs w:val="24"/>
          <w:lang w:val="en-GB"/>
        </w:rPr>
        <w:t xml:space="preserve"> rea of intent to murder or inflict grievous bodily harm (GBH). As shown in the case of R v. Vickers, where the accused person's assault on a helpless victim culminated in death (Chalmers &amp; </w:t>
      </w:r>
      <w:proofErr w:type="spellStart"/>
      <w:r w:rsidRPr="59027E0E">
        <w:rPr>
          <w:rFonts w:ascii="Times New Roman" w:eastAsia="Times New Roman" w:hAnsi="Times New Roman" w:cs="Times New Roman"/>
          <w:sz w:val="24"/>
          <w:szCs w:val="24"/>
          <w:lang w:val="en-GB"/>
        </w:rPr>
        <w:t>Leverick</w:t>
      </w:r>
      <w:proofErr w:type="spellEnd"/>
      <w:r w:rsidRPr="59027E0E">
        <w:rPr>
          <w:rFonts w:ascii="Times New Roman" w:eastAsia="Times New Roman" w:hAnsi="Times New Roman" w:cs="Times New Roman"/>
          <w:sz w:val="24"/>
          <w:szCs w:val="24"/>
          <w:lang w:val="en-GB"/>
        </w:rPr>
        <w:t>, 2008), intent can be determined from the defendant's acts. Manslaughter comprises both voluntary (with the purpose to cause injury) and involuntary (due to gross carelessness) homicides that do not meet the requirements for murder. For example, in R v. Adomako, the anaesthetist defendant's gross negligence caused the patient to pass away during operation (Crofts, 2013).</w:t>
      </w:r>
    </w:p>
    <w:p w14:paraId="04DF88BA" w14:textId="5972D283" w:rsidR="59027E0E" w:rsidRDefault="59027E0E" w:rsidP="59027E0E">
      <w:pPr>
        <w:spacing w:line="360" w:lineRule="auto"/>
        <w:jc w:val="both"/>
        <w:rPr>
          <w:rFonts w:ascii="Times New Roman" w:eastAsia="Times New Roman" w:hAnsi="Times New Roman" w:cs="Times New Roman"/>
          <w:sz w:val="24"/>
          <w:szCs w:val="24"/>
          <w:lang w:val="en-GB"/>
        </w:rPr>
      </w:pPr>
      <w:r w:rsidRPr="59027E0E">
        <w:rPr>
          <w:rFonts w:ascii="Times New Roman" w:eastAsia="Times New Roman" w:hAnsi="Times New Roman" w:cs="Times New Roman"/>
          <w:sz w:val="24"/>
          <w:szCs w:val="24"/>
          <w:lang w:val="en-GB"/>
        </w:rPr>
        <w:t xml:space="preserve">The existence of a partial defence to murder, which could reduce a murder accusation to manslaughter, is a crucial problem in the law controlling homicide. The partial defence of diminished culpability enables the offender to claim that their state of mind significantly reduced their liability for the homicide (Ormerod et al., 2018). In R v. Golds, the court found the defendant guilty of manslaughter after taking into account his past experiences of depression and mood disorders in light of his reduced level of responsibility (Chalmers &amp; </w:t>
      </w:r>
      <w:proofErr w:type="spellStart"/>
      <w:r w:rsidRPr="59027E0E">
        <w:rPr>
          <w:rFonts w:ascii="Times New Roman" w:eastAsia="Times New Roman" w:hAnsi="Times New Roman" w:cs="Times New Roman"/>
          <w:sz w:val="24"/>
          <w:szCs w:val="24"/>
          <w:lang w:val="en-GB"/>
        </w:rPr>
        <w:t>Leverick</w:t>
      </w:r>
      <w:proofErr w:type="spellEnd"/>
      <w:r w:rsidRPr="59027E0E">
        <w:rPr>
          <w:rFonts w:ascii="Times New Roman" w:eastAsia="Times New Roman" w:hAnsi="Times New Roman" w:cs="Times New Roman"/>
          <w:sz w:val="24"/>
          <w:szCs w:val="24"/>
          <w:lang w:val="en-GB"/>
        </w:rPr>
        <w:t xml:space="preserve">, 2008). According to the contentious provocation defence, which was used in the case of R v. Holley, the jury may </w:t>
      </w:r>
      <w:r w:rsidRPr="59027E0E">
        <w:rPr>
          <w:rFonts w:ascii="Times New Roman" w:eastAsia="Times New Roman" w:hAnsi="Times New Roman" w:cs="Times New Roman"/>
          <w:sz w:val="24"/>
          <w:szCs w:val="24"/>
          <w:lang w:val="en-GB"/>
        </w:rPr>
        <w:lastRenderedPageBreak/>
        <w:t xml:space="preserve">decide that the defendant's loss of composure was caused by a quick, transient loss of reason, turning murder into manslaughter (Samaha, 2016). However, detractors contend that this defence could support gender prejudices and possibly lessen accountability in domestic abuse situations (Chalmers &amp; </w:t>
      </w:r>
      <w:proofErr w:type="spellStart"/>
      <w:r w:rsidRPr="59027E0E">
        <w:rPr>
          <w:rFonts w:ascii="Times New Roman" w:eastAsia="Times New Roman" w:hAnsi="Times New Roman" w:cs="Times New Roman"/>
          <w:sz w:val="24"/>
          <w:szCs w:val="24"/>
          <w:lang w:val="en-GB"/>
        </w:rPr>
        <w:t>Leverick</w:t>
      </w:r>
      <w:proofErr w:type="spellEnd"/>
      <w:r w:rsidRPr="59027E0E">
        <w:rPr>
          <w:rFonts w:ascii="Times New Roman" w:eastAsia="Times New Roman" w:hAnsi="Times New Roman" w:cs="Times New Roman"/>
          <w:sz w:val="24"/>
          <w:szCs w:val="24"/>
          <w:lang w:val="en-GB"/>
        </w:rPr>
        <w:t>, 2008).</w:t>
      </w:r>
    </w:p>
    <w:p w14:paraId="6186C667" w14:textId="7BCB9ECC" w:rsidR="59027E0E" w:rsidRDefault="59027E0E" w:rsidP="59027E0E">
      <w:pPr>
        <w:spacing w:line="360" w:lineRule="auto"/>
        <w:jc w:val="both"/>
        <w:rPr>
          <w:rFonts w:ascii="Times New Roman" w:eastAsia="Times New Roman" w:hAnsi="Times New Roman" w:cs="Times New Roman"/>
          <w:sz w:val="24"/>
          <w:szCs w:val="24"/>
          <w:lang w:val="en-GB"/>
        </w:rPr>
      </w:pPr>
      <w:r w:rsidRPr="59027E0E">
        <w:rPr>
          <w:rFonts w:ascii="Times New Roman" w:eastAsia="Times New Roman" w:hAnsi="Times New Roman" w:cs="Times New Roman"/>
          <w:sz w:val="24"/>
          <w:szCs w:val="24"/>
          <w:lang w:val="en-GB"/>
        </w:rPr>
        <w:t xml:space="preserve">The traditional definition of "malice aforethought" is at the centre of the debate about the level of intent necessary for murder. The common law description stipulates that there must be an intent to murder or cause great bodily harm, but this rigid interpretation has come under fire because it may ignore alternative types of guilty states of mind (Fletcher, 1998). The House of Lords made it clear in R v Moloney that the jury should determine whether the defendant perceived the outcome of their conduct as being essentially certain, resulting in the needed motive for murder (Ormerod et al., 2018). The notion of "virtual certainty" in determining purpose was also explained by the cases R v. Nedrick and R v. </w:t>
      </w:r>
      <w:proofErr w:type="spellStart"/>
      <w:r w:rsidRPr="59027E0E">
        <w:rPr>
          <w:rFonts w:ascii="Times New Roman" w:eastAsia="Times New Roman" w:hAnsi="Times New Roman" w:cs="Times New Roman"/>
          <w:sz w:val="24"/>
          <w:szCs w:val="24"/>
          <w:lang w:val="en-GB"/>
        </w:rPr>
        <w:t>Woollin</w:t>
      </w:r>
      <w:proofErr w:type="spellEnd"/>
      <w:r w:rsidRPr="59027E0E">
        <w:rPr>
          <w:rFonts w:ascii="Times New Roman" w:eastAsia="Times New Roman" w:hAnsi="Times New Roman" w:cs="Times New Roman"/>
          <w:sz w:val="24"/>
          <w:szCs w:val="24"/>
          <w:lang w:val="en-GB"/>
        </w:rPr>
        <w:t xml:space="preserve"> (Chalmers &amp; </w:t>
      </w:r>
      <w:proofErr w:type="spellStart"/>
      <w:r w:rsidRPr="59027E0E">
        <w:rPr>
          <w:rFonts w:ascii="Times New Roman" w:eastAsia="Times New Roman" w:hAnsi="Times New Roman" w:cs="Times New Roman"/>
          <w:sz w:val="24"/>
          <w:szCs w:val="24"/>
          <w:lang w:val="en-GB"/>
        </w:rPr>
        <w:t>Leverick</w:t>
      </w:r>
      <w:proofErr w:type="spellEnd"/>
      <w:r w:rsidRPr="59027E0E">
        <w:rPr>
          <w:rFonts w:ascii="Times New Roman" w:eastAsia="Times New Roman" w:hAnsi="Times New Roman" w:cs="Times New Roman"/>
          <w:sz w:val="24"/>
          <w:szCs w:val="24"/>
          <w:lang w:val="en-GB"/>
        </w:rPr>
        <w:t>, 2008). These instances draw attention to the ongoing discussion around the standard for proving intent in murder prosecutions.</w:t>
      </w:r>
    </w:p>
    <w:p w14:paraId="4370F3D5" w14:textId="169A3555" w:rsidR="59027E0E" w:rsidRDefault="59027E0E" w:rsidP="59027E0E">
      <w:pPr>
        <w:spacing w:line="360" w:lineRule="auto"/>
        <w:jc w:val="both"/>
        <w:rPr>
          <w:rFonts w:ascii="Times New Roman" w:eastAsia="Times New Roman" w:hAnsi="Times New Roman" w:cs="Times New Roman"/>
          <w:sz w:val="24"/>
          <w:szCs w:val="24"/>
          <w:lang w:val="en-GB"/>
        </w:rPr>
      </w:pPr>
      <w:r w:rsidRPr="59027E0E">
        <w:rPr>
          <w:rFonts w:ascii="Times New Roman" w:eastAsia="Times New Roman" w:hAnsi="Times New Roman" w:cs="Times New Roman"/>
          <w:sz w:val="24"/>
          <w:szCs w:val="24"/>
          <w:lang w:val="en-GB"/>
        </w:rPr>
        <w:t xml:space="preserve">According to critics, the present manslaughter classification is overly wide and causes inconsistent sentence (Chalmers &amp; </w:t>
      </w:r>
      <w:proofErr w:type="spellStart"/>
      <w:r w:rsidRPr="59027E0E">
        <w:rPr>
          <w:rFonts w:ascii="Times New Roman" w:eastAsia="Times New Roman" w:hAnsi="Times New Roman" w:cs="Times New Roman"/>
          <w:sz w:val="24"/>
          <w:szCs w:val="24"/>
          <w:lang w:val="en-GB"/>
        </w:rPr>
        <w:t>Leverick</w:t>
      </w:r>
      <w:proofErr w:type="spellEnd"/>
      <w:r w:rsidRPr="59027E0E">
        <w:rPr>
          <w:rFonts w:ascii="Times New Roman" w:eastAsia="Times New Roman" w:hAnsi="Times New Roman" w:cs="Times New Roman"/>
          <w:sz w:val="24"/>
          <w:szCs w:val="24"/>
          <w:lang w:val="en-GB"/>
        </w:rPr>
        <w:t xml:space="preserve">, 2008). For the purpose of determining the proper punishments, it is essential to make the distinction between various types of manslaughter. When a defendant kills intentionally but there are some mitigating factors present, it is referred to as voluntary manslaughter (Fletcher, 1998). In R v. Duffy, the defendant lost control out of fear of more violence, which resulted in a deliberate killing conviction rather than a murder conviction (Ormerod et al., 2018). Contrarily, involuntary manslaughter refers to fatalities brought on by egregious negligence. In R v. Gibbins and Proctor, both parents were found guilty of involuntary manslaughter after their failure to feed and care for their infant caused the kid to die (Chalmers &amp; </w:t>
      </w:r>
      <w:proofErr w:type="spellStart"/>
      <w:r w:rsidRPr="59027E0E">
        <w:rPr>
          <w:rFonts w:ascii="Times New Roman" w:eastAsia="Times New Roman" w:hAnsi="Times New Roman" w:cs="Times New Roman"/>
          <w:sz w:val="24"/>
          <w:szCs w:val="24"/>
          <w:lang w:val="en-GB"/>
        </w:rPr>
        <w:t>Leverick</w:t>
      </w:r>
      <w:proofErr w:type="spellEnd"/>
      <w:r w:rsidRPr="59027E0E">
        <w:rPr>
          <w:rFonts w:ascii="Times New Roman" w:eastAsia="Times New Roman" w:hAnsi="Times New Roman" w:cs="Times New Roman"/>
          <w:sz w:val="24"/>
          <w:szCs w:val="24"/>
          <w:lang w:val="en-GB"/>
        </w:rPr>
        <w:t xml:space="preserve">, 2008). To fix the flaws in the homicide statute, the statute Commission has put forth a number of reform proposals (Chalmers &amp; </w:t>
      </w:r>
      <w:proofErr w:type="spellStart"/>
      <w:r w:rsidRPr="59027E0E">
        <w:rPr>
          <w:rFonts w:ascii="Times New Roman" w:eastAsia="Times New Roman" w:hAnsi="Times New Roman" w:cs="Times New Roman"/>
          <w:sz w:val="24"/>
          <w:szCs w:val="24"/>
          <w:lang w:val="en-GB"/>
        </w:rPr>
        <w:t>Leverick</w:t>
      </w:r>
      <w:proofErr w:type="spellEnd"/>
      <w:r w:rsidRPr="59027E0E">
        <w:rPr>
          <w:rFonts w:ascii="Times New Roman" w:eastAsia="Times New Roman" w:hAnsi="Times New Roman" w:cs="Times New Roman"/>
          <w:sz w:val="24"/>
          <w:szCs w:val="24"/>
          <w:lang w:val="en-GB"/>
        </w:rPr>
        <w:t xml:space="preserve">, 2008). The Law Commission suggests changing partial defences, including eliminating the incitement defence and reevaluating lessened liability, to improve clarity and fairness (Samaha, 2016). A more sophisticated strategy that reflects current societal values has also been proposed as a way to </w:t>
      </w:r>
      <w:proofErr w:type="spellStart"/>
      <w:r w:rsidRPr="59027E0E">
        <w:rPr>
          <w:rFonts w:ascii="Times New Roman" w:eastAsia="Times New Roman" w:hAnsi="Times New Roman" w:cs="Times New Roman"/>
          <w:sz w:val="24"/>
          <w:szCs w:val="24"/>
          <w:lang w:val="en-GB"/>
        </w:rPr>
        <w:t>reexamine</w:t>
      </w:r>
      <w:proofErr w:type="spellEnd"/>
      <w:r w:rsidRPr="59027E0E">
        <w:rPr>
          <w:rFonts w:ascii="Times New Roman" w:eastAsia="Times New Roman" w:hAnsi="Times New Roman" w:cs="Times New Roman"/>
          <w:sz w:val="24"/>
          <w:szCs w:val="24"/>
          <w:lang w:val="en-GB"/>
        </w:rPr>
        <w:t xml:space="preserve"> the intent needed to commit murder (Chalmers &amp; </w:t>
      </w:r>
      <w:proofErr w:type="spellStart"/>
      <w:r w:rsidRPr="59027E0E">
        <w:rPr>
          <w:rFonts w:ascii="Times New Roman" w:eastAsia="Times New Roman" w:hAnsi="Times New Roman" w:cs="Times New Roman"/>
          <w:sz w:val="24"/>
          <w:szCs w:val="24"/>
          <w:lang w:val="en-GB"/>
        </w:rPr>
        <w:t>Leverick</w:t>
      </w:r>
      <w:proofErr w:type="spellEnd"/>
      <w:r w:rsidRPr="59027E0E">
        <w:rPr>
          <w:rFonts w:ascii="Times New Roman" w:eastAsia="Times New Roman" w:hAnsi="Times New Roman" w:cs="Times New Roman"/>
          <w:sz w:val="24"/>
          <w:szCs w:val="24"/>
          <w:lang w:val="en-GB"/>
        </w:rPr>
        <w:t>, 2008).</w:t>
      </w:r>
    </w:p>
    <w:p w14:paraId="1E091C29" w14:textId="60579977" w:rsidR="59027E0E" w:rsidRDefault="59027E0E" w:rsidP="59027E0E">
      <w:pPr>
        <w:spacing w:line="360" w:lineRule="auto"/>
        <w:jc w:val="both"/>
        <w:rPr>
          <w:rFonts w:ascii="Times New Roman" w:eastAsia="Times New Roman" w:hAnsi="Times New Roman" w:cs="Times New Roman"/>
          <w:sz w:val="24"/>
          <w:szCs w:val="24"/>
          <w:lang w:val="en-GB"/>
        </w:rPr>
      </w:pPr>
      <w:r w:rsidRPr="59027E0E">
        <w:rPr>
          <w:rFonts w:ascii="Times New Roman" w:eastAsia="Times New Roman" w:hAnsi="Times New Roman" w:cs="Times New Roman"/>
          <w:sz w:val="24"/>
          <w:szCs w:val="24"/>
          <w:lang w:val="en-GB"/>
        </w:rPr>
        <w:t xml:space="preserve">The Law Commission's reform recommendations aim to remedy the shortcomings and difficulties of the current English and Welsh law governing homicide. The partial defences for murder, which </w:t>
      </w:r>
      <w:r w:rsidRPr="59027E0E">
        <w:rPr>
          <w:rFonts w:ascii="Times New Roman" w:eastAsia="Times New Roman" w:hAnsi="Times New Roman" w:cs="Times New Roman"/>
          <w:sz w:val="24"/>
          <w:szCs w:val="24"/>
          <w:lang w:val="en-GB"/>
        </w:rPr>
        <w:lastRenderedPageBreak/>
        <w:t xml:space="preserve">provide defendants the chance of having the charges against them lessened from murder to manslaughter, are a major source of worry. The Law Commission advises against provoking a defence, which has come under fire for being subjective and possibly having discrimination based on gender (Chalmers &amp; </w:t>
      </w:r>
      <w:proofErr w:type="spellStart"/>
      <w:r w:rsidRPr="59027E0E">
        <w:rPr>
          <w:rFonts w:ascii="Times New Roman" w:eastAsia="Times New Roman" w:hAnsi="Times New Roman" w:cs="Times New Roman"/>
          <w:sz w:val="24"/>
          <w:szCs w:val="24"/>
          <w:lang w:val="en-GB"/>
        </w:rPr>
        <w:t>Leverick</w:t>
      </w:r>
      <w:proofErr w:type="spellEnd"/>
      <w:r w:rsidRPr="59027E0E">
        <w:rPr>
          <w:rFonts w:ascii="Times New Roman" w:eastAsia="Times New Roman" w:hAnsi="Times New Roman" w:cs="Times New Roman"/>
          <w:sz w:val="24"/>
          <w:szCs w:val="24"/>
          <w:lang w:val="en-GB"/>
        </w:rPr>
        <w:t xml:space="preserve">, 2008).  By using the provocation argument, murder charges used to be reduced to manslaughter for people who committed crimes while suffering from a brief lack of self-control. As it may be more frequently used in domestic violence instances when males say their partners provoked them, this argument has drawn criticism for potentially maintaining damaging gender stereotypes (Chalmers &amp; </w:t>
      </w:r>
      <w:proofErr w:type="spellStart"/>
      <w:r w:rsidRPr="59027E0E">
        <w:rPr>
          <w:rFonts w:ascii="Times New Roman" w:eastAsia="Times New Roman" w:hAnsi="Times New Roman" w:cs="Times New Roman"/>
          <w:sz w:val="24"/>
          <w:szCs w:val="24"/>
          <w:lang w:val="en-GB"/>
        </w:rPr>
        <w:t>Leverick</w:t>
      </w:r>
      <w:proofErr w:type="spellEnd"/>
      <w:r w:rsidRPr="59027E0E">
        <w:rPr>
          <w:rFonts w:ascii="Times New Roman" w:eastAsia="Times New Roman" w:hAnsi="Times New Roman" w:cs="Times New Roman"/>
          <w:sz w:val="24"/>
          <w:szCs w:val="24"/>
          <w:lang w:val="en-GB"/>
        </w:rPr>
        <w:t>, 2008). By eliminating this defence, the Law Commission hopes to establish a more equitable system that avoids fostering gender inequalities and guarantees that domestic abuse cases receive the serious attention they require.</w:t>
      </w:r>
    </w:p>
    <w:p w14:paraId="61935E00" w14:textId="4DF3E7C5" w:rsidR="59027E0E" w:rsidRDefault="59027E0E" w:rsidP="59027E0E">
      <w:pPr>
        <w:spacing w:line="360" w:lineRule="auto"/>
        <w:jc w:val="both"/>
        <w:rPr>
          <w:rFonts w:ascii="Times New Roman" w:eastAsia="Times New Roman" w:hAnsi="Times New Roman" w:cs="Times New Roman"/>
          <w:sz w:val="24"/>
          <w:szCs w:val="24"/>
          <w:lang w:val="en-GB"/>
        </w:rPr>
      </w:pPr>
      <w:r w:rsidRPr="59027E0E">
        <w:rPr>
          <w:rFonts w:ascii="Times New Roman" w:eastAsia="Times New Roman" w:hAnsi="Times New Roman" w:cs="Times New Roman"/>
          <w:sz w:val="24"/>
          <w:szCs w:val="24"/>
          <w:lang w:val="en-GB"/>
        </w:rPr>
        <w:t>The reconsideration of diminished accountability, which enables defendants to claim claiming their mental state significantly reduced their blame for the homicide, is a further crucial aspect of the suggested reform. To guarantee a more straightforward and consistent implementation of this defence and reduce the possibility of abuse or system manipulation, the Law Commission recommends changing it (Samaha, 2016). The proposed changes are meant to improve the cohesion, justice, and transparency of the legislation governing homicide by tackling these problems.</w:t>
      </w:r>
    </w:p>
    <w:p w14:paraId="66F4FF03" w14:textId="3B14AF96" w:rsidR="59027E0E" w:rsidRDefault="59027E0E" w:rsidP="59027E0E">
      <w:pPr>
        <w:spacing w:line="360" w:lineRule="auto"/>
        <w:jc w:val="both"/>
        <w:rPr>
          <w:rFonts w:ascii="Times New Roman" w:eastAsia="Times New Roman" w:hAnsi="Times New Roman" w:cs="Times New Roman"/>
          <w:sz w:val="24"/>
          <w:szCs w:val="24"/>
          <w:lang w:val="en-GB"/>
        </w:rPr>
      </w:pPr>
      <w:r w:rsidRPr="59027E0E">
        <w:rPr>
          <w:rFonts w:ascii="Times New Roman" w:eastAsia="Times New Roman" w:hAnsi="Times New Roman" w:cs="Times New Roman"/>
          <w:sz w:val="24"/>
          <w:szCs w:val="24"/>
          <w:lang w:val="en-GB"/>
        </w:rPr>
        <w:t xml:space="preserve">The advantages they might provide to the system of criminal justice are probably factors the administration considered before embracing some reforms. Consider how gender bias issues could be addressed and how domestic violence cases could be handled more fairly by adopting the elimination of the provocation defence (Chalmers &amp; </w:t>
      </w:r>
      <w:proofErr w:type="spellStart"/>
      <w:r w:rsidRPr="59027E0E">
        <w:rPr>
          <w:rFonts w:ascii="Times New Roman" w:eastAsia="Times New Roman" w:hAnsi="Times New Roman" w:cs="Times New Roman"/>
          <w:sz w:val="24"/>
          <w:szCs w:val="24"/>
          <w:lang w:val="en-GB"/>
        </w:rPr>
        <w:t>Leverick</w:t>
      </w:r>
      <w:proofErr w:type="spellEnd"/>
      <w:r w:rsidRPr="59027E0E">
        <w:rPr>
          <w:rFonts w:ascii="Times New Roman" w:eastAsia="Times New Roman" w:hAnsi="Times New Roman" w:cs="Times New Roman"/>
          <w:sz w:val="24"/>
          <w:szCs w:val="24"/>
          <w:lang w:val="en-GB"/>
        </w:rPr>
        <w:t>, 2008). The government does this in an effort to support a judicial system that is more just and equal and conforms to current ethical standards.</w:t>
      </w:r>
    </w:p>
    <w:p w14:paraId="5438E795" w14:textId="23497EFF" w:rsidR="59027E0E" w:rsidRDefault="59027E0E" w:rsidP="59027E0E">
      <w:pPr>
        <w:spacing w:line="360" w:lineRule="auto"/>
        <w:jc w:val="both"/>
        <w:rPr>
          <w:rFonts w:ascii="Times New Roman" w:eastAsia="Times New Roman" w:hAnsi="Times New Roman" w:cs="Times New Roman"/>
          <w:sz w:val="24"/>
          <w:szCs w:val="24"/>
          <w:lang w:val="en-GB"/>
        </w:rPr>
      </w:pPr>
      <w:r w:rsidRPr="59027E0E">
        <w:rPr>
          <w:rFonts w:ascii="Times New Roman" w:eastAsia="Times New Roman" w:hAnsi="Times New Roman" w:cs="Times New Roman"/>
          <w:sz w:val="24"/>
          <w:szCs w:val="24"/>
          <w:lang w:val="en-GB"/>
        </w:rPr>
        <w:t xml:space="preserve"> Similar to this, adopting reforms for lessened responsibility may eliminate contradictions and enhance the justice and precision of the law (Samaha, 2016). However, the government's rejection of some recommendations might derive from the requirement to safeguard established laws and avoid unintended effects that might jeopardise the criminal justice system (Fletcher, 1998). A more explicit and consistent utilisation of this defence will guarantee that it is properly employed in cases where a mental illness genuinely affects a person's liability for the killing. For instance, the long-standing reliance of the law on a motive requirement for murder may stem from an approach </w:t>
      </w:r>
      <w:r w:rsidRPr="59027E0E">
        <w:rPr>
          <w:rFonts w:ascii="Times New Roman" w:eastAsia="Times New Roman" w:hAnsi="Times New Roman" w:cs="Times New Roman"/>
          <w:sz w:val="24"/>
          <w:szCs w:val="24"/>
          <w:lang w:val="en-GB"/>
        </w:rPr>
        <w:lastRenderedPageBreak/>
        <w:t>based on principles to guarantee that the most serious charge of murder remains reserved for situations with true intent to injure. Due to worries about possible challenges to the current system, opponents of homicide reforms argue against making quick changes to the legal system (Tombs, 2013). They argue that hastily enacting reforms could have unexpected implications that would jeopardise the efficiency and cohesion of the Criminal Justice System.</w:t>
      </w:r>
    </w:p>
    <w:p w14:paraId="259AA311" w14:textId="77225ECC" w:rsidR="59027E0E" w:rsidRDefault="59027E0E" w:rsidP="59027E0E">
      <w:pPr>
        <w:spacing w:line="360" w:lineRule="auto"/>
        <w:jc w:val="both"/>
        <w:rPr>
          <w:rFonts w:ascii="Times New Roman" w:eastAsia="Times New Roman" w:hAnsi="Times New Roman" w:cs="Times New Roman"/>
          <w:sz w:val="24"/>
          <w:szCs w:val="24"/>
          <w:lang w:val="en-GB"/>
        </w:rPr>
      </w:pPr>
      <w:r w:rsidRPr="59027E0E">
        <w:rPr>
          <w:rFonts w:ascii="Times New Roman" w:eastAsia="Times New Roman" w:hAnsi="Times New Roman" w:cs="Times New Roman"/>
          <w:sz w:val="24"/>
          <w:szCs w:val="24"/>
          <w:lang w:val="en-GB"/>
        </w:rPr>
        <w:t xml:space="preserve">The preservation of fundamental legal concepts is one of the key issues brought up by reform opponents. Critics contend that any adjustments should not jeopardise the simplicity and uniformity of this distinctions because it is a basic component of the regulations governing homicide (Chalmers &amp; </w:t>
      </w:r>
      <w:proofErr w:type="spellStart"/>
      <w:r w:rsidRPr="59027E0E">
        <w:rPr>
          <w:rFonts w:ascii="Times New Roman" w:eastAsia="Times New Roman" w:hAnsi="Times New Roman" w:cs="Times New Roman"/>
          <w:sz w:val="24"/>
          <w:szCs w:val="24"/>
          <w:lang w:val="en-GB"/>
        </w:rPr>
        <w:t>Leverick</w:t>
      </w:r>
      <w:proofErr w:type="spellEnd"/>
      <w:r w:rsidRPr="59027E0E">
        <w:rPr>
          <w:rFonts w:ascii="Times New Roman" w:eastAsia="Times New Roman" w:hAnsi="Times New Roman" w:cs="Times New Roman"/>
          <w:sz w:val="24"/>
          <w:szCs w:val="24"/>
          <w:lang w:val="en-GB"/>
        </w:rPr>
        <w:t xml:space="preserve">, 2008). By maintaining this distinction, it is ensured that cases involving purposeful and malicious killings receive the harshest penalties, whereas other illegal killings receive varying treatment depending on their unique circumstances. The importance of personal accountability in criminal law is another significant topic that opponents have emphasised. According to Chalmers and </w:t>
      </w:r>
      <w:proofErr w:type="spellStart"/>
      <w:r w:rsidRPr="59027E0E">
        <w:rPr>
          <w:rFonts w:ascii="Times New Roman" w:eastAsia="Times New Roman" w:hAnsi="Times New Roman" w:cs="Times New Roman"/>
          <w:sz w:val="24"/>
          <w:szCs w:val="24"/>
          <w:lang w:val="en-GB"/>
        </w:rPr>
        <w:t>Leverick</w:t>
      </w:r>
      <w:proofErr w:type="spellEnd"/>
      <w:r w:rsidRPr="59027E0E">
        <w:rPr>
          <w:rFonts w:ascii="Times New Roman" w:eastAsia="Times New Roman" w:hAnsi="Times New Roman" w:cs="Times New Roman"/>
          <w:sz w:val="24"/>
          <w:szCs w:val="24"/>
          <w:lang w:val="en-GB"/>
        </w:rPr>
        <w:t xml:space="preserve"> (2008), the purpose of the law is to hold people responsible for their choices and actions and to ensure that individuals who commit significant crimes receive just punishment. The contemporary legal system works to maintain a fair balance between individual responsibility and societal safety by carefully examining the </w:t>
      </w:r>
      <w:proofErr w:type="spellStart"/>
      <w:r w:rsidRPr="59027E0E">
        <w:rPr>
          <w:rFonts w:ascii="Times New Roman" w:eastAsia="Times New Roman" w:hAnsi="Times New Roman" w:cs="Times New Roman"/>
          <w:sz w:val="24"/>
          <w:szCs w:val="24"/>
          <w:lang w:val="en-GB"/>
        </w:rPr>
        <w:t>mens</w:t>
      </w:r>
      <w:proofErr w:type="spellEnd"/>
      <w:r w:rsidRPr="59027E0E">
        <w:rPr>
          <w:rFonts w:ascii="Times New Roman" w:eastAsia="Times New Roman" w:hAnsi="Times New Roman" w:cs="Times New Roman"/>
          <w:sz w:val="24"/>
          <w:szCs w:val="24"/>
          <w:lang w:val="en-GB"/>
        </w:rPr>
        <w:t xml:space="preserve"> rea (mental state) and actus reus (physical conduct) of each case.</w:t>
      </w:r>
    </w:p>
    <w:p w14:paraId="435F3EBC" w14:textId="2E43C76B" w:rsidR="59027E0E" w:rsidRDefault="59027E0E" w:rsidP="59027E0E">
      <w:pPr>
        <w:spacing w:line="360" w:lineRule="auto"/>
        <w:jc w:val="both"/>
        <w:rPr>
          <w:rFonts w:ascii="Times New Roman" w:eastAsia="Times New Roman" w:hAnsi="Times New Roman" w:cs="Times New Roman"/>
          <w:sz w:val="24"/>
          <w:szCs w:val="24"/>
          <w:lang w:val="en-GB"/>
        </w:rPr>
      </w:pPr>
      <w:r w:rsidRPr="59027E0E">
        <w:rPr>
          <w:rFonts w:ascii="Times New Roman" w:eastAsia="Times New Roman" w:hAnsi="Times New Roman" w:cs="Times New Roman"/>
          <w:sz w:val="24"/>
          <w:szCs w:val="24"/>
          <w:lang w:val="en-GB"/>
        </w:rPr>
        <w:t>In conclusion, the recent debate over homicide changes in England and Wales is an example of how complicated criminal law is and how change must be implemented in a thoughtful manner. Although it has historical roots, the contemporary legal system has led to questions concerning manslaughter's scope, the requirement for murder, and partial defences to the crime. The Law Commission's recommendations try to solve these problems by recommending changes that will improve the law's simplicity, justice, and uniformity. To protect legal concepts and prevent unexpected consequences, some amendments are being accepted while others have been refused. To preserve the line of differentiation between manslaughter and murder while taking into account modern ethical viewpoints, I believe modifications must be properly constructed. To ensure a strong and fair criminal justice system which maintains individual accountability while defending the rights of both victims along with defendants, it will be essential to strike an agreement between reform and conservation.</w:t>
      </w:r>
    </w:p>
    <w:p w14:paraId="11498093" w14:textId="55DFBAEE" w:rsidR="59027E0E" w:rsidRDefault="59027E0E">
      <w:r>
        <w:br w:type="page"/>
      </w:r>
    </w:p>
    <w:p w14:paraId="235588D7" w14:textId="3E877541" w:rsidR="59027E0E" w:rsidRPr="00304349" w:rsidRDefault="59027E0E" w:rsidP="00304349">
      <w:pPr>
        <w:pStyle w:val="Heading1"/>
        <w:rPr>
          <w:rFonts w:ascii="Times New Roman" w:eastAsia="Times New Roman" w:hAnsi="Times New Roman" w:cs="Times New Roman"/>
          <w:b/>
          <w:bCs/>
          <w:color w:val="auto"/>
          <w:sz w:val="24"/>
          <w:szCs w:val="24"/>
          <w:lang w:val="en-GB"/>
        </w:rPr>
      </w:pPr>
      <w:r w:rsidRPr="00304349">
        <w:rPr>
          <w:rFonts w:ascii="Times New Roman" w:eastAsia="Times New Roman" w:hAnsi="Times New Roman" w:cs="Times New Roman"/>
          <w:b/>
          <w:bCs/>
          <w:color w:val="auto"/>
          <w:sz w:val="24"/>
          <w:szCs w:val="24"/>
          <w:lang w:val="en-GB"/>
        </w:rPr>
        <w:lastRenderedPageBreak/>
        <w:t>References</w:t>
      </w:r>
    </w:p>
    <w:p w14:paraId="3ADC5171" w14:textId="77777777" w:rsidR="00304349" w:rsidRPr="00304349" w:rsidRDefault="00304349" w:rsidP="00304349">
      <w:pPr>
        <w:pStyle w:val="NoSpacing"/>
        <w:spacing w:line="360" w:lineRule="auto"/>
        <w:ind w:left="720" w:hanging="720"/>
        <w:rPr>
          <w:rFonts w:ascii="Times New Roman" w:hAnsi="Times New Roman" w:cs="Times New Roman"/>
          <w:sz w:val="24"/>
          <w:szCs w:val="24"/>
          <w:lang w:val="en-GB"/>
        </w:rPr>
      </w:pPr>
      <w:r w:rsidRPr="00304349">
        <w:rPr>
          <w:rFonts w:ascii="Times New Roman" w:hAnsi="Times New Roman" w:cs="Times New Roman"/>
          <w:sz w:val="24"/>
          <w:szCs w:val="24"/>
          <w:lang w:val="en-GB"/>
        </w:rPr>
        <w:t xml:space="preserve">Chalmers, J. and </w:t>
      </w:r>
      <w:proofErr w:type="spellStart"/>
      <w:r w:rsidRPr="00304349">
        <w:rPr>
          <w:rFonts w:ascii="Times New Roman" w:hAnsi="Times New Roman" w:cs="Times New Roman"/>
          <w:sz w:val="24"/>
          <w:szCs w:val="24"/>
          <w:lang w:val="en-GB"/>
        </w:rPr>
        <w:t>Leverick</w:t>
      </w:r>
      <w:proofErr w:type="spellEnd"/>
      <w:r w:rsidRPr="00304349">
        <w:rPr>
          <w:rFonts w:ascii="Times New Roman" w:hAnsi="Times New Roman" w:cs="Times New Roman"/>
          <w:sz w:val="24"/>
          <w:szCs w:val="24"/>
          <w:lang w:val="en-GB"/>
        </w:rPr>
        <w:t xml:space="preserve">, F., 2008. Fair labelling in criminal law. </w:t>
      </w:r>
      <w:r w:rsidRPr="00304349">
        <w:rPr>
          <w:rFonts w:ascii="Times New Roman" w:hAnsi="Times New Roman" w:cs="Times New Roman"/>
          <w:i/>
          <w:iCs/>
          <w:sz w:val="24"/>
          <w:szCs w:val="24"/>
          <w:lang w:val="en-GB"/>
        </w:rPr>
        <w:t>The Modern Law Review</w:t>
      </w:r>
      <w:r w:rsidRPr="00304349">
        <w:rPr>
          <w:rFonts w:ascii="Times New Roman" w:hAnsi="Times New Roman" w:cs="Times New Roman"/>
          <w:sz w:val="24"/>
          <w:szCs w:val="24"/>
          <w:lang w:val="en-GB"/>
        </w:rPr>
        <w:t xml:space="preserve">, </w:t>
      </w:r>
      <w:r w:rsidRPr="00304349">
        <w:rPr>
          <w:rFonts w:ascii="Times New Roman" w:hAnsi="Times New Roman" w:cs="Times New Roman"/>
          <w:i/>
          <w:iCs/>
          <w:sz w:val="24"/>
          <w:szCs w:val="24"/>
          <w:lang w:val="en-GB"/>
        </w:rPr>
        <w:t>71</w:t>
      </w:r>
      <w:r w:rsidRPr="00304349">
        <w:rPr>
          <w:rFonts w:ascii="Times New Roman" w:hAnsi="Times New Roman" w:cs="Times New Roman"/>
          <w:sz w:val="24"/>
          <w:szCs w:val="24"/>
          <w:lang w:val="en-GB"/>
        </w:rPr>
        <w:t>(2), pp.217-246.</w:t>
      </w:r>
    </w:p>
    <w:p w14:paraId="312D3BBC" w14:textId="77777777" w:rsidR="00304349" w:rsidRPr="00304349" w:rsidRDefault="00304349" w:rsidP="00304349">
      <w:pPr>
        <w:pStyle w:val="NoSpacing"/>
        <w:spacing w:line="360" w:lineRule="auto"/>
        <w:ind w:left="720" w:hanging="720"/>
        <w:rPr>
          <w:rFonts w:ascii="Times New Roman" w:hAnsi="Times New Roman" w:cs="Times New Roman"/>
          <w:sz w:val="24"/>
          <w:szCs w:val="24"/>
          <w:lang w:val="en-GB"/>
        </w:rPr>
      </w:pPr>
      <w:r w:rsidRPr="00304349">
        <w:rPr>
          <w:rFonts w:ascii="Times New Roman" w:hAnsi="Times New Roman" w:cs="Times New Roman"/>
          <w:sz w:val="24"/>
          <w:szCs w:val="24"/>
          <w:lang w:val="en-GB"/>
        </w:rPr>
        <w:t xml:space="preserve">Crofts, P., 2013. </w:t>
      </w:r>
      <w:r w:rsidRPr="00304349">
        <w:rPr>
          <w:rFonts w:ascii="Times New Roman" w:hAnsi="Times New Roman" w:cs="Times New Roman"/>
          <w:i/>
          <w:iCs/>
          <w:sz w:val="24"/>
          <w:szCs w:val="24"/>
          <w:lang w:val="en-GB"/>
        </w:rPr>
        <w:t>Wickedness and crime: Laws of homicide and malice</w:t>
      </w:r>
      <w:r w:rsidRPr="00304349">
        <w:rPr>
          <w:rFonts w:ascii="Times New Roman" w:hAnsi="Times New Roman" w:cs="Times New Roman"/>
          <w:sz w:val="24"/>
          <w:szCs w:val="24"/>
          <w:lang w:val="en-GB"/>
        </w:rPr>
        <w:t>. Routledge.</w:t>
      </w:r>
    </w:p>
    <w:p w14:paraId="2F59736A" w14:textId="77777777" w:rsidR="00304349" w:rsidRPr="00304349" w:rsidRDefault="00304349" w:rsidP="00304349">
      <w:pPr>
        <w:pStyle w:val="NoSpacing"/>
        <w:spacing w:line="360" w:lineRule="auto"/>
        <w:ind w:left="720" w:hanging="720"/>
        <w:rPr>
          <w:rFonts w:ascii="Times New Roman" w:hAnsi="Times New Roman" w:cs="Times New Roman"/>
          <w:sz w:val="24"/>
          <w:szCs w:val="24"/>
          <w:lang w:val="en-GB"/>
        </w:rPr>
      </w:pPr>
      <w:r w:rsidRPr="00304349">
        <w:rPr>
          <w:rFonts w:ascii="Times New Roman" w:hAnsi="Times New Roman" w:cs="Times New Roman"/>
          <w:sz w:val="24"/>
          <w:szCs w:val="24"/>
          <w:lang w:val="en-GB"/>
        </w:rPr>
        <w:t xml:space="preserve">Fletcher, G.P., 1998. </w:t>
      </w:r>
      <w:r w:rsidRPr="00304349">
        <w:rPr>
          <w:rFonts w:ascii="Times New Roman" w:hAnsi="Times New Roman" w:cs="Times New Roman"/>
          <w:i/>
          <w:iCs/>
          <w:sz w:val="24"/>
          <w:szCs w:val="24"/>
          <w:lang w:val="en-GB"/>
        </w:rPr>
        <w:t>Basic concepts of criminal law</w:t>
      </w:r>
      <w:r w:rsidRPr="00304349">
        <w:rPr>
          <w:rFonts w:ascii="Times New Roman" w:hAnsi="Times New Roman" w:cs="Times New Roman"/>
          <w:sz w:val="24"/>
          <w:szCs w:val="24"/>
          <w:lang w:val="en-GB"/>
        </w:rPr>
        <w:t>. Oxford University Press, USA.</w:t>
      </w:r>
    </w:p>
    <w:p w14:paraId="15AD745D" w14:textId="77777777" w:rsidR="00304349" w:rsidRPr="00304349" w:rsidRDefault="00304349" w:rsidP="00304349">
      <w:pPr>
        <w:pStyle w:val="NoSpacing"/>
        <w:spacing w:line="360" w:lineRule="auto"/>
        <w:ind w:left="720" w:hanging="720"/>
        <w:rPr>
          <w:rFonts w:ascii="Times New Roman" w:hAnsi="Times New Roman" w:cs="Times New Roman"/>
          <w:sz w:val="24"/>
          <w:szCs w:val="24"/>
          <w:lang w:val="en-GB"/>
        </w:rPr>
      </w:pPr>
      <w:r w:rsidRPr="00304349">
        <w:rPr>
          <w:rFonts w:ascii="Times New Roman" w:hAnsi="Times New Roman" w:cs="Times New Roman"/>
          <w:sz w:val="24"/>
          <w:szCs w:val="24"/>
          <w:lang w:val="en-GB"/>
        </w:rPr>
        <w:t xml:space="preserve">Ormerod, D., Smith, J.C. and Laird, K., 2018. </w:t>
      </w:r>
      <w:r w:rsidRPr="00304349">
        <w:rPr>
          <w:rFonts w:ascii="Times New Roman" w:hAnsi="Times New Roman" w:cs="Times New Roman"/>
          <w:i/>
          <w:iCs/>
          <w:sz w:val="24"/>
          <w:szCs w:val="24"/>
          <w:lang w:val="en-GB"/>
        </w:rPr>
        <w:t>Smith, Hogan, and Ormerod's criminal law</w:t>
      </w:r>
      <w:r w:rsidRPr="00304349">
        <w:rPr>
          <w:rFonts w:ascii="Times New Roman" w:hAnsi="Times New Roman" w:cs="Times New Roman"/>
          <w:sz w:val="24"/>
          <w:szCs w:val="24"/>
          <w:lang w:val="en-GB"/>
        </w:rPr>
        <w:t>. Oxford University Press.</w:t>
      </w:r>
    </w:p>
    <w:p w14:paraId="3A55D8DF" w14:textId="77777777" w:rsidR="00304349" w:rsidRPr="00304349" w:rsidRDefault="00304349" w:rsidP="00304349">
      <w:pPr>
        <w:pStyle w:val="NoSpacing"/>
        <w:spacing w:line="360" w:lineRule="auto"/>
        <w:ind w:left="720" w:hanging="720"/>
        <w:rPr>
          <w:rFonts w:ascii="Times New Roman" w:hAnsi="Times New Roman" w:cs="Times New Roman"/>
          <w:sz w:val="24"/>
          <w:szCs w:val="24"/>
          <w:lang w:val="en-GB"/>
        </w:rPr>
      </w:pPr>
      <w:r w:rsidRPr="00304349">
        <w:rPr>
          <w:rFonts w:ascii="Times New Roman" w:hAnsi="Times New Roman" w:cs="Times New Roman"/>
          <w:sz w:val="24"/>
          <w:szCs w:val="24"/>
          <w:lang w:val="en-GB"/>
        </w:rPr>
        <w:t xml:space="preserve">Samaha, J., 2016. </w:t>
      </w:r>
      <w:r w:rsidRPr="00304349">
        <w:rPr>
          <w:rFonts w:ascii="Times New Roman" w:hAnsi="Times New Roman" w:cs="Times New Roman"/>
          <w:i/>
          <w:iCs/>
          <w:sz w:val="24"/>
          <w:szCs w:val="24"/>
          <w:lang w:val="en-GB"/>
        </w:rPr>
        <w:t>Criminal law</w:t>
      </w:r>
      <w:r w:rsidRPr="00304349">
        <w:rPr>
          <w:rFonts w:ascii="Times New Roman" w:hAnsi="Times New Roman" w:cs="Times New Roman"/>
          <w:sz w:val="24"/>
          <w:szCs w:val="24"/>
          <w:lang w:val="en-GB"/>
        </w:rPr>
        <w:t>. Cengage Learning.</w:t>
      </w:r>
    </w:p>
    <w:p w14:paraId="0A6DA8A0" w14:textId="77777777" w:rsidR="00304349" w:rsidRPr="00304349" w:rsidRDefault="00304349" w:rsidP="00304349">
      <w:pPr>
        <w:pStyle w:val="NoSpacing"/>
        <w:spacing w:line="360" w:lineRule="auto"/>
        <w:ind w:left="720" w:hanging="720"/>
        <w:rPr>
          <w:rFonts w:ascii="Times New Roman" w:hAnsi="Times New Roman" w:cs="Times New Roman"/>
          <w:sz w:val="24"/>
          <w:szCs w:val="24"/>
          <w:lang w:val="en-GB"/>
        </w:rPr>
      </w:pPr>
      <w:r w:rsidRPr="00304349">
        <w:rPr>
          <w:rFonts w:ascii="Times New Roman" w:hAnsi="Times New Roman" w:cs="Times New Roman"/>
          <w:sz w:val="24"/>
          <w:szCs w:val="24"/>
          <w:lang w:val="en-GB"/>
        </w:rPr>
        <w:t xml:space="preserve">Tombs, S., 2013. Still killing with impunity: corporate criminal law reform in the UK. </w:t>
      </w:r>
      <w:r w:rsidRPr="00304349">
        <w:rPr>
          <w:rFonts w:ascii="Times New Roman" w:hAnsi="Times New Roman" w:cs="Times New Roman"/>
          <w:i/>
          <w:iCs/>
          <w:sz w:val="24"/>
          <w:szCs w:val="24"/>
          <w:lang w:val="en-GB"/>
        </w:rPr>
        <w:t>Policy and Practice in Health and Safety</w:t>
      </w:r>
      <w:r w:rsidRPr="00304349">
        <w:rPr>
          <w:rFonts w:ascii="Times New Roman" w:hAnsi="Times New Roman" w:cs="Times New Roman"/>
          <w:sz w:val="24"/>
          <w:szCs w:val="24"/>
          <w:lang w:val="en-GB"/>
        </w:rPr>
        <w:t xml:space="preserve">, </w:t>
      </w:r>
      <w:r w:rsidRPr="00304349">
        <w:rPr>
          <w:rFonts w:ascii="Times New Roman" w:hAnsi="Times New Roman" w:cs="Times New Roman"/>
          <w:i/>
          <w:iCs/>
          <w:sz w:val="24"/>
          <w:szCs w:val="24"/>
          <w:lang w:val="en-GB"/>
        </w:rPr>
        <w:t>11</w:t>
      </w:r>
      <w:r w:rsidRPr="00304349">
        <w:rPr>
          <w:rFonts w:ascii="Times New Roman" w:hAnsi="Times New Roman" w:cs="Times New Roman"/>
          <w:sz w:val="24"/>
          <w:szCs w:val="24"/>
          <w:lang w:val="en-GB"/>
        </w:rPr>
        <w:t>(2), pp.63-80.</w:t>
      </w:r>
    </w:p>
    <w:p w14:paraId="2BEAABC9" w14:textId="77777777" w:rsidR="00304349" w:rsidRPr="00304349" w:rsidRDefault="00304349" w:rsidP="00304349">
      <w:pPr>
        <w:pStyle w:val="NoSpacing"/>
        <w:spacing w:line="360" w:lineRule="auto"/>
        <w:ind w:left="720" w:hanging="720"/>
        <w:rPr>
          <w:rFonts w:ascii="Times New Roman" w:hAnsi="Times New Roman" w:cs="Times New Roman"/>
          <w:sz w:val="24"/>
          <w:szCs w:val="24"/>
          <w:lang w:val="en-GB"/>
        </w:rPr>
      </w:pPr>
      <w:r w:rsidRPr="00304349">
        <w:rPr>
          <w:rFonts w:ascii="Times New Roman" w:hAnsi="Times New Roman" w:cs="Times New Roman"/>
          <w:sz w:val="24"/>
          <w:szCs w:val="24"/>
          <w:lang w:val="en-GB"/>
        </w:rPr>
        <w:t xml:space="preserve">Wharton, F., 1907. </w:t>
      </w:r>
      <w:r w:rsidRPr="00304349">
        <w:rPr>
          <w:rFonts w:ascii="Times New Roman" w:hAnsi="Times New Roman" w:cs="Times New Roman"/>
          <w:i/>
          <w:iCs/>
          <w:sz w:val="24"/>
          <w:szCs w:val="24"/>
          <w:lang w:val="en-GB"/>
        </w:rPr>
        <w:t>The Law of Homicide</w:t>
      </w:r>
      <w:r w:rsidRPr="00304349">
        <w:rPr>
          <w:rFonts w:ascii="Times New Roman" w:hAnsi="Times New Roman" w:cs="Times New Roman"/>
          <w:sz w:val="24"/>
          <w:szCs w:val="24"/>
          <w:lang w:val="en-GB"/>
        </w:rPr>
        <w:t>. Lawyers Co-operative Publishing Company.</w:t>
      </w:r>
    </w:p>
    <w:p w14:paraId="1ECB1905" w14:textId="0224BB96" w:rsidR="59027E0E" w:rsidRDefault="59027E0E" w:rsidP="59027E0E">
      <w:pPr>
        <w:spacing w:line="360" w:lineRule="auto"/>
        <w:jc w:val="both"/>
        <w:rPr>
          <w:rFonts w:ascii="Times New Roman" w:eastAsia="Times New Roman" w:hAnsi="Times New Roman" w:cs="Times New Roman"/>
          <w:color w:val="000000" w:themeColor="text1"/>
          <w:sz w:val="24"/>
          <w:szCs w:val="24"/>
          <w:lang w:val="en-GB"/>
        </w:rPr>
      </w:pPr>
      <w:r w:rsidRPr="59027E0E">
        <w:rPr>
          <w:rFonts w:ascii="Times New Roman" w:eastAsia="Times New Roman" w:hAnsi="Times New Roman" w:cs="Times New Roman"/>
          <w:b/>
          <w:bCs/>
          <w:color w:val="000000" w:themeColor="text1"/>
          <w:sz w:val="24"/>
          <w:szCs w:val="24"/>
          <w:lang w:val="en-GB"/>
        </w:rPr>
        <w:t>CASE LAWS</w:t>
      </w:r>
    </w:p>
    <w:p w14:paraId="733F0AAF" w14:textId="33448751" w:rsidR="59027E0E" w:rsidRDefault="59027E0E" w:rsidP="59027E0E">
      <w:pPr>
        <w:spacing w:line="360" w:lineRule="auto"/>
        <w:jc w:val="both"/>
        <w:rPr>
          <w:rFonts w:ascii="Times New Roman" w:eastAsia="Times New Roman" w:hAnsi="Times New Roman" w:cs="Times New Roman"/>
          <w:i/>
          <w:iCs/>
          <w:sz w:val="24"/>
          <w:szCs w:val="24"/>
          <w:lang w:val="en-GB"/>
        </w:rPr>
      </w:pPr>
      <w:r w:rsidRPr="59027E0E">
        <w:rPr>
          <w:rFonts w:ascii="Times New Roman" w:eastAsia="Times New Roman" w:hAnsi="Times New Roman" w:cs="Times New Roman"/>
          <w:i/>
          <w:iCs/>
          <w:sz w:val="24"/>
          <w:szCs w:val="24"/>
          <w:lang w:val="en-GB"/>
        </w:rPr>
        <w:t>R v. Vickers</w:t>
      </w:r>
    </w:p>
    <w:p w14:paraId="05EB6BD7" w14:textId="092C1494" w:rsidR="59027E0E" w:rsidRDefault="59027E0E" w:rsidP="59027E0E">
      <w:pPr>
        <w:spacing w:line="360" w:lineRule="auto"/>
        <w:jc w:val="both"/>
        <w:rPr>
          <w:rFonts w:ascii="Times New Roman" w:eastAsia="Times New Roman" w:hAnsi="Times New Roman" w:cs="Times New Roman"/>
          <w:i/>
          <w:iCs/>
          <w:sz w:val="24"/>
          <w:szCs w:val="24"/>
          <w:lang w:val="en-GB"/>
        </w:rPr>
      </w:pPr>
      <w:r w:rsidRPr="59027E0E">
        <w:rPr>
          <w:rFonts w:ascii="Times New Roman" w:eastAsia="Times New Roman" w:hAnsi="Times New Roman" w:cs="Times New Roman"/>
          <w:i/>
          <w:iCs/>
          <w:sz w:val="24"/>
          <w:szCs w:val="24"/>
          <w:lang w:val="en-GB"/>
        </w:rPr>
        <w:t>R v. Adomako</w:t>
      </w:r>
    </w:p>
    <w:p w14:paraId="7EA60B27" w14:textId="5F9C4D2A" w:rsidR="59027E0E" w:rsidRDefault="59027E0E" w:rsidP="59027E0E">
      <w:pPr>
        <w:spacing w:line="360" w:lineRule="auto"/>
        <w:jc w:val="both"/>
        <w:rPr>
          <w:rFonts w:ascii="Times New Roman" w:eastAsia="Times New Roman" w:hAnsi="Times New Roman" w:cs="Times New Roman"/>
          <w:i/>
          <w:iCs/>
          <w:sz w:val="24"/>
          <w:szCs w:val="24"/>
          <w:lang w:val="en-GB"/>
        </w:rPr>
      </w:pPr>
      <w:r w:rsidRPr="59027E0E">
        <w:rPr>
          <w:rFonts w:ascii="Times New Roman" w:eastAsia="Times New Roman" w:hAnsi="Times New Roman" w:cs="Times New Roman"/>
          <w:i/>
          <w:iCs/>
          <w:sz w:val="24"/>
          <w:szCs w:val="24"/>
          <w:lang w:val="en-GB"/>
        </w:rPr>
        <w:t>R v. Nedrick</w:t>
      </w:r>
    </w:p>
    <w:p w14:paraId="3D186DE8" w14:textId="21E69BE9" w:rsidR="59027E0E" w:rsidRDefault="59027E0E" w:rsidP="59027E0E">
      <w:pPr>
        <w:spacing w:line="360" w:lineRule="auto"/>
        <w:jc w:val="both"/>
        <w:rPr>
          <w:rFonts w:ascii="Times New Roman" w:eastAsia="Times New Roman" w:hAnsi="Times New Roman" w:cs="Times New Roman"/>
          <w:i/>
          <w:iCs/>
          <w:sz w:val="24"/>
          <w:szCs w:val="24"/>
          <w:lang w:val="en-GB"/>
        </w:rPr>
      </w:pPr>
      <w:r w:rsidRPr="59027E0E">
        <w:rPr>
          <w:rFonts w:ascii="Times New Roman" w:eastAsia="Times New Roman" w:hAnsi="Times New Roman" w:cs="Times New Roman"/>
          <w:i/>
          <w:iCs/>
          <w:sz w:val="24"/>
          <w:szCs w:val="24"/>
          <w:lang w:val="en-GB"/>
        </w:rPr>
        <w:t xml:space="preserve">R v. </w:t>
      </w:r>
      <w:proofErr w:type="spellStart"/>
      <w:r w:rsidRPr="59027E0E">
        <w:rPr>
          <w:rFonts w:ascii="Times New Roman" w:eastAsia="Times New Roman" w:hAnsi="Times New Roman" w:cs="Times New Roman"/>
          <w:i/>
          <w:iCs/>
          <w:sz w:val="24"/>
          <w:szCs w:val="24"/>
          <w:lang w:val="en-GB"/>
        </w:rPr>
        <w:t>Woollin</w:t>
      </w:r>
      <w:proofErr w:type="spellEnd"/>
    </w:p>
    <w:p w14:paraId="409086DB" w14:textId="4E7D550C" w:rsidR="59027E0E" w:rsidRDefault="59027E0E" w:rsidP="59027E0E">
      <w:pPr>
        <w:spacing w:line="360" w:lineRule="auto"/>
        <w:jc w:val="both"/>
        <w:rPr>
          <w:rFonts w:ascii="Times New Roman" w:eastAsia="Times New Roman" w:hAnsi="Times New Roman" w:cs="Times New Roman"/>
          <w:i/>
          <w:iCs/>
          <w:sz w:val="24"/>
          <w:szCs w:val="24"/>
          <w:lang w:val="en-GB"/>
        </w:rPr>
      </w:pPr>
      <w:r w:rsidRPr="59027E0E">
        <w:rPr>
          <w:rFonts w:ascii="Times New Roman" w:eastAsia="Times New Roman" w:hAnsi="Times New Roman" w:cs="Times New Roman"/>
          <w:i/>
          <w:iCs/>
          <w:sz w:val="24"/>
          <w:szCs w:val="24"/>
          <w:lang w:val="en-GB"/>
        </w:rPr>
        <w:t>R v. Moloney</w:t>
      </w:r>
    </w:p>
    <w:p w14:paraId="71D96C14" w14:textId="4F1068A1" w:rsidR="59027E0E" w:rsidRDefault="59027E0E" w:rsidP="59027E0E">
      <w:pPr>
        <w:spacing w:line="360" w:lineRule="auto"/>
        <w:jc w:val="both"/>
        <w:rPr>
          <w:rFonts w:ascii="Times New Roman" w:eastAsia="Times New Roman" w:hAnsi="Times New Roman" w:cs="Times New Roman"/>
          <w:i/>
          <w:iCs/>
          <w:sz w:val="24"/>
          <w:szCs w:val="24"/>
          <w:lang w:val="en-GB"/>
        </w:rPr>
      </w:pPr>
      <w:r w:rsidRPr="59027E0E">
        <w:rPr>
          <w:rFonts w:ascii="Times New Roman" w:eastAsia="Times New Roman" w:hAnsi="Times New Roman" w:cs="Times New Roman"/>
          <w:i/>
          <w:iCs/>
          <w:sz w:val="24"/>
          <w:szCs w:val="24"/>
          <w:lang w:val="en-GB"/>
        </w:rPr>
        <w:t>R v. Holley</w:t>
      </w:r>
    </w:p>
    <w:p w14:paraId="1EB5A690" w14:textId="62867FA3" w:rsidR="59027E0E" w:rsidRDefault="59027E0E" w:rsidP="59027E0E">
      <w:pPr>
        <w:spacing w:line="360" w:lineRule="auto"/>
        <w:jc w:val="both"/>
        <w:rPr>
          <w:rFonts w:ascii="Times New Roman" w:eastAsia="Times New Roman" w:hAnsi="Times New Roman" w:cs="Times New Roman"/>
          <w:i/>
          <w:iCs/>
          <w:sz w:val="24"/>
          <w:szCs w:val="24"/>
          <w:lang w:val="en-GB"/>
        </w:rPr>
      </w:pPr>
      <w:r w:rsidRPr="59027E0E">
        <w:rPr>
          <w:rFonts w:ascii="Times New Roman" w:eastAsia="Times New Roman" w:hAnsi="Times New Roman" w:cs="Times New Roman"/>
          <w:i/>
          <w:iCs/>
          <w:sz w:val="24"/>
          <w:szCs w:val="24"/>
          <w:lang w:val="en-GB"/>
        </w:rPr>
        <w:t>R v. Golds</w:t>
      </w:r>
    </w:p>
    <w:p w14:paraId="3F221092" w14:textId="1CB838D8" w:rsidR="59027E0E" w:rsidRDefault="59027E0E" w:rsidP="59027E0E">
      <w:pPr>
        <w:spacing w:line="360" w:lineRule="auto"/>
        <w:jc w:val="both"/>
        <w:rPr>
          <w:rFonts w:ascii="Times New Roman" w:eastAsia="Times New Roman" w:hAnsi="Times New Roman" w:cs="Times New Roman"/>
          <w:i/>
          <w:iCs/>
          <w:sz w:val="24"/>
          <w:szCs w:val="24"/>
          <w:lang w:val="en-GB"/>
        </w:rPr>
      </w:pPr>
      <w:r w:rsidRPr="59027E0E">
        <w:rPr>
          <w:rFonts w:ascii="Times New Roman" w:eastAsia="Times New Roman" w:hAnsi="Times New Roman" w:cs="Times New Roman"/>
          <w:i/>
          <w:iCs/>
          <w:sz w:val="24"/>
          <w:szCs w:val="24"/>
          <w:lang w:val="en-GB"/>
        </w:rPr>
        <w:t>R v. Gibbins and Proctor</w:t>
      </w:r>
    </w:p>
    <w:p w14:paraId="57142629" w14:textId="7FCD42BF" w:rsidR="59027E0E" w:rsidRDefault="59027E0E" w:rsidP="59027E0E">
      <w:pPr>
        <w:spacing w:line="360" w:lineRule="auto"/>
        <w:jc w:val="both"/>
        <w:rPr>
          <w:rFonts w:ascii="Times New Roman" w:eastAsia="Times New Roman" w:hAnsi="Times New Roman" w:cs="Times New Roman"/>
          <w:i/>
          <w:iCs/>
          <w:sz w:val="24"/>
          <w:szCs w:val="24"/>
          <w:lang w:val="en-GB"/>
        </w:rPr>
      </w:pPr>
      <w:r w:rsidRPr="59027E0E">
        <w:rPr>
          <w:rFonts w:ascii="Times New Roman" w:eastAsia="Times New Roman" w:hAnsi="Times New Roman" w:cs="Times New Roman"/>
          <w:i/>
          <w:iCs/>
          <w:sz w:val="24"/>
          <w:szCs w:val="24"/>
          <w:lang w:val="en-GB"/>
        </w:rPr>
        <w:t>R v. Duffy (1949)</w:t>
      </w:r>
    </w:p>
    <w:sectPr w:rsidR="59027E0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5C4FE9" w14:textId="77777777" w:rsidR="00A7331F" w:rsidRDefault="00A7331F" w:rsidP="008375F4">
      <w:pPr>
        <w:spacing w:after="0" w:line="240" w:lineRule="auto"/>
      </w:pPr>
      <w:r>
        <w:separator/>
      </w:r>
    </w:p>
  </w:endnote>
  <w:endnote w:type="continuationSeparator" w:id="0">
    <w:p w14:paraId="3316C4F4" w14:textId="77777777" w:rsidR="00A7331F" w:rsidRDefault="00A7331F" w:rsidP="00837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6474831"/>
      <w:docPartObj>
        <w:docPartGallery w:val="Page Numbers (Bottom of Page)"/>
        <w:docPartUnique/>
      </w:docPartObj>
    </w:sdtPr>
    <w:sdtEndPr>
      <w:rPr>
        <w:rFonts w:ascii="Times New Roman" w:hAnsi="Times New Roman" w:cs="Times New Roman"/>
        <w:noProof/>
        <w:sz w:val="24"/>
        <w:szCs w:val="24"/>
      </w:rPr>
    </w:sdtEndPr>
    <w:sdtContent>
      <w:p w14:paraId="27E6091C" w14:textId="5326E15A" w:rsidR="008375F4" w:rsidRPr="008375F4" w:rsidRDefault="008375F4">
        <w:pPr>
          <w:pStyle w:val="Footer"/>
          <w:jc w:val="center"/>
          <w:rPr>
            <w:rFonts w:ascii="Times New Roman" w:hAnsi="Times New Roman" w:cs="Times New Roman"/>
            <w:sz w:val="24"/>
            <w:szCs w:val="24"/>
          </w:rPr>
        </w:pPr>
        <w:r w:rsidRPr="008375F4">
          <w:rPr>
            <w:rFonts w:ascii="Times New Roman" w:hAnsi="Times New Roman" w:cs="Times New Roman"/>
            <w:sz w:val="24"/>
            <w:szCs w:val="24"/>
          </w:rPr>
          <w:fldChar w:fldCharType="begin"/>
        </w:r>
        <w:r w:rsidRPr="008375F4">
          <w:rPr>
            <w:rFonts w:ascii="Times New Roman" w:hAnsi="Times New Roman" w:cs="Times New Roman"/>
            <w:sz w:val="24"/>
            <w:szCs w:val="24"/>
          </w:rPr>
          <w:instrText xml:space="preserve"> PAGE   \* MERGEFORMAT </w:instrText>
        </w:r>
        <w:r w:rsidRPr="008375F4">
          <w:rPr>
            <w:rFonts w:ascii="Times New Roman" w:hAnsi="Times New Roman" w:cs="Times New Roman"/>
            <w:sz w:val="24"/>
            <w:szCs w:val="24"/>
          </w:rPr>
          <w:fldChar w:fldCharType="separate"/>
        </w:r>
        <w:r w:rsidR="001C76EB">
          <w:rPr>
            <w:rFonts w:ascii="Times New Roman" w:hAnsi="Times New Roman" w:cs="Times New Roman"/>
            <w:noProof/>
            <w:sz w:val="24"/>
            <w:szCs w:val="24"/>
          </w:rPr>
          <w:t>1</w:t>
        </w:r>
        <w:r w:rsidRPr="008375F4">
          <w:rPr>
            <w:rFonts w:ascii="Times New Roman" w:hAnsi="Times New Roman" w:cs="Times New Roman"/>
            <w:noProof/>
            <w:sz w:val="24"/>
            <w:szCs w:val="24"/>
          </w:rPr>
          <w:fldChar w:fldCharType="end"/>
        </w:r>
      </w:p>
    </w:sdtContent>
  </w:sdt>
  <w:p w14:paraId="42BBEDF8" w14:textId="77777777" w:rsidR="008375F4" w:rsidRDefault="008375F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DD5AB5" w14:textId="77777777" w:rsidR="00A7331F" w:rsidRDefault="00A7331F" w:rsidP="008375F4">
      <w:pPr>
        <w:spacing w:after="0" w:line="240" w:lineRule="auto"/>
      </w:pPr>
      <w:r>
        <w:separator/>
      </w:r>
    </w:p>
  </w:footnote>
  <w:footnote w:type="continuationSeparator" w:id="0">
    <w:p w14:paraId="636F514B" w14:textId="77777777" w:rsidR="00A7331F" w:rsidRDefault="00A7331F" w:rsidP="008375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8F6A95"/>
    <w:rsid w:val="00162AF4"/>
    <w:rsid w:val="001C76EB"/>
    <w:rsid w:val="00304349"/>
    <w:rsid w:val="004E40D9"/>
    <w:rsid w:val="008375F4"/>
    <w:rsid w:val="00960A6A"/>
    <w:rsid w:val="00A7331F"/>
    <w:rsid w:val="068F6A95"/>
    <w:rsid w:val="59027E0E"/>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F6A95"/>
  <w15:chartTrackingRefBased/>
  <w15:docId w15:val="{BDC56516-3A77-453B-B484-3FBB29AC6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3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34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304349"/>
    <w:pPr>
      <w:spacing w:after="0" w:line="240" w:lineRule="auto"/>
    </w:pPr>
  </w:style>
  <w:style w:type="paragraph" w:styleId="Header">
    <w:name w:val="header"/>
    <w:basedOn w:val="Normal"/>
    <w:link w:val="HeaderChar"/>
    <w:uiPriority w:val="99"/>
    <w:unhideWhenUsed/>
    <w:rsid w:val="008375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5F4"/>
  </w:style>
  <w:style w:type="paragraph" w:styleId="Footer">
    <w:name w:val="footer"/>
    <w:basedOn w:val="Normal"/>
    <w:link w:val="FooterChar"/>
    <w:uiPriority w:val="99"/>
    <w:unhideWhenUsed/>
    <w:rsid w:val="008375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5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1762</Words>
  <Characters>10044</Characters>
  <Application>Microsoft Macintosh Word</Application>
  <DocSecurity>0</DocSecurity>
  <Lines>83</Lines>
  <Paragraphs>23</Paragraphs>
  <ScaleCrop>false</ScaleCrop>
  <Company/>
  <LinksUpToDate>false</LinksUpToDate>
  <CharactersWithSpaces>11783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26</dc:creator>
  <cp:keywords/>
  <dc:description/>
  <cp:lastModifiedBy>Microsoft Office User</cp:lastModifiedBy>
  <cp:revision>2</cp:revision>
  <dcterms:created xsi:type="dcterms:W3CDTF">2023-07-28T17:55:00Z</dcterms:created>
  <dcterms:modified xsi:type="dcterms:W3CDTF">2023-07-28T17:55:00Z</dcterms:modified>
</cp:coreProperties>
</file>