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435A5A8">
      <w:pPr>
        <w:spacing w:after="0" w:line="480" w:lineRule="auto"/>
        <w:jc w:val="center"/>
        <w:rPr>
          <w:rFonts w:ascii="Times New Roman" w:hAnsi="Times New Roman" w:cs="Times New Roman"/>
          <w:b/>
          <w:bCs/>
          <w:sz w:val="24"/>
          <w:szCs w:val="24"/>
        </w:rPr>
      </w:pPr>
      <w:bookmarkStart w:id="17" w:name="_GoBack"/>
      <w:bookmarkEnd w:id="17"/>
      <w:bookmarkStart w:id="0" w:name="_Hlk218184026"/>
    </w:p>
    <w:p w14:paraId="1920DE06">
      <w:pPr>
        <w:spacing w:after="0" w:line="480" w:lineRule="auto"/>
        <w:jc w:val="center"/>
        <w:rPr>
          <w:rFonts w:ascii="Times New Roman" w:hAnsi="Times New Roman" w:cs="Times New Roman"/>
          <w:b/>
          <w:bCs/>
          <w:sz w:val="24"/>
          <w:szCs w:val="24"/>
        </w:rPr>
      </w:pPr>
    </w:p>
    <w:p w14:paraId="1CF2444E">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MBA – Managing Marketing Change</w:t>
      </w:r>
    </w:p>
    <w:p w14:paraId="153319B0">
      <w:pPr>
        <w:spacing w:after="0" w:line="480" w:lineRule="auto"/>
        <w:jc w:val="center"/>
        <w:rPr>
          <w:rFonts w:ascii="Times New Roman" w:hAnsi="Times New Roman" w:cs="Times New Roman"/>
          <w:sz w:val="24"/>
          <w:szCs w:val="24"/>
        </w:rPr>
      </w:pPr>
    </w:p>
    <w:p w14:paraId="646D3500">
      <w:pPr>
        <w:spacing w:after="0" w:line="480" w:lineRule="auto"/>
        <w:jc w:val="center"/>
        <w:rPr>
          <w:rFonts w:ascii="Times New Roman" w:hAnsi="Times New Roman" w:cs="Times New Roman"/>
          <w:sz w:val="24"/>
          <w:szCs w:val="24"/>
        </w:rPr>
      </w:pPr>
    </w:p>
    <w:p w14:paraId="4C972674">
      <w:pPr>
        <w:spacing w:after="0" w:line="480" w:lineRule="auto"/>
        <w:jc w:val="center"/>
        <w:rPr>
          <w:rFonts w:ascii="Times New Roman" w:hAnsi="Times New Roman" w:cs="Times New Roman"/>
          <w:b/>
          <w:bCs/>
          <w:sz w:val="24"/>
          <w:szCs w:val="24"/>
        </w:rPr>
      </w:pPr>
      <w:r>
        <w:rPr>
          <w:rFonts w:ascii="Times New Roman" w:hAnsi="Times New Roman" w:cs="Times New Roman"/>
          <w:b/>
          <w:bCs/>
          <w:sz w:val="24"/>
          <w:szCs w:val="24"/>
        </w:rPr>
        <w:t>Critical Evaluation of Marketing Strategy and Recommendations for Change:</w:t>
      </w:r>
    </w:p>
    <w:p w14:paraId="5DAB07BB">
      <w:pPr>
        <w:spacing w:after="0" w:line="480" w:lineRule="auto"/>
        <w:jc w:val="center"/>
        <w:rPr>
          <w:rFonts w:ascii="Times New Roman" w:hAnsi="Times New Roman" w:cs="Times New Roman"/>
          <w:b/>
          <w:bCs/>
          <w:sz w:val="24"/>
          <w:szCs w:val="24"/>
        </w:rPr>
      </w:pPr>
      <w:r>
        <w:rPr>
          <w:rFonts w:ascii="Times New Roman" w:hAnsi="Times New Roman" w:cs="Times New Roman"/>
          <w:b/>
          <w:bCs/>
          <w:sz w:val="24"/>
          <w:szCs w:val="24"/>
        </w:rPr>
        <w:t>The Case of British Airways</w:t>
      </w:r>
    </w:p>
    <w:p w14:paraId="055477BD">
      <w:pPr>
        <w:spacing w:after="0" w:line="480" w:lineRule="auto"/>
        <w:jc w:val="center"/>
        <w:rPr>
          <w:rFonts w:ascii="Times New Roman" w:hAnsi="Times New Roman" w:cs="Times New Roman"/>
          <w:sz w:val="24"/>
          <w:szCs w:val="24"/>
        </w:rPr>
      </w:pPr>
    </w:p>
    <w:p w14:paraId="1482493B">
      <w:pPr>
        <w:spacing w:after="0" w:line="480" w:lineRule="auto"/>
        <w:jc w:val="center"/>
        <w:rPr>
          <w:rFonts w:ascii="Times New Roman" w:hAnsi="Times New Roman" w:cs="Times New Roman"/>
          <w:sz w:val="24"/>
          <w:szCs w:val="24"/>
        </w:rPr>
      </w:pPr>
    </w:p>
    <w:p w14:paraId="65401F6B">
      <w:pPr>
        <w:spacing w:after="0" w:line="480" w:lineRule="auto"/>
        <w:jc w:val="center"/>
        <w:rPr>
          <w:rFonts w:ascii="Times New Roman" w:hAnsi="Times New Roman" w:cs="Times New Roman"/>
          <w:sz w:val="24"/>
          <w:szCs w:val="24"/>
        </w:rPr>
      </w:pPr>
    </w:p>
    <w:p w14:paraId="6802348B">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Module Code: BMMB7026</w:t>
      </w:r>
    </w:p>
    <w:p w14:paraId="37A6AF2F">
      <w:pPr>
        <w:spacing w:after="0" w:line="480" w:lineRule="auto"/>
        <w:jc w:val="center"/>
        <w:rPr>
          <w:rFonts w:hint="default" w:ascii="Times New Roman" w:hAnsi="Times New Roman" w:eastAsia="宋体" w:cs="Times New Roman"/>
          <w:sz w:val="24"/>
          <w:szCs w:val="24"/>
          <w:lang w:val="en-US" w:eastAsia="zh-CN"/>
        </w:rPr>
      </w:pPr>
      <w:r>
        <w:rPr>
          <w:rFonts w:ascii="Times New Roman" w:hAnsi="Times New Roman" w:cs="Times New Roman"/>
          <w:sz w:val="24"/>
          <w:szCs w:val="24"/>
        </w:rPr>
        <w:t>Student ID:</w:t>
      </w:r>
      <w:r>
        <w:rPr>
          <w:rFonts w:hint="eastAsia" w:ascii="Times New Roman" w:hAnsi="Times New Roman" w:eastAsia="宋体" w:cs="Times New Roman"/>
          <w:sz w:val="24"/>
          <w:szCs w:val="24"/>
          <w:lang w:val="en-US" w:eastAsia="zh-CN"/>
        </w:rPr>
        <w:t>2406059</w:t>
      </w:r>
    </w:p>
    <w:p w14:paraId="109B6D20">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Word Count: 4125 words</w:t>
      </w:r>
    </w:p>
    <w:p w14:paraId="2967E559">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 xml:space="preserve">Instructor:Gwyneth Jones </w:t>
      </w:r>
    </w:p>
    <w:p w14:paraId="6447359A">
      <w:pPr>
        <w:spacing w:after="0" w:line="480" w:lineRule="auto"/>
        <w:jc w:val="both"/>
        <w:rPr>
          <w:rFonts w:hint="eastAsia" w:ascii="Times New Roman" w:hAnsi="Times New Roman" w:eastAsia="宋体" w:cs="Times New Roman"/>
          <w:sz w:val="24"/>
          <w:szCs w:val="24"/>
          <w:lang w:eastAsia="zh-CN"/>
        </w:rPr>
      </w:pPr>
      <w:r>
        <w:rPr>
          <w:rFonts w:hint="eastAsia" w:ascii="Times New Roman" w:hAnsi="Times New Roman" w:eastAsia="宋体" w:cs="Times New Roman"/>
          <w:sz w:val="24"/>
          <w:szCs w:val="24"/>
          <w:lang w:val="en-US" w:eastAsia="zh-CN"/>
        </w:rPr>
        <w:t>\</w:t>
      </w:r>
    </w:p>
    <w:p w14:paraId="1AE02E1D">
      <w:pPr>
        <w:spacing w:after="0" w:line="480" w:lineRule="auto"/>
        <w:jc w:val="both"/>
        <w:rPr>
          <w:rFonts w:ascii="Times New Roman" w:hAnsi="Times New Roman" w:cs="Times New Roman"/>
          <w:sz w:val="24"/>
          <w:szCs w:val="24"/>
        </w:rPr>
      </w:pPr>
    </w:p>
    <w:p w14:paraId="2555C7DB">
      <w:pPr>
        <w:jc w:val="both"/>
        <w:rPr>
          <w:rFonts w:ascii="Times New Roman" w:hAnsi="Times New Roman" w:cs="Times New Roman"/>
          <w:b/>
          <w:bCs/>
          <w:sz w:val="24"/>
          <w:szCs w:val="24"/>
        </w:rPr>
      </w:pPr>
      <w:r>
        <w:rPr>
          <w:rFonts w:ascii="Times New Roman" w:hAnsi="Times New Roman" w:cs="Times New Roman"/>
          <w:b/>
          <w:bCs/>
          <w:sz w:val="24"/>
          <w:szCs w:val="24"/>
        </w:rPr>
        <w:br w:type="page"/>
      </w:r>
    </w:p>
    <w:p w14:paraId="66E0F4AC">
      <w:pPr>
        <w:pStyle w:val="2"/>
        <w:rPr>
          <w:rFonts w:cs="Times New Roman"/>
        </w:rPr>
      </w:pPr>
      <w:bookmarkStart w:id="1" w:name="_Toc218185623"/>
      <w:r>
        <w:rPr>
          <w:rFonts w:cs="Times New Roman"/>
        </w:rPr>
        <w:t>Executive Summary</w:t>
      </w:r>
      <w:bookmarkEnd w:id="1"/>
    </w:p>
    <w:p w14:paraId="5F175BB3">
      <w:pPr>
        <w:spacing w:after="0" w:line="480" w:lineRule="auto"/>
        <w:jc w:val="both"/>
        <w:rPr>
          <w:rFonts w:ascii="Times New Roman" w:hAnsi="Times New Roman" w:cs="Times New Roman"/>
          <w:sz w:val="24"/>
          <w:szCs w:val="24"/>
        </w:rPr>
      </w:pPr>
      <w:r>
        <w:rPr>
          <w:rFonts w:ascii="Times New Roman" w:hAnsi="Times New Roman" w:cs="Times New Roman"/>
          <w:sz w:val="24"/>
          <w:szCs w:val="24"/>
        </w:rPr>
        <w:t>The aviation industry in which British Airways operates is a highly competitive and highly regulated industry, where the credibility of the brand, the quality of the services provided, and the trust placed in the company by customers are key factors that can maintain the company in a premium position. Environmental concerns further exacerbate these circumstances, as well as the digitalisation of the customer experience and the integration of full-service and low-cost airline services. This report presents a critical analysis of British Airways' current marketing strategy and offers viable improvement suggestions in response to the identified challenges.</w:t>
      </w:r>
    </w:p>
    <w:p w14:paraId="1E25CD7A">
      <w:pPr>
        <w:spacing w:after="0" w:line="480" w:lineRule="auto"/>
        <w:jc w:val="both"/>
        <w:rPr>
          <w:rFonts w:ascii="Times New Roman" w:hAnsi="Times New Roman" w:cs="Times New Roman"/>
          <w:sz w:val="24"/>
          <w:szCs w:val="24"/>
        </w:rPr>
      </w:pPr>
      <w:r>
        <w:rPr>
          <w:rFonts w:ascii="Times New Roman" w:hAnsi="Times New Roman" w:cs="Times New Roman"/>
          <w:sz w:val="24"/>
          <w:szCs w:val="24"/>
        </w:rPr>
        <w:t>The discussion concludes that marketing is considered one of the strategic functions and is assisted by a significant amount of organisational resources. Nonetheless, its success is limited by greater consumer cynicism regarding sustainability assertions, heightened price transparency, and reduced differentiation within the airline industry. Targeting and broad segmentation dissipate strategy; the execution of the marketing mix and the effectiveness of marketing communications lie squarely in the uniformity of service delivery. The current marketing measures are more focused on the immediate operational status and do not hold anyone accountable for the long-term strategic results.</w:t>
      </w:r>
    </w:p>
    <w:p w14:paraId="2B4886EE">
      <w:pPr>
        <w:spacing w:after="0" w:line="480" w:lineRule="auto"/>
        <w:jc w:val="both"/>
        <w:rPr>
          <w:rFonts w:ascii="Times New Roman" w:hAnsi="Times New Roman" w:cs="Times New Roman"/>
          <w:sz w:val="24"/>
          <w:szCs w:val="24"/>
        </w:rPr>
      </w:pPr>
      <w:r>
        <w:rPr>
          <w:rFonts w:ascii="Times New Roman" w:hAnsi="Times New Roman" w:cs="Times New Roman"/>
          <w:sz w:val="24"/>
          <w:szCs w:val="24"/>
        </w:rPr>
        <w:t>The report finds that British Airways' marketing strategy is strategically aligned and brand-oriented; however, it fails to give adequate attention and is exposed to risks of credibility and differentiation in a highly transparent market.</w:t>
      </w:r>
    </w:p>
    <w:p w14:paraId="186D287D">
      <w:pPr>
        <w:spacing w:after="0" w:line="480" w:lineRule="auto"/>
        <w:jc w:val="both"/>
        <w:rPr>
          <w:rFonts w:ascii="Times New Roman" w:hAnsi="Times New Roman" w:cs="Times New Roman"/>
          <w:sz w:val="24"/>
          <w:szCs w:val="24"/>
        </w:rPr>
      </w:pPr>
      <w:r>
        <w:rPr>
          <w:rFonts w:ascii="Times New Roman" w:hAnsi="Times New Roman" w:cs="Times New Roman"/>
          <w:sz w:val="24"/>
          <w:szCs w:val="24"/>
        </w:rPr>
        <w:t>As part of addressing these weaknesses, the report recommends strategic accuracy in targeting high-value segments, customer-centric marketing with enhanced use of existing data assets, increased alignment of marketing communications with verifiable service performance, and marketing control systems to support long-term strategic goals.</w:t>
      </w:r>
    </w:p>
    <w:sdt>
      <w:sdtPr>
        <w:rPr>
          <w:rFonts w:ascii="Times New Roman" w:hAnsi="Times New Roman" w:cs="Times New Roman" w:eastAsiaTheme="minorHAnsi"/>
          <w:color w:val="auto"/>
          <w:kern w:val="2"/>
          <w:sz w:val="24"/>
          <w:szCs w:val="24"/>
          <w14:ligatures w14:val="standardContextual"/>
        </w:rPr>
        <w:id w:val="509794984"/>
        <w:docPartObj>
          <w:docPartGallery w:val="Table of Contents"/>
          <w:docPartUnique/>
        </w:docPartObj>
      </w:sdtPr>
      <w:sdtEndPr>
        <w:rPr>
          <w:rFonts w:ascii="Times New Roman" w:hAnsi="Times New Roman" w:cs="Times New Roman" w:eastAsiaTheme="minorHAnsi"/>
          <w:b/>
          <w:bCs/>
          <w:color w:val="auto"/>
          <w:kern w:val="2"/>
          <w:sz w:val="22"/>
          <w:szCs w:val="22"/>
          <w14:ligatures w14:val="standardContextual"/>
        </w:rPr>
      </w:sdtEndPr>
      <w:sdtContent>
        <w:p w14:paraId="2EB6F696">
          <w:pPr>
            <w:pStyle w:val="46"/>
            <w:spacing w:line="240" w:lineRule="auto"/>
            <w:jc w:val="center"/>
            <w:rPr>
              <w:rFonts w:ascii="Times New Roman" w:hAnsi="Times New Roman" w:cs="Times New Roman"/>
              <w:b/>
              <w:bCs/>
              <w:color w:val="auto"/>
              <w:sz w:val="24"/>
              <w:szCs w:val="24"/>
            </w:rPr>
          </w:pPr>
          <w:r>
            <w:rPr>
              <w:rFonts w:ascii="Times New Roman" w:hAnsi="Times New Roman" w:cs="Times New Roman"/>
              <w:b/>
              <w:bCs/>
              <w:color w:val="auto"/>
              <w:sz w:val="24"/>
              <w:szCs w:val="24"/>
            </w:rPr>
            <w:t>Table of Contents</w:t>
          </w:r>
        </w:p>
        <w:p w14:paraId="3C1EB4A8">
          <w:pPr>
            <w:pStyle w:val="14"/>
            <w:tabs>
              <w:tab w:val="right" w:leader="dot" w:pos="9350"/>
            </w:tabs>
            <w:spacing w:line="240" w:lineRule="auto"/>
            <w:jc w:val="both"/>
            <w:rPr>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r>
            <w:fldChar w:fldCharType="begin"/>
          </w:r>
          <w:r>
            <w:instrText xml:space="preserve"> HYPERLINK \l "_Toc218185623" </w:instrText>
          </w:r>
          <w:r>
            <w:fldChar w:fldCharType="separate"/>
          </w:r>
          <w:r>
            <w:rPr>
              <w:rStyle w:val="22"/>
              <w:rFonts w:ascii="Times New Roman" w:hAnsi="Times New Roman" w:cs="Times New Roman"/>
              <w:sz w:val="24"/>
              <w:szCs w:val="24"/>
            </w:rPr>
            <w:t>Executive Summary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_Toc218185623 \h </w:instrText>
          </w:r>
          <w:r>
            <w:rPr>
              <w:rFonts w:ascii="Times New Roman" w:hAnsi="Times New Roman" w:cs="Times New Roman"/>
              <w:sz w:val="24"/>
              <w:szCs w:val="24"/>
            </w:rPr>
            <w:fldChar w:fldCharType="separate"/>
          </w:r>
          <w:r>
            <w:rPr>
              <w:rFonts w:ascii="Times New Roman" w:hAnsi="Times New Roman" w:cs="Times New Roman"/>
              <w:sz w:val="24"/>
              <w:szCs w:val="24"/>
            </w:rPr>
            <w:t>2</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0105548C">
          <w:pPr>
            <w:pStyle w:val="14"/>
            <w:tabs>
              <w:tab w:val="right" w:leader="dot" w:pos="9350"/>
            </w:tabs>
            <w:spacing w:line="240" w:lineRule="auto"/>
            <w:jc w:val="both"/>
            <w:rPr>
              <w:rFonts w:ascii="Times New Roman" w:hAnsi="Times New Roman" w:cs="Times New Roman"/>
              <w:sz w:val="24"/>
              <w:szCs w:val="24"/>
            </w:rPr>
          </w:pPr>
          <w:r>
            <w:fldChar w:fldCharType="begin"/>
          </w:r>
          <w:r>
            <w:instrText xml:space="preserve"> HYPERLINK \l "_Toc218185624" </w:instrText>
          </w:r>
          <w:r>
            <w:fldChar w:fldCharType="separate"/>
          </w:r>
          <w:r>
            <w:rPr>
              <w:rStyle w:val="22"/>
              <w:rFonts w:ascii="Times New Roman" w:hAnsi="Times New Roman" w:cs="Times New Roman"/>
              <w:sz w:val="24"/>
              <w:szCs w:val="24"/>
            </w:rPr>
            <w:t>1. Introduction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_Toc218185624 \h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44892539">
          <w:pPr>
            <w:pStyle w:val="14"/>
            <w:tabs>
              <w:tab w:val="right" w:leader="dot" w:pos="9350"/>
            </w:tabs>
            <w:spacing w:line="240" w:lineRule="auto"/>
            <w:jc w:val="both"/>
            <w:rPr>
              <w:rFonts w:ascii="Times New Roman" w:hAnsi="Times New Roman" w:cs="Times New Roman"/>
              <w:sz w:val="24"/>
              <w:szCs w:val="24"/>
            </w:rPr>
          </w:pPr>
          <w:r>
            <w:fldChar w:fldCharType="begin"/>
          </w:r>
          <w:r>
            <w:instrText xml:space="preserve"> HYPERLINK \l "_Toc218185625" </w:instrText>
          </w:r>
          <w:r>
            <w:fldChar w:fldCharType="separate"/>
          </w:r>
          <w:r>
            <w:rPr>
              <w:rStyle w:val="22"/>
              <w:rFonts w:ascii="Times New Roman" w:hAnsi="Times New Roman" w:cs="Times New Roman"/>
              <w:sz w:val="24"/>
              <w:szCs w:val="24"/>
              <w:lang w:val="en-GB"/>
            </w:rPr>
            <w:t xml:space="preserve">2. Task 1: </w:t>
          </w:r>
          <w:r>
            <w:rPr>
              <w:rStyle w:val="22"/>
              <w:rFonts w:ascii="Times New Roman" w:hAnsi="Times New Roman" w:cs="Times New Roman"/>
              <w:sz w:val="24"/>
              <w:szCs w:val="24"/>
            </w:rPr>
            <w:t xml:space="preserve">Critical </w:t>
          </w:r>
          <w:r>
            <w:rPr>
              <w:rStyle w:val="22"/>
              <w:rFonts w:ascii="Times New Roman" w:hAnsi="Times New Roman" w:cs="Times New Roman"/>
              <w:sz w:val="24"/>
              <w:szCs w:val="24"/>
              <w:lang w:val="en-GB"/>
            </w:rPr>
            <w:t xml:space="preserve">evaluation </w:t>
          </w:r>
          <w:r>
            <w:rPr>
              <w:rStyle w:val="22"/>
              <w:rFonts w:ascii="Times New Roman" w:hAnsi="Times New Roman" w:cs="Times New Roman"/>
              <w:sz w:val="24"/>
              <w:szCs w:val="24"/>
            </w:rPr>
            <w:t>of</w:t>
          </w:r>
          <w:r>
            <w:rPr>
              <w:rStyle w:val="22"/>
              <w:rFonts w:ascii="Times New Roman" w:hAnsi="Times New Roman" w:cs="Times New Roman"/>
              <w:sz w:val="24"/>
              <w:szCs w:val="24"/>
              <w:lang w:val="en-GB"/>
            </w:rPr>
            <w:t xml:space="preserve"> British Airways'</w:t>
          </w:r>
          <w:r>
            <w:rPr>
              <w:rStyle w:val="22"/>
              <w:rFonts w:ascii="Times New Roman" w:hAnsi="Times New Roman" w:cs="Times New Roman"/>
              <w:sz w:val="24"/>
              <w:szCs w:val="24"/>
            </w:rPr>
            <w:t xml:space="preserve"> marketing activity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_Toc218185625 \h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5C65D58C">
          <w:pPr>
            <w:pStyle w:val="16"/>
            <w:tabs>
              <w:tab w:val="right" w:leader="dot" w:pos="9350"/>
            </w:tabs>
            <w:spacing w:line="240" w:lineRule="auto"/>
            <w:jc w:val="both"/>
            <w:rPr>
              <w:rFonts w:ascii="Times New Roman" w:hAnsi="Times New Roman" w:cs="Times New Roman"/>
              <w:sz w:val="24"/>
              <w:szCs w:val="24"/>
            </w:rPr>
          </w:pPr>
          <w:r>
            <w:fldChar w:fldCharType="begin"/>
          </w:r>
          <w:r>
            <w:instrText xml:space="preserve"> HYPERLINK \l "_Toc218185626" </w:instrText>
          </w:r>
          <w:r>
            <w:fldChar w:fldCharType="separate"/>
          </w:r>
          <w:r>
            <w:rPr>
              <w:rStyle w:val="22"/>
              <w:rFonts w:ascii="Times New Roman" w:hAnsi="Times New Roman" w:cs="Times New Roman"/>
              <w:sz w:val="24"/>
              <w:szCs w:val="24"/>
            </w:rPr>
            <w:t>2.1 Concept and Importance of Marketing</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_Toc218185626 \h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49BE38FF">
          <w:pPr>
            <w:pStyle w:val="16"/>
            <w:tabs>
              <w:tab w:val="right" w:leader="dot" w:pos="9350"/>
            </w:tabs>
            <w:spacing w:line="240" w:lineRule="auto"/>
            <w:jc w:val="both"/>
            <w:rPr>
              <w:rFonts w:ascii="Times New Roman" w:hAnsi="Times New Roman" w:cs="Times New Roman"/>
              <w:sz w:val="24"/>
              <w:szCs w:val="24"/>
            </w:rPr>
          </w:pPr>
          <w:r>
            <w:fldChar w:fldCharType="begin"/>
          </w:r>
          <w:r>
            <w:instrText xml:space="preserve"> HYPERLINK \l "_Toc218185627" </w:instrText>
          </w:r>
          <w:r>
            <w:fldChar w:fldCharType="separate"/>
          </w:r>
          <w:r>
            <w:rPr>
              <w:rStyle w:val="22"/>
              <w:rFonts w:ascii="Times New Roman" w:hAnsi="Times New Roman" w:cs="Times New Roman"/>
              <w:sz w:val="24"/>
              <w:szCs w:val="24"/>
            </w:rPr>
            <w:t>2.2 Macro and Micro Marketing Environment</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_Toc218185627 \h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219D6003">
          <w:pPr>
            <w:pStyle w:val="16"/>
            <w:tabs>
              <w:tab w:val="right" w:leader="dot" w:pos="9350"/>
            </w:tabs>
            <w:spacing w:line="240" w:lineRule="auto"/>
            <w:jc w:val="both"/>
            <w:rPr>
              <w:rFonts w:ascii="Times New Roman" w:hAnsi="Times New Roman" w:cs="Times New Roman"/>
              <w:sz w:val="24"/>
              <w:szCs w:val="24"/>
            </w:rPr>
          </w:pPr>
          <w:r>
            <w:fldChar w:fldCharType="begin"/>
          </w:r>
          <w:r>
            <w:instrText xml:space="preserve"> HYPERLINK \l "_Toc218185628" </w:instrText>
          </w:r>
          <w:r>
            <w:fldChar w:fldCharType="separate"/>
          </w:r>
          <w:r>
            <w:rPr>
              <w:rStyle w:val="22"/>
              <w:rFonts w:ascii="Times New Roman" w:hAnsi="Times New Roman" w:cs="Times New Roman"/>
              <w:sz w:val="24"/>
              <w:szCs w:val="24"/>
            </w:rPr>
            <w:t>2.3 Segmentation, Targeting, Positioning and Marketing Mix Effectiveness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_Toc218185628 \h </w:instrText>
          </w:r>
          <w:r>
            <w:rPr>
              <w:rFonts w:ascii="Times New Roman" w:hAnsi="Times New Roman" w:cs="Times New Roman"/>
              <w:sz w:val="24"/>
              <w:szCs w:val="24"/>
            </w:rPr>
            <w:fldChar w:fldCharType="separate"/>
          </w:r>
          <w:r>
            <w:rPr>
              <w:rFonts w:ascii="Times New Roman" w:hAnsi="Times New Roman" w:cs="Times New Roman"/>
              <w:sz w:val="24"/>
              <w:szCs w:val="24"/>
            </w:rPr>
            <w:t>8</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2D79109C">
          <w:pPr>
            <w:pStyle w:val="16"/>
            <w:tabs>
              <w:tab w:val="right" w:leader="dot" w:pos="9350"/>
            </w:tabs>
            <w:spacing w:line="240" w:lineRule="auto"/>
            <w:jc w:val="both"/>
            <w:rPr>
              <w:rFonts w:ascii="Times New Roman" w:hAnsi="Times New Roman" w:cs="Times New Roman"/>
              <w:sz w:val="24"/>
              <w:szCs w:val="24"/>
            </w:rPr>
          </w:pPr>
          <w:r>
            <w:fldChar w:fldCharType="begin"/>
          </w:r>
          <w:r>
            <w:instrText xml:space="preserve"> HYPERLINK \l "_Toc218185629" </w:instrText>
          </w:r>
          <w:r>
            <w:fldChar w:fldCharType="separate"/>
          </w:r>
          <w:r>
            <w:rPr>
              <w:rStyle w:val="22"/>
              <w:rFonts w:ascii="Times New Roman" w:hAnsi="Times New Roman" w:cs="Times New Roman"/>
              <w:sz w:val="24"/>
              <w:szCs w:val="24"/>
            </w:rPr>
            <w:t>2.4 Marketing Mix Strategy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_Toc218185629 \h </w:instrText>
          </w:r>
          <w:r>
            <w:rPr>
              <w:rFonts w:ascii="Times New Roman" w:hAnsi="Times New Roman" w:cs="Times New Roman"/>
              <w:sz w:val="24"/>
              <w:szCs w:val="24"/>
            </w:rPr>
            <w:fldChar w:fldCharType="separate"/>
          </w:r>
          <w:r>
            <w:rPr>
              <w:rFonts w:ascii="Times New Roman" w:hAnsi="Times New Roman" w:cs="Times New Roman"/>
              <w:sz w:val="24"/>
              <w:szCs w:val="24"/>
            </w:rPr>
            <w:t>9</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187EE905">
          <w:pPr>
            <w:pStyle w:val="16"/>
            <w:tabs>
              <w:tab w:val="right" w:leader="dot" w:pos="9350"/>
            </w:tabs>
            <w:spacing w:line="240" w:lineRule="auto"/>
            <w:jc w:val="both"/>
            <w:rPr>
              <w:rFonts w:ascii="Times New Roman" w:hAnsi="Times New Roman" w:cs="Times New Roman"/>
              <w:sz w:val="24"/>
              <w:szCs w:val="24"/>
            </w:rPr>
          </w:pPr>
          <w:r>
            <w:fldChar w:fldCharType="begin"/>
          </w:r>
          <w:r>
            <w:instrText xml:space="preserve"> HYPERLINK \l "_Toc218185630" </w:instrText>
          </w:r>
          <w:r>
            <w:fldChar w:fldCharType="separate"/>
          </w:r>
          <w:r>
            <w:rPr>
              <w:rStyle w:val="22"/>
              <w:rFonts w:ascii="Times New Roman" w:hAnsi="Times New Roman" w:cs="Times New Roman"/>
              <w:sz w:val="24"/>
              <w:szCs w:val="24"/>
            </w:rPr>
            <w:t>2.5 Communications Media Mix</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_Toc218185630 \h </w:instrText>
          </w:r>
          <w:r>
            <w:rPr>
              <w:rFonts w:ascii="Times New Roman" w:hAnsi="Times New Roman" w:cs="Times New Roman"/>
              <w:sz w:val="24"/>
              <w:szCs w:val="24"/>
            </w:rPr>
            <w:fldChar w:fldCharType="separate"/>
          </w:r>
          <w:r>
            <w:rPr>
              <w:rFonts w:ascii="Times New Roman" w:hAnsi="Times New Roman" w:cs="Times New Roman"/>
              <w:sz w:val="24"/>
              <w:szCs w:val="24"/>
            </w:rPr>
            <w:t>11</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57BE2F12">
          <w:pPr>
            <w:pStyle w:val="16"/>
            <w:tabs>
              <w:tab w:val="right" w:leader="dot" w:pos="9350"/>
            </w:tabs>
            <w:spacing w:line="240" w:lineRule="auto"/>
            <w:jc w:val="both"/>
            <w:rPr>
              <w:rFonts w:ascii="Times New Roman" w:hAnsi="Times New Roman" w:cs="Times New Roman"/>
              <w:sz w:val="24"/>
              <w:szCs w:val="24"/>
            </w:rPr>
          </w:pPr>
          <w:r>
            <w:fldChar w:fldCharType="begin"/>
          </w:r>
          <w:r>
            <w:instrText xml:space="preserve"> HYPERLINK \l "_Toc218185631" </w:instrText>
          </w:r>
          <w:r>
            <w:fldChar w:fldCharType="separate"/>
          </w:r>
          <w:r>
            <w:rPr>
              <w:rStyle w:val="22"/>
              <w:rFonts w:ascii="Times New Roman" w:hAnsi="Times New Roman" w:cs="Times New Roman"/>
              <w:sz w:val="24"/>
              <w:szCs w:val="24"/>
            </w:rPr>
            <w:t>2.6 Marketing Metrics and Control</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_Toc218185631 \h </w:instrText>
          </w:r>
          <w:r>
            <w:rPr>
              <w:rFonts w:ascii="Times New Roman" w:hAnsi="Times New Roman" w:cs="Times New Roman"/>
              <w:sz w:val="24"/>
              <w:szCs w:val="24"/>
            </w:rPr>
            <w:fldChar w:fldCharType="separate"/>
          </w:r>
          <w:r>
            <w:rPr>
              <w:rFonts w:ascii="Times New Roman" w:hAnsi="Times New Roman" w:cs="Times New Roman"/>
              <w:sz w:val="24"/>
              <w:szCs w:val="24"/>
            </w:rPr>
            <w:t>12</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36209F9B">
          <w:pPr>
            <w:pStyle w:val="14"/>
            <w:tabs>
              <w:tab w:val="right" w:leader="dot" w:pos="9350"/>
            </w:tabs>
            <w:spacing w:line="240" w:lineRule="auto"/>
            <w:jc w:val="both"/>
            <w:rPr>
              <w:rFonts w:ascii="Times New Roman" w:hAnsi="Times New Roman" w:cs="Times New Roman"/>
              <w:sz w:val="24"/>
              <w:szCs w:val="24"/>
            </w:rPr>
          </w:pPr>
          <w:r>
            <w:fldChar w:fldCharType="begin"/>
          </w:r>
          <w:r>
            <w:instrText xml:space="preserve"> HYPERLINK \l "_Toc218185632" </w:instrText>
          </w:r>
          <w:r>
            <w:fldChar w:fldCharType="separate"/>
          </w:r>
          <w:r>
            <w:rPr>
              <w:rStyle w:val="22"/>
              <w:rFonts w:ascii="Times New Roman" w:hAnsi="Times New Roman" w:cs="Times New Roman"/>
              <w:sz w:val="24"/>
              <w:szCs w:val="24"/>
            </w:rPr>
            <w:t>Task 2: Conclusion: Marketing Strengths and Shortcomings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_Toc218185632 \h </w:instrText>
          </w:r>
          <w:r>
            <w:rPr>
              <w:rFonts w:ascii="Times New Roman" w:hAnsi="Times New Roman" w:cs="Times New Roman"/>
              <w:sz w:val="24"/>
              <w:szCs w:val="24"/>
            </w:rPr>
            <w:fldChar w:fldCharType="separate"/>
          </w:r>
          <w:r>
            <w:rPr>
              <w:rFonts w:ascii="Times New Roman" w:hAnsi="Times New Roman" w:cs="Times New Roman"/>
              <w:sz w:val="24"/>
              <w:szCs w:val="24"/>
            </w:rPr>
            <w:t>14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1C97BD86">
          <w:pPr>
            <w:pStyle w:val="16"/>
            <w:tabs>
              <w:tab w:val="right" w:leader="dot" w:pos="9350"/>
            </w:tabs>
            <w:spacing w:line="240" w:lineRule="auto"/>
            <w:jc w:val="both"/>
            <w:rPr>
              <w:rFonts w:ascii="Times New Roman" w:hAnsi="Times New Roman" w:cs="Times New Roman"/>
              <w:sz w:val="24"/>
              <w:szCs w:val="24"/>
            </w:rPr>
          </w:pPr>
          <w:r>
            <w:fldChar w:fldCharType="begin"/>
          </w:r>
          <w:r>
            <w:instrText xml:space="preserve"> HYPERLINK \l "_Toc218185633" </w:instrText>
          </w:r>
          <w:r>
            <w:fldChar w:fldCharType="separate"/>
          </w:r>
          <w:r>
            <w:rPr>
              <w:rStyle w:val="22"/>
              <w:rFonts w:ascii="Times New Roman" w:hAnsi="Times New Roman" w:cs="Times New Roman"/>
              <w:sz w:val="24"/>
              <w:szCs w:val="24"/>
            </w:rPr>
            <w:t>3.1 Strategic Importance but Limited Strategic Impact</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_Toc218185633 \h </w:instrText>
          </w:r>
          <w:r>
            <w:rPr>
              <w:rFonts w:ascii="Times New Roman" w:hAnsi="Times New Roman" w:cs="Times New Roman"/>
              <w:sz w:val="24"/>
              <w:szCs w:val="24"/>
            </w:rPr>
            <w:fldChar w:fldCharType="separate"/>
          </w:r>
          <w:r>
            <w:rPr>
              <w:rFonts w:ascii="Times New Roman" w:hAnsi="Times New Roman" w:cs="Times New Roman"/>
              <w:sz w:val="24"/>
              <w:szCs w:val="24"/>
            </w:rPr>
            <w:t>15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044E8AB6">
          <w:pPr>
            <w:pStyle w:val="16"/>
            <w:tabs>
              <w:tab w:val="right" w:leader="dot" w:pos="9350"/>
            </w:tabs>
            <w:spacing w:line="240" w:lineRule="auto"/>
            <w:jc w:val="both"/>
            <w:rPr>
              <w:rFonts w:ascii="Times New Roman" w:hAnsi="Times New Roman" w:cs="Times New Roman"/>
              <w:sz w:val="24"/>
              <w:szCs w:val="24"/>
            </w:rPr>
          </w:pPr>
          <w:r>
            <w:fldChar w:fldCharType="begin"/>
          </w:r>
          <w:r>
            <w:instrText xml:space="preserve"> HYPERLINK \l "_Toc218185634" </w:instrText>
          </w:r>
          <w:r>
            <w:fldChar w:fldCharType="separate"/>
          </w:r>
          <w:r>
            <w:rPr>
              <w:rStyle w:val="22"/>
              <w:rFonts w:ascii="Times New Roman" w:hAnsi="Times New Roman" w:cs="Times New Roman"/>
              <w:sz w:val="24"/>
              <w:szCs w:val="24"/>
            </w:rPr>
            <w:t>3.2 Constrained Differentiation in a Sceptical Environment</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_Toc218185634 \h </w:instrText>
          </w:r>
          <w:r>
            <w:rPr>
              <w:rFonts w:ascii="Times New Roman" w:hAnsi="Times New Roman" w:cs="Times New Roman"/>
              <w:sz w:val="24"/>
              <w:szCs w:val="24"/>
            </w:rPr>
            <w:fldChar w:fldCharType="separate"/>
          </w:r>
          <w:r>
            <w:rPr>
              <w:rFonts w:ascii="Times New Roman" w:hAnsi="Times New Roman" w:cs="Times New Roman"/>
              <w:sz w:val="24"/>
              <w:szCs w:val="24"/>
            </w:rPr>
            <w:t>15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542C111A">
          <w:pPr>
            <w:pStyle w:val="16"/>
            <w:tabs>
              <w:tab w:val="right" w:leader="dot" w:pos="9350"/>
            </w:tabs>
            <w:spacing w:line="240" w:lineRule="auto"/>
            <w:jc w:val="both"/>
            <w:rPr>
              <w:rFonts w:ascii="Times New Roman" w:hAnsi="Times New Roman" w:cs="Times New Roman"/>
              <w:sz w:val="24"/>
              <w:szCs w:val="24"/>
            </w:rPr>
          </w:pPr>
          <w:r>
            <w:fldChar w:fldCharType="begin"/>
          </w:r>
          <w:r>
            <w:instrText xml:space="preserve"> HYPERLINK \l "_Toc218185635" </w:instrText>
          </w:r>
          <w:r>
            <w:fldChar w:fldCharType="separate"/>
          </w:r>
          <w:r>
            <w:rPr>
              <w:rStyle w:val="22"/>
              <w:rFonts w:ascii="Times New Roman" w:hAnsi="Times New Roman" w:cs="Times New Roman"/>
              <w:sz w:val="24"/>
              <w:szCs w:val="24"/>
            </w:rPr>
            <w:t>3.3 Diluted Focus in Segmentation and Positioning</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_Toc218185635 \h </w:instrText>
          </w:r>
          <w:r>
            <w:rPr>
              <w:rFonts w:ascii="Times New Roman" w:hAnsi="Times New Roman" w:cs="Times New Roman"/>
              <w:sz w:val="24"/>
              <w:szCs w:val="24"/>
            </w:rPr>
            <w:fldChar w:fldCharType="separate"/>
          </w:r>
          <w:r>
            <w:rPr>
              <w:rFonts w:ascii="Times New Roman" w:hAnsi="Times New Roman" w:cs="Times New Roman"/>
              <w:sz w:val="24"/>
              <w:szCs w:val="24"/>
            </w:rPr>
            <w:t>15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3998F9FF">
          <w:pPr>
            <w:pStyle w:val="16"/>
            <w:tabs>
              <w:tab w:val="right" w:leader="dot" w:pos="9350"/>
            </w:tabs>
            <w:spacing w:line="240" w:lineRule="auto"/>
            <w:jc w:val="both"/>
            <w:rPr>
              <w:rFonts w:ascii="Times New Roman" w:hAnsi="Times New Roman" w:cs="Times New Roman"/>
              <w:sz w:val="24"/>
              <w:szCs w:val="24"/>
            </w:rPr>
          </w:pPr>
          <w:r>
            <w:fldChar w:fldCharType="begin"/>
          </w:r>
          <w:r>
            <w:instrText xml:space="preserve"> HYPERLINK \l "_Toc218185636" </w:instrText>
          </w:r>
          <w:r>
            <w:fldChar w:fldCharType="separate"/>
          </w:r>
          <w:r>
            <w:rPr>
              <w:rStyle w:val="22"/>
              <w:rFonts w:ascii="Times New Roman" w:hAnsi="Times New Roman" w:cs="Times New Roman"/>
              <w:sz w:val="24"/>
              <w:szCs w:val="24"/>
            </w:rPr>
            <w:t>3.4 Execution and Measurement Gaps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_Toc218185636 \h </w:instrText>
          </w:r>
          <w:r>
            <w:rPr>
              <w:rFonts w:ascii="Times New Roman" w:hAnsi="Times New Roman" w:cs="Times New Roman"/>
              <w:sz w:val="24"/>
              <w:szCs w:val="24"/>
            </w:rPr>
            <w:fldChar w:fldCharType="separate"/>
          </w:r>
          <w:r>
            <w:rPr>
              <w:rFonts w:ascii="Times New Roman" w:hAnsi="Times New Roman" w:cs="Times New Roman"/>
              <w:sz w:val="24"/>
              <w:szCs w:val="24"/>
            </w:rPr>
            <w:t>15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3CBB8686">
          <w:pPr>
            <w:pStyle w:val="14"/>
            <w:tabs>
              <w:tab w:val="right" w:leader="dot" w:pos="9350"/>
            </w:tabs>
            <w:spacing w:line="240" w:lineRule="auto"/>
            <w:jc w:val="both"/>
            <w:rPr>
              <w:rFonts w:ascii="Times New Roman" w:hAnsi="Times New Roman" w:cs="Times New Roman"/>
              <w:sz w:val="24"/>
              <w:szCs w:val="24"/>
            </w:rPr>
          </w:pPr>
          <w:r>
            <w:fldChar w:fldCharType="begin"/>
          </w:r>
          <w:r>
            <w:instrText xml:space="preserve"> HYPERLINK \l "_Toc218185637" </w:instrText>
          </w:r>
          <w:r>
            <w:fldChar w:fldCharType="separate"/>
          </w:r>
          <w:r>
            <w:rPr>
              <w:rStyle w:val="22"/>
              <w:rFonts w:ascii="Times New Roman" w:hAnsi="Times New Roman" w:cs="Times New Roman"/>
              <w:sz w:val="24"/>
              <w:szCs w:val="24"/>
            </w:rPr>
            <w:t>4. Task 3 – Recommendations: Improving the Marketing Strategy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_Toc218185637 \h </w:instrText>
          </w:r>
          <w:r>
            <w:rPr>
              <w:rFonts w:ascii="Times New Roman" w:hAnsi="Times New Roman" w:cs="Times New Roman"/>
              <w:sz w:val="24"/>
              <w:szCs w:val="24"/>
            </w:rPr>
            <w:fldChar w:fldCharType="separate"/>
          </w:r>
          <w:r>
            <w:rPr>
              <w:rFonts w:ascii="Times New Roman" w:hAnsi="Times New Roman" w:cs="Times New Roman"/>
              <w:sz w:val="24"/>
              <w:szCs w:val="24"/>
            </w:rPr>
            <w:t>16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0124A930">
          <w:pPr>
            <w:pStyle w:val="14"/>
            <w:tabs>
              <w:tab w:val="right" w:leader="dot" w:pos="9350"/>
            </w:tabs>
            <w:spacing w:line="240" w:lineRule="auto"/>
            <w:jc w:val="both"/>
            <w:rPr>
              <w:rFonts w:ascii="Times New Roman" w:hAnsi="Times New Roman" w:cs="Times New Roman"/>
              <w:sz w:val="24"/>
              <w:szCs w:val="24"/>
            </w:rPr>
          </w:pPr>
          <w:r>
            <w:fldChar w:fldCharType="begin"/>
          </w:r>
          <w:r>
            <w:instrText xml:space="preserve"> HYPERLINK \l "_Toc218185638" </w:instrText>
          </w:r>
          <w:r>
            <w:fldChar w:fldCharType="separate"/>
          </w:r>
          <w:r>
            <w:rPr>
              <w:rStyle w:val="22"/>
              <w:rFonts w:ascii="Times New Roman" w:hAnsi="Times New Roman" w:cs="Times New Roman"/>
              <w:sz w:val="24"/>
              <w:szCs w:val="24"/>
            </w:rPr>
            <w:t>5. References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_Toc218185638 \h </w:instrText>
          </w:r>
          <w:r>
            <w:rPr>
              <w:rFonts w:ascii="Times New Roman" w:hAnsi="Times New Roman" w:cs="Times New Roman"/>
              <w:sz w:val="24"/>
              <w:szCs w:val="24"/>
            </w:rPr>
            <w:fldChar w:fldCharType="separate"/>
          </w:r>
          <w:r>
            <w:rPr>
              <w:rFonts w:ascii="Times New Roman" w:hAnsi="Times New Roman" w:cs="Times New Roman"/>
              <w:sz w:val="24"/>
              <w:szCs w:val="24"/>
            </w:rPr>
            <w:t>18</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767B3621">
          <w:pPr>
            <w:spacing w:line="240" w:lineRule="auto"/>
            <w:jc w:val="both"/>
            <w:rPr>
              <w:rFonts w:ascii="Times New Roman" w:hAnsi="Times New Roman" w:cs="Times New Roman"/>
            </w:rPr>
          </w:pPr>
          <w:r>
            <w:rPr>
              <w:rFonts w:ascii="Times New Roman" w:hAnsi="Times New Roman" w:cs="Times New Roman"/>
              <w:b/>
              <w:bCs/>
              <w:sz w:val="24"/>
              <w:szCs w:val="24"/>
            </w:rPr>
            <w:fldChar w:fldCharType="end"/>
          </w:r>
        </w:p>
      </w:sdtContent>
    </w:sdt>
    <w:p w14:paraId="6FD889D2">
      <w:pPr>
        <w:spacing w:after="0" w:line="480" w:lineRule="auto"/>
        <w:jc w:val="both"/>
        <w:rPr>
          <w:rFonts w:ascii="Times New Roman" w:hAnsi="Times New Roman" w:cs="Times New Roman"/>
          <w:sz w:val="24"/>
          <w:szCs w:val="24"/>
        </w:rPr>
      </w:pPr>
    </w:p>
    <w:p w14:paraId="612C3001">
      <w:pPr>
        <w:spacing w:after="0" w:line="480" w:lineRule="auto"/>
        <w:jc w:val="both"/>
        <w:rPr>
          <w:rFonts w:ascii="Times New Roman" w:hAnsi="Times New Roman" w:cs="Times New Roman"/>
          <w:sz w:val="24"/>
          <w:szCs w:val="24"/>
        </w:rPr>
      </w:pPr>
    </w:p>
    <w:p w14:paraId="773A73CC">
      <w:pPr>
        <w:spacing w:line="480" w:lineRule="auto"/>
        <w:jc w:val="both"/>
        <w:rPr>
          <w:rFonts w:ascii="Times New Roman" w:hAnsi="Times New Roman" w:cs="Times New Roman"/>
          <w:sz w:val="24"/>
          <w:szCs w:val="24"/>
        </w:rPr>
      </w:pPr>
      <w:r>
        <w:rPr>
          <w:rFonts w:ascii="Times New Roman" w:hAnsi="Times New Roman" w:cs="Times New Roman"/>
          <w:sz w:val="24"/>
          <w:szCs w:val="24"/>
        </w:rPr>
        <w:br w:type="page"/>
      </w:r>
    </w:p>
    <w:p w14:paraId="1879465C">
      <w:pPr>
        <w:pStyle w:val="2"/>
        <w:rPr>
          <w:rFonts w:cs="Times New Roman"/>
        </w:rPr>
      </w:pPr>
      <w:bookmarkStart w:id="2" w:name="_Toc218185624"/>
      <w:r>
        <w:rPr>
          <w:rFonts w:cs="Times New Roman"/>
        </w:rPr>
        <w:t>1. Introduction</w:t>
      </w:r>
      <w:bookmarkEnd w:id="2"/>
    </w:p>
    <w:p w14:paraId="7F8CE49A">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The aviation sector is characterised by a competitive and highly controlled environment in which an airline is consistently under pressure to adjust prices, differentiate services, and maintain a strong brand image (Porter, 1980; IATA, 2023). Such pressures have been intensified by mounting environmental scrutiny and social attention to the plausibility of sustainability-related assertions within the air transport sector (Delmas and Burbano, 2011; Lyon and Montgomery, 2015). Meanwhile, digitalisation has reshaped the interaction between airlines and their customers, as well as how airlines engage with brand touchpoints throughout the customer journey (Lemon and Verhoef, 2016). When this happens, a critical question arises: to what extent can marketing actively influence competitive advantage, as opposed to just informing the operational decisions made elsewhere in the organisation?</w:t>
      </w:r>
    </w:p>
    <w:p w14:paraId="5B2AD617">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British Airways works in this multi-layered Environment and, in accordance with Assignment 1, it combats cross-linked problems caused by reputational risk, sustainability communication, and dynamic customer expectations and heightened competition (Gössling and Humpe, 2020). Such difficulties place the marketing role at the core of making strategic decisions, and it has a direct impact on matters of brand credibility, customer trust, and measuring performance.</w:t>
      </w:r>
    </w:p>
    <w:p w14:paraId="15640ACC">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This report aims to critically review the role and the activities of the marketing department of British Airways. This report will evaluate the current marketing activity (Task 1) and subsequently draw evidence-based conclusions on the strengths and weaknesses (Task 2), and finally provide viable recommendations to enhance the marketing strategy of the organisation (Task 3).</w:t>
      </w:r>
    </w:p>
    <w:p w14:paraId="39FEF0CD">
      <w:pPr>
        <w:pStyle w:val="2"/>
        <w:rPr>
          <w:rFonts w:cs="Times New Roman"/>
          <w:lang w:val="en-GB"/>
        </w:rPr>
      </w:pPr>
      <w:bookmarkStart w:id="3" w:name="_Toc218185625"/>
      <w:r>
        <w:rPr>
          <w:rFonts w:cs="Times New Roman"/>
          <w:lang w:val="en-GB"/>
        </w:rPr>
        <w:t xml:space="preserve">2. Task 1: </w:t>
      </w:r>
      <w:r>
        <w:rPr>
          <w:rFonts w:cs="Times New Roman"/>
        </w:rPr>
        <w:t xml:space="preserve">Critical </w:t>
      </w:r>
      <w:r>
        <w:rPr>
          <w:rFonts w:cs="Times New Roman"/>
          <w:lang w:val="en-GB"/>
        </w:rPr>
        <w:t xml:space="preserve">evaluation </w:t>
      </w:r>
      <w:r>
        <w:rPr>
          <w:rFonts w:cs="Times New Roman"/>
        </w:rPr>
        <w:t>of</w:t>
      </w:r>
      <w:r>
        <w:rPr>
          <w:rFonts w:cs="Times New Roman"/>
          <w:lang w:val="en-GB"/>
        </w:rPr>
        <w:t xml:space="preserve"> British Airways’</w:t>
      </w:r>
      <w:r>
        <w:rPr>
          <w:rFonts w:cs="Times New Roman"/>
        </w:rPr>
        <w:t xml:space="preserve"> marketing activity</w:t>
      </w:r>
      <w:bookmarkEnd w:id="3"/>
    </w:p>
    <w:p w14:paraId="0468C743">
      <w:pPr>
        <w:pStyle w:val="3"/>
        <w:jc w:val="both"/>
      </w:pPr>
      <w:bookmarkStart w:id="4" w:name="_Toc218185626"/>
      <w:r>
        <w:t>2.1 Concept and Importance of Marketing</w:t>
      </w:r>
      <w:bookmarkEnd w:id="4"/>
    </w:p>
    <w:p w14:paraId="42B10033">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Marketing can be described as the organisational initiative of generating, conveying, and maintaining customer value in support of strategic goals, and not just promoting products or services (Kotler and Keller, 2016). Marketing should be of special importance in service-based sectors, as much of the value is intangible and realised in numerous interaction points between the customer and the company. Thus, the meaning of the brand, expectations of the service, and perceived quality become key determinants of competitive success (Lovelock and Wirtz, 2016). Consequently, the marketing role in the case of British Airways can be expanded to include areas such as brand stewardship, customer experience management, and demand generation (Homburg, Jozic, and Kuehnl, 2017).</w:t>
      </w:r>
    </w:p>
    <w:p w14:paraId="1B617A79">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The nature of competition in the airline industry underscores the importance of marketing for British Airways. According to the competitive strategy theory, branding and positioning aimed at diverse differentiation are a crucial source of competitive advantage, particularly in markets where products and services can be easily copied, and competition is intense (Porter, 1980). As demonstrated by the actions of the industry, unlike low-cost airlines that base their competition on price, full-service airlines rely more on brand recognition and perceived service quality (IATA, 2023). Marketing is, therefore, a key factor in establishing British Airways' capability to maintain its premium perception and appeal to higher-value customer segments.</w:t>
      </w:r>
    </w:p>
    <w:p w14:paraId="05A4348D">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This is a strategic value which can be seen in the amount of resources devoted to marketing (Morgan et al., 2019). The British Airways group has an annual revenue of around 32.1 billion and operating profit of around 4.28 billion, demonstrated by its parent organisation International Airlines Group (IAG), which has a strong financial potential to investment in brand management, digital marketing, customer data analytics, and loyalty programmemes like Avios. In a resource-based sense, though, these sorts of investments do not translate into long-term advantage unless properly utilised and in compliance with organisational strategy (Barney, 1991). This implies that the extent of marketing resources alone is too much to be the measure of success.</w:t>
      </w:r>
    </w:p>
    <w:p w14:paraId="0780A85E">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Furthermore, studies on marketing accountability argue that organisations often face difficulties in proving the performance contribution of marketing when the objectives and metrics have poor alignment with specific strategic priorities (Ambler, 2008; Clark and Ambler, 2001). In the case of British Airways, where high levels of reputational and environmental awareness are the norm, the unsung importance of marketing in efforts to convert resources into differentiation, customer loyalty, and quantifiable results is thus at the heart of organisational success. This necessitates a critical analysis of marketing performance, as discussed below.</w:t>
      </w:r>
    </w:p>
    <w:p w14:paraId="6DC7D8E4">
      <w:pPr>
        <w:pStyle w:val="3"/>
        <w:jc w:val="both"/>
      </w:pPr>
      <w:bookmarkStart w:id="5" w:name="_Toc218185627"/>
      <w:r>
        <w:t>2.2 Macro and Micro Marketing Environment</w:t>
      </w:r>
      <w:bookmarkEnd w:id="5"/>
    </w:p>
    <w:p w14:paraId="26D88C41">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The marketing strategy of British Airways is limited and influenced by macro-environmental factors that restrict strategic selection and expose the company to reputational risk, particularly in relation to environmental allegations and customer trust (Delmas and Burbano, 2011; Lyon and Montgomery, 2015). Such pressures make it challenging to engage in purely aspirational branding, as messages must be credible and verifiable to prevent the perception of greenwashing (Nyilasy, Gangadharbatla, and Paladino, 2014). Simultaneously, digitalisation has increased comparison behaviour and minimised switching costs, thereby enhancing the failure of airlines to defend their differentiation through messaging alone (Lemon and Verhoef, 2016; Verhoef et al., 2021). The net effect is that British Airways' marketing must react to structural pressures while simultaneously protecting its premium positioning.</w:t>
      </w:r>
    </w:p>
    <w:p w14:paraId="5C8962F7">
      <w:pPr>
        <w:spacing w:after="0" w:line="480" w:lineRule="auto"/>
        <w:jc w:val="both"/>
        <w:rPr>
          <w:rFonts w:ascii="Times New Roman" w:hAnsi="Times New Roman" w:cs="Times New Roman"/>
          <w:sz w:val="24"/>
          <w:szCs w:val="24"/>
        </w:rPr>
      </w:pPr>
    </w:p>
    <w:p w14:paraId="1DA69744">
      <w:pPr>
        <w:pStyle w:val="11"/>
        <w:keepNext/>
        <w:spacing w:line="48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Table </w:t>
      </w:r>
      <w:r>
        <w:rPr>
          <w:rFonts w:ascii="Times New Roman" w:hAnsi="Times New Roman" w:cs="Times New Roman"/>
          <w:color w:val="auto"/>
          <w:sz w:val="24"/>
          <w:szCs w:val="24"/>
        </w:rPr>
        <w:fldChar w:fldCharType="begin"/>
      </w:r>
      <w:r>
        <w:rPr>
          <w:rFonts w:ascii="Times New Roman" w:hAnsi="Times New Roman" w:cs="Times New Roman"/>
          <w:color w:val="auto"/>
          <w:sz w:val="24"/>
          <w:szCs w:val="24"/>
        </w:rPr>
        <w:instrText xml:space="preserve"> SEQ Table \* ARABIC </w:instrText>
      </w:r>
      <w:r>
        <w:rPr>
          <w:rFonts w:ascii="Times New Roman" w:hAnsi="Times New Roman" w:cs="Times New Roman"/>
          <w:color w:val="auto"/>
          <w:sz w:val="24"/>
          <w:szCs w:val="24"/>
        </w:rPr>
        <w:fldChar w:fldCharType="separate"/>
      </w:r>
      <w:r>
        <w:rPr>
          <w:rFonts w:ascii="Times New Roman" w:hAnsi="Times New Roman" w:cs="Times New Roman"/>
          <w:color w:val="auto"/>
          <w:sz w:val="24"/>
          <w:szCs w:val="24"/>
        </w:rPr>
        <w:t>1</w:t>
      </w:r>
      <w:r>
        <w:rPr>
          <w:rFonts w:ascii="Times New Roman" w:hAnsi="Times New Roman" w:cs="Times New Roman"/>
          <w:color w:val="auto"/>
          <w:sz w:val="24"/>
          <w:szCs w:val="24"/>
        </w:rPr>
        <w:fldChar w:fldCharType="end"/>
      </w:r>
      <w:r>
        <w:rPr>
          <w:rFonts w:ascii="Times New Roman" w:hAnsi="Times New Roman" w:cs="Times New Roman"/>
          <w:color w:val="auto"/>
          <w:sz w:val="24"/>
          <w:szCs w:val="24"/>
        </w:rPr>
        <w:t>:Key Macro (PESTLE) Drivers Influencing British Airways' Marketing Strategy.</w:t>
      </w:r>
    </w:p>
    <w:tbl>
      <w:tblPr>
        <w:tblStyle w:val="47"/>
        <w:tblW w:w="0" w:type="auto"/>
        <w:tblInd w:w="0" w:type="dxa"/>
        <w:tblBorders>
          <w:top w:val="single" w:color="8EAADB" w:themeColor="accent1" w:themeTint="99" w:sz="4" w:space="0"/>
          <w:left w:val="single" w:color="8EAADB" w:themeColor="accent1" w:themeTint="99" w:sz="4" w:space="0"/>
          <w:bottom w:val="single" w:color="8EAADB" w:themeColor="accent1" w:themeTint="99" w:sz="4" w:space="0"/>
          <w:right w:val="single" w:color="8EAADB" w:themeColor="accent1" w:themeTint="99" w:sz="4" w:space="0"/>
          <w:insideH w:val="single" w:color="8EAADB" w:themeColor="accent1" w:themeTint="99" w:sz="4" w:space="0"/>
          <w:insideV w:val="single" w:color="8EAADB" w:themeColor="accent1" w:themeTint="99" w:sz="4" w:space="0"/>
        </w:tblBorders>
        <w:tblLayout w:type="autofit"/>
        <w:tblCellMar>
          <w:top w:w="0" w:type="dxa"/>
          <w:left w:w="108" w:type="dxa"/>
          <w:bottom w:w="0" w:type="dxa"/>
          <w:right w:w="108" w:type="dxa"/>
        </w:tblCellMar>
      </w:tblPr>
      <w:tblGrid>
        <w:gridCol w:w="3116"/>
        <w:gridCol w:w="3117"/>
        <w:gridCol w:w="3117"/>
      </w:tblGrid>
      <w:tr w14:paraId="2E5B87FB">
        <w:tc>
          <w:tcPr>
            <w:tcW w:w="3116" w:type="dxa"/>
            <w:tcBorders>
              <w:top w:val="single" w:color="4472C4" w:themeColor="accent1" w:sz="4" w:space="0"/>
              <w:left w:val="single" w:color="4472C4" w:themeColor="accent1" w:sz="4" w:space="0"/>
              <w:bottom w:val="single" w:color="4472C4" w:themeColor="accent1" w:sz="4" w:space="0"/>
              <w:right w:val="nil"/>
              <w:insideH w:val="single" w:sz="4" w:space="0"/>
              <w:insideV w:val="nil"/>
            </w:tcBorders>
            <w:shd w:val="clear" w:color="auto" w:fill="4472C4" w:themeFill="accent1"/>
          </w:tcPr>
          <w:p w14:paraId="1B05D702">
            <w:pPr>
              <w:spacing w:after="0" w:line="276" w:lineRule="auto"/>
              <w:jc w:val="both"/>
              <w:rPr>
                <w:rFonts w:ascii="Times New Roman" w:hAnsi="Times New Roman" w:cs="Times New Roman"/>
                <w:b w:val="0"/>
                <w:bCs w:val="0"/>
                <w:color w:val="FFFFFF" w:themeColor="background1"/>
                <w:sz w:val="20"/>
                <w:szCs w:val="20"/>
                <w14:textFill>
                  <w14:solidFill>
                    <w14:schemeClr w14:val="bg1"/>
                  </w14:solidFill>
                </w14:textFill>
              </w:rPr>
            </w:pPr>
            <w:r>
              <w:rPr>
                <w:rFonts w:ascii="Times New Roman" w:hAnsi="Times New Roman" w:cs="Times New Roman"/>
                <w:b/>
                <w:bCs/>
                <w:color w:val="FFFFFF" w:themeColor="background1"/>
                <w:sz w:val="20"/>
                <w:szCs w:val="20"/>
                <w14:textFill>
                  <w14:solidFill>
                    <w14:schemeClr w14:val="bg1"/>
                  </w14:solidFill>
                </w14:textFill>
              </w:rPr>
              <w:t>PESTLE factor</w:t>
            </w:r>
          </w:p>
        </w:tc>
        <w:tc>
          <w:tcPr>
            <w:tcW w:w="3117" w:type="dxa"/>
            <w:tcBorders>
              <w:top w:val="single" w:color="4472C4" w:themeColor="accent1" w:sz="4" w:space="0"/>
              <w:bottom w:val="single" w:color="4472C4" w:themeColor="accent1" w:sz="4" w:space="0"/>
              <w:right w:val="nil"/>
              <w:insideH w:val="single" w:sz="4" w:space="0"/>
              <w:insideV w:val="nil"/>
            </w:tcBorders>
            <w:shd w:val="clear" w:color="auto" w:fill="4472C4" w:themeFill="accent1"/>
          </w:tcPr>
          <w:p w14:paraId="4A163042">
            <w:pPr>
              <w:spacing w:after="0" w:line="276" w:lineRule="auto"/>
              <w:jc w:val="both"/>
              <w:rPr>
                <w:rFonts w:ascii="Times New Roman" w:hAnsi="Times New Roman" w:cs="Times New Roman"/>
                <w:b w:val="0"/>
                <w:bCs w:val="0"/>
                <w:color w:val="FFFFFF" w:themeColor="background1"/>
                <w:sz w:val="20"/>
                <w:szCs w:val="20"/>
                <w14:textFill>
                  <w14:solidFill>
                    <w14:schemeClr w14:val="bg1"/>
                  </w14:solidFill>
                </w14:textFill>
              </w:rPr>
            </w:pPr>
            <w:r>
              <w:rPr>
                <w:rFonts w:ascii="Times New Roman" w:hAnsi="Times New Roman" w:cs="Times New Roman"/>
                <w:b/>
                <w:bCs/>
                <w:color w:val="FFFFFF" w:themeColor="background1"/>
                <w:sz w:val="20"/>
                <w:szCs w:val="20"/>
                <w14:textFill>
                  <w14:solidFill>
                    <w14:schemeClr w14:val="bg1"/>
                  </w14:solidFill>
                </w14:textFill>
              </w:rPr>
              <w:t>Key external pressure</w:t>
            </w:r>
          </w:p>
        </w:tc>
        <w:tc>
          <w:tcPr>
            <w:tcW w:w="3117" w:type="dxa"/>
            <w:tcBorders>
              <w:top w:val="single" w:color="4472C4" w:themeColor="accent1" w:sz="4" w:space="0"/>
              <w:bottom w:val="single" w:color="4472C4" w:themeColor="accent1" w:sz="4" w:space="0"/>
              <w:right w:val="single" w:color="4472C4" w:themeColor="accent1" w:sz="4" w:space="0"/>
              <w:insideH w:val="single" w:sz="4" w:space="0"/>
              <w:insideV w:val="nil"/>
            </w:tcBorders>
            <w:shd w:val="clear" w:color="auto" w:fill="4472C4" w:themeFill="accent1"/>
          </w:tcPr>
          <w:p w14:paraId="50462739">
            <w:pPr>
              <w:spacing w:after="0" w:line="276" w:lineRule="auto"/>
              <w:jc w:val="both"/>
              <w:rPr>
                <w:rFonts w:ascii="Times New Roman" w:hAnsi="Times New Roman" w:cs="Times New Roman"/>
                <w:b w:val="0"/>
                <w:bCs w:val="0"/>
                <w:color w:val="FFFFFF" w:themeColor="background1"/>
                <w:sz w:val="20"/>
                <w:szCs w:val="20"/>
                <w14:textFill>
                  <w14:solidFill>
                    <w14:schemeClr w14:val="bg1"/>
                  </w14:solidFill>
                </w14:textFill>
              </w:rPr>
            </w:pPr>
            <w:r>
              <w:rPr>
                <w:rFonts w:ascii="Times New Roman" w:hAnsi="Times New Roman" w:cs="Times New Roman"/>
                <w:b/>
                <w:bCs/>
                <w:color w:val="FFFFFF" w:themeColor="background1"/>
                <w:sz w:val="20"/>
                <w:szCs w:val="20"/>
                <w14:textFill>
                  <w14:solidFill>
                    <w14:schemeClr w14:val="bg1"/>
                  </w14:solidFill>
                </w14:textFill>
              </w:rPr>
              <w:t>Likely impact on BA marketing strategy</w:t>
            </w:r>
          </w:p>
        </w:tc>
      </w:tr>
      <w:tr w14:paraId="09E0DBBB">
        <w:tc>
          <w:tcPr>
            <w:tcW w:w="3116" w:type="dxa"/>
            <w:shd w:val="clear" w:color="auto" w:fill="D9E2F3" w:themeFill="accent1" w:themeFillTint="33"/>
          </w:tcPr>
          <w:p w14:paraId="087C6C99">
            <w:pPr>
              <w:spacing w:after="0" w:line="276" w:lineRule="auto"/>
              <w:jc w:val="both"/>
              <w:rPr>
                <w:rFonts w:ascii="Times New Roman" w:hAnsi="Times New Roman" w:cs="Times New Roman"/>
                <w:b w:val="0"/>
                <w:bCs w:val="0"/>
                <w:sz w:val="20"/>
                <w:szCs w:val="20"/>
              </w:rPr>
            </w:pPr>
            <w:r>
              <w:rPr>
                <w:rFonts w:ascii="Times New Roman" w:hAnsi="Times New Roman" w:cs="Times New Roman"/>
                <w:b/>
                <w:bCs/>
                <w:sz w:val="20"/>
                <w:szCs w:val="20"/>
              </w:rPr>
              <w:t>Political/Legal</w:t>
            </w:r>
          </w:p>
        </w:tc>
        <w:tc>
          <w:tcPr>
            <w:tcW w:w="3117" w:type="dxa"/>
            <w:shd w:val="clear" w:color="auto" w:fill="D9E2F3" w:themeFill="accent1" w:themeFillTint="33"/>
          </w:tcPr>
          <w:p w14:paraId="285ED6D7">
            <w:pPr>
              <w:spacing w:after="0" w:line="276" w:lineRule="auto"/>
              <w:jc w:val="both"/>
              <w:rPr>
                <w:rFonts w:ascii="Times New Roman" w:hAnsi="Times New Roman" w:cs="Times New Roman"/>
                <w:sz w:val="20"/>
                <w:szCs w:val="20"/>
              </w:rPr>
            </w:pPr>
            <w:r>
              <w:rPr>
                <w:rFonts w:ascii="Times New Roman" w:hAnsi="Times New Roman" w:cs="Times New Roman"/>
                <w:sz w:val="20"/>
                <w:szCs w:val="20"/>
              </w:rPr>
              <w:t>Stricter oversight of environmental and advertising claims</w:t>
            </w:r>
          </w:p>
        </w:tc>
        <w:tc>
          <w:tcPr>
            <w:tcW w:w="3117" w:type="dxa"/>
            <w:shd w:val="clear" w:color="auto" w:fill="D9E2F3" w:themeFill="accent1" w:themeFillTint="33"/>
          </w:tcPr>
          <w:p w14:paraId="5964C4DB">
            <w:pPr>
              <w:spacing w:after="0" w:line="276" w:lineRule="auto"/>
              <w:jc w:val="both"/>
              <w:rPr>
                <w:rFonts w:ascii="Times New Roman" w:hAnsi="Times New Roman" w:cs="Times New Roman"/>
                <w:sz w:val="20"/>
                <w:szCs w:val="20"/>
              </w:rPr>
            </w:pPr>
            <w:r>
              <w:rPr>
                <w:rFonts w:ascii="Times New Roman" w:hAnsi="Times New Roman" w:cs="Times New Roman"/>
                <w:sz w:val="20"/>
                <w:szCs w:val="20"/>
              </w:rPr>
              <w:t>Requires evidence-based messaging; higher reputational and regulatory risk if claims are perceived as misleading (Delmas and Burbano, 2011)</w:t>
            </w:r>
          </w:p>
        </w:tc>
      </w:tr>
      <w:tr w14:paraId="15C381E5">
        <w:tc>
          <w:tcPr>
            <w:tcW w:w="3116" w:type="dxa"/>
          </w:tcPr>
          <w:p w14:paraId="125A4411">
            <w:pPr>
              <w:spacing w:after="0" w:line="276" w:lineRule="auto"/>
              <w:jc w:val="both"/>
              <w:rPr>
                <w:rFonts w:ascii="Times New Roman" w:hAnsi="Times New Roman" w:cs="Times New Roman"/>
                <w:b w:val="0"/>
                <w:bCs w:val="0"/>
                <w:sz w:val="20"/>
                <w:szCs w:val="20"/>
              </w:rPr>
            </w:pPr>
            <w:r>
              <w:rPr>
                <w:rFonts w:ascii="Times New Roman" w:hAnsi="Times New Roman" w:cs="Times New Roman"/>
                <w:b/>
                <w:bCs/>
                <w:sz w:val="20"/>
                <w:szCs w:val="20"/>
              </w:rPr>
              <w:t>Economic</w:t>
            </w:r>
          </w:p>
        </w:tc>
        <w:tc>
          <w:tcPr>
            <w:tcW w:w="3117" w:type="dxa"/>
          </w:tcPr>
          <w:p w14:paraId="2BF1FD52">
            <w:pPr>
              <w:spacing w:after="0" w:line="276" w:lineRule="auto"/>
              <w:jc w:val="both"/>
              <w:rPr>
                <w:rFonts w:ascii="Times New Roman" w:hAnsi="Times New Roman" w:cs="Times New Roman"/>
                <w:sz w:val="20"/>
                <w:szCs w:val="20"/>
              </w:rPr>
            </w:pPr>
            <w:r>
              <w:rPr>
                <w:rFonts w:ascii="Times New Roman" w:hAnsi="Times New Roman" w:cs="Times New Roman"/>
                <w:sz w:val="20"/>
                <w:szCs w:val="20"/>
              </w:rPr>
              <w:t>Cost pressure and demand volatility; heightened price sensitivity</w:t>
            </w:r>
          </w:p>
        </w:tc>
        <w:tc>
          <w:tcPr>
            <w:tcW w:w="3117" w:type="dxa"/>
          </w:tcPr>
          <w:p w14:paraId="7D8FEEA7">
            <w:pPr>
              <w:spacing w:after="0" w:line="276" w:lineRule="auto"/>
              <w:jc w:val="both"/>
              <w:rPr>
                <w:rFonts w:ascii="Times New Roman" w:hAnsi="Times New Roman" w:cs="Times New Roman"/>
                <w:sz w:val="20"/>
                <w:szCs w:val="20"/>
              </w:rPr>
            </w:pPr>
            <w:r>
              <w:rPr>
                <w:rFonts w:ascii="Times New Roman" w:hAnsi="Times New Roman" w:cs="Times New Roman"/>
                <w:sz w:val="20"/>
                <w:szCs w:val="20"/>
              </w:rPr>
              <w:t>Limits premium price signalling; increases reliance on value justification and retention strategies (Lovelock and Wirtz, 2016)</w:t>
            </w:r>
          </w:p>
        </w:tc>
      </w:tr>
      <w:tr w14:paraId="423BF7E3">
        <w:tc>
          <w:tcPr>
            <w:tcW w:w="3116" w:type="dxa"/>
            <w:shd w:val="clear" w:color="auto" w:fill="D9E2F3" w:themeFill="accent1" w:themeFillTint="33"/>
          </w:tcPr>
          <w:p w14:paraId="085AE02C">
            <w:pPr>
              <w:spacing w:after="0" w:line="276" w:lineRule="auto"/>
              <w:jc w:val="both"/>
              <w:rPr>
                <w:rFonts w:ascii="Times New Roman" w:hAnsi="Times New Roman" w:cs="Times New Roman"/>
                <w:b w:val="0"/>
                <w:bCs w:val="0"/>
                <w:sz w:val="20"/>
                <w:szCs w:val="20"/>
              </w:rPr>
            </w:pPr>
            <w:r>
              <w:rPr>
                <w:rFonts w:ascii="Times New Roman" w:hAnsi="Times New Roman" w:cs="Times New Roman"/>
                <w:b/>
                <w:bCs/>
                <w:sz w:val="20"/>
                <w:szCs w:val="20"/>
              </w:rPr>
              <w:t>Social</w:t>
            </w:r>
          </w:p>
        </w:tc>
        <w:tc>
          <w:tcPr>
            <w:tcW w:w="3117" w:type="dxa"/>
            <w:shd w:val="clear" w:color="auto" w:fill="D9E2F3" w:themeFill="accent1" w:themeFillTint="33"/>
          </w:tcPr>
          <w:p w14:paraId="2156B162">
            <w:pPr>
              <w:spacing w:after="0" w:line="276" w:lineRule="auto"/>
              <w:jc w:val="both"/>
              <w:rPr>
                <w:rFonts w:ascii="Times New Roman" w:hAnsi="Times New Roman" w:cs="Times New Roman"/>
                <w:sz w:val="20"/>
                <w:szCs w:val="20"/>
              </w:rPr>
            </w:pPr>
            <w:r>
              <w:rPr>
                <w:rFonts w:ascii="Times New Roman" w:hAnsi="Times New Roman" w:cs="Times New Roman"/>
                <w:sz w:val="20"/>
                <w:szCs w:val="20"/>
              </w:rPr>
              <w:t>Rising consumer scepticism toward sustainability narratives</w:t>
            </w:r>
          </w:p>
        </w:tc>
        <w:tc>
          <w:tcPr>
            <w:tcW w:w="3117" w:type="dxa"/>
            <w:shd w:val="clear" w:color="auto" w:fill="D9E2F3" w:themeFill="accent1" w:themeFillTint="33"/>
          </w:tcPr>
          <w:p w14:paraId="15DFB553">
            <w:pPr>
              <w:spacing w:after="0" w:line="276" w:lineRule="auto"/>
              <w:jc w:val="both"/>
              <w:rPr>
                <w:rFonts w:ascii="Times New Roman" w:hAnsi="Times New Roman" w:cs="Times New Roman"/>
                <w:sz w:val="20"/>
                <w:szCs w:val="20"/>
              </w:rPr>
            </w:pPr>
            <w:r>
              <w:rPr>
                <w:rFonts w:ascii="Times New Roman" w:hAnsi="Times New Roman" w:cs="Times New Roman"/>
                <w:sz w:val="20"/>
                <w:szCs w:val="20"/>
              </w:rPr>
              <w:t>Weakens the persuasive power of "green" positioning unless backed by transparent proof (Lyon and Montgomery, 2015; Nyilasy et al., 2014)</w:t>
            </w:r>
          </w:p>
        </w:tc>
      </w:tr>
      <w:tr w14:paraId="704EF30B">
        <w:tc>
          <w:tcPr>
            <w:tcW w:w="3116" w:type="dxa"/>
          </w:tcPr>
          <w:p w14:paraId="11A184ED">
            <w:pPr>
              <w:spacing w:after="0" w:line="276" w:lineRule="auto"/>
              <w:jc w:val="both"/>
              <w:rPr>
                <w:rFonts w:ascii="Times New Roman" w:hAnsi="Times New Roman" w:cs="Times New Roman"/>
                <w:b w:val="0"/>
                <w:bCs w:val="0"/>
                <w:sz w:val="20"/>
                <w:szCs w:val="20"/>
              </w:rPr>
            </w:pPr>
            <w:r>
              <w:rPr>
                <w:rFonts w:ascii="Times New Roman" w:hAnsi="Times New Roman" w:cs="Times New Roman"/>
                <w:b/>
                <w:bCs/>
                <w:sz w:val="20"/>
                <w:szCs w:val="20"/>
              </w:rPr>
              <w:t>Technological</w:t>
            </w:r>
          </w:p>
        </w:tc>
        <w:tc>
          <w:tcPr>
            <w:tcW w:w="3117" w:type="dxa"/>
          </w:tcPr>
          <w:p w14:paraId="7C753A2E">
            <w:pPr>
              <w:spacing w:after="0" w:line="276" w:lineRule="auto"/>
              <w:jc w:val="both"/>
              <w:rPr>
                <w:rFonts w:ascii="Times New Roman" w:hAnsi="Times New Roman" w:cs="Times New Roman"/>
                <w:sz w:val="20"/>
                <w:szCs w:val="20"/>
              </w:rPr>
            </w:pPr>
            <w:r>
              <w:rPr>
                <w:rFonts w:ascii="Times New Roman" w:hAnsi="Times New Roman" w:cs="Times New Roman"/>
                <w:sz w:val="20"/>
                <w:szCs w:val="20"/>
              </w:rPr>
              <w:t>Digital platforms increase transparency and comparability</w:t>
            </w:r>
          </w:p>
        </w:tc>
        <w:tc>
          <w:tcPr>
            <w:tcW w:w="3117" w:type="dxa"/>
          </w:tcPr>
          <w:p w14:paraId="3845FEDB">
            <w:pPr>
              <w:spacing w:after="0" w:line="276" w:lineRule="auto"/>
              <w:jc w:val="both"/>
              <w:rPr>
                <w:rFonts w:ascii="Times New Roman" w:hAnsi="Times New Roman" w:cs="Times New Roman"/>
                <w:sz w:val="20"/>
                <w:szCs w:val="20"/>
              </w:rPr>
            </w:pPr>
            <w:r>
              <w:rPr>
                <w:rFonts w:ascii="Times New Roman" w:hAnsi="Times New Roman" w:cs="Times New Roman"/>
                <w:sz w:val="20"/>
                <w:szCs w:val="20"/>
              </w:rPr>
              <w:t>Reduces control over value interpretation; elevates importance of digital CX consistency (Lemon and Verhoef, 2016)</w:t>
            </w:r>
          </w:p>
        </w:tc>
      </w:tr>
      <w:tr w14:paraId="1579EF18">
        <w:tc>
          <w:tcPr>
            <w:tcW w:w="3116" w:type="dxa"/>
            <w:shd w:val="clear" w:color="auto" w:fill="D9E2F3" w:themeFill="accent1" w:themeFillTint="33"/>
          </w:tcPr>
          <w:p w14:paraId="1FCEE4E2">
            <w:pPr>
              <w:spacing w:after="0" w:line="276" w:lineRule="auto"/>
              <w:jc w:val="both"/>
              <w:rPr>
                <w:rFonts w:ascii="Times New Roman" w:hAnsi="Times New Roman" w:cs="Times New Roman"/>
                <w:b w:val="0"/>
                <w:bCs w:val="0"/>
                <w:sz w:val="20"/>
                <w:szCs w:val="20"/>
              </w:rPr>
            </w:pPr>
            <w:r>
              <w:rPr>
                <w:rFonts w:ascii="Times New Roman" w:hAnsi="Times New Roman" w:cs="Times New Roman"/>
                <w:b/>
                <w:bCs/>
                <w:sz w:val="20"/>
                <w:szCs w:val="20"/>
              </w:rPr>
              <w:t>Environmental</w:t>
            </w:r>
          </w:p>
        </w:tc>
        <w:tc>
          <w:tcPr>
            <w:tcW w:w="3117" w:type="dxa"/>
            <w:shd w:val="clear" w:color="auto" w:fill="D9E2F3" w:themeFill="accent1" w:themeFillTint="33"/>
          </w:tcPr>
          <w:p w14:paraId="5F2F7D8E">
            <w:pPr>
              <w:spacing w:after="0" w:line="276" w:lineRule="auto"/>
              <w:jc w:val="both"/>
              <w:rPr>
                <w:rFonts w:ascii="Times New Roman" w:hAnsi="Times New Roman" w:cs="Times New Roman"/>
                <w:sz w:val="20"/>
                <w:szCs w:val="20"/>
              </w:rPr>
            </w:pPr>
            <w:r>
              <w:rPr>
                <w:rFonts w:ascii="Times New Roman" w:hAnsi="Times New Roman" w:cs="Times New Roman"/>
                <w:sz w:val="20"/>
                <w:szCs w:val="20"/>
              </w:rPr>
              <w:t>Climate scrutiny of aviation emissions</w:t>
            </w:r>
          </w:p>
        </w:tc>
        <w:tc>
          <w:tcPr>
            <w:tcW w:w="3117" w:type="dxa"/>
            <w:shd w:val="clear" w:color="auto" w:fill="D9E2F3" w:themeFill="accent1" w:themeFillTint="33"/>
          </w:tcPr>
          <w:p w14:paraId="3BF0870E">
            <w:pPr>
              <w:spacing w:after="0" w:line="276" w:lineRule="auto"/>
              <w:jc w:val="both"/>
              <w:rPr>
                <w:rFonts w:ascii="Times New Roman" w:hAnsi="Times New Roman" w:cs="Times New Roman"/>
                <w:sz w:val="20"/>
                <w:szCs w:val="20"/>
              </w:rPr>
            </w:pPr>
            <w:r>
              <w:rPr>
                <w:rFonts w:ascii="Times New Roman" w:hAnsi="Times New Roman" w:cs="Times New Roman"/>
                <w:sz w:val="20"/>
                <w:szCs w:val="20"/>
              </w:rPr>
              <w:t>Raises reputational vulnerability; constrains differentiation options (Gössling and Humpe, 2020)</w:t>
            </w:r>
          </w:p>
        </w:tc>
      </w:tr>
      <w:tr w14:paraId="09D07C22">
        <w:tc>
          <w:tcPr>
            <w:tcW w:w="3116" w:type="dxa"/>
          </w:tcPr>
          <w:p w14:paraId="01D61861">
            <w:pPr>
              <w:spacing w:after="0" w:line="276" w:lineRule="auto"/>
              <w:jc w:val="both"/>
              <w:rPr>
                <w:rFonts w:ascii="Times New Roman" w:hAnsi="Times New Roman" w:cs="Times New Roman"/>
                <w:b w:val="0"/>
                <w:bCs w:val="0"/>
                <w:sz w:val="20"/>
                <w:szCs w:val="20"/>
              </w:rPr>
            </w:pPr>
            <w:r>
              <w:rPr>
                <w:rFonts w:ascii="Times New Roman" w:hAnsi="Times New Roman" w:cs="Times New Roman"/>
                <w:b/>
                <w:bCs/>
                <w:sz w:val="20"/>
                <w:szCs w:val="20"/>
              </w:rPr>
              <w:t>Competitive</w:t>
            </w:r>
          </w:p>
        </w:tc>
        <w:tc>
          <w:tcPr>
            <w:tcW w:w="3117" w:type="dxa"/>
          </w:tcPr>
          <w:p w14:paraId="0D71FE9C">
            <w:pPr>
              <w:spacing w:after="0" w:line="276" w:lineRule="auto"/>
              <w:jc w:val="both"/>
              <w:rPr>
                <w:rFonts w:ascii="Times New Roman" w:hAnsi="Times New Roman" w:cs="Times New Roman"/>
                <w:sz w:val="20"/>
                <w:szCs w:val="20"/>
              </w:rPr>
            </w:pPr>
            <w:r>
              <w:rPr>
                <w:rFonts w:ascii="Times New Roman" w:hAnsi="Times New Roman" w:cs="Times New Roman"/>
                <w:sz w:val="20"/>
                <w:szCs w:val="20"/>
              </w:rPr>
              <w:t>Convergence between full-service and low-cost propositions</w:t>
            </w:r>
          </w:p>
        </w:tc>
        <w:tc>
          <w:tcPr>
            <w:tcW w:w="3117" w:type="dxa"/>
          </w:tcPr>
          <w:p w14:paraId="69415115">
            <w:pPr>
              <w:spacing w:after="0" w:line="276" w:lineRule="auto"/>
              <w:jc w:val="both"/>
              <w:rPr>
                <w:rFonts w:ascii="Times New Roman" w:hAnsi="Times New Roman" w:cs="Times New Roman"/>
                <w:sz w:val="20"/>
                <w:szCs w:val="20"/>
              </w:rPr>
            </w:pPr>
            <w:r>
              <w:rPr>
                <w:rFonts w:ascii="Times New Roman" w:hAnsi="Times New Roman" w:cs="Times New Roman"/>
                <w:sz w:val="20"/>
                <w:szCs w:val="20"/>
              </w:rPr>
              <w:t>Erodes perceived service-tier gaps; increases risk of “premium without proof” perceptions (Mason and Morrison, 2008)</w:t>
            </w:r>
          </w:p>
        </w:tc>
      </w:tr>
    </w:tbl>
    <w:p w14:paraId="1E36CE3D">
      <w:pPr>
        <w:spacing w:after="0" w:line="480" w:lineRule="auto"/>
        <w:jc w:val="both"/>
        <w:rPr>
          <w:rFonts w:ascii="Times New Roman" w:hAnsi="Times New Roman" w:cs="Times New Roman"/>
          <w:sz w:val="24"/>
          <w:szCs w:val="24"/>
        </w:rPr>
      </w:pPr>
    </w:p>
    <w:p w14:paraId="3792C23E">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Consumer scepticism about sustainability claims is the most significant change agent in the context of British Airways' marketing, as it renders environmental narratives less effective in differentiating the brand in the absence of quantifiable evidence (Lyon and Montgomery, 2015; Nyilasy, Gangadharbatla, and Paladino, 2014). The response of British Airways to being more cautious in its sustainability communication lowers reputational risk but also undermines its capability to leverage sustainability as a differentiating pillar, thereby constraining its strategic marketing effect rather than enhancing it.</w:t>
      </w:r>
    </w:p>
    <w:p w14:paraId="14329453">
      <w:pPr>
        <w:spacing w:after="0" w:line="480" w:lineRule="auto"/>
        <w:jc w:val="both"/>
        <w:rPr>
          <w:rFonts w:ascii="Times New Roman" w:hAnsi="Times New Roman" w:cs="Times New Roman"/>
          <w:sz w:val="24"/>
          <w:szCs w:val="24"/>
        </w:rPr>
      </w:pPr>
    </w:p>
    <w:p w14:paraId="7370F8C9">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Strategy is also limited further at the micro level by competitive rivalry. British Airways is in a battle with legacy airlines as well as low-cost airlines that are growing stronger and increasingly capable of competing with their larger rivals, putting pressure on the airline to prove that it is worth its premium positioning in a high price transparency environment (Porter, 1980). The fact that customers are both demanding in terms of values and service quality creates tension, as marketing needs to defend the meaning of premium while existing in a market where easy switching and disruption stories spread rapidly on the internet (Lemon and Verhoef, 2016). It implies that the marketing effectiveness of British Airways relies less on the sophistication of the messages and more on being strategically oriented and uniform in all touch point-related issues, which directly affect Segmentation, Targeting, Positioning (STP) decisions, as discussed in the in the next section.</w:t>
      </w:r>
    </w:p>
    <w:p w14:paraId="50051F8B">
      <w:pPr>
        <w:pStyle w:val="3"/>
        <w:jc w:val="both"/>
      </w:pPr>
      <w:bookmarkStart w:id="6" w:name="_Toc218185628"/>
      <w:r>
        <w:t>2.3 Segmentation, Targeting, Positioning and Marketing Mix Effectiveness</w:t>
      </w:r>
      <w:bookmarkEnd w:id="6"/>
    </w:p>
    <w:p w14:paraId="6F980051">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STP decisions define the prioritisation of scarce resources in competitive markets and credibility in making value propositions (Wedel and Kamakura, 2012). STP is challenging in the airline industry, as travellers differ in their readiness to pay, risk tolerance, and service expectations. Furthermore, competition convergence will decrease the distinctiveness of differentiation by segment (IATA, 2023). The STP strategy of British Airways thus affects the future of its marketing, as it seeks to retain the premium brand significance or risk being diluted in the incongruent segments. The main target market of British Airways comprises of the premium and frequent passenger- especially business and high value long-haul customers, segmented on basis of behavioural and value based segmentation parameters including the frequency of travel, the type of fare class used, and members of the loyalty scheme as such category of passengers do not consider price as a parameter that would sway their choices rather than reliability, network connectivity, and service quality.</w:t>
      </w:r>
    </w:p>
    <w:p w14:paraId="3551280D">
      <w:pPr>
        <w:pStyle w:val="11"/>
        <w:keepNext/>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Table </w:t>
      </w:r>
      <w:r>
        <w:rPr>
          <w:rFonts w:ascii="Times New Roman" w:hAnsi="Times New Roman" w:cs="Times New Roman"/>
          <w:color w:val="auto"/>
          <w:sz w:val="24"/>
          <w:szCs w:val="24"/>
        </w:rPr>
        <w:fldChar w:fldCharType="begin"/>
      </w:r>
      <w:r>
        <w:rPr>
          <w:rFonts w:ascii="Times New Roman" w:hAnsi="Times New Roman" w:cs="Times New Roman"/>
          <w:color w:val="auto"/>
          <w:sz w:val="24"/>
          <w:szCs w:val="24"/>
        </w:rPr>
        <w:instrText xml:space="preserve"> SEQ Table \* ARABIC </w:instrText>
      </w:r>
      <w:r>
        <w:rPr>
          <w:rFonts w:ascii="Times New Roman" w:hAnsi="Times New Roman" w:cs="Times New Roman"/>
          <w:color w:val="auto"/>
          <w:sz w:val="24"/>
          <w:szCs w:val="24"/>
        </w:rPr>
        <w:fldChar w:fldCharType="separate"/>
      </w:r>
      <w:r>
        <w:rPr>
          <w:rFonts w:ascii="Times New Roman" w:hAnsi="Times New Roman" w:cs="Times New Roman"/>
          <w:color w:val="auto"/>
          <w:sz w:val="24"/>
          <w:szCs w:val="24"/>
        </w:rPr>
        <w:t>2</w:t>
      </w:r>
      <w:r>
        <w:rPr>
          <w:rFonts w:ascii="Times New Roman" w:hAnsi="Times New Roman" w:cs="Times New Roman"/>
          <w:color w:val="auto"/>
          <w:sz w:val="24"/>
          <w:szCs w:val="24"/>
        </w:rPr>
        <w:fldChar w:fldCharType="end"/>
      </w:r>
      <w:r>
        <w:rPr>
          <w:rFonts w:ascii="Times New Roman" w:hAnsi="Times New Roman" w:cs="Times New Roman"/>
          <w:color w:val="auto"/>
          <w:sz w:val="24"/>
          <w:szCs w:val="24"/>
        </w:rPr>
        <w:t>:British Airways STP Effectiveness Evaluation Matrix</w:t>
      </w:r>
    </w:p>
    <w:tbl>
      <w:tblPr>
        <w:tblStyle w:val="49"/>
        <w:tblW w:w="0" w:type="auto"/>
        <w:tblInd w:w="0" w:type="dxa"/>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Layout w:type="autofit"/>
        <w:tblCellMar>
          <w:top w:w="0" w:type="dxa"/>
          <w:left w:w="108" w:type="dxa"/>
          <w:bottom w:w="0" w:type="dxa"/>
          <w:right w:w="108" w:type="dxa"/>
        </w:tblCellMar>
      </w:tblPr>
      <w:tblGrid>
        <w:gridCol w:w="2337"/>
        <w:gridCol w:w="2337"/>
        <w:gridCol w:w="2338"/>
        <w:gridCol w:w="2338"/>
      </w:tblGrid>
      <w:tr w14:paraId="24E54746">
        <w:tc>
          <w:tcPr>
            <w:tcW w:w="2337" w:type="dxa"/>
            <w:tcBorders>
              <w:bottom w:val="single" w:color="666666" w:themeColor="text1" w:themeTint="99" w:sz="12" w:space="0"/>
              <w:insideH w:val="single" w:sz="12" w:space="0"/>
            </w:tcBorders>
          </w:tcPr>
          <w:p w14:paraId="057A41AF">
            <w:pPr>
              <w:spacing w:after="0" w:line="360" w:lineRule="auto"/>
              <w:jc w:val="both"/>
              <w:rPr>
                <w:rFonts w:ascii="Times New Roman" w:hAnsi="Times New Roman" w:cs="Times New Roman"/>
                <w:b w:val="0"/>
                <w:bCs w:val="0"/>
                <w:color w:val="000000" w:themeColor="text1"/>
                <w:sz w:val="20"/>
                <w:szCs w:val="20"/>
                <w14:textFill>
                  <w14:solidFill>
                    <w14:schemeClr w14:val="tx1"/>
                  </w14:solidFill>
                </w14:textFill>
              </w:rPr>
            </w:pPr>
            <w:r>
              <w:rPr>
                <w:rFonts w:ascii="Times New Roman" w:hAnsi="Times New Roman" w:cs="Times New Roman"/>
                <w:b/>
                <w:bCs/>
                <w:color w:val="000000" w:themeColor="text1"/>
                <w:sz w:val="20"/>
                <w:szCs w:val="20"/>
                <w14:textFill>
                  <w14:solidFill>
                    <w14:schemeClr w14:val="tx1"/>
                  </w14:solidFill>
                </w14:textFill>
              </w:rPr>
              <w:t>STP element</w:t>
            </w:r>
          </w:p>
        </w:tc>
        <w:tc>
          <w:tcPr>
            <w:tcW w:w="2337" w:type="dxa"/>
            <w:tcBorders>
              <w:bottom w:val="single" w:color="666666" w:themeColor="text1" w:themeTint="99" w:sz="12" w:space="0"/>
              <w:insideH w:val="single" w:sz="12" w:space="0"/>
            </w:tcBorders>
          </w:tcPr>
          <w:p w14:paraId="3E368A93">
            <w:pPr>
              <w:spacing w:after="0" w:line="360" w:lineRule="auto"/>
              <w:jc w:val="both"/>
              <w:rPr>
                <w:rFonts w:ascii="Times New Roman" w:hAnsi="Times New Roman" w:cs="Times New Roman"/>
                <w:b w:val="0"/>
                <w:bCs w:val="0"/>
                <w:color w:val="000000" w:themeColor="text1"/>
                <w:sz w:val="20"/>
                <w:szCs w:val="20"/>
                <w14:textFill>
                  <w14:solidFill>
                    <w14:schemeClr w14:val="tx1"/>
                  </w14:solidFill>
                </w14:textFill>
              </w:rPr>
            </w:pPr>
            <w:r>
              <w:rPr>
                <w:rFonts w:ascii="Times New Roman" w:hAnsi="Times New Roman" w:cs="Times New Roman"/>
                <w:b/>
                <w:bCs/>
                <w:color w:val="000000" w:themeColor="text1"/>
                <w:sz w:val="20"/>
                <w:szCs w:val="20"/>
                <w14:textFill>
                  <w14:solidFill>
                    <w14:schemeClr w14:val="tx1"/>
                  </w14:solidFill>
                </w14:textFill>
              </w:rPr>
              <w:t>What BA appears to do</w:t>
            </w:r>
          </w:p>
        </w:tc>
        <w:tc>
          <w:tcPr>
            <w:tcW w:w="2338" w:type="dxa"/>
            <w:tcBorders>
              <w:bottom w:val="single" w:color="666666" w:themeColor="text1" w:themeTint="99" w:sz="12" w:space="0"/>
              <w:insideH w:val="single" w:sz="12" w:space="0"/>
            </w:tcBorders>
          </w:tcPr>
          <w:p w14:paraId="4D6F057D">
            <w:pPr>
              <w:spacing w:after="0" w:line="360" w:lineRule="auto"/>
              <w:jc w:val="both"/>
              <w:rPr>
                <w:rFonts w:ascii="Times New Roman" w:hAnsi="Times New Roman" w:cs="Times New Roman"/>
                <w:b w:val="0"/>
                <w:bCs w:val="0"/>
                <w:color w:val="000000" w:themeColor="text1"/>
                <w:sz w:val="20"/>
                <w:szCs w:val="20"/>
                <w14:textFill>
                  <w14:solidFill>
                    <w14:schemeClr w14:val="tx1"/>
                  </w14:solidFill>
                </w14:textFill>
              </w:rPr>
            </w:pPr>
            <w:r>
              <w:rPr>
                <w:rFonts w:ascii="Times New Roman" w:hAnsi="Times New Roman" w:cs="Times New Roman"/>
                <w:b/>
                <w:bCs/>
                <w:color w:val="000000" w:themeColor="text1"/>
                <w:sz w:val="20"/>
                <w:szCs w:val="20"/>
                <w14:textFill>
                  <w14:solidFill>
                    <w14:schemeClr w14:val="tx1"/>
                  </w14:solidFill>
                </w14:textFill>
              </w:rPr>
              <w:t>Effectiveness (critical evaluation)</w:t>
            </w:r>
          </w:p>
        </w:tc>
        <w:tc>
          <w:tcPr>
            <w:tcW w:w="2338" w:type="dxa"/>
            <w:tcBorders>
              <w:bottom w:val="single" w:color="666666" w:themeColor="text1" w:themeTint="99" w:sz="12" w:space="0"/>
              <w:insideH w:val="single" w:sz="12" w:space="0"/>
            </w:tcBorders>
          </w:tcPr>
          <w:p w14:paraId="37326F51">
            <w:pPr>
              <w:spacing w:after="0" w:line="360" w:lineRule="auto"/>
              <w:jc w:val="both"/>
              <w:rPr>
                <w:rFonts w:ascii="Times New Roman" w:hAnsi="Times New Roman" w:cs="Times New Roman"/>
                <w:b w:val="0"/>
                <w:bCs w:val="0"/>
                <w:color w:val="000000" w:themeColor="text1"/>
                <w:sz w:val="20"/>
                <w:szCs w:val="20"/>
                <w14:textFill>
                  <w14:solidFill>
                    <w14:schemeClr w14:val="tx1"/>
                  </w14:solidFill>
                </w14:textFill>
              </w:rPr>
            </w:pPr>
            <w:r>
              <w:rPr>
                <w:rFonts w:ascii="Times New Roman" w:hAnsi="Times New Roman" w:cs="Times New Roman"/>
                <w:b/>
                <w:bCs/>
                <w:color w:val="000000" w:themeColor="text1"/>
                <w:sz w:val="20"/>
                <w:szCs w:val="20"/>
                <w14:textFill>
                  <w14:solidFill>
                    <w14:schemeClr w14:val="tx1"/>
                  </w14:solidFill>
                </w14:textFill>
              </w:rPr>
              <w:t>Key weakness/risk</w:t>
            </w:r>
          </w:p>
        </w:tc>
      </w:tr>
      <w:tr w14:paraId="4EE1D72F">
        <w:tc>
          <w:tcPr>
            <w:tcW w:w="2337" w:type="dxa"/>
            <w:shd w:val="clear" w:color="auto" w:fill="CCCCCC" w:themeFill="text1" w:themeFillTint="33"/>
          </w:tcPr>
          <w:p w14:paraId="0AEC21E6">
            <w:pPr>
              <w:spacing w:after="0" w:line="360" w:lineRule="auto"/>
              <w:jc w:val="both"/>
              <w:rPr>
                <w:rFonts w:ascii="Times New Roman" w:hAnsi="Times New Roman" w:cs="Times New Roman"/>
                <w:b w:val="0"/>
                <w:bCs w:val="0"/>
                <w:color w:val="000000" w:themeColor="text1"/>
                <w:sz w:val="20"/>
                <w:szCs w:val="20"/>
                <w14:textFill>
                  <w14:solidFill>
                    <w14:schemeClr w14:val="tx1"/>
                  </w14:solidFill>
                </w14:textFill>
              </w:rPr>
            </w:pPr>
            <w:r>
              <w:rPr>
                <w:rFonts w:ascii="Times New Roman" w:hAnsi="Times New Roman" w:cs="Times New Roman"/>
                <w:b/>
                <w:bCs/>
                <w:color w:val="000000" w:themeColor="text1"/>
                <w:sz w:val="20"/>
                <w:szCs w:val="20"/>
                <w14:textFill>
                  <w14:solidFill>
                    <w14:schemeClr w14:val="tx1"/>
                  </w14:solidFill>
                </w14:textFill>
              </w:rPr>
              <w:t>Segmentation</w:t>
            </w:r>
          </w:p>
        </w:tc>
        <w:tc>
          <w:tcPr>
            <w:tcW w:w="2337" w:type="dxa"/>
            <w:shd w:val="clear" w:color="auto" w:fill="CCCCCC" w:themeFill="text1" w:themeFillTint="33"/>
          </w:tcPr>
          <w:p w14:paraId="1FDD2363">
            <w:pPr>
              <w:spacing w:after="0" w:line="360" w:lineRule="auto"/>
              <w:jc w:val="both"/>
              <w:rPr>
                <w:rFonts w:ascii="Times New Roman" w:hAnsi="Times New Roman" w:cs="Times New Roman"/>
                <w:color w:val="000000" w:themeColor="text1"/>
                <w:sz w:val="20"/>
                <w:szCs w:val="20"/>
                <w14:textFill>
                  <w14:solidFill>
                    <w14:schemeClr w14:val="tx1"/>
                  </w14:solidFill>
                </w14:textFill>
              </w:rPr>
            </w:pPr>
            <w:r>
              <w:rPr>
                <w:rFonts w:ascii="Times New Roman" w:hAnsi="Times New Roman" w:cs="Times New Roman"/>
                <w:color w:val="000000" w:themeColor="text1"/>
                <w:sz w:val="20"/>
                <w:szCs w:val="20"/>
                <w14:textFill>
                  <w14:solidFill>
                    <w14:schemeClr w14:val="tx1"/>
                  </w14:solidFill>
                </w14:textFill>
              </w:rPr>
              <w:t>Broad segmentation across premium business, long-haul leisure, and short-haul price-sensitive travellers (Dolnicar, 2019)</w:t>
            </w:r>
          </w:p>
        </w:tc>
        <w:tc>
          <w:tcPr>
            <w:tcW w:w="2338" w:type="dxa"/>
            <w:shd w:val="clear" w:color="auto" w:fill="CCCCCC" w:themeFill="text1" w:themeFillTint="33"/>
          </w:tcPr>
          <w:p w14:paraId="01A3549A">
            <w:pPr>
              <w:spacing w:after="0" w:line="360" w:lineRule="auto"/>
              <w:jc w:val="both"/>
              <w:rPr>
                <w:rFonts w:ascii="Times New Roman" w:hAnsi="Times New Roman" w:cs="Times New Roman"/>
                <w:color w:val="000000" w:themeColor="text1"/>
                <w:sz w:val="20"/>
                <w:szCs w:val="20"/>
                <w14:textFill>
                  <w14:solidFill>
                    <w14:schemeClr w14:val="tx1"/>
                  </w14:solidFill>
                </w14:textFill>
              </w:rPr>
            </w:pPr>
            <w:r>
              <w:rPr>
                <w:rFonts w:ascii="Times New Roman" w:hAnsi="Times New Roman" w:cs="Times New Roman"/>
                <w:color w:val="000000" w:themeColor="text1"/>
                <w:sz w:val="20"/>
                <w:szCs w:val="20"/>
                <w14:textFill>
                  <w14:solidFill>
                    <w14:schemeClr w14:val="tx1"/>
                  </w14:solidFill>
                </w14:textFill>
              </w:rPr>
              <w:t>Provides coverage and flexibility, but breadth increases strategic diffusion when market differentiation is narrowing (Wedel and Kamakura, 2012)</w:t>
            </w:r>
          </w:p>
        </w:tc>
        <w:tc>
          <w:tcPr>
            <w:tcW w:w="2338" w:type="dxa"/>
            <w:shd w:val="clear" w:color="auto" w:fill="CCCCCC" w:themeFill="text1" w:themeFillTint="33"/>
          </w:tcPr>
          <w:p w14:paraId="71F13DEE">
            <w:pPr>
              <w:spacing w:after="0" w:line="360" w:lineRule="auto"/>
              <w:jc w:val="both"/>
              <w:rPr>
                <w:rFonts w:ascii="Times New Roman" w:hAnsi="Times New Roman" w:cs="Times New Roman"/>
                <w:color w:val="000000" w:themeColor="text1"/>
                <w:sz w:val="20"/>
                <w:szCs w:val="20"/>
                <w14:textFill>
                  <w14:solidFill>
                    <w14:schemeClr w14:val="tx1"/>
                  </w14:solidFill>
                </w14:textFill>
              </w:rPr>
            </w:pPr>
            <w:r>
              <w:rPr>
                <w:rFonts w:ascii="Times New Roman" w:hAnsi="Times New Roman" w:cs="Times New Roman"/>
                <w:color w:val="000000" w:themeColor="text1"/>
                <w:sz w:val="20"/>
                <w:szCs w:val="20"/>
                <w14:textFill>
                  <w14:solidFill>
                    <w14:schemeClr w14:val="tx1"/>
                  </w14:solidFill>
                </w14:textFill>
              </w:rPr>
              <w:t>Resource dilution; harder to deliver a consistent premium meaning across diverse needs</w:t>
            </w:r>
          </w:p>
        </w:tc>
      </w:tr>
      <w:tr w14:paraId="0AF478B1">
        <w:tc>
          <w:tcPr>
            <w:tcW w:w="2337" w:type="dxa"/>
          </w:tcPr>
          <w:p w14:paraId="490917E4">
            <w:pPr>
              <w:spacing w:after="0" w:line="360" w:lineRule="auto"/>
              <w:jc w:val="both"/>
              <w:rPr>
                <w:rFonts w:ascii="Times New Roman" w:hAnsi="Times New Roman" w:cs="Times New Roman"/>
                <w:b w:val="0"/>
                <w:bCs w:val="0"/>
                <w:color w:val="000000" w:themeColor="text1"/>
                <w:sz w:val="20"/>
                <w:szCs w:val="20"/>
                <w14:textFill>
                  <w14:solidFill>
                    <w14:schemeClr w14:val="tx1"/>
                  </w14:solidFill>
                </w14:textFill>
              </w:rPr>
            </w:pPr>
            <w:r>
              <w:rPr>
                <w:rFonts w:ascii="Times New Roman" w:hAnsi="Times New Roman" w:cs="Times New Roman"/>
                <w:b/>
                <w:bCs/>
                <w:color w:val="000000" w:themeColor="text1"/>
                <w:sz w:val="20"/>
                <w:szCs w:val="20"/>
                <w14:textFill>
                  <w14:solidFill>
                    <w14:schemeClr w14:val="tx1"/>
                  </w14:solidFill>
                </w14:textFill>
              </w:rPr>
              <w:t>Targeting</w:t>
            </w:r>
          </w:p>
        </w:tc>
        <w:tc>
          <w:tcPr>
            <w:tcW w:w="2337" w:type="dxa"/>
          </w:tcPr>
          <w:p w14:paraId="7CE65C4B">
            <w:pPr>
              <w:spacing w:after="0" w:line="360" w:lineRule="auto"/>
              <w:jc w:val="both"/>
              <w:rPr>
                <w:rFonts w:ascii="Times New Roman" w:hAnsi="Times New Roman" w:cs="Times New Roman"/>
                <w:color w:val="000000" w:themeColor="text1"/>
                <w:sz w:val="20"/>
                <w:szCs w:val="20"/>
                <w14:textFill>
                  <w14:solidFill>
                    <w14:schemeClr w14:val="tx1"/>
                  </w14:solidFill>
                </w14:textFill>
              </w:rPr>
            </w:pPr>
            <w:r>
              <w:rPr>
                <w:rFonts w:ascii="Times New Roman" w:hAnsi="Times New Roman" w:cs="Times New Roman"/>
                <w:color w:val="000000" w:themeColor="text1"/>
                <w:sz w:val="20"/>
                <w:szCs w:val="20"/>
                <w14:textFill>
                  <w14:solidFill>
                    <w14:schemeClr w14:val="tx1"/>
                  </w14:solidFill>
                </w14:textFill>
              </w:rPr>
              <w:t>Primary focus on premium and frequent travellers via loyalty programmes, corporate travel accounts, and service-led positioning</w:t>
            </w:r>
          </w:p>
        </w:tc>
        <w:tc>
          <w:tcPr>
            <w:tcW w:w="2338" w:type="dxa"/>
          </w:tcPr>
          <w:p w14:paraId="2C6F9A9D">
            <w:pPr>
              <w:spacing w:after="0" w:line="360" w:lineRule="auto"/>
              <w:jc w:val="both"/>
              <w:rPr>
                <w:rFonts w:ascii="Times New Roman" w:hAnsi="Times New Roman" w:cs="Times New Roman"/>
                <w:color w:val="000000" w:themeColor="text1"/>
                <w:sz w:val="20"/>
                <w:szCs w:val="20"/>
                <w14:textFill>
                  <w14:solidFill>
                    <w14:schemeClr w14:val="tx1"/>
                  </w14:solidFill>
                </w14:textFill>
              </w:rPr>
            </w:pPr>
            <w:r>
              <w:rPr>
                <w:rFonts w:ascii="Times New Roman" w:hAnsi="Times New Roman" w:cs="Times New Roman"/>
                <w:color w:val="000000" w:themeColor="text1"/>
                <w:sz w:val="20"/>
                <w:szCs w:val="20"/>
                <w14:textFill>
                  <w14:solidFill>
                    <w14:schemeClr w14:val="tx1"/>
                  </w14:solidFill>
                </w14:textFill>
              </w:rPr>
              <w:t>Supports profitability when delivery is consistent and credible (Keller, 1993)</w:t>
            </w:r>
          </w:p>
        </w:tc>
        <w:tc>
          <w:tcPr>
            <w:tcW w:w="2338" w:type="dxa"/>
          </w:tcPr>
          <w:p w14:paraId="508B4C21">
            <w:pPr>
              <w:spacing w:after="0" w:line="360" w:lineRule="auto"/>
              <w:jc w:val="both"/>
              <w:rPr>
                <w:rFonts w:ascii="Times New Roman" w:hAnsi="Times New Roman" w:cs="Times New Roman"/>
                <w:color w:val="000000" w:themeColor="text1"/>
                <w:sz w:val="20"/>
                <w:szCs w:val="20"/>
                <w14:textFill>
                  <w14:solidFill>
                    <w14:schemeClr w14:val="tx1"/>
                  </w14:solidFill>
                </w14:textFill>
              </w:rPr>
            </w:pPr>
            <w:r>
              <w:rPr>
                <w:rFonts w:ascii="Times New Roman" w:hAnsi="Times New Roman" w:cs="Times New Roman"/>
                <w:color w:val="000000" w:themeColor="text1"/>
                <w:sz w:val="20"/>
                <w:szCs w:val="20"/>
                <w14:textFill>
                  <w14:solidFill>
                    <w14:schemeClr w14:val="tx1"/>
                  </w14:solidFill>
                </w14:textFill>
              </w:rPr>
              <w:t>Competitive convergence increases price sensitivity; premium targeting is fragile if service disruptions occur (Garrow et al., 2012)</w:t>
            </w:r>
          </w:p>
        </w:tc>
      </w:tr>
      <w:tr w14:paraId="05D89239">
        <w:tc>
          <w:tcPr>
            <w:tcW w:w="2337" w:type="dxa"/>
            <w:shd w:val="clear" w:color="auto" w:fill="CCCCCC" w:themeFill="text1" w:themeFillTint="33"/>
          </w:tcPr>
          <w:p w14:paraId="5FC6C496">
            <w:pPr>
              <w:spacing w:after="0" w:line="360" w:lineRule="auto"/>
              <w:jc w:val="both"/>
              <w:rPr>
                <w:rFonts w:ascii="Times New Roman" w:hAnsi="Times New Roman" w:cs="Times New Roman"/>
                <w:b w:val="0"/>
                <w:bCs w:val="0"/>
                <w:color w:val="000000" w:themeColor="text1"/>
                <w:sz w:val="20"/>
                <w:szCs w:val="20"/>
                <w14:textFill>
                  <w14:solidFill>
                    <w14:schemeClr w14:val="tx1"/>
                  </w14:solidFill>
                </w14:textFill>
              </w:rPr>
            </w:pPr>
            <w:r>
              <w:rPr>
                <w:rFonts w:ascii="Times New Roman" w:hAnsi="Times New Roman" w:cs="Times New Roman"/>
                <w:b/>
                <w:bCs/>
                <w:color w:val="000000" w:themeColor="text1"/>
                <w:sz w:val="20"/>
                <w:szCs w:val="20"/>
                <w14:textFill>
                  <w14:solidFill>
                    <w14:schemeClr w14:val="tx1"/>
                  </w14:solidFill>
                </w14:textFill>
              </w:rPr>
              <w:t>Positioning</w:t>
            </w:r>
          </w:p>
        </w:tc>
        <w:tc>
          <w:tcPr>
            <w:tcW w:w="2337" w:type="dxa"/>
            <w:shd w:val="clear" w:color="auto" w:fill="CCCCCC" w:themeFill="text1" w:themeFillTint="33"/>
          </w:tcPr>
          <w:p w14:paraId="6770A7B9">
            <w:pPr>
              <w:spacing w:after="0" w:line="360" w:lineRule="auto"/>
              <w:jc w:val="both"/>
              <w:rPr>
                <w:rFonts w:ascii="Times New Roman" w:hAnsi="Times New Roman" w:cs="Times New Roman"/>
                <w:color w:val="000000" w:themeColor="text1"/>
                <w:sz w:val="20"/>
                <w:szCs w:val="20"/>
                <w14:textFill>
                  <w14:solidFill>
                    <w14:schemeClr w14:val="tx1"/>
                  </w14:solidFill>
                </w14:textFill>
              </w:rPr>
            </w:pPr>
            <w:r>
              <w:rPr>
                <w:rFonts w:ascii="Times New Roman" w:hAnsi="Times New Roman" w:cs="Times New Roman"/>
                <w:color w:val="000000" w:themeColor="text1"/>
                <w:sz w:val="20"/>
                <w:szCs w:val="20"/>
                <w14:textFill>
                  <w14:solidFill>
                    <w14:schemeClr w14:val="tx1"/>
                  </w14:solidFill>
                </w14:textFill>
              </w:rPr>
              <w:t>“Premium, trustworthy, heritage-led” airline brand</w:t>
            </w:r>
          </w:p>
        </w:tc>
        <w:tc>
          <w:tcPr>
            <w:tcW w:w="2338" w:type="dxa"/>
            <w:shd w:val="clear" w:color="auto" w:fill="CCCCCC" w:themeFill="text1" w:themeFillTint="33"/>
          </w:tcPr>
          <w:p w14:paraId="67DF605C">
            <w:pPr>
              <w:spacing w:after="0" w:line="360" w:lineRule="auto"/>
              <w:jc w:val="both"/>
              <w:rPr>
                <w:rFonts w:ascii="Times New Roman" w:hAnsi="Times New Roman" w:cs="Times New Roman"/>
                <w:color w:val="000000" w:themeColor="text1"/>
                <w:sz w:val="20"/>
                <w:szCs w:val="20"/>
                <w14:textFill>
                  <w14:solidFill>
                    <w14:schemeClr w14:val="tx1"/>
                  </w14:solidFill>
                </w14:textFill>
              </w:rPr>
            </w:pPr>
            <w:r>
              <w:rPr>
                <w:rFonts w:ascii="Times New Roman" w:hAnsi="Times New Roman" w:cs="Times New Roman"/>
                <w:color w:val="000000" w:themeColor="text1"/>
                <w:sz w:val="20"/>
                <w:szCs w:val="20"/>
                <w14:textFill>
                  <w14:solidFill>
                    <w14:schemeClr w14:val="tx1"/>
                  </w14:solidFill>
                </w14:textFill>
              </w:rPr>
              <w:t>Recognisable positioning, but credibility depends on consistent experience delivery across digital and physical touchpoints (Ries and Trout, 1981)</w:t>
            </w:r>
          </w:p>
        </w:tc>
        <w:tc>
          <w:tcPr>
            <w:tcW w:w="2338" w:type="dxa"/>
            <w:shd w:val="clear" w:color="auto" w:fill="CCCCCC" w:themeFill="text1" w:themeFillTint="33"/>
          </w:tcPr>
          <w:p w14:paraId="7F80A8CC">
            <w:pPr>
              <w:spacing w:after="0" w:line="360" w:lineRule="auto"/>
              <w:jc w:val="both"/>
              <w:rPr>
                <w:rFonts w:ascii="Times New Roman" w:hAnsi="Times New Roman" w:cs="Times New Roman"/>
                <w:color w:val="000000" w:themeColor="text1"/>
                <w:sz w:val="20"/>
                <w:szCs w:val="20"/>
                <w14:textFill>
                  <w14:solidFill>
                    <w14:schemeClr w14:val="tx1"/>
                  </w14:solidFill>
                </w14:textFill>
              </w:rPr>
            </w:pPr>
            <w:r>
              <w:rPr>
                <w:rFonts w:ascii="Times New Roman" w:hAnsi="Times New Roman" w:cs="Times New Roman"/>
                <w:color w:val="000000" w:themeColor="text1"/>
                <w:sz w:val="20"/>
                <w:szCs w:val="20"/>
                <w14:textFill>
                  <w14:solidFill>
                    <w14:schemeClr w14:val="tx1"/>
                  </w14:solidFill>
                </w14:textFill>
              </w:rPr>
              <w:t>Reputational shocks and service failures can quickly erode brand meaning in transparent digital markets (Dawar and Pillutla, 2000)</w:t>
            </w:r>
          </w:p>
        </w:tc>
      </w:tr>
    </w:tbl>
    <w:p w14:paraId="606E4EC6">
      <w:pPr>
        <w:spacing w:after="0" w:line="480" w:lineRule="auto"/>
        <w:jc w:val="both"/>
        <w:rPr>
          <w:rFonts w:ascii="Times New Roman" w:hAnsi="Times New Roman" w:cs="Times New Roman"/>
          <w:sz w:val="24"/>
          <w:szCs w:val="24"/>
        </w:rPr>
      </w:pPr>
    </w:p>
    <w:p w14:paraId="02D0F95F">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In general, there is the presence of strategic intent and alignment with industry norms in the STP of British Airways. However, effectiveness is limited by three issues that are interconnected, namely: (1) breadth in terms of segmentation that spreads focus, (2) convergence in the intensity of competition that narrows the perceived service-tier gaps, and (3) dependence on credibility where positioning claims can only be convincing when operational performance reinforces them (Mason and Morrison, 2008; Dawar and Pillutla, 2000). As a result, STP will not be able to maintain a benefit without the marketing mix supporting the desired value proposition across the board, particularly in the context of high comparability and switching in the digital purchase context (Lemon and Verhoef, 2016).</w:t>
      </w:r>
    </w:p>
    <w:p w14:paraId="25FB5328">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please first clearly define the specific main channels/communication methods (provide supporting examples), and then demonstrate their suitability and effectiveness.</w:t>
      </w:r>
    </w:p>
    <w:p w14:paraId="35B1EE5D">
      <w:pPr>
        <w:pStyle w:val="3"/>
        <w:jc w:val="both"/>
      </w:pPr>
      <w:bookmarkStart w:id="7" w:name="_Toc218185629"/>
      <w:r>
        <w:t>2.4 Marketing Mix Strategy</w:t>
      </w:r>
      <w:bookmarkEnd w:id="7"/>
    </w:p>
    <w:p w14:paraId="0612458C">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The success of a marketing strategy ultimately depends on the ability of the marketing mix to convert strategic intent into coherent, market-facing actions. The marketing mix in service industries must be closely synchronised to provide uniform value, as customers do not perceive the services as separate components (Zeithaml, Bitner, and Gremler, 2020). In the case of British Airways, the marketing mix will strengthen the premium positioning and react to the high competition due to prices and increased customer scrutiny.</w:t>
      </w:r>
    </w:p>
    <w:p w14:paraId="0602C495">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In terms of communications and promotion, British Airways mainly uses owned digital platforms (its corporate site and mobile application), the communications of the loyalty programme (the Executive Club), corporate travel partnerships, and selected mass and digital advertisements. The service propositions, brand values and customised offers are communicated through digital channels, with the Executive Club serving as a relationship-marketing channel that enables the company to strengthen repeat purchase and customer lifetime value. Additionally, there are high-profile brand campaigns and sponsorship activities to provide indicators of heritage, trust, and quality of service. The channels are most suitable for premium and frequent travellers who are digitally active, brand-sensitive, and loyalty-based rewards (Lemon and Verhoef, 2016).</w:t>
      </w:r>
    </w:p>
    <w:p w14:paraId="333C4EDD">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British Airways has positioned service quality, a wide range of routes, and brand heritage as the key components of its value proposition in terms of the substance of its service offering. A study reveals that the perceived reliability and quality of services are significant factors contributing to satisfaction and loyalty in the airline sector (Chen and Tseng, 2010). Competitive convergence, however, has minimised the uniqueness of most service attributes commonly associated with full-service carriers (Mason and Morrison, 2008). This means that the usefulness of British Airways' service differentiation is limited, and puts more pressure on marketing to rationalise the higher perceptions without necessarily falling back on the obviously superior underlying products (Porter, 1980).</w:t>
      </w:r>
    </w:p>
    <w:p w14:paraId="2BAA39BF">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There are additional issues in the pricing strategy. British Airways utilises dynamic pricing frameworks that are influenced by trends in demand, seasonality, and competitive pricing indicators. Although the use of dynamic pricing is a standard in the industry, superb price transparency brought about by digital comparison platforms suppresses the signalling value of a premium price (Lemon and Verhoef, 2016). According to empirical evidence, in instances where customers believe there is little differentiation, premium pricing strategies are ineffective and may even contribute to the erosion of value perceptions in cases of inconsistent service delivery (Lovelock and Wirtz, 2016). This undermines how much the pricing can result in the desired positioning of British Airways.</w:t>
      </w:r>
    </w:p>
    <w:p w14:paraId="3C761679">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The choices about distribution are becoming increasingly digital, available on the airline's website, mobile applications, and third-party online travel firms. The access improves, and efficiency is enhanced. However, at the same time, there is a heightening of competition through the reduction of switching costs, alongside amplified comparability brought about by digital distribution (IATA, 2023). As a result, British Airways loses control over the manner in which its services are perceived, thereby limiting its ability to influence foundational value during the purchasing process through the marketing mix.</w:t>
      </w:r>
    </w:p>
    <w:p w14:paraId="194901BE">
      <w:pPr>
        <w:pStyle w:val="3"/>
        <w:jc w:val="both"/>
      </w:pPr>
      <w:bookmarkStart w:id="8" w:name="_Toc218185630"/>
      <w:r>
        <w:t>2.5 Communications Media Mix</w:t>
      </w:r>
      <w:bookmarkEnd w:id="8"/>
    </w:p>
    <w:p w14:paraId="20D48B13">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The communications media mix is crucial in translating marketing strategies into market visibility and customer engagement, especially within digitally mediated service sectors. According to the integrated marketing communications theory, the way in which messages are conveyed to the target audience in the different touchpoints is what determines effectiveness rather than the number of channels used (Kliatchko, 2008). In the case of British Airways, the communications media mix should support the premium positioning and must operate in a high-information-transparency and consumer-scepticism environment.</w:t>
      </w:r>
    </w:p>
    <w:p w14:paraId="14E82275">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British Airways employs a multi-channel communications strategy that encompasses owned digital platforms, social media, paid digital media, and traditional media. As a means of contact, digital channels have assumed centre-stage because of their reach, low cost, and capability to facilitate personalised interaction. Studies also show that digital and social media can be used to influence brand attitudes where there is a congruence between what customers expect and experience (Dwivedi et al., 2021). However, the greater use of digital media presents marketing communications with a higher level of scrutiny, as shoppers are able to match assertions with their own experiences and those of third parties.</w:t>
      </w:r>
    </w:p>
    <w:p w14:paraId="287EB214">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The competitive and reputational Environment of the airline industry limits the effectiveness of British Airways' communications strategy. Research indicates that the persuasiveness of promotional messages declines as perceived differentiation is low in a highly competitive service market (Porter, 1980). Additionally, sustainability communication research suggests that environmental messaging in the aviation sector is most susceptible to doubt, as such campaigning is less effective unless backed by clear evidence (Delmas and Burbano, 2011). This restricts the degree to which British Airways can depend on sustainability narratives as a fundamental communications theme.</w:t>
      </w:r>
    </w:p>
    <w:p w14:paraId="1F827F5C">
      <w:pPr>
        <w:pStyle w:val="3"/>
        <w:jc w:val="both"/>
      </w:pPr>
      <w:bookmarkStart w:id="9" w:name="_Toc218185631"/>
      <w:r>
        <w:t>2.6 Marketing Metrics and Control</w:t>
      </w:r>
      <w:bookmarkEnd w:id="9"/>
    </w:p>
    <w:p w14:paraId="6C5CBAF2">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The marketing metrics and control systems play a crucial role in determining whether marketing operations support organisational goals and are worth investing resources in. Marketing accountability literature highlights the fact that to have effective control, there must be a clear connection between strategic objectives, performance measures, and administrative decision-making (Ambler, 2008). The fact that the airline industry has thin margins and a highly competitive nature enhances the significance of demonstrating marketing effectiveness.</w:t>
      </w:r>
    </w:p>
    <w:p w14:paraId="3C7CBD8A">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British Airways uses various marketing-related metrics, which are oriented towards brand performance, customer interaction, participation in the loyalty programme, and revenue generation. In the industry, the literature indicates that airlines tend to use factors such as brand equity measurements, customer satisfaction ratings, digital interactions, and frequent flyer statistics to evaluate their marketing operations (IATA, 2023). The metrics provide a cost-efficient understanding of customer behaviour and brand perception to drive tactical optimisation of campaigns and channels.</w:t>
      </w:r>
    </w:p>
    <w:p w14:paraId="18803911">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Nonetheless, studies indicate that most organisations lay excessive emphasis on outputs that are easy to quantify instead of strategic results measures, which constrains the capacity of marketing metrics in influencing the process of making long-term decisions (Clark and Ambler, 2001). Here, the contribution of marketing to differentiation, loyalty, or reputational strength may not be well measured in terms of metrics such as click-through rates or short-term commitment. This is a challenge to British Airways, with as much consideration as brand credibility and trust in the customer, in maintaining premium positioning.</w:t>
      </w:r>
    </w:p>
    <w:p w14:paraId="0A1A042A">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The success of marketing control is also determined by the integration of metrics into the managerial processes. The balanced scorecard framework proposes that financial and non-financial measures are better integrated to support strategic positioning and learning in organisations (Kaplan and Norton, 1992). Although the customer and brand metrics of British Airways indicate balanced measurements, academic studies suggest that a low level of integration between marketing data and strategic decision-making may decrease the value of systems (Ambler, 2008).</w:t>
      </w:r>
    </w:p>
    <w:p w14:paraId="231E8192">
      <w:pPr>
        <w:pStyle w:val="2"/>
        <w:rPr>
          <w:rFonts w:cs="Times New Roman"/>
        </w:rPr>
      </w:pPr>
      <w:bookmarkStart w:id="10" w:name="_Toc218185632"/>
      <w:r>
        <w:rPr>
          <w:rFonts w:cs="Times New Roman"/>
        </w:rPr>
        <w:t>3. Task 2: Conclusion: Marketing Strengths and Shortcomings</w:t>
      </w:r>
      <w:bookmarkEnd w:id="10"/>
    </w:p>
    <w:p w14:paraId="645D8E5C">
      <w:pPr>
        <w:pStyle w:val="11"/>
        <w:keepNext/>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Table </w:t>
      </w:r>
      <w:r>
        <w:rPr>
          <w:rFonts w:ascii="Times New Roman" w:hAnsi="Times New Roman" w:cs="Times New Roman"/>
          <w:color w:val="auto"/>
          <w:sz w:val="24"/>
          <w:szCs w:val="24"/>
        </w:rPr>
        <w:fldChar w:fldCharType="begin"/>
      </w:r>
      <w:r>
        <w:rPr>
          <w:rFonts w:ascii="Times New Roman" w:hAnsi="Times New Roman" w:cs="Times New Roman"/>
          <w:color w:val="auto"/>
          <w:sz w:val="24"/>
          <w:szCs w:val="24"/>
        </w:rPr>
        <w:instrText xml:space="preserve"> SEQ Table \* ARABIC </w:instrText>
      </w:r>
      <w:r>
        <w:rPr>
          <w:rFonts w:ascii="Times New Roman" w:hAnsi="Times New Roman" w:cs="Times New Roman"/>
          <w:color w:val="auto"/>
          <w:sz w:val="24"/>
          <w:szCs w:val="24"/>
        </w:rPr>
        <w:fldChar w:fldCharType="separate"/>
      </w:r>
      <w:r>
        <w:rPr>
          <w:rFonts w:ascii="Times New Roman" w:hAnsi="Times New Roman" w:cs="Times New Roman"/>
          <w:color w:val="auto"/>
          <w:sz w:val="24"/>
          <w:szCs w:val="24"/>
        </w:rPr>
        <w:t>3</w:t>
      </w:r>
      <w:r>
        <w:rPr>
          <w:rFonts w:ascii="Times New Roman" w:hAnsi="Times New Roman" w:cs="Times New Roman"/>
          <w:color w:val="auto"/>
          <w:sz w:val="24"/>
          <w:szCs w:val="24"/>
        </w:rPr>
        <w:fldChar w:fldCharType="end"/>
      </w:r>
      <w:r>
        <w:rPr>
          <w:rFonts w:ascii="Times New Roman" w:hAnsi="Times New Roman" w:cs="Times New Roman"/>
          <w:color w:val="auto"/>
          <w:sz w:val="24"/>
          <w:szCs w:val="24"/>
        </w:rPr>
        <w:t>:Summary of Key Marketing Strengths and Shortcomings</w:t>
      </w:r>
    </w:p>
    <w:tbl>
      <w:tblPr>
        <w:tblStyle w:val="50"/>
        <w:tblW w:w="0" w:type="auto"/>
        <w:tblInd w:w="0" w:type="dxa"/>
        <w:tblBorders>
          <w:top w:val="single" w:color="A8D08D" w:themeColor="accent6" w:themeTint="99" w:sz="4" w:space="0"/>
          <w:left w:val="single" w:color="A8D08D" w:themeColor="accent6" w:themeTint="99" w:sz="4" w:space="0"/>
          <w:bottom w:val="single" w:color="A8D08D" w:themeColor="accent6" w:themeTint="99" w:sz="4" w:space="0"/>
          <w:right w:val="single" w:color="A8D08D" w:themeColor="accent6" w:themeTint="99" w:sz="4" w:space="0"/>
          <w:insideH w:val="single" w:color="A8D08D" w:themeColor="accent6" w:themeTint="99" w:sz="4" w:space="0"/>
          <w:insideV w:val="single" w:color="A8D08D" w:themeColor="accent6" w:themeTint="99" w:sz="4" w:space="0"/>
        </w:tblBorders>
        <w:tblLayout w:type="autofit"/>
        <w:tblCellMar>
          <w:top w:w="0" w:type="dxa"/>
          <w:left w:w="108" w:type="dxa"/>
          <w:bottom w:w="0" w:type="dxa"/>
          <w:right w:w="108" w:type="dxa"/>
        </w:tblCellMar>
      </w:tblPr>
      <w:tblGrid>
        <w:gridCol w:w="3116"/>
        <w:gridCol w:w="3117"/>
        <w:gridCol w:w="3117"/>
      </w:tblGrid>
      <w:tr w14:paraId="73B3BC44">
        <w:tc>
          <w:tcPr>
            <w:tcW w:w="3116" w:type="dxa"/>
            <w:tcBorders>
              <w:top w:val="single" w:color="70AD47" w:themeColor="accent6" w:sz="4" w:space="0"/>
              <w:left w:val="single" w:color="70AD47" w:themeColor="accent6" w:sz="4" w:space="0"/>
              <w:bottom w:val="single" w:color="70AD47" w:themeColor="accent6" w:sz="4" w:space="0"/>
              <w:right w:val="nil"/>
              <w:insideH w:val="single" w:sz="4" w:space="0"/>
              <w:insideV w:val="nil"/>
            </w:tcBorders>
            <w:shd w:val="clear" w:color="auto" w:fill="70AD47" w:themeFill="accent6"/>
          </w:tcPr>
          <w:p w14:paraId="742B54D5">
            <w:pPr>
              <w:spacing w:after="0" w:line="360" w:lineRule="auto"/>
              <w:jc w:val="both"/>
              <w:rPr>
                <w:rFonts w:ascii="Times New Roman" w:hAnsi="Times New Roman" w:cs="Times New Roman"/>
                <w:b w:val="0"/>
                <w:bCs w:val="0"/>
                <w:color w:val="FFFFFF" w:themeColor="background1"/>
                <w:sz w:val="20"/>
                <w:szCs w:val="20"/>
                <w14:textFill>
                  <w14:solidFill>
                    <w14:schemeClr w14:val="bg1"/>
                  </w14:solidFill>
                </w14:textFill>
              </w:rPr>
            </w:pPr>
            <w:r>
              <w:rPr>
                <w:rFonts w:ascii="Times New Roman" w:hAnsi="Times New Roman" w:cs="Times New Roman"/>
                <w:b/>
                <w:bCs/>
                <w:color w:val="FFFFFF" w:themeColor="background1"/>
                <w:sz w:val="20"/>
                <w:szCs w:val="20"/>
                <w14:textFill>
                  <w14:solidFill>
                    <w14:schemeClr w14:val="bg1"/>
                  </w14:solidFill>
                </w14:textFill>
              </w:rPr>
              <w:t>Area</w:t>
            </w:r>
          </w:p>
        </w:tc>
        <w:tc>
          <w:tcPr>
            <w:tcW w:w="3117" w:type="dxa"/>
            <w:tcBorders>
              <w:top w:val="single" w:color="70AD47" w:themeColor="accent6" w:sz="4" w:space="0"/>
              <w:bottom w:val="single" w:color="70AD47" w:themeColor="accent6" w:sz="4" w:space="0"/>
              <w:right w:val="nil"/>
              <w:insideH w:val="single" w:sz="4" w:space="0"/>
              <w:insideV w:val="nil"/>
            </w:tcBorders>
            <w:shd w:val="clear" w:color="auto" w:fill="70AD47" w:themeFill="accent6"/>
          </w:tcPr>
          <w:p w14:paraId="3D62616C">
            <w:pPr>
              <w:spacing w:after="0" w:line="360" w:lineRule="auto"/>
              <w:jc w:val="both"/>
              <w:rPr>
                <w:rFonts w:ascii="Times New Roman" w:hAnsi="Times New Roman" w:cs="Times New Roman"/>
                <w:b w:val="0"/>
                <w:bCs w:val="0"/>
                <w:color w:val="FFFFFF" w:themeColor="background1"/>
                <w:sz w:val="20"/>
                <w:szCs w:val="20"/>
                <w14:textFill>
                  <w14:solidFill>
                    <w14:schemeClr w14:val="bg1"/>
                  </w14:solidFill>
                </w14:textFill>
              </w:rPr>
            </w:pPr>
            <w:r>
              <w:rPr>
                <w:rFonts w:ascii="Times New Roman" w:hAnsi="Times New Roman" w:cs="Times New Roman"/>
                <w:b/>
                <w:bCs/>
                <w:color w:val="FFFFFF" w:themeColor="background1"/>
                <w:sz w:val="20"/>
                <w:szCs w:val="20"/>
                <w14:textFill>
                  <w14:solidFill>
                    <w14:schemeClr w14:val="bg1"/>
                  </w14:solidFill>
                </w14:textFill>
              </w:rPr>
              <w:t>Key Strengths</w:t>
            </w:r>
          </w:p>
        </w:tc>
        <w:tc>
          <w:tcPr>
            <w:tcW w:w="3117" w:type="dxa"/>
            <w:tcBorders>
              <w:top w:val="single" w:color="70AD47" w:themeColor="accent6" w:sz="4" w:space="0"/>
              <w:bottom w:val="single" w:color="70AD47" w:themeColor="accent6" w:sz="4" w:space="0"/>
              <w:right w:val="single" w:color="70AD47" w:themeColor="accent6" w:sz="4" w:space="0"/>
              <w:insideH w:val="single" w:sz="4" w:space="0"/>
              <w:insideV w:val="nil"/>
            </w:tcBorders>
            <w:shd w:val="clear" w:color="auto" w:fill="70AD47" w:themeFill="accent6"/>
          </w:tcPr>
          <w:p w14:paraId="02403166">
            <w:pPr>
              <w:spacing w:after="0" w:line="360" w:lineRule="auto"/>
              <w:jc w:val="both"/>
              <w:rPr>
                <w:rFonts w:ascii="Times New Roman" w:hAnsi="Times New Roman" w:cs="Times New Roman"/>
                <w:b w:val="0"/>
                <w:bCs w:val="0"/>
                <w:color w:val="FFFFFF" w:themeColor="background1"/>
                <w:sz w:val="20"/>
                <w:szCs w:val="20"/>
                <w14:textFill>
                  <w14:solidFill>
                    <w14:schemeClr w14:val="bg1"/>
                  </w14:solidFill>
                </w14:textFill>
              </w:rPr>
            </w:pPr>
            <w:r>
              <w:rPr>
                <w:rFonts w:ascii="Times New Roman" w:hAnsi="Times New Roman" w:cs="Times New Roman"/>
                <w:b/>
                <w:bCs/>
                <w:color w:val="FFFFFF" w:themeColor="background1"/>
                <w:sz w:val="20"/>
                <w:szCs w:val="20"/>
                <w14:textFill>
                  <w14:solidFill>
                    <w14:schemeClr w14:val="bg1"/>
                  </w14:solidFill>
                </w14:textFill>
              </w:rPr>
              <w:t>Key Shortcomings</w:t>
            </w:r>
          </w:p>
        </w:tc>
      </w:tr>
      <w:tr w14:paraId="4A6DA2DA">
        <w:tc>
          <w:tcPr>
            <w:tcW w:w="3116" w:type="dxa"/>
            <w:shd w:val="clear" w:color="auto" w:fill="E2EFD9" w:themeFill="accent6" w:themeFillTint="33"/>
          </w:tcPr>
          <w:p w14:paraId="514A6EF8">
            <w:pPr>
              <w:spacing w:after="0" w:line="360" w:lineRule="auto"/>
              <w:jc w:val="both"/>
              <w:rPr>
                <w:rFonts w:ascii="Times New Roman" w:hAnsi="Times New Roman" w:cs="Times New Roman"/>
                <w:b w:val="0"/>
                <w:bCs w:val="0"/>
                <w:sz w:val="20"/>
                <w:szCs w:val="20"/>
              </w:rPr>
            </w:pPr>
            <w:r>
              <w:rPr>
                <w:rFonts w:ascii="Times New Roman" w:hAnsi="Times New Roman" w:cs="Times New Roman"/>
                <w:b/>
                <w:bCs/>
                <w:sz w:val="20"/>
                <w:szCs w:val="20"/>
              </w:rPr>
              <w:t>Strategic role of marketing</w:t>
            </w:r>
          </w:p>
        </w:tc>
        <w:tc>
          <w:tcPr>
            <w:tcW w:w="3117" w:type="dxa"/>
            <w:shd w:val="clear" w:color="auto" w:fill="E2EFD9" w:themeFill="accent6" w:themeFillTint="33"/>
          </w:tcPr>
          <w:p w14:paraId="2F901103">
            <w:pPr>
              <w:spacing w:after="0" w:line="360" w:lineRule="auto"/>
              <w:jc w:val="both"/>
              <w:rPr>
                <w:rFonts w:ascii="Times New Roman" w:hAnsi="Times New Roman" w:cs="Times New Roman"/>
                <w:sz w:val="20"/>
                <w:szCs w:val="20"/>
              </w:rPr>
            </w:pPr>
            <w:r>
              <w:rPr>
                <w:rFonts w:ascii="Times New Roman" w:hAnsi="Times New Roman" w:cs="Times New Roman"/>
                <w:sz w:val="20"/>
                <w:szCs w:val="20"/>
              </w:rPr>
              <w:t>Marketing is recognised as a strategic function with significant resource investment.</w:t>
            </w:r>
          </w:p>
        </w:tc>
        <w:tc>
          <w:tcPr>
            <w:tcW w:w="3117" w:type="dxa"/>
            <w:shd w:val="clear" w:color="auto" w:fill="E2EFD9" w:themeFill="accent6" w:themeFillTint="33"/>
          </w:tcPr>
          <w:p w14:paraId="44E96FAA">
            <w:pPr>
              <w:spacing w:after="0" w:line="360" w:lineRule="auto"/>
              <w:jc w:val="both"/>
              <w:rPr>
                <w:rFonts w:ascii="Times New Roman" w:hAnsi="Times New Roman" w:cs="Times New Roman"/>
                <w:sz w:val="20"/>
                <w:szCs w:val="20"/>
              </w:rPr>
            </w:pPr>
            <w:r>
              <w:rPr>
                <w:rFonts w:ascii="Times New Roman" w:hAnsi="Times New Roman" w:cs="Times New Roman"/>
                <w:sz w:val="20"/>
                <w:szCs w:val="20"/>
              </w:rPr>
              <w:t>Strategic importance is not consistently translated into sustained competitive advantage.</w:t>
            </w:r>
          </w:p>
        </w:tc>
      </w:tr>
      <w:tr w14:paraId="2E19B01B">
        <w:tc>
          <w:tcPr>
            <w:tcW w:w="3116" w:type="dxa"/>
          </w:tcPr>
          <w:p w14:paraId="6B0D53B8">
            <w:pPr>
              <w:spacing w:after="0" w:line="360" w:lineRule="auto"/>
              <w:jc w:val="both"/>
              <w:rPr>
                <w:rFonts w:ascii="Times New Roman" w:hAnsi="Times New Roman" w:cs="Times New Roman"/>
                <w:b w:val="0"/>
                <w:bCs w:val="0"/>
                <w:sz w:val="20"/>
                <w:szCs w:val="20"/>
              </w:rPr>
            </w:pPr>
            <w:r>
              <w:rPr>
                <w:rFonts w:ascii="Times New Roman" w:hAnsi="Times New Roman" w:cs="Times New Roman"/>
                <w:b/>
                <w:bCs/>
                <w:sz w:val="20"/>
                <w:szCs w:val="20"/>
              </w:rPr>
              <w:t>External environment response</w:t>
            </w:r>
          </w:p>
        </w:tc>
        <w:tc>
          <w:tcPr>
            <w:tcW w:w="3117" w:type="dxa"/>
          </w:tcPr>
          <w:p w14:paraId="7951A177">
            <w:pPr>
              <w:spacing w:after="0" w:line="360" w:lineRule="auto"/>
              <w:jc w:val="both"/>
              <w:rPr>
                <w:rFonts w:ascii="Times New Roman" w:hAnsi="Times New Roman" w:cs="Times New Roman"/>
                <w:sz w:val="20"/>
                <w:szCs w:val="20"/>
              </w:rPr>
            </w:pPr>
            <w:r>
              <w:rPr>
                <w:rFonts w:ascii="Times New Roman" w:hAnsi="Times New Roman" w:cs="Times New Roman"/>
                <w:sz w:val="20"/>
                <w:szCs w:val="20"/>
              </w:rPr>
              <w:t>Cautious and compliant response to regulatory and reputational pressures</w:t>
            </w:r>
          </w:p>
        </w:tc>
        <w:tc>
          <w:tcPr>
            <w:tcW w:w="3117" w:type="dxa"/>
          </w:tcPr>
          <w:p w14:paraId="4BAC5A86">
            <w:pPr>
              <w:spacing w:after="0" w:line="360" w:lineRule="auto"/>
              <w:jc w:val="both"/>
              <w:rPr>
                <w:rFonts w:ascii="Times New Roman" w:hAnsi="Times New Roman" w:cs="Times New Roman"/>
                <w:sz w:val="20"/>
                <w:szCs w:val="20"/>
              </w:rPr>
            </w:pPr>
            <w:r>
              <w:rPr>
                <w:rFonts w:ascii="Times New Roman" w:hAnsi="Times New Roman" w:cs="Times New Roman"/>
                <w:sz w:val="20"/>
                <w:szCs w:val="20"/>
              </w:rPr>
              <w:t>Limited ability to differentiate marketing under environmental and sustainability scrutiny</w:t>
            </w:r>
          </w:p>
        </w:tc>
      </w:tr>
      <w:tr w14:paraId="40A4DB08">
        <w:tc>
          <w:tcPr>
            <w:tcW w:w="3116" w:type="dxa"/>
            <w:shd w:val="clear" w:color="auto" w:fill="E2EFD9" w:themeFill="accent6" w:themeFillTint="33"/>
          </w:tcPr>
          <w:p w14:paraId="2A85C517">
            <w:pPr>
              <w:spacing w:after="0" w:line="360" w:lineRule="auto"/>
              <w:jc w:val="both"/>
              <w:rPr>
                <w:rFonts w:ascii="Times New Roman" w:hAnsi="Times New Roman" w:cs="Times New Roman"/>
                <w:b w:val="0"/>
                <w:bCs w:val="0"/>
                <w:sz w:val="20"/>
                <w:szCs w:val="20"/>
              </w:rPr>
            </w:pPr>
            <w:r>
              <w:rPr>
                <w:rFonts w:ascii="Times New Roman" w:hAnsi="Times New Roman" w:cs="Times New Roman"/>
                <w:b/>
                <w:bCs/>
                <w:sz w:val="20"/>
                <w:szCs w:val="20"/>
              </w:rPr>
              <w:t>Segmentation, targeting &amp; positioning</w:t>
            </w:r>
          </w:p>
        </w:tc>
        <w:tc>
          <w:tcPr>
            <w:tcW w:w="3117" w:type="dxa"/>
            <w:shd w:val="clear" w:color="auto" w:fill="E2EFD9" w:themeFill="accent6" w:themeFillTint="33"/>
          </w:tcPr>
          <w:p w14:paraId="68E6CF8E">
            <w:pPr>
              <w:spacing w:after="0" w:line="360" w:lineRule="auto"/>
              <w:jc w:val="both"/>
              <w:rPr>
                <w:rFonts w:ascii="Times New Roman" w:hAnsi="Times New Roman" w:cs="Times New Roman"/>
                <w:sz w:val="20"/>
                <w:szCs w:val="20"/>
              </w:rPr>
            </w:pPr>
            <w:r>
              <w:rPr>
                <w:rFonts w:ascii="Times New Roman" w:hAnsi="Times New Roman" w:cs="Times New Roman"/>
                <w:sz w:val="20"/>
                <w:szCs w:val="20"/>
              </w:rPr>
              <w:t>Clear intent to maintain premium positioning and serve high-value segments</w:t>
            </w:r>
          </w:p>
        </w:tc>
        <w:tc>
          <w:tcPr>
            <w:tcW w:w="3117" w:type="dxa"/>
            <w:shd w:val="clear" w:color="auto" w:fill="E2EFD9" w:themeFill="accent6" w:themeFillTint="33"/>
          </w:tcPr>
          <w:p w14:paraId="79B5705F">
            <w:pPr>
              <w:spacing w:after="0" w:line="360" w:lineRule="auto"/>
              <w:jc w:val="both"/>
              <w:rPr>
                <w:rFonts w:ascii="Times New Roman" w:hAnsi="Times New Roman" w:cs="Times New Roman"/>
                <w:sz w:val="20"/>
                <w:szCs w:val="20"/>
              </w:rPr>
            </w:pPr>
            <w:r>
              <w:rPr>
                <w:rFonts w:ascii="Times New Roman" w:hAnsi="Times New Roman" w:cs="Times New Roman"/>
                <w:sz w:val="20"/>
                <w:szCs w:val="20"/>
              </w:rPr>
              <w:t>Broad targeting dilutes focus; positioning is vulnerable to competitive convergence and reputational risk</w:t>
            </w:r>
          </w:p>
        </w:tc>
      </w:tr>
      <w:tr w14:paraId="439CF638">
        <w:tc>
          <w:tcPr>
            <w:tcW w:w="3116" w:type="dxa"/>
          </w:tcPr>
          <w:p w14:paraId="0F7398C0">
            <w:pPr>
              <w:spacing w:after="0" w:line="360" w:lineRule="auto"/>
              <w:jc w:val="both"/>
              <w:rPr>
                <w:rFonts w:ascii="Times New Roman" w:hAnsi="Times New Roman" w:cs="Times New Roman"/>
                <w:b w:val="0"/>
                <w:bCs w:val="0"/>
                <w:sz w:val="20"/>
                <w:szCs w:val="20"/>
              </w:rPr>
            </w:pPr>
            <w:r>
              <w:rPr>
                <w:rFonts w:ascii="Times New Roman" w:hAnsi="Times New Roman" w:cs="Times New Roman"/>
                <w:b/>
                <w:bCs/>
                <w:sz w:val="20"/>
                <w:szCs w:val="20"/>
              </w:rPr>
              <w:t>Marketing mix execution</w:t>
            </w:r>
          </w:p>
        </w:tc>
        <w:tc>
          <w:tcPr>
            <w:tcW w:w="3117" w:type="dxa"/>
          </w:tcPr>
          <w:p w14:paraId="60B7C53B">
            <w:pPr>
              <w:spacing w:after="0" w:line="360" w:lineRule="auto"/>
              <w:jc w:val="both"/>
              <w:rPr>
                <w:rFonts w:ascii="Times New Roman" w:hAnsi="Times New Roman" w:cs="Times New Roman"/>
                <w:sz w:val="20"/>
                <w:szCs w:val="20"/>
              </w:rPr>
            </w:pPr>
            <w:r>
              <w:rPr>
                <w:rFonts w:ascii="Times New Roman" w:hAnsi="Times New Roman" w:cs="Times New Roman"/>
                <w:sz w:val="20"/>
                <w:szCs w:val="20"/>
              </w:rPr>
              <w:t>General alignment with premium strategy</w:t>
            </w:r>
          </w:p>
        </w:tc>
        <w:tc>
          <w:tcPr>
            <w:tcW w:w="3117" w:type="dxa"/>
          </w:tcPr>
          <w:p w14:paraId="05164D37">
            <w:pPr>
              <w:spacing w:after="0" w:line="360" w:lineRule="auto"/>
              <w:jc w:val="both"/>
              <w:rPr>
                <w:rFonts w:ascii="Times New Roman" w:hAnsi="Times New Roman" w:cs="Times New Roman"/>
                <w:sz w:val="20"/>
                <w:szCs w:val="20"/>
              </w:rPr>
            </w:pPr>
            <w:r>
              <w:rPr>
                <w:rFonts w:ascii="Times New Roman" w:hAnsi="Times New Roman" w:cs="Times New Roman"/>
                <w:sz w:val="20"/>
                <w:szCs w:val="20"/>
              </w:rPr>
              <w:t>Reduced effectiveness due to limited product differentiation, pricing transparency, and distribution constraints</w:t>
            </w:r>
          </w:p>
        </w:tc>
      </w:tr>
      <w:tr w14:paraId="078E9FE5">
        <w:tc>
          <w:tcPr>
            <w:tcW w:w="3116" w:type="dxa"/>
            <w:shd w:val="clear" w:color="auto" w:fill="E2EFD9" w:themeFill="accent6" w:themeFillTint="33"/>
          </w:tcPr>
          <w:p w14:paraId="779EA7DE">
            <w:pPr>
              <w:spacing w:after="0" w:line="360" w:lineRule="auto"/>
              <w:jc w:val="both"/>
              <w:rPr>
                <w:rFonts w:ascii="Times New Roman" w:hAnsi="Times New Roman" w:cs="Times New Roman"/>
                <w:b w:val="0"/>
                <w:bCs w:val="0"/>
                <w:sz w:val="20"/>
                <w:szCs w:val="20"/>
              </w:rPr>
            </w:pPr>
            <w:r>
              <w:rPr>
                <w:rFonts w:ascii="Times New Roman" w:hAnsi="Times New Roman" w:cs="Times New Roman"/>
                <w:b/>
                <w:bCs/>
                <w:sz w:val="20"/>
                <w:szCs w:val="20"/>
              </w:rPr>
              <w:t>Communications strategy</w:t>
            </w:r>
          </w:p>
        </w:tc>
        <w:tc>
          <w:tcPr>
            <w:tcW w:w="3117" w:type="dxa"/>
            <w:shd w:val="clear" w:color="auto" w:fill="E2EFD9" w:themeFill="accent6" w:themeFillTint="33"/>
          </w:tcPr>
          <w:p w14:paraId="1C9AF493">
            <w:pPr>
              <w:spacing w:after="0" w:line="360" w:lineRule="auto"/>
              <w:jc w:val="both"/>
              <w:rPr>
                <w:rFonts w:ascii="Times New Roman" w:hAnsi="Times New Roman" w:cs="Times New Roman"/>
                <w:sz w:val="20"/>
                <w:szCs w:val="20"/>
              </w:rPr>
            </w:pPr>
            <w:r>
              <w:rPr>
                <w:rFonts w:ascii="Times New Roman" w:hAnsi="Times New Roman" w:cs="Times New Roman"/>
                <w:sz w:val="20"/>
                <w:szCs w:val="20"/>
              </w:rPr>
              <w:t>Strong brand heritage and integrated digital presence</w:t>
            </w:r>
          </w:p>
        </w:tc>
        <w:tc>
          <w:tcPr>
            <w:tcW w:w="3117" w:type="dxa"/>
            <w:shd w:val="clear" w:color="auto" w:fill="E2EFD9" w:themeFill="accent6" w:themeFillTint="33"/>
          </w:tcPr>
          <w:p w14:paraId="7FA567DE">
            <w:pPr>
              <w:spacing w:after="0" w:line="360" w:lineRule="auto"/>
              <w:jc w:val="both"/>
              <w:rPr>
                <w:rFonts w:ascii="Times New Roman" w:hAnsi="Times New Roman" w:cs="Times New Roman"/>
                <w:sz w:val="20"/>
                <w:szCs w:val="20"/>
              </w:rPr>
            </w:pPr>
            <w:r>
              <w:rPr>
                <w:rFonts w:ascii="Times New Roman" w:hAnsi="Times New Roman" w:cs="Times New Roman"/>
                <w:sz w:val="20"/>
                <w:szCs w:val="20"/>
              </w:rPr>
              <w:t>Credibility fragile; communications weakened by service inconsistencies and consumer scepticism</w:t>
            </w:r>
          </w:p>
        </w:tc>
      </w:tr>
      <w:tr w14:paraId="0F98047D">
        <w:tc>
          <w:tcPr>
            <w:tcW w:w="3116" w:type="dxa"/>
          </w:tcPr>
          <w:p w14:paraId="0598CB91">
            <w:pPr>
              <w:spacing w:after="0" w:line="360" w:lineRule="auto"/>
              <w:jc w:val="both"/>
              <w:rPr>
                <w:rFonts w:ascii="Times New Roman" w:hAnsi="Times New Roman" w:cs="Times New Roman"/>
                <w:b w:val="0"/>
                <w:bCs w:val="0"/>
                <w:sz w:val="20"/>
                <w:szCs w:val="20"/>
              </w:rPr>
            </w:pPr>
            <w:r>
              <w:rPr>
                <w:rFonts w:ascii="Times New Roman" w:hAnsi="Times New Roman" w:cs="Times New Roman"/>
                <w:b/>
                <w:bCs/>
                <w:sz w:val="20"/>
                <w:szCs w:val="20"/>
              </w:rPr>
              <w:t>Marketing metrics &amp; control</w:t>
            </w:r>
          </w:p>
        </w:tc>
        <w:tc>
          <w:tcPr>
            <w:tcW w:w="3117" w:type="dxa"/>
          </w:tcPr>
          <w:p w14:paraId="51C63611">
            <w:pPr>
              <w:spacing w:after="0" w:line="360" w:lineRule="auto"/>
              <w:jc w:val="both"/>
              <w:rPr>
                <w:rFonts w:ascii="Times New Roman" w:hAnsi="Times New Roman" w:cs="Times New Roman"/>
                <w:sz w:val="20"/>
                <w:szCs w:val="20"/>
              </w:rPr>
            </w:pPr>
            <w:r>
              <w:rPr>
                <w:rFonts w:ascii="Times New Roman" w:hAnsi="Times New Roman" w:cs="Times New Roman"/>
                <w:sz w:val="20"/>
                <w:szCs w:val="20"/>
              </w:rPr>
              <w:t>Use of customer, brand, and engagement metrics</w:t>
            </w:r>
          </w:p>
        </w:tc>
        <w:tc>
          <w:tcPr>
            <w:tcW w:w="3117" w:type="dxa"/>
          </w:tcPr>
          <w:p w14:paraId="3C151373">
            <w:pPr>
              <w:spacing w:after="0" w:line="360" w:lineRule="auto"/>
              <w:jc w:val="both"/>
              <w:rPr>
                <w:rFonts w:ascii="Times New Roman" w:hAnsi="Times New Roman" w:cs="Times New Roman"/>
                <w:sz w:val="20"/>
                <w:szCs w:val="20"/>
              </w:rPr>
            </w:pPr>
            <w:r>
              <w:rPr>
                <w:rFonts w:ascii="Times New Roman" w:hAnsi="Times New Roman" w:cs="Times New Roman"/>
                <w:sz w:val="20"/>
                <w:szCs w:val="20"/>
              </w:rPr>
              <w:t>Overemphasis on short-term indicators; weak linkage to long-term strategic outcomes</w:t>
            </w:r>
          </w:p>
        </w:tc>
      </w:tr>
    </w:tbl>
    <w:p w14:paraId="55F0DD7D">
      <w:pPr>
        <w:spacing w:after="0" w:line="480" w:lineRule="auto"/>
        <w:jc w:val="both"/>
        <w:rPr>
          <w:rFonts w:ascii="Times New Roman" w:hAnsi="Times New Roman" w:cs="Times New Roman"/>
          <w:sz w:val="24"/>
          <w:szCs w:val="24"/>
        </w:rPr>
      </w:pPr>
    </w:p>
    <w:p w14:paraId="146DF973">
      <w:pPr>
        <w:pStyle w:val="3"/>
        <w:jc w:val="both"/>
      </w:pPr>
      <w:bookmarkStart w:id="11" w:name="_Toc218185633"/>
      <w:r>
        <w:t>3.1 Strategic Importance but Limited Strategic Impact</w:t>
      </w:r>
      <w:bookmarkEnd w:id="11"/>
    </w:p>
    <w:p w14:paraId="5A077FFA">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The analysis confirms that marketing is a strategically significant activity at British Airways, and it is supported by substantial organisational investment. The Task 1 experience, however, demonstrates that this significance has not always been transformed into a sustainable competitive advantage. Evidence indicates that it is not possible to generate benefit through marketing investment alone unless it is significantly coupled with implementation and quantifiable differentiation results (Barney, 1991; Morgan et al., 2019).</w:t>
      </w:r>
    </w:p>
    <w:p w14:paraId="6CC5736F">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The marketing action in British Airways is limited by the environmental factors and lack of differentiation in the service, and the marketing activity is in a more defensive position, which is centred on management of the reputation as opposed to actively creating value. This is indicative of larger reports that marketing within highly regulated and convergent patterns tends to serve as a source of legitimacy and risk management, rather than the perfection of strategy (Porter, 1980; Ambler, 2008).</w:t>
      </w:r>
    </w:p>
    <w:p w14:paraId="6DEA4C74">
      <w:pPr>
        <w:pStyle w:val="3"/>
        <w:jc w:val="both"/>
      </w:pPr>
      <w:bookmarkStart w:id="12" w:name="_Toc218185634"/>
      <w:r>
        <w:t>3.2 Constrained Differentiation in a Sceptical Environment</w:t>
      </w:r>
      <w:bookmarkEnd w:id="12"/>
    </w:p>
    <w:p w14:paraId="5083E3F8">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Task 1 demonstrated how increasing regulatory attention to sustainability claims and consumers becoming more sceptical of such claims are creating a significant limitation for businesses using environmental narratives as a differentiator. Although the reputational risk of British Airways is mitigated through its conservative strategy, academic literature suggests that this form of compliance-based communication paradoxically weakens differentiation by rendering sustainability a mere hygiene factor (Delmas and Burbano, 2011; Lyon and Montgomery, 2015).</w:t>
      </w:r>
    </w:p>
    <w:p w14:paraId="6ECD753C">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Consequently, the role of sustainability messaging in conserving credibility is higher than that of competitive advantage. This limits the strategic power of marketing by reducing the areas of persuasive position that could be made within a highly sceptical and very transparent market environment.</w:t>
      </w:r>
    </w:p>
    <w:p w14:paraId="5B177E53">
      <w:pPr>
        <w:pStyle w:val="3"/>
        <w:jc w:val="both"/>
      </w:pPr>
      <w:bookmarkStart w:id="13" w:name="_Toc218185635"/>
      <w:r>
        <w:t>3.3 Diluted Focus in Segmentation and Positioning</w:t>
      </w:r>
      <w:bookmarkEnd w:id="13"/>
    </w:p>
    <w:p w14:paraId="2F5615FD">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According to the STP analysis, British Airways has been found to use a wide range of segmentation for premium, leisure, and price-sensitive travellers. This creates market coverage, but it has been found that broad targeting in convergent markets dilutes strategic focus and clarity of positioning. Task 1 demonstrated that further enhancement of service comparability and price sensitivity is an additional factor that is detrimental to the efficacy of the premium positioning.</w:t>
      </w:r>
    </w:p>
    <w:p w14:paraId="14964A9A">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Furthermore, the credibility-based positioning subjects British Airways to reputational risk, where a single failure or inconsistency in services could easily erode brand meaning in digital markets (Dawar and Pillutla, 2000). Therefore, the use of segmentation and targeting decisions slows down the effectiveness of marketing as they divert resources to groups whose value expectations do not match.</w:t>
      </w:r>
    </w:p>
    <w:p w14:paraId="64B8B88E">
      <w:pPr>
        <w:pStyle w:val="3"/>
        <w:jc w:val="both"/>
      </w:pPr>
      <w:bookmarkStart w:id="14" w:name="_Toc218185636"/>
      <w:r>
        <w:t>3.4 Execution and Measurement Gaps</w:t>
      </w:r>
      <w:bookmarkEnd w:id="14"/>
    </w:p>
    <w:p w14:paraId="1D8D0BC9">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Although the marketing mix generally aligns with British Airways' premium strategy, Task 1 revealed constraints to its execution due to low product differentiation, lack of transparency in pricing, and limited control over the digital distribution environment. These changes do not help strengthen the roles of marketing in creating customer perceptions of value at critical decision bases (Lemon and Verhoef, 2016).</w:t>
      </w:r>
    </w:p>
    <w:p w14:paraId="4709DC96">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Additionally, marketing metrics tests demonstrate that effort is predominantly concentrated on short-term operational pointers and hence cannot provide an overview of long-term performance indicators, including trust, loyalty, and brand equity. According to academic literature, this type of measurement bias undermines the accountability of marketing and hinders strategic decision-making (Clark and Ambler, 2001; Kaplan and Norton, 1992). Consequently, the effectiveness of marketing as a strategy is limited by both the stages of execution and control processes, which prioritise efficiency over strategic learning.</w:t>
      </w:r>
    </w:p>
    <w:p w14:paraId="606033AB">
      <w:pPr>
        <w:pStyle w:val="2"/>
        <w:rPr>
          <w:rFonts w:cs="Times New Roman"/>
        </w:rPr>
      </w:pPr>
      <w:bookmarkStart w:id="15" w:name="_Toc218185637"/>
      <w:r>
        <w:rPr>
          <w:rFonts w:cs="Times New Roman"/>
        </w:rPr>
        <w:t>4. Task 3 – Recommendations: Improving the Marketing Strategy</w:t>
      </w:r>
      <w:bookmarkEnd w:id="15"/>
    </w:p>
    <w:p w14:paraId="65AB0468">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The recommendations below are based on the weaknesses identified in Task 2 and aim to enhance strategic focus, implementation, and management. In line with the logic of SOSTAC, the recommendations will focus on clarity of strategy, disciplined execution, and better evaluation. They will be attained within the current budgetary and organisational guidelines of British Airways, as the focus will be on reallocation and optimisation, rather than new investment.</w:t>
      </w:r>
    </w:p>
    <w:p w14:paraId="6CD4E916">
      <w:pPr>
        <w:pStyle w:val="11"/>
        <w:keepNext/>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Table </w:t>
      </w:r>
      <w:r>
        <w:rPr>
          <w:rFonts w:ascii="Times New Roman" w:hAnsi="Times New Roman" w:cs="Times New Roman"/>
          <w:color w:val="auto"/>
          <w:sz w:val="24"/>
          <w:szCs w:val="24"/>
        </w:rPr>
        <w:fldChar w:fldCharType="begin"/>
      </w:r>
      <w:r>
        <w:rPr>
          <w:rFonts w:ascii="Times New Roman" w:hAnsi="Times New Roman" w:cs="Times New Roman"/>
          <w:color w:val="auto"/>
          <w:sz w:val="24"/>
          <w:szCs w:val="24"/>
        </w:rPr>
        <w:instrText xml:space="preserve"> SEQ Table \* ARABIC </w:instrText>
      </w:r>
      <w:r>
        <w:rPr>
          <w:rFonts w:ascii="Times New Roman" w:hAnsi="Times New Roman" w:cs="Times New Roman"/>
          <w:color w:val="auto"/>
          <w:sz w:val="24"/>
          <w:szCs w:val="24"/>
        </w:rPr>
        <w:fldChar w:fldCharType="separate"/>
      </w:r>
      <w:r>
        <w:rPr>
          <w:rFonts w:ascii="Times New Roman" w:hAnsi="Times New Roman" w:cs="Times New Roman"/>
          <w:color w:val="auto"/>
          <w:sz w:val="24"/>
          <w:szCs w:val="24"/>
        </w:rPr>
        <w:t>4</w:t>
      </w:r>
      <w:r>
        <w:rPr>
          <w:rFonts w:ascii="Times New Roman" w:hAnsi="Times New Roman" w:cs="Times New Roman"/>
          <w:color w:val="auto"/>
          <w:sz w:val="24"/>
          <w:szCs w:val="24"/>
        </w:rPr>
        <w:fldChar w:fldCharType="end"/>
      </w:r>
      <w:r>
        <w:rPr>
          <w:rFonts w:ascii="Times New Roman" w:hAnsi="Times New Roman" w:cs="Times New Roman"/>
          <w:color w:val="auto"/>
          <w:sz w:val="24"/>
          <w:szCs w:val="24"/>
        </w:rPr>
        <w:t>:Recommendations Linked to Task 2 Findings and Feasibility</w:t>
      </w:r>
    </w:p>
    <w:tbl>
      <w:tblPr>
        <w:tblStyle w:val="54"/>
        <w:tblW w:w="0" w:type="auto"/>
        <w:tblInd w:w="0" w:type="dxa"/>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Layout w:type="autofit"/>
        <w:tblCellMar>
          <w:top w:w="0" w:type="dxa"/>
          <w:left w:w="108" w:type="dxa"/>
          <w:bottom w:w="0" w:type="dxa"/>
          <w:right w:w="108" w:type="dxa"/>
        </w:tblCellMar>
      </w:tblPr>
      <w:tblGrid>
        <w:gridCol w:w="2337"/>
        <w:gridCol w:w="2337"/>
        <w:gridCol w:w="2338"/>
        <w:gridCol w:w="2338"/>
      </w:tblGrid>
      <w:tr w14:paraId="3322D794">
        <w:tc>
          <w:tcPr>
            <w:tcW w:w="2337" w:type="dxa"/>
            <w:tcBorders>
              <w:top w:val="single" w:color="FFFFFF" w:themeColor="background1" w:sz="4" w:space="0"/>
              <w:left w:val="single" w:color="FFFFFF" w:themeColor="background1" w:sz="4" w:space="0"/>
              <w:right w:val="nil"/>
              <w:insideV w:val="nil"/>
            </w:tcBorders>
            <w:shd w:val="clear" w:color="auto" w:fill="ED7D31" w:themeFill="accent2"/>
          </w:tcPr>
          <w:p w14:paraId="3EFEF2FE">
            <w:pPr>
              <w:spacing w:after="0" w:line="360" w:lineRule="auto"/>
              <w:jc w:val="both"/>
              <w:rPr>
                <w:rFonts w:ascii="Times New Roman" w:hAnsi="Times New Roman" w:cs="Times New Roman"/>
                <w:b w:val="0"/>
                <w:bCs w:val="0"/>
                <w:color w:val="FFFFFF" w:themeColor="background1"/>
                <w:sz w:val="20"/>
                <w:szCs w:val="20"/>
                <w14:textFill>
                  <w14:solidFill>
                    <w14:schemeClr w14:val="bg1"/>
                  </w14:solidFill>
                </w14:textFill>
              </w:rPr>
            </w:pPr>
            <w:r>
              <w:rPr>
                <w:rFonts w:ascii="Times New Roman" w:hAnsi="Times New Roman" w:cs="Times New Roman"/>
                <w:b/>
                <w:bCs/>
                <w:color w:val="FFFFFF" w:themeColor="background1"/>
                <w:sz w:val="20"/>
                <w:szCs w:val="20"/>
                <w14:textFill>
                  <w14:solidFill>
                    <w14:schemeClr w14:val="bg1"/>
                  </w14:solidFill>
                </w14:textFill>
              </w:rPr>
              <w:t>Recommendation</w:t>
            </w:r>
          </w:p>
        </w:tc>
        <w:tc>
          <w:tcPr>
            <w:tcW w:w="2337" w:type="dxa"/>
            <w:tcBorders>
              <w:top w:val="single" w:color="FFFFFF" w:themeColor="background1" w:sz="4" w:space="0"/>
              <w:right w:val="nil"/>
              <w:insideV w:val="nil"/>
            </w:tcBorders>
            <w:shd w:val="clear" w:color="auto" w:fill="ED7D31" w:themeFill="accent2"/>
          </w:tcPr>
          <w:p w14:paraId="55BCD9CE">
            <w:pPr>
              <w:spacing w:after="0" w:line="360" w:lineRule="auto"/>
              <w:jc w:val="both"/>
              <w:rPr>
                <w:rFonts w:ascii="Times New Roman" w:hAnsi="Times New Roman" w:cs="Times New Roman"/>
                <w:b w:val="0"/>
                <w:bCs w:val="0"/>
                <w:color w:val="FFFFFF" w:themeColor="background1"/>
                <w:sz w:val="20"/>
                <w:szCs w:val="20"/>
                <w14:textFill>
                  <w14:solidFill>
                    <w14:schemeClr w14:val="bg1"/>
                  </w14:solidFill>
                </w14:textFill>
              </w:rPr>
            </w:pPr>
            <w:r>
              <w:rPr>
                <w:rFonts w:ascii="Times New Roman" w:hAnsi="Times New Roman" w:cs="Times New Roman"/>
                <w:b/>
                <w:bCs/>
                <w:color w:val="FFFFFF" w:themeColor="background1"/>
                <w:sz w:val="20"/>
                <w:szCs w:val="20"/>
                <w14:textFill>
                  <w14:solidFill>
                    <w14:schemeClr w14:val="bg1"/>
                  </w14:solidFill>
                </w14:textFill>
              </w:rPr>
              <w:t>Task 2 issue addressed</w:t>
            </w:r>
          </w:p>
        </w:tc>
        <w:tc>
          <w:tcPr>
            <w:tcW w:w="2338" w:type="dxa"/>
            <w:tcBorders>
              <w:top w:val="single" w:color="FFFFFF" w:themeColor="background1" w:sz="4" w:space="0"/>
              <w:right w:val="nil"/>
              <w:insideV w:val="nil"/>
            </w:tcBorders>
            <w:shd w:val="clear" w:color="auto" w:fill="ED7D31" w:themeFill="accent2"/>
          </w:tcPr>
          <w:p w14:paraId="48FCA461">
            <w:pPr>
              <w:spacing w:after="0" w:line="360" w:lineRule="auto"/>
              <w:jc w:val="both"/>
              <w:rPr>
                <w:rFonts w:ascii="Times New Roman" w:hAnsi="Times New Roman" w:cs="Times New Roman"/>
                <w:b w:val="0"/>
                <w:bCs w:val="0"/>
                <w:color w:val="FFFFFF" w:themeColor="background1"/>
                <w:sz w:val="20"/>
                <w:szCs w:val="20"/>
                <w14:textFill>
                  <w14:solidFill>
                    <w14:schemeClr w14:val="bg1"/>
                  </w14:solidFill>
                </w14:textFill>
              </w:rPr>
            </w:pPr>
            <w:r>
              <w:rPr>
                <w:rFonts w:ascii="Times New Roman" w:hAnsi="Times New Roman" w:cs="Times New Roman"/>
                <w:b/>
                <w:bCs/>
                <w:color w:val="FFFFFF" w:themeColor="background1"/>
                <w:sz w:val="20"/>
                <w:szCs w:val="20"/>
                <w14:textFill>
                  <w14:solidFill>
                    <w14:schemeClr w14:val="bg1"/>
                  </w14:solidFill>
                </w14:textFill>
              </w:rPr>
              <w:t>Practical action</w:t>
            </w:r>
          </w:p>
        </w:tc>
        <w:tc>
          <w:tcPr>
            <w:tcW w:w="2338" w:type="dxa"/>
            <w:tcBorders>
              <w:top w:val="single" w:color="FFFFFF" w:themeColor="background1" w:sz="4" w:space="0"/>
              <w:right w:val="single" w:color="FFFFFF" w:themeColor="background1" w:sz="4" w:space="0"/>
              <w:insideV w:val="nil"/>
            </w:tcBorders>
            <w:shd w:val="clear" w:color="auto" w:fill="ED7D31" w:themeFill="accent2"/>
          </w:tcPr>
          <w:p w14:paraId="1F3AF056">
            <w:pPr>
              <w:spacing w:after="0" w:line="360" w:lineRule="auto"/>
              <w:jc w:val="both"/>
              <w:rPr>
                <w:rFonts w:ascii="Times New Roman" w:hAnsi="Times New Roman" w:cs="Times New Roman"/>
                <w:b w:val="0"/>
                <w:bCs w:val="0"/>
                <w:color w:val="FFFFFF" w:themeColor="background1"/>
                <w:sz w:val="20"/>
                <w:szCs w:val="20"/>
                <w14:textFill>
                  <w14:solidFill>
                    <w14:schemeClr w14:val="bg1"/>
                  </w14:solidFill>
                </w14:textFill>
              </w:rPr>
            </w:pPr>
            <w:r>
              <w:rPr>
                <w:rFonts w:ascii="Times New Roman" w:hAnsi="Times New Roman" w:cs="Times New Roman"/>
                <w:b/>
                <w:bCs/>
                <w:color w:val="FFFFFF" w:themeColor="background1"/>
                <w:sz w:val="20"/>
                <w:szCs w:val="20"/>
                <w14:textFill>
                  <w14:solidFill>
                    <w14:schemeClr w14:val="bg1"/>
                  </w14:solidFill>
                </w14:textFill>
              </w:rPr>
              <w:t>Feasibility (resources/budget)</w:t>
            </w:r>
          </w:p>
        </w:tc>
      </w:tr>
      <w:tr w14:paraId="2970BB2C">
        <w:tc>
          <w:tcPr>
            <w:tcW w:w="2337" w:type="dxa"/>
            <w:tcBorders>
              <w:left w:val="single" w:color="FFFFFF" w:themeColor="background1" w:sz="4" w:space="0"/>
            </w:tcBorders>
            <w:shd w:val="clear" w:color="auto" w:fill="ED7D31" w:themeFill="accent2"/>
          </w:tcPr>
          <w:p w14:paraId="5AB5156A">
            <w:pPr>
              <w:spacing w:after="0" w:line="360" w:lineRule="auto"/>
              <w:jc w:val="both"/>
              <w:rPr>
                <w:rFonts w:ascii="Times New Roman" w:hAnsi="Times New Roman" w:cs="Times New Roman"/>
                <w:b w:val="0"/>
                <w:bCs w:val="0"/>
                <w:color w:val="FFFFFF" w:themeColor="background1"/>
                <w:sz w:val="20"/>
                <w:szCs w:val="20"/>
                <w14:textFill>
                  <w14:solidFill>
                    <w14:schemeClr w14:val="bg1"/>
                  </w14:solidFill>
                </w14:textFill>
              </w:rPr>
            </w:pPr>
            <w:r>
              <w:rPr>
                <w:rFonts w:ascii="Times New Roman" w:hAnsi="Times New Roman" w:cs="Times New Roman"/>
                <w:b/>
                <w:bCs/>
                <w:color w:val="FFFFFF" w:themeColor="background1"/>
                <w:sz w:val="20"/>
                <w:szCs w:val="20"/>
                <w14:textFill>
                  <w14:solidFill>
                    <w14:schemeClr w14:val="bg1"/>
                  </w14:solidFill>
                </w14:textFill>
              </w:rPr>
              <w:t>Sharpen strategic focus and positioning</w:t>
            </w:r>
          </w:p>
        </w:tc>
        <w:tc>
          <w:tcPr>
            <w:tcW w:w="2337" w:type="dxa"/>
            <w:shd w:val="clear" w:color="auto" w:fill="F7CAAC" w:themeFill="accent2" w:themeFillTint="66"/>
          </w:tcPr>
          <w:p w14:paraId="70037CBD">
            <w:pPr>
              <w:spacing w:after="0" w:line="360" w:lineRule="auto"/>
              <w:jc w:val="both"/>
              <w:rPr>
                <w:rFonts w:ascii="Times New Roman" w:hAnsi="Times New Roman" w:cs="Times New Roman"/>
                <w:sz w:val="20"/>
                <w:szCs w:val="20"/>
              </w:rPr>
            </w:pPr>
            <w:r>
              <w:rPr>
                <w:rFonts w:ascii="Times New Roman" w:hAnsi="Times New Roman" w:cs="Times New Roman"/>
                <w:sz w:val="20"/>
                <w:szCs w:val="20"/>
              </w:rPr>
              <w:t>Diluted focus; credibility vulnerability</w:t>
            </w:r>
          </w:p>
        </w:tc>
        <w:tc>
          <w:tcPr>
            <w:tcW w:w="2338" w:type="dxa"/>
            <w:shd w:val="clear" w:color="auto" w:fill="F7CAAC" w:themeFill="accent2" w:themeFillTint="66"/>
          </w:tcPr>
          <w:p w14:paraId="50D55AD1">
            <w:pPr>
              <w:spacing w:after="0" w:line="360" w:lineRule="auto"/>
              <w:jc w:val="both"/>
              <w:rPr>
                <w:rFonts w:ascii="Times New Roman" w:hAnsi="Times New Roman" w:cs="Times New Roman"/>
                <w:sz w:val="20"/>
                <w:szCs w:val="20"/>
              </w:rPr>
            </w:pPr>
            <w:r>
              <w:rPr>
                <w:rFonts w:ascii="Times New Roman" w:hAnsi="Times New Roman" w:cs="Times New Roman"/>
                <w:sz w:val="20"/>
                <w:szCs w:val="20"/>
              </w:rPr>
              <w:t>Narrow priority segments and tighten the premium value proposition around provable experience attributes</w:t>
            </w:r>
          </w:p>
        </w:tc>
        <w:tc>
          <w:tcPr>
            <w:tcW w:w="2338" w:type="dxa"/>
            <w:shd w:val="clear" w:color="auto" w:fill="F7CAAC" w:themeFill="accent2" w:themeFillTint="66"/>
          </w:tcPr>
          <w:p w14:paraId="2409DD04">
            <w:pPr>
              <w:spacing w:after="0" w:line="360" w:lineRule="auto"/>
              <w:jc w:val="both"/>
              <w:rPr>
                <w:rFonts w:ascii="Times New Roman" w:hAnsi="Times New Roman" w:cs="Times New Roman"/>
                <w:sz w:val="20"/>
                <w:szCs w:val="20"/>
              </w:rPr>
            </w:pPr>
            <w:r>
              <w:rPr>
                <w:rFonts w:ascii="Times New Roman" w:hAnsi="Times New Roman" w:cs="Times New Roman"/>
                <w:sz w:val="20"/>
                <w:szCs w:val="20"/>
              </w:rPr>
              <w:t>High feasibility: primarily reallocation of marketing attention and messaging discipline</w:t>
            </w:r>
          </w:p>
        </w:tc>
      </w:tr>
      <w:tr w14:paraId="4CFD6ED7">
        <w:tc>
          <w:tcPr>
            <w:tcW w:w="2337" w:type="dxa"/>
            <w:tcBorders>
              <w:left w:val="single" w:color="FFFFFF" w:themeColor="background1" w:sz="4" w:space="0"/>
            </w:tcBorders>
            <w:shd w:val="clear" w:color="auto" w:fill="ED7D31" w:themeFill="accent2"/>
          </w:tcPr>
          <w:p w14:paraId="64C93CDB">
            <w:pPr>
              <w:spacing w:after="0" w:line="360" w:lineRule="auto"/>
              <w:jc w:val="both"/>
              <w:rPr>
                <w:rFonts w:ascii="Times New Roman" w:hAnsi="Times New Roman" w:cs="Times New Roman"/>
                <w:b w:val="0"/>
                <w:bCs w:val="0"/>
                <w:color w:val="FFFFFF" w:themeColor="background1"/>
                <w:sz w:val="20"/>
                <w:szCs w:val="20"/>
                <w14:textFill>
                  <w14:solidFill>
                    <w14:schemeClr w14:val="bg1"/>
                  </w14:solidFill>
                </w14:textFill>
              </w:rPr>
            </w:pPr>
            <w:r>
              <w:rPr>
                <w:rFonts w:ascii="Times New Roman" w:hAnsi="Times New Roman" w:cs="Times New Roman"/>
                <w:b/>
                <w:bCs/>
                <w:color w:val="FFFFFF" w:themeColor="background1"/>
                <w:sz w:val="20"/>
                <w:szCs w:val="20"/>
                <w14:textFill>
                  <w14:solidFill>
                    <w14:schemeClr w14:val="bg1"/>
                  </w14:solidFill>
                </w14:textFill>
              </w:rPr>
              <w:t>Enhance customer-centric targeting</w:t>
            </w:r>
          </w:p>
        </w:tc>
        <w:tc>
          <w:tcPr>
            <w:tcW w:w="2337" w:type="dxa"/>
            <w:shd w:val="clear" w:color="auto" w:fill="FBE4D5" w:themeFill="accent2" w:themeFillTint="33"/>
          </w:tcPr>
          <w:p w14:paraId="17308E67">
            <w:pPr>
              <w:spacing w:after="0" w:line="360" w:lineRule="auto"/>
              <w:jc w:val="both"/>
              <w:rPr>
                <w:rFonts w:ascii="Times New Roman" w:hAnsi="Times New Roman" w:cs="Times New Roman"/>
                <w:sz w:val="20"/>
                <w:szCs w:val="20"/>
              </w:rPr>
            </w:pPr>
            <w:r>
              <w:rPr>
                <w:rFonts w:ascii="Times New Roman" w:hAnsi="Times New Roman" w:cs="Times New Roman"/>
                <w:sz w:val="20"/>
                <w:szCs w:val="20"/>
              </w:rPr>
              <w:t>Weak precision in resource allocation</w:t>
            </w:r>
          </w:p>
        </w:tc>
        <w:tc>
          <w:tcPr>
            <w:tcW w:w="2338" w:type="dxa"/>
            <w:shd w:val="clear" w:color="auto" w:fill="FBE4D5" w:themeFill="accent2" w:themeFillTint="33"/>
          </w:tcPr>
          <w:p w14:paraId="3CD3CE06">
            <w:pPr>
              <w:spacing w:after="0" w:line="360" w:lineRule="auto"/>
              <w:jc w:val="both"/>
              <w:rPr>
                <w:rFonts w:ascii="Times New Roman" w:hAnsi="Times New Roman" w:cs="Times New Roman"/>
                <w:sz w:val="20"/>
                <w:szCs w:val="20"/>
              </w:rPr>
            </w:pPr>
            <w:r>
              <w:rPr>
                <w:rFonts w:ascii="Times New Roman" w:hAnsi="Times New Roman" w:cs="Times New Roman"/>
                <w:sz w:val="20"/>
                <w:szCs w:val="20"/>
              </w:rPr>
              <w:t>Use loyalty and digital data to tailor offers/communications to high-CLV groups.</w:t>
            </w:r>
          </w:p>
        </w:tc>
        <w:tc>
          <w:tcPr>
            <w:tcW w:w="2338" w:type="dxa"/>
            <w:shd w:val="clear" w:color="auto" w:fill="FBE4D5" w:themeFill="accent2" w:themeFillTint="33"/>
          </w:tcPr>
          <w:p w14:paraId="24939665">
            <w:pPr>
              <w:spacing w:after="0" w:line="360" w:lineRule="auto"/>
              <w:jc w:val="both"/>
              <w:rPr>
                <w:rFonts w:ascii="Times New Roman" w:hAnsi="Times New Roman" w:cs="Times New Roman"/>
                <w:sz w:val="20"/>
                <w:szCs w:val="20"/>
              </w:rPr>
            </w:pPr>
            <w:r>
              <w:rPr>
                <w:rFonts w:ascii="Times New Roman" w:hAnsi="Times New Roman" w:cs="Times New Roman"/>
                <w:sz w:val="20"/>
                <w:szCs w:val="20"/>
              </w:rPr>
              <w:t>Medium–high feasibility: uses existing data assets; requires stronger analytics integration, not significant capex</w:t>
            </w:r>
          </w:p>
        </w:tc>
      </w:tr>
      <w:tr w14:paraId="7C217F81">
        <w:tc>
          <w:tcPr>
            <w:tcW w:w="2337" w:type="dxa"/>
            <w:tcBorders>
              <w:left w:val="single" w:color="FFFFFF" w:themeColor="background1" w:sz="4" w:space="0"/>
            </w:tcBorders>
            <w:shd w:val="clear" w:color="auto" w:fill="ED7D31" w:themeFill="accent2"/>
          </w:tcPr>
          <w:p w14:paraId="31921941">
            <w:pPr>
              <w:spacing w:after="0" w:line="360" w:lineRule="auto"/>
              <w:jc w:val="both"/>
              <w:rPr>
                <w:rFonts w:ascii="Times New Roman" w:hAnsi="Times New Roman" w:cs="Times New Roman"/>
                <w:b w:val="0"/>
                <w:bCs w:val="0"/>
                <w:color w:val="FFFFFF" w:themeColor="background1"/>
                <w:sz w:val="20"/>
                <w:szCs w:val="20"/>
                <w14:textFill>
                  <w14:solidFill>
                    <w14:schemeClr w14:val="bg1"/>
                  </w14:solidFill>
                </w14:textFill>
              </w:rPr>
            </w:pPr>
            <w:r>
              <w:rPr>
                <w:rFonts w:ascii="Times New Roman" w:hAnsi="Times New Roman" w:cs="Times New Roman"/>
                <w:b/>
                <w:bCs/>
                <w:color w:val="FFFFFF" w:themeColor="background1"/>
                <w:sz w:val="20"/>
                <w:szCs w:val="20"/>
                <w14:textFill>
                  <w14:solidFill>
                    <w14:schemeClr w14:val="bg1"/>
                  </w14:solidFill>
                </w14:textFill>
              </w:rPr>
              <w:t>Align marketing mix and communications</w:t>
            </w:r>
          </w:p>
        </w:tc>
        <w:tc>
          <w:tcPr>
            <w:tcW w:w="2337" w:type="dxa"/>
            <w:shd w:val="clear" w:color="auto" w:fill="F7CAAC" w:themeFill="accent2" w:themeFillTint="66"/>
          </w:tcPr>
          <w:p w14:paraId="4CDFA2B6">
            <w:pPr>
              <w:spacing w:after="0" w:line="360" w:lineRule="auto"/>
              <w:jc w:val="both"/>
              <w:rPr>
                <w:rFonts w:ascii="Times New Roman" w:hAnsi="Times New Roman" w:cs="Times New Roman"/>
                <w:sz w:val="20"/>
                <w:szCs w:val="20"/>
              </w:rPr>
            </w:pPr>
            <w:r>
              <w:rPr>
                <w:rFonts w:ascii="Times New Roman" w:hAnsi="Times New Roman" w:cs="Times New Roman"/>
                <w:sz w:val="20"/>
                <w:szCs w:val="20"/>
              </w:rPr>
              <w:t>Credibility fragile; convergence pressures</w:t>
            </w:r>
          </w:p>
        </w:tc>
        <w:tc>
          <w:tcPr>
            <w:tcW w:w="2338" w:type="dxa"/>
            <w:shd w:val="clear" w:color="auto" w:fill="F7CAAC" w:themeFill="accent2" w:themeFillTint="66"/>
          </w:tcPr>
          <w:p w14:paraId="3A7200A0">
            <w:pPr>
              <w:spacing w:after="0" w:line="360" w:lineRule="auto"/>
              <w:jc w:val="both"/>
              <w:rPr>
                <w:rFonts w:ascii="Times New Roman" w:hAnsi="Times New Roman" w:cs="Times New Roman"/>
                <w:sz w:val="20"/>
                <w:szCs w:val="20"/>
              </w:rPr>
            </w:pPr>
            <w:r>
              <w:rPr>
                <w:rFonts w:ascii="Times New Roman" w:hAnsi="Times New Roman" w:cs="Times New Roman"/>
                <w:sz w:val="20"/>
                <w:szCs w:val="20"/>
              </w:rPr>
              <w:t>Ensure messaging emphasises verifiable service consistency; strengthen cross-functional coordination.</w:t>
            </w:r>
          </w:p>
        </w:tc>
        <w:tc>
          <w:tcPr>
            <w:tcW w:w="2338" w:type="dxa"/>
            <w:shd w:val="clear" w:color="auto" w:fill="F7CAAC" w:themeFill="accent2" w:themeFillTint="66"/>
          </w:tcPr>
          <w:p w14:paraId="428ED22A">
            <w:pPr>
              <w:spacing w:after="0" w:line="360" w:lineRule="auto"/>
              <w:jc w:val="both"/>
              <w:rPr>
                <w:rFonts w:ascii="Times New Roman" w:hAnsi="Times New Roman" w:cs="Times New Roman"/>
                <w:sz w:val="20"/>
                <w:szCs w:val="20"/>
              </w:rPr>
            </w:pPr>
            <w:r>
              <w:rPr>
                <w:rFonts w:ascii="Times New Roman" w:hAnsi="Times New Roman" w:cs="Times New Roman"/>
                <w:sz w:val="20"/>
                <w:szCs w:val="20"/>
              </w:rPr>
              <w:t>High feasibility: organisational coordination and standards, not new channel spends</w:t>
            </w:r>
          </w:p>
        </w:tc>
      </w:tr>
      <w:tr w14:paraId="24ABB7F0">
        <w:tc>
          <w:tcPr>
            <w:tcW w:w="2337" w:type="dxa"/>
            <w:tcBorders>
              <w:left w:val="single" w:color="FFFFFF" w:themeColor="background1" w:sz="4" w:space="0"/>
              <w:bottom w:val="single" w:color="FFFFFF" w:themeColor="background1" w:sz="4" w:space="0"/>
            </w:tcBorders>
            <w:shd w:val="clear" w:color="auto" w:fill="ED7D31" w:themeFill="accent2"/>
          </w:tcPr>
          <w:p w14:paraId="2C25676F">
            <w:pPr>
              <w:spacing w:after="0" w:line="360" w:lineRule="auto"/>
              <w:jc w:val="both"/>
              <w:rPr>
                <w:rFonts w:ascii="Times New Roman" w:hAnsi="Times New Roman" w:cs="Times New Roman"/>
                <w:b w:val="0"/>
                <w:bCs w:val="0"/>
                <w:color w:val="FFFFFF" w:themeColor="background1"/>
                <w:sz w:val="20"/>
                <w:szCs w:val="20"/>
                <w14:textFill>
                  <w14:solidFill>
                    <w14:schemeClr w14:val="bg1"/>
                  </w14:solidFill>
                </w14:textFill>
              </w:rPr>
            </w:pPr>
            <w:r>
              <w:rPr>
                <w:rFonts w:ascii="Times New Roman" w:hAnsi="Times New Roman" w:cs="Times New Roman"/>
                <w:b/>
                <w:bCs/>
                <w:color w:val="FFFFFF" w:themeColor="background1"/>
                <w:sz w:val="20"/>
                <w:szCs w:val="20"/>
                <w14:textFill>
                  <w14:solidFill>
                    <w14:schemeClr w14:val="bg1"/>
                  </w14:solidFill>
                </w14:textFill>
              </w:rPr>
              <w:t>Improve measurement and control</w:t>
            </w:r>
          </w:p>
        </w:tc>
        <w:tc>
          <w:tcPr>
            <w:tcW w:w="2337" w:type="dxa"/>
            <w:shd w:val="clear" w:color="auto" w:fill="FBE4D5" w:themeFill="accent2" w:themeFillTint="33"/>
          </w:tcPr>
          <w:p w14:paraId="31FDD2A2">
            <w:pPr>
              <w:spacing w:after="0" w:line="360" w:lineRule="auto"/>
              <w:jc w:val="both"/>
              <w:rPr>
                <w:rFonts w:ascii="Times New Roman" w:hAnsi="Times New Roman" w:cs="Times New Roman"/>
                <w:sz w:val="20"/>
                <w:szCs w:val="20"/>
              </w:rPr>
            </w:pPr>
            <w:r>
              <w:rPr>
                <w:rFonts w:ascii="Times New Roman" w:hAnsi="Times New Roman" w:cs="Times New Roman"/>
                <w:sz w:val="20"/>
                <w:szCs w:val="20"/>
              </w:rPr>
              <w:t>Short-term bias in metrics; weak linkage to strategy</w:t>
            </w:r>
          </w:p>
        </w:tc>
        <w:tc>
          <w:tcPr>
            <w:tcW w:w="2338" w:type="dxa"/>
            <w:shd w:val="clear" w:color="auto" w:fill="FBE4D5" w:themeFill="accent2" w:themeFillTint="33"/>
          </w:tcPr>
          <w:p w14:paraId="71866B5D">
            <w:pPr>
              <w:spacing w:after="0" w:line="360" w:lineRule="auto"/>
              <w:jc w:val="both"/>
              <w:rPr>
                <w:rFonts w:ascii="Times New Roman" w:hAnsi="Times New Roman" w:cs="Times New Roman"/>
                <w:sz w:val="20"/>
                <w:szCs w:val="20"/>
              </w:rPr>
            </w:pPr>
            <w:r>
              <w:rPr>
                <w:rFonts w:ascii="Times New Roman" w:hAnsi="Times New Roman" w:cs="Times New Roman"/>
                <w:sz w:val="20"/>
                <w:szCs w:val="20"/>
              </w:rPr>
              <w:t>Build a balanced dashboard linking brand trust/loyalty outcomes with commercial performance</w:t>
            </w:r>
          </w:p>
        </w:tc>
        <w:tc>
          <w:tcPr>
            <w:tcW w:w="2338" w:type="dxa"/>
            <w:shd w:val="clear" w:color="auto" w:fill="FBE4D5" w:themeFill="accent2" w:themeFillTint="33"/>
          </w:tcPr>
          <w:p w14:paraId="4CD1B8CF">
            <w:pPr>
              <w:spacing w:after="0" w:line="360" w:lineRule="auto"/>
              <w:jc w:val="both"/>
              <w:rPr>
                <w:rFonts w:ascii="Times New Roman" w:hAnsi="Times New Roman" w:cs="Times New Roman"/>
                <w:sz w:val="20"/>
                <w:szCs w:val="20"/>
              </w:rPr>
            </w:pPr>
            <w:r>
              <w:rPr>
                <w:rFonts w:ascii="Times New Roman" w:hAnsi="Times New Roman" w:cs="Times New Roman"/>
                <w:sz w:val="20"/>
                <w:szCs w:val="20"/>
              </w:rPr>
              <w:t>Medium feasibility: builds on existing metrics; requires governance and adoption across functions</w:t>
            </w:r>
          </w:p>
        </w:tc>
      </w:tr>
    </w:tbl>
    <w:p w14:paraId="6ABC4AC0">
      <w:pPr>
        <w:spacing w:after="0" w:line="480" w:lineRule="auto"/>
        <w:jc w:val="both"/>
        <w:rPr>
          <w:rFonts w:ascii="Times New Roman" w:hAnsi="Times New Roman" w:cs="Times New Roman"/>
          <w:sz w:val="24"/>
          <w:szCs w:val="24"/>
        </w:rPr>
      </w:pPr>
    </w:p>
    <w:p w14:paraId="548C9C6A">
      <w:pPr>
        <w:pStyle w:val="3"/>
      </w:pPr>
      <w:r>
        <w:t>4.1. Raise Strategic Focus and Positioning</w:t>
      </w:r>
    </w:p>
    <w:p w14:paraId="3159613B">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Task 2 revealed that strategic focus has been diluted by broad segmentation, undermining the credibility of British Airways' premium positioning. Studies indicate that an enhanced value-based and tighter segmentation leads to better positioning and resource efficiency in convergent service markets (Wedel and Kamakura, 2012; Morgan et al., 2019). British Airways should then focus on high-value segments, such as frequent business and long-haul premium travellers, specifically using existing customer lifetime value and loyalty information. It would be necessary to implement a cross-functional workshop to reset the segment priorities and sharpen the messaging. The effectiveness can be measured using segment-level profitability, repeat purchase rates, and premium cabin load indicators. This would be possible given the existing resources, as it depends on reprioritisation and not spending increments.</w:t>
      </w:r>
    </w:p>
    <w:p w14:paraId="4CF3DC4A">
      <w:pPr>
        <w:pStyle w:val="3"/>
      </w:pPr>
      <w:r>
        <w:t>4.2 Customer-Centric Targeting and Resource Allocation</w:t>
      </w:r>
    </w:p>
    <w:p w14:paraId="4256E424">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Task 2 revealed poor precision in distributing marketing resources. It has been shown that proper utilisation of digital and loyalty proves to boost retention and loyalty within an airline (Lemon and Verhoef, 2016; Magatef et al., 2023). To personalise offers and messages for high-CLV clients, British Airways should incorporate available data on loyalty, booking, and other digital interactions into its CRM. It is not implemented with new technology but with analytics optimisation and A/B testing. This should be a medium-high feasibility initiative, as NPS, repeat-based booking, and personalised offer conversion will be monitored.</w:t>
      </w:r>
    </w:p>
    <w:p w14:paraId="1A7B0A14">
      <w:pPr>
        <w:pStyle w:val="3"/>
      </w:pPr>
      <w:r>
        <w:t>4.3 Match Marketing Mixture and Advertisements with Checkable Service Efficiency</w:t>
      </w:r>
    </w:p>
    <w:p w14:paraId="7D3E624D">
      <w:pPr>
        <w:spacing w:after="0" w:line="480" w:lineRule="auto"/>
        <w:ind w:firstLine="720"/>
        <w:jc w:val="both"/>
        <w:rPr>
          <w:rFonts w:ascii="Times New Roman" w:hAnsi="Times New Roman" w:cs="Times New Roman"/>
          <w:sz w:val="24"/>
          <w:szCs w:val="24"/>
        </w:rPr>
      </w:pPr>
    </w:p>
    <w:p w14:paraId="5D4E1749">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Task 2 indicated credibility when the promises in marketing cannot always be backed up by service delivery. According to integrated communications research findings, credibility is rooted in the correspondence between messages and actual performance (Batra and Keller, 2016). British Airways is thus advised to communicate with verifiable metrics (e.g., punctuality, accuracy in baggage handling) and intentionally use customer stories based on real experiences. It will require more coordination between operations and marketing, rather than channel spending. The effectiveness can be measured through sentiment analysis, journey-specific satisfaction scores, and brand trust indicators.</w:t>
      </w:r>
    </w:p>
    <w:p w14:paraId="17E03A57">
      <w:pPr>
        <w:pStyle w:val="3"/>
      </w:pPr>
      <w:r>
        <w:t>4.4 Enhance Measurement, Control and Strategic Accountability.</w:t>
      </w:r>
    </w:p>
    <w:p w14:paraId="102AE7E3">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Lastly, Task 2 noted an excess in the short-term metrics. The literature on marketing accountability underscores the need to integrate non-financial and financial indicators to strengthen the effectiveness of strategic decisions (Kaplan and Norton, 1992; Clark and Ambler, 2001). The balanced dashboard proposed by British Airways should be a combination of engagement measures and long-term results, including brand trust, brand loyalty, and customer lifetime value. A quarterly financial review of seniors would inform resource allocation. This is practical as it will not need any new systems and will be based on the current information and reporting procedures.</w:t>
      </w:r>
    </w:p>
    <w:p w14:paraId="590E9F7E">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br w:type="page"/>
      </w:r>
    </w:p>
    <w:p w14:paraId="21098F2C">
      <w:pPr>
        <w:pStyle w:val="2"/>
        <w:rPr>
          <w:rFonts w:cs="Times New Roman"/>
        </w:rPr>
      </w:pPr>
      <w:bookmarkStart w:id="16" w:name="_Toc218185638"/>
      <w:r>
        <w:rPr>
          <w:rFonts w:cs="Times New Roman"/>
        </w:rPr>
        <w:t>5. References</w:t>
      </w:r>
      <w:bookmarkEnd w:id="16"/>
    </w:p>
    <w:p w14:paraId="06C66221">
      <w:pPr>
        <w:spacing w:after="0" w:line="480" w:lineRule="auto"/>
        <w:ind w:left="567" w:hanging="567"/>
        <w:jc w:val="both"/>
        <w:rPr>
          <w:rFonts w:ascii="Times New Roman" w:hAnsi="Times New Roman" w:cs="Times New Roman"/>
          <w:sz w:val="24"/>
          <w:szCs w:val="24"/>
        </w:rPr>
      </w:pPr>
      <w:r>
        <w:rPr>
          <w:rFonts w:ascii="Times New Roman" w:hAnsi="Times New Roman" w:cs="Times New Roman"/>
          <w:sz w:val="24"/>
          <w:szCs w:val="24"/>
        </w:rPr>
        <w:t xml:space="preserve">Ambler, T. (2008). Marketing Metrics. </w:t>
      </w:r>
      <w:r>
        <w:rPr>
          <w:rFonts w:ascii="Times New Roman" w:hAnsi="Times New Roman" w:cs="Times New Roman"/>
          <w:i/>
          <w:iCs/>
          <w:sz w:val="24"/>
          <w:szCs w:val="24"/>
        </w:rPr>
        <w:t>Business Strategy Review</w:t>
      </w:r>
      <w:r>
        <w:rPr>
          <w:rFonts w:ascii="Times New Roman" w:hAnsi="Times New Roman" w:cs="Times New Roman"/>
          <w:sz w:val="24"/>
          <w:szCs w:val="24"/>
        </w:rPr>
        <w:t xml:space="preserve">, 11(2), pp.59–66. doi: </w:t>
      </w:r>
      <w:r>
        <w:fldChar w:fldCharType="begin"/>
      </w:r>
      <w:r>
        <w:instrText xml:space="preserve"> HYPERLINK "https://doi.org/10.1111/1467-8616.00138" </w:instrText>
      </w:r>
      <w:r>
        <w:fldChar w:fldCharType="separate"/>
      </w:r>
      <w:r>
        <w:rPr>
          <w:rStyle w:val="22"/>
          <w:rFonts w:ascii="Times New Roman" w:hAnsi="Times New Roman" w:cs="Times New Roman"/>
          <w:sz w:val="24"/>
          <w:szCs w:val="24"/>
        </w:rPr>
        <w:t>https://doi.org/10.1111/1467-8616.00138</w:t>
      </w:r>
      <w:r>
        <w:rPr>
          <w:rStyle w:val="22"/>
          <w:rFonts w:ascii="Times New Roman" w:hAnsi="Times New Roman" w:cs="Times New Roman"/>
          <w:sz w:val="24"/>
          <w:szCs w:val="24"/>
        </w:rPr>
        <w:fldChar w:fldCharType="end"/>
      </w:r>
      <w:r>
        <w:rPr>
          <w:rFonts w:ascii="Times New Roman" w:hAnsi="Times New Roman" w:cs="Times New Roman"/>
          <w:sz w:val="24"/>
          <w:szCs w:val="24"/>
        </w:rPr>
        <w:t>.</w:t>
      </w:r>
    </w:p>
    <w:p w14:paraId="768F997A">
      <w:pPr>
        <w:spacing w:after="0" w:line="480" w:lineRule="auto"/>
        <w:ind w:left="567" w:hanging="567"/>
        <w:jc w:val="both"/>
        <w:rPr>
          <w:rFonts w:ascii="Times New Roman" w:hAnsi="Times New Roman" w:cs="Times New Roman"/>
          <w:sz w:val="24"/>
          <w:szCs w:val="24"/>
        </w:rPr>
      </w:pPr>
      <w:r>
        <w:rPr>
          <w:rFonts w:ascii="Times New Roman" w:hAnsi="Times New Roman" w:cs="Times New Roman"/>
          <w:sz w:val="24"/>
          <w:szCs w:val="24"/>
        </w:rPr>
        <w:t xml:space="preserve">Magatef, S., Al-Okaily, M., Ashour, L. and Abuhussein, T. (2023). The impact of electronic customer relationship management strategies on customer loyalty: A mediated model. </w:t>
      </w:r>
      <w:r>
        <w:rPr>
          <w:rFonts w:ascii="Times New Roman" w:hAnsi="Times New Roman" w:cs="Times New Roman"/>
          <w:i/>
          <w:iCs/>
          <w:sz w:val="24"/>
          <w:szCs w:val="24"/>
        </w:rPr>
        <w:t>Journal of Open Innovation: Technology, Market, and Complexity</w:t>
      </w:r>
      <w:r>
        <w:rPr>
          <w:rFonts w:ascii="Times New Roman" w:hAnsi="Times New Roman" w:cs="Times New Roman"/>
          <w:sz w:val="24"/>
          <w:szCs w:val="24"/>
        </w:rPr>
        <w:t>, 9(4), p.100149. doi: https://doi.org/10.1016/j.joitmc.2023.100149.</w:t>
      </w:r>
    </w:p>
    <w:p w14:paraId="581F3AAD">
      <w:pPr>
        <w:spacing w:after="0" w:line="480" w:lineRule="auto"/>
        <w:ind w:left="567" w:hanging="567"/>
        <w:jc w:val="both"/>
        <w:rPr>
          <w:rFonts w:ascii="Times New Roman" w:hAnsi="Times New Roman" w:cs="Times New Roman"/>
          <w:sz w:val="24"/>
          <w:szCs w:val="24"/>
        </w:rPr>
      </w:pPr>
      <w:r>
        <w:rPr>
          <w:rFonts w:ascii="Times New Roman" w:hAnsi="Times New Roman" w:cs="Times New Roman"/>
          <w:sz w:val="24"/>
          <w:szCs w:val="24"/>
        </w:rPr>
        <w:t xml:space="preserve">Barney, J. (1991). Firm Resources and Sustained Competitive Advantage. </w:t>
      </w:r>
      <w:r>
        <w:rPr>
          <w:rFonts w:ascii="Times New Roman" w:hAnsi="Times New Roman" w:cs="Times New Roman"/>
          <w:i/>
          <w:iCs/>
          <w:sz w:val="24"/>
          <w:szCs w:val="24"/>
        </w:rPr>
        <w:t>Journal of Management</w:t>
      </w:r>
      <w:r>
        <w:rPr>
          <w:rFonts w:ascii="Times New Roman" w:hAnsi="Times New Roman" w:cs="Times New Roman"/>
          <w:sz w:val="24"/>
          <w:szCs w:val="24"/>
        </w:rPr>
        <w:t>, 17(1), pp.99–120. doi: https://doi.org/10.1177/014920639101700108.</w:t>
      </w:r>
    </w:p>
    <w:p w14:paraId="411AD7CA">
      <w:pPr>
        <w:spacing w:after="0" w:line="480" w:lineRule="auto"/>
        <w:ind w:left="567" w:hanging="567"/>
        <w:jc w:val="both"/>
        <w:rPr>
          <w:rFonts w:ascii="Times New Roman" w:hAnsi="Times New Roman" w:cs="Times New Roman"/>
          <w:sz w:val="24"/>
          <w:szCs w:val="24"/>
        </w:rPr>
      </w:pPr>
      <w:r>
        <w:rPr>
          <w:rFonts w:ascii="Times New Roman" w:hAnsi="Times New Roman" w:cs="Times New Roman"/>
          <w:sz w:val="24"/>
          <w:szCs w:val="24"/>
        </w:rPr>
        <w:t xml:space="preserve">Batra, R. and Keller, K.L. (2016). Integrating Marketing Communications: New Findings, New Lessons, and New Ideas. </w:t>
      </w:r>
      <w:r>
        <w:rPr>
          <w:rFonts w:ascii="Times New Roman" w:hAnsi="Times New Roman" w:cs="Times New Roman"/>
          <w:i/>
          <w:iCs/>
          <w:sz w:val="24"/>
          <w:szCs w:val="24"/>
        </w:rPr>
        <w:t>Journal of Marketing</w:t>
      </w:r>
      <w:r>
        <w:rPr>
          <w:rFonts w:ascii="Times New Roman" w:hAnsi="Times New Roman" w:cs="Times New Roman"/>
          <w:sz w:val="24"/>
          <w:szCs w:val="24"/>
        </w:rPr>
        <w:t>, 80(6), pp.122–145. doi: https://doi.org/10.1509/jm.15.0419.</w:t>
      </w:r>
    </w:p>
    <w:p w14:paraId="3DD52B29">
      <w:pPr>
        <w:spacing w:after="0" w:line="480" w:lineRule="auto"/>
        <w:ind w:left="567" w:hanging="567"/>
        <w:jc w:val="both"/>
        <w:rPr>
          <w:rFonts w:ascii="Times New Roman" w:hAnsi="Times New Roman" w:cs="Times New Roman"/>
          <w:sz w:val="24"/>
          <w:szCs w:val="24"/>
        </w:rPr>
      </w:pPr>
      <w:r>
        <w:rPr>
          <w:rFonts w:ascii="Times New Roman" w:hAnsi="Times New Roman" w:cs="Times New Roman"/>
          <w:sz w:val="24"/>
          <w:szCs w:val="24"/>
        </w:rPr>
        <w:t xml:space="preserve">Chen, C.-F. and Tseng, W.-S. (2010). Exploring Customer-based Airline Brand Equity: Evidence from Taiwan. </w:t>
      </w:r>
      <w:r>
        <w:rPr>
          <w:rFonts w:ascii="Times New Roman" w:hAnsi="Times New Roman" w:cs="Times New Roman"/>
          <w:i/>
          <w:iCs/>
          <w:sz w:val="24"/>
          <w:szCs w:val="24"/>
        </w:rPr>
        <w:t>Transportation Journal</w:t>
      </w:r>
      <w:r>
        <w:rPr>
          <w:rFonts w:ascii="Times New Roman" w:hAnsi="Times New Roman" w:cs="Times New Roman"/>
          <w:sz w:val="24"/>
          <w:szCs w:val="24"/>
        </w:rPr>
        <w:t>, 49(1), pp.24–34. doi: https://doi.org/10.2307/40904819.</w:t>
      </w:r>
    </w:p>
    <w:p w14:paraId="35E5A860">
      <w:pPr>
        <w:spacing w:after="0" w:line="480" w:lineRule="auto"/>
        <w:ind w:left="567" w:hanging="567"/>
        <w:jc w:val="both"/>
        <w:rPr>
          <w:rFonts w:ascii="Times New Roman" w:hAnsi="Times New Roman" w:cs="Times New Roman"/>
          <w:sz w:val="24"/>
          <w:szCs w:val="24"/>
        </w:rPr>
      </w:pPr>
      <w:r>
        <w:rPr>
          <w:rFonts w:ascii="Times New Roman" w:hAnsi="Times New Roman" w:cs="Times New Roman"/>
          <w:sz w:val="24"/>
          <w:szCs w:val="24"/>
        </w:rPr>
        <w:t xml:space="preserve">Clark, B.H. and Ambler, T. (2001). Marketing Performance Measurement: The Evolution of Research and Practice. </w:t>
      </w:r>
      <w:r>
        <w:rPr>
          <w:rFonts w:ascii="Times New Roman" w:hAnsi="Times New Roman" w:cs="Times New Roman"/>
          <w:i/>
          <w:iCs/>
          <w:sz w:val="24"/>
          <w:szCs w:val="24"/>
        </w:rPr>
        <w:t>International Journal of Business Performance Management</w:t>
      </w:r>
      <w:r>
        <w:rPr>
          <w:rFonts w:ascii="Times New Roman" w:hAnsi="Times New Roman" w:cs="Times New Roman"/>
          <w:sz w:val="24"/>
          <w:szCs w:val="24"/>
        </w:rPr>
        <w:t>, 3(2/3/4), p.231. doi: https://doi.org/10.1504/ijbpm.2001.000101.</w:t>
      </w:r>
    </w:p>
    <w:p w14:paraId="4679349B">
      <w:pPr>
        <w:spacing w:after="0" w:line="480" w:lineRule="auto"/>
        <w:ind w:left="567" w:hanging="567"/>
        <w:jc w:val="both"/>
        <w:rPr>
          <w:rFonts w:ascii="Times New Roman" w:hAnsi="Times New Roman" w:cs="Times New Roman"/>
          <w:sz w:val="24"/>
          <w:szCs w:val="24"/>
        </w:rPr>
      </w:pPr>
      <w:r>
        <w:rPr>
          <w:rFonts w:ascii="Times New Roman" w:hAnsi="Times New Roman" w:cs="Times New Roman"/>
          <w:sz w:val="24"/>
          <w:szCs w:val="24"/>
        </w:rPr>
        <w:t xml:space="preserve">Dawar, N. and Pillutla, M.M. (2000). Impact of Product-Harm Crises on Brand Equity: The Moderating Role of Consumer Expectations. </w:t>
      </w:r>
      <w:r>
        <w:rPr>
          <w:rFonts w:ascii="Times New Roman" w:hAnsi="Times New Roman" w:cs="Times New Roman"/>
          <w:i/>
          <w:iCs/>
          <w:sz w:val="24"/>
          <w:szCs w:val="24"/>
        </w:rPr>
        <w:t>Journal of Marketing Research</w:t>
      </w:r>
      <w:r>
        <w:rPr>
          <w:rFonts w:ascii="Times New Roman" w:hAnsi="Times New Roman" w:cs="Times New Roman"/>
          <w:sz w:val="24"/>
          <w:szCs w:val="24"/>
        </w:rPr>
        <w:t>, 37(2), pp.215–226. doi: https://doi.org/10.1509/jmkr.37.2.215.18729.</w:t>
      </w:r>
    </w:p>
    <w:p w14:paraId="32E3EDF5">
      <w:pPr>
        <w:spacing w:after="0" w:line="480" w:lineRule="auto"/>
        <w:ind w:left="567" w:hanging="567"/>
        <w:jc w:val="both"/>
        <w:rPr>
          <w:rFonts w:ascii="Times New Roman" w:hAnsi="Times New Roman" w:cs="Times New Roman"/>
          <w:sz w:val="24"/>
          <w:szCs w:val="24"/>
        </w:rPr>
      </w:pPr>
      <w:r>
        <w:rPr>
          <w:rFonts w:ascii="Times New Roman" w:hAnsi="Times New Roman" w:cs="Times New Roman"/>
          <w:sz w:val="24"/>
          <w:szCs w:val="24"/>
        </w:rPr>
        <w:t xml:space="preserve">Delmas, M.A. and Burbano, V.C. (2011). The Drivers of Greenwashing. </w:t>
      </w:r>
      <w:r>
        <w:rPr>
          <w:rFonts w:ascii="Times New Roman" w:hAnsi="Times New Roman" w:cs="Times New Roman"/>
          <w:i/>
          <w:iCs/>
          <w:sz w:val="24"/>
          <w:szCs w:val="24"/>
        </w:rPr>
        <w:t>California Management Review</w:t>
      </w:r>
      <w:r>
        <w:rPr>
          <w:rFonts w:ascii="Times New Roman" w:hAnsi="Times New Roman" w:cs="Times New Roman"/>
          <w:sz w:val="24"/>
          <w:szCs w:val="24"/>
        </w:rPr>
        <w:t>, 54(1), pp.64–87. doi: https://doi.org/10.1525/cmr.2011.54.1.64.</w:t>
      </w:r>
    </w:p>
    <w:p w14:paraId="6D2CAD10">
      <w:pPr>
        <w:spacing w:after="0" w:line="480" w:lineRule="auto"/>
        <w:ind w:left="567" w:hanging="567"/>
        <w:jc w:val="both"/>
        <w:rPr>
          <w:rFonts w:ascii="Times New Roman" w:hAnsi="Times New Roman" w:cs="Times New Roman"/>
          <w:sz w:val="24"/>
          <w:szCs w:val="24"/>
        </w:rPr>
      </w:pPr>
      <w:r>
        <w:rPr>
          <w:rFonts w:ascii="Times New Roman" w:hAnsi="Times New Roman" w:cs="Times New Roman"/>
          <w:sz w:val="24"/>
          <w:szCs w:val="24"/>
        </w:rPr>
        <w:t xml:space="preserve">Dolnicar, S. (2019). Market segmentation analysis in tourism: a perspective paper. </w:t>
      </w:r>
      <w:r>
        <w:rPr>
          <w:rFonts w:ascii="Times New Roman" w:hAnsi="Times New Roman" w:cs="Times New Roman"/>
          <w:i/>
          <w:iCs/>
          <w:sz w:val="24"/>
          <w:szCs w:val="24"/>
        </w:rPr>
        <w:t>Tourism Review</w:t>
      </w:r>
      <w:r>
        <w:rPr>
          <w:rFonts w:ascii="Times New Roman" w:hAnsi="Times New Roman" w:cs="Times New Roman"/>
          <w:sz w:val="24"/>
          <w:szCs w:val="24"/>
        </w:rPr>
        <w:t>, 75(1). doi: https://doi.org/10.1108/tr-02-2019-0041.</w:t>
      </w:r>
    </w:p>
    <w:p w14:paraId="65F82F94">
      <w:pPr>
        <w:spacing w:after="0" w:line="480" w:lineRule="auto"/>
        <w:ind w:left="567" w:hanging="567"/>
        <w:jc w:val="both"/>
        <w:rPr>
          <w:rFonts w:ascii="Times New Roman" w:hAnsi="Times New Roman" w:cs="Times New Roman"/>
          <w:sz w:val="24"/>
          <w:szCs w:val="24"/>
        </w:rPr>
      </w:pPr>
      <w:r>
        <w:rPr>
          <w:rFonts w:ascii="Times New Roman" w:hAnsi="Times New Roman" w:cs="Times New Roman"/>
          <w:sz w:val="24"/>
          <w:szCs w:val="24"/>
        </w:rPr>
        <w:t xml:space="preserve">Dwivedi, Y.K., Ismagilova, E., Hughes, D.L. and Carlson, J. (2021). Setting the future of digital and social media marketing research: Perspectives and research propositions. </w:t>
      </w:r>
      <w:r>
        <w:rPr>
          <w:rFonts w:ascii="Times New Roman" w:hAnsi="Times New Roman" w:cs="Times New Roman"/>
          <w:i/>
          <w:iCs/>
          <w:sz w:val="24"/>
          <w:szCs w:val="24"/>
        </w:rPr>
        <w:t>International Journal of Information Management</w:t>
      </w:r>
      <w:r>
        <w:rPr>
          <w:rFonts w:ascii="Times New Roman" w:hAnsi="Times New Roman" w:cs="Times New Roman"/>
          <w:sz w:val="24"/>
          <w:szCs w:val="24"/>
        </w:rPr>
        <w:t>, [online] 59(1), pp.1–37. doi: https://doi.org/10.1016/j.ijinfomgt.2020.102168.</w:t>
      </w:r>
    </w:p>
    <w:p w14:paraId="7D4628D6">
      <w:pPr>
        <w:spacing w:after="0" w:line="480" w:lineRule="auto"/>
        <w:ind w:left="567" w:hanging="567"/>
        <w:jc w:val="both"/>
        <w:rPr>
          <w:rFonts w:ascii="Times New Roman" w:hAnsi="Times New Roman" w:cs="Times New Roman"/>
          <w:sz w:val="24"/>
          <w:szCs w:val="24"/>
        </w:rPr>
      </w:pPr>
      <w:r>
        <w:rPr>
          <w:rFonts w:ascii="Times New Roman" w:hAnsi="Times New Roman" w:cs="Times New Roman"/>
          <w:sz w:val="24"/>
          <w:szCs w:val="24"/>
        </w:rPr>
        <w:t xml:space="preserve">Garrow, L.A., Hotle, S. and Mumbower, S. (2012). Assessment of product debundling trends in the US airline industry: Customer service and public policy implications. </w:t>
      </w:r>
      <w:r>
        <w:rPr>
          <w:rFonts w:ascii="Times New Roman" w:hAnsi="Times New Roman" w:cs="Times New Roman"/>
          <w:i/>
          <w:iCs/>
          <w:sz w:val="24"/>
          <w:szCs w:val="24"/>
        </w:rPr>
        <w:t>Transportation Research Part A: Policy and Practice</w:t>
      </w:r>
      <w:r>
        <w:rPr>
          <w:rFonts w:ascii="Times New Roman" w:hAnsi="Times New Roman" w:cs="Times New Roman"/>
          <w:sz w:val="24"/>
          <w:szCs w:val="24"/>
        </w:rPr>
        <w:t>, 46(2), pp.255–268. doi: https://doi.org/10.1016/j.tra.2011.09.009.</w:t>
      </w:r>
    </w:p>
    <w:p w14:paraId="0799A56A">
      <w:pPr>
        <w:spacing w:after="0" w:line="480" w:lineRule="auto"/>
        <w:ind w:left="567" w:hanging="567"/>
        <w:jc w:val="both"/>
        <w:rPr>
          <w:rFonts w:ascii="Times New Roman" w:hAnsi="Times New Roman" w:cs="Times New Roman"/>
          <w:sz w:val="24"/>
          <w:szCs w:val="24"/>
        </w:rPr>
      </w:pPr>
      <w:r>
        <w:rPr>
          <w:rFonts w:ascii="Times New Roman" w:hAnsi="Times New Roman" w:cs="Times New Roman"/>
          <w:sz w:val="24"/>
          <w:szCs w:val="24"/>
        </w:rPr>
        <w:t xml:space="preserve">Gössling, S. and Humpe, A. (2020). The Global Scale, Distribution, and Growth of Aviation: Implications for Climate Change. </w:t>
      </w:r>
      <w:r>
        <w:rPr>
          <w:rFonts w:ascii="Times New Roman" w:hAnsi="Times New Roman" w:cs="Times New Roman"/>
          <w:i/>
          <w:iCs/>
          <w:sz w:val="24"/>
          <w:szCs w:val="24"/>
        </w:rPr>
        <w:t>Global Environmental Change</w:t>
      </w:r>
      <w:r>
        <w:rPr>
          <w:rFonts w:ascii="Times New Roman" w:hAnsi="Times New Roman" w:cs="Times New Roman"/>
          <w:sz w:val="24"/>
          <w:szCs w:val="24"/>
        </w:rPr>
        <w:t>, [online] 65(102194). Doi:https://doi.org/10.1016/j.gloenvcha.2020.102194.</w:t>
      </w:r>
    </w:p>
    <w:p w14:paraId="2C6B76CD">
      <w:pPr>
        <w:spacing w:after="0" w:line="480" w:lineRule="auto"/>
        <w:ind w:left="567" w:hanging="567"/>
        <w:jc w:val="both"/>
        <w:rPr>
          <w:rFonts w:ascii="Times New Roman" w:hAnsi="Times New Roman" w:cs="Times New Roman"/>
          <w:sz w:val="24"/>
          <w:szCs w:val="24"/>
        </w:rPr>
      </w:pPr>
      <w:r>
        <w:rPr>
          <w:rFonts w:ascii="Times New Roman" w:hAnsi="Times New Roman" w:cs="Times New Roman"/>
          <w:sz w:val="24"/>
          <w:szCs w:val="24"/>
        </w:rPr>
        <w:t xml:space="preserve">Homburg, C., Jozić, D. and Kuehnl, C. (2017). Customer Experience management: toward Implementing an Evolving Marketing Concept. </w:t>
      </w:r>
      <w:r>
        <w:rPr>
          <w:rFonts w:ascii="Times New Roman" w:hAnsi="Times New Roman" w:cs="Times New Roman"/>
          <w:i/>
          <w:iCs/>
          <w:sz w:val="24"/>
          <w:szCs w:val="24"/>
        </w:rPr>
        <w:t>Journal of the Academy of Marketing Science</w:t>
      </w:r>
      <w:r>
        <w:rPr>
          <w:rFonts w:ascii="Times New Roman" w:hAnsi="Times New Roman" w:cs="Times New Roman"/>
          <w:sz w:val="24"/>
          <w:szCs w:val="24"/>
        </w:rPr>
        <w:t>, 45(3), pp.377–401.</w:t>
      </w:r>
    </w:p>
    <w:p w14:paraId="31B95F28">
      <w:pPr>
        <w:spacing w:after="0" w:line="480" w:lineRule="auto"/>
        <w:ind w:left="567" w:hanging="567"/>
        <w:jc w:val="both"/>
        <w:rPr>
          <w:rFonts w:ascii="Times New Roman" w:hAnsi="Times New Roman" w:cs="Times New Roman"/>
          <w:sz w:val="24"/>
          <w:szCs w:val="24"/>
        </w:rPr>
      </w:pPr>
      <w:r>
        <w:rPr>
          <w:rFonts w:ascii="Times New Roman" w:hAnsi="Times New Roman" w:cs="Times New Roman"/>
          <w:sz w:val="24"/>
          <w:szCs w:val="24"/>
        </w:rPr>
        <w:t xml:space="preserve">IATA (2023). </w:t>
      </w:r>
      <w:r>
        <w:rPr>
          <w:rFonts w:ascii="Times New Roman" w:hAnsi="Times New Roman" w:cs="Times New Roman"/>
          <w:i/>
          <w:iCs/>
          <w:sz w:val="24"/>
          <w:szCs w:val="24"/>
        </w:rPr>
        <w:t>IATA’s Annual Review</w:t>
      </w:r>
      <w:r>
        <w:rPr>
          <w:rFonts w:ascii="Times New Roman" w:hAnsi="Times New Roman" w:cs="Times New Roman"/>
          <w:sz w:val="24"/>
          <w:szCs w:val="24"/>
        </w:rPr>
        <w:t>. [online] www.iata.org. Available at: https://www.iata.org/en/publications/annual-review/.</w:t>
      </w:r>
    </w:p>
    <w:p w14:paraId="2F843C5A">
      <w:pPr>
        <w:spacing w:after="0" w:line="480" w:lineRule="auto"/>
        <w:ind w:left="567" w:hanging="567"/>
        <w:jc w:val="both"/>
        <w:rPr>
          <w:rFonts w:ascii="Times New Roman" w:hAnsi="Times New Roman" w:cs="Times New Roman"/>
          <w:sz w:val="24"/>
          <w:szCs w:val="24"/>
        </w:rPr>
      </w:pPr>
      <w:r>
        <w:rPr>
          <w:rFonts w:ascii="Times New Roman" w:hAnsi="Times New Roman" w:cs="Times New Roman"/>
          <w:sz w:val="24"/>
          <w:szCs w:val="24"/>
        </w:rPr>
        <w:t xml:space="preserve">Kaplan, R.S. and Norton, D.P. (1992). </w:t>
      </w:r>
      <w:r>
        <w:rPr>
          <w:rFonts w:ascii="Times New Roman" w:hAnsi="Times New Roman" w:cs="Times New Roman"/>
          <w:i/>
          <w:iCs/>
          <w:sz w:val="24"/>
          <w:szCs w:val="24"/>
        </w:rPr>
        <w:t>The balanced scorecard: Measures that drive performance</w:t>
      </w:r>
      <w:r>
        <w:rPr>
          <w:rFonts w:ascii="Times New Roman" w:hAnsi="Times New Roman" w:cs="Times New Roman"/>
          <w:sz w:val="24"/>
          <w:szCs w:val="24"/>
        </w:rPr>
        <w:t>. Boston, Mass.: Harvard Business Review Press, pp.71–79.</w:t>
      </w:r>
    </w:p>
    <w:p w14:paraId="7F0C12B9">
      <w:pPr>
        <w:spacing w:after="0" w:line="480" w:lineRule="auto"/>
        <w:ind w:left="567" w:hanging="567"/>
        <w:jc w:val="both"/>
        <w:rPr>
          <w:rFonts w:ascii="Times New Roman" w:hAnsi="Times New Roman" w:cs="Times New Roman"/>
          <w:sz w:val="24"/>
          <w:szCs w:val="24"/>
        </w:rPr>
      </w:pPr>
      <w:r>
        <w:rPr>
          <w:rFonts w:ascii="Times New Roman" w:hAnsi="Times New Roman" w:cs="Times New Roman"/>
          <w:sz w:val="24"/>
          <w:szCs w:val="24"/>
        </w:rPr>
        <w:t xml:space="preserve">Keller, K.L. (1993). Conceptualising, Measuring, and Managing Customer-Based Brand Equity. </w:t>
      </w:r>
      <w:r>
        <w:rPr>
          <w:rFonts w:ascii="Times New Roman" w:hAnsi="Times New Roman" w:cs="Times New Roman"/>
          <w:i/>
          <w:iCs/>
          <w:sz w:val="24"/>
          <w:szCs w:val="24"/>
        </w:rPr>
        <w:t>Journal of Marketing</w:t>
      </w:r>
      <w:r>
        <w:rPr>
          <w:rFonts w:ascii="Times New Roman" w:hAnsi="Times New Roman" w:cs="Times New Roman"/>
          <w:sz w:val="24"/>
          <w:szCs w:val="24"/>
        </w:rPr>
        <w:t>, [online] 57(1), pp.1–22. doi: https://doi.org/10.1177/002224299305700101.</w:t>
      </w:r>
    </w:p>
    <w:p w14:paraId="0D372EBC">
      <w:pPr>
        <w:spacing w:after="0" w:line="480" w:lineRule="auto"/>
        <w:ind w:left="567" w:hanging="567"/>
        <w:jc w:val="both"/>
        <w:rPr>
          <w:rFonts w:ascii="Times New Roman" w:hAnsi="Times New Roman" w:cs="Times New Roman"/>
          <w:sz w:val="24"/>
          <w:szCs w:val="24"/>
        </w:rPr>
      </w:pPr>
      <w:r>
        <w:rPr>
          <w:rFonts w:ascii="Times New Roman" w:hAnsi="Times New Roman" w:cs="Times New Roman"/>
          <w:sz w:val="24"/>
          <w:szCs w:val="24"/>
        </w:rPr>
        <w:t xml:space="preserve">Kliatchko, J. (2008). Revisiting the IMC Construct. </w:t>
      </w:r>
      <w:r>
        <w:rPr>
          <w:rFonts w:ascii="Times New Roman" w:hAnsi="Times New Roman" w:cs="Times New Roman"/>
          <w:i/>
          <w:iCs/>
          <w:sz w:val="24"/>
          <w:szCs w:val="24"/>
        </w:rPr>
        <w:t>International Journal of Advertising</w:t>
      </w:r>
      <w:r>
        <w:rPr>
          <w:rFonts w:ascii="Times New Roman" w:hAnsi="Times New Roman" w:cs="Times New Roman"/>
          <w:sz w:val="24"/>
          <w:szCs w:val="24"/>
        </w:rPr>
        <w:t>, 27(1), pp.133–160. doi: https://doi.org/10.1080/02650487.2008.11073043.</w:t>
      </w:r>
    </w:p>
    <w:p w14:paraId="19088897">
      <w:pPr>
        <w:spacing w:after="0" w:line="480" w:lineRule="auto"/>
        <w:ind w:left="567" w:hanging="567"/>
        <w:jc w:val="both"/>
        <w:rPr>
          <w:rFonts w:ascii="Times New Roman" w:hAnsi="Times New Roman" w:cs="Times New Roman"/>
          <w:sz w:val="24"/>
          <w:szCs w:val="24"/>
        </w:rPr>
      </w:pPr>
      <w:r>
        <w:rPr>
          <w:rFonts w:ascii="Times New Roman" w:hAnsi="Times New Roman" w:cs="Times New Roman"/>
          <w:sz w:val="24"/>
          <w:szCs w:val="24"/>
        </w:rPr>
        <w:t xml:space="preserve">Kotler, P. and Keller, K.L. (2016). </w:t>
      </w:r>
      <w:r>
        <w:rPr>
          <w:rFonts w:ascii="Times New Roman" w:hAnsi="Times New Roman" w:cs="Times New Roman"/>
          <w:i/>
          <w:iCs/>
          <w:sz w:val="24"/>
          <w:szCs w:val="24"/>
        </w:rPr>
        <w:t>Marketing Management</w:t>
      </w:r>
      <w:r>
        <w:rPr>
          <w:rFonts w:ascii="Times New Roman" w:hAnsi="Times New Roman" w:cs="Times New Roman"/>
          <w:sz w:val="24"/>
          <w:szCs w:val="24"/>
        </w:rPr>
        <w:t>. 15th ed. Boston: Pearson.</w:t>
      </w:r>
    </w:p>
    <w:p w14:paraId="776CB55C">
      <w:pPr>
        <w:spacing w:after="0" w:line="480" w:lineRule="auto"/>
        <w:ind w:left="567" w:hanging="567"/>
        <w:jc w:val="both"/>
        <w:rPr>
          <w:rFonts w:ascii="Times New Roman" w:hAnsi="Times New Roman" w:cs="Times New Roman"/>
          <w:sz w:val="24"/>
          <w:szCs w:val="24"/>
        </w:rPr>
      </w:pPr>
      <w:r>
        <w:rPr>
          <w:rFonts w:ascii="Times New Roman" w:hAnsi="Times New Roman" w:cs="Times New Roman"/>
          <w:sz w:val="24"/>
          <w:szCs w:val="24"/>
        </w:rPr>
        <w:t xml:space="preserve">Lemon, K.N. and Verhoef, P.C. (2016). Understanding Customer Experience Throughout the Customer Journey. </w:t>
      </w:r>
      <w:r>
        <w:rPr>
          <w:rFonts w:ascii="Times New Roman" w:hAnsi="Times New Roman" w:cs="Times New Roman"/>
          <w:i/>
          <w:iCs/>
          <w:sz w:val="24"/>
          <w:szCs w:val="24"/>
        </w:rPr>
        <w:t>Journal of Marketing</w:t>
      </w:r>
      <w:r>
        <w:rPr>
          <w:rFonts w:ascii="Times New Roman" w:hAnsi="Times New Roman" w:cs="Times New Roman"/>
          <w:sz w:val="24"/>
          <w:szCs w:val="24"/>
        </w:rPr>
        <w:t>, [online] 80(6), pp.69–96. doi: https://doi.org/10.1509/jm.15.0420.</w:t>
      </w:r>
    </w:p>
    <w:p w14:paraId="20768695">
      <w:pPr>
        <w:spacing w:after="0" w:line="480" w:lineRule="auto"/>
        <w:ind w:left="567" w:hanging="567"/>
        <w:jc w:val="both"/>
        <w:rPr>
          <w:rFonts w:ascii="Times New Roman" w:hAnsi="Times New Roman" w:cs="Times New Roman"/>
          <w:sz w:val="24"/>
          <w:szCs w:val="24"/>
        </w:rPr>
      </w:pPr>
      <w:r>
        <w:rPr>
          <w:rFonts w:ascii="Times New Roman" w:hAnsi="Times New Roman" w:cs="Times New Roman"/>
          <w:sz w:val="24"/>
          <w:szCs w:val="24"/>
        </w:rPr>
        <w:t xml:space="preserve">Lovelock, C. and Wirtz, J. (2016) </w:t>
      </w:r>
      <w:r>
        <w:rPr>
          <w:rFonts w:ascii="Times New Roman" w:hAnsi="Times New Roman" w:cs="Times New Roman"/>
          <w:i/>
          <w:iCs/>
          <w:sz w:val="24"/>
          <w:szCs w:val="24"/>
        </w:rPr>
        <w:t>Services Marketing: People, Technology, Strategy</w:t>
      </w:r>
      <w:r>
        <w:rPr>
          <w:rFonts w:ascii="Times New Roman" w:hAnsi="Times New Roman" w:cs="Times New Roman"/>
          <w:sz w:val="24"/>
          <w:szCs w:val="24"/>
        </w:rPr>
        <w:t>. 8th edn. Harlow: Pearson Education.</w:t>
      </w:r>
    </w:p>
    <w:p w14:paraId="7E15B4DA">
      <w:pPr>
        <w:spacing w:after="0" w:line="480" w:lineRule="auto"/>
        <w:ind w:left="567" w:hanging="567"/>
        <w:jc w:val="both"/>
        <w:rPr>
          <w:rFonts w:ascii="Times New Roman" w:hAnsi="Times New Roman" w:cs="Times New Roman"/>
          <w:sz w:val="24"/>
          <w:szCs w:val="24"/>
        </w:rPr>
      </w:pPr>
      <w:r>
        <w:rPr>
          <w:rFonts w:ascii="Times New Roman" w:hAnsi="Times New Roman" w:cs="Times New Roman"/>
          <w:sz w:val="24"/>
          <w:szCs w:val="24"/>
        </w:rPr>
        <w:t xml:space="preserve">Lyon, T.P. and Montgomery, A.W. (2015). The Means and End of Greenwash. </w:t>
      </w:r>
      <w:r>
        <w:rPr>
          <w:rFonts w:ascii="Times New Roman" w:hAnsi="Times New Roman" w:cs="Times New Roman"/>
          <w:i/>
          <w:iCs/>
          <w:sz w:val="24"/>
          <w:szCs w:val="24"/>
        </w:rPr>
        <w:t>Organisation &amp; Environment</w:t>
      </w:r>
      <w:r>
        <w:rPr>
          <w:rFonts w:ascii="Times New Roman" w:hAnsi="Times New Roman" w:cs="Times New Roman"/>
          <w:sz w:val="24"/>
          <w:szCs w:val="24"/>
        </w:rPr>
        <w:t>, [online] 28(2), pp.223–249. doi: https://doi.org/10.1177/1086026615575332.</w:t>
      </w:r>
    </w:p>
    <w:p w14:paraId="21C80E47">
      <w:pPr>
        <w:spacing w:after="0" w:line="480" w:lineRule="auto"/>
        <w:ind w:left="567" w:hanging="567"/>
        <w:jc w:val="both"/>
        <w:rPr>
          <w:rFonts w:ascii="Times New Roman" w:hAnsi="Times New Roman" w:cs="Times New Roman"/>
          <w:sz w:val="24"/>
          <w:szCs w:val="24"/>
        </w:rPr>
      </w:pPr>
      <w:r>
        <w:rPr>
          <w:rFonts w:ascii="Times New Roman" w:hAnsi="Times New Roman" w:cs="Times New Roman"/>
          <w:sz w:val="24"/>
          <w:szCs w:val="24"/>
        </w:rPr>
        <w:t xml:space="preserve">Mason, K.J. and Morrison, W.G. (2008). Towards a means of consistently comparing airline business models with an application to the ‘low cost’ airline sector. </w:t>
      </w:r>
      <w:r>
        <w:rPr>
          <w:rFonts w:ascii="Times New Roman" w:hAnsi="Times New Roman" w:cs="Times New Roman"/>
          <w:i/>
          <w:iCs/>
          <w:sz w:val="24"/>
          <w:szCs w:val="24"/>
        </w:rPr>
        <w:t>Research in Transportation Economics</w:t>
      </w:r>
      <w:r>
        <w:rPr>
          <w:rFonts w:ascii="Times New Roman" w:hAnsi="Times New Roman" w:cs="Times New Roman"/>
          <w:sz w:val="24"/>
          <w:szCs w:val="24"/>
        </w:rPr>
        <w:t>, 24(1), pp.75–84. doi: https://doi.org/10.1016/j.retrec.2009.01.006.</w:t>
      </w:r>
    </w:p>
    <w:p w14:paraId="12D86FAB">
      <w:pPr>
        <w:spacing w:after="0" w:line="480" w:lineRule="auto"/>
        <w:ind w:left="567" w:hanging="567"/>
        <w:jc w:val="both"/>
        <w:rPr>
          <w:rFonts w:ascii="Times New Roman" w:hAnsi="Times New Roman" w:cs="Times New Roman"/>
          <w:sz w:val="24"/>
          <w:szCs w:val="24"/>
        </w:rPr>
      </w:pPr>
      <w:r>
        <w:rPr>
          <w:rFonts w:ascii="Times New Roman" w:hAnsi="Times New Roman" w:cs="Times New Roman"/>
          <w:sz w:val="24"/>
          <w:szCs w:val="24"/>
        </w:rPr>
        <w:t xml:space="preserve">Morgan, N.A., Whitler, K.A., Feng, H. and Chari, S. (2019). Research in Marketing Strategy. </w:t>
      </w:r>
      <w:r>
        <w:rPr>
          <w:rFonts w:ascii="Times New Roman" w:hAnsi="Times New Roman" w:cs="Times New Roman"/>
          <w:i/>
          <w:iCs/>
          <w:sz w:val="24"/>
          <w:szCs w:val="24"/>
        </w:rPr>
        <w:t>Journal of the Academy of Marketing Science</w:t>
      </w:r>
      <w:r>
        <w:rPr>
          <w:rFonts w:ascii="Times New Roman" w:hAnsi="Times New Roman" w:cs="Times New Roman"/>
          <w:sz w:val="24"/>
          <w:szCs w:val="24"/>
        </w:rPr>
        <w:t>, [online] 47(1), pp.4–29. doi: https://doi.org/10.1007/s11747-018-0598-1.</w:t>
      </w:r>
    </w:p>
    <w:p w14:paraId="1440BD9A">
      <w:pPr>
        <w:spacing w:after="0" w:line="480" w:lineRule="auto"/>
        <w:ind w:left="567" w:hanging="567"/>
        <w:jc w:val="both"/>
        <w:rPr>
          <w:rFonts w:ascii="Times New Roman" w:hAnsi="Times New Roman" w:cs="Times New Roman"/>
          <w:sz w:val="24"/>
          <w:szCs w:val="24"/>
        </w:rPr>
      </w:pPr>
      <w:r>
        <w:rPr>
          <w:rFonts w:ascii="Times New Roman" w:hAnsi="Times New Roman" w:cs="Times New Roman"/>
          <w:sz w:val="24"/>
          <w:szCs w:val="24"/>
        </w:rPr>
        <w:t xml:space="preserve">Nyilasy, G., Gangadharbatla, H. and Paladino, A. (2014). Perceived Greenwashing: The Interactive Effects of Green Advertising and Corporate Environmental Performance on Consumer Reactions. </w:t>
      </w:r>
      <w:r>
        <w:rPr>
          <w:rFonts w:ascii="Times New Roman" w:hAnsi="Times New Roman" w:cs="Times New Roman"/>
          <w:i/>
          <w:iCs/>
          <w:sz w:val="24"/>
          <w:szCs w:val="24"/>
        </w:rPr>
        <w:t>Journal of Business Ethics</w:t>
      </w:r>
      <w:r>
        <w:rPr>
          <w:rFonts w:ascii="Times New Roman" w:hAnsi="Times New Roman" w:cs="Times New Roman"/>
          <w:sz w:val="24"/>
          <w:szCs w:val="24"/>
        </w:rPr>
        <w:t xml:space="preserve">, [online] 125(4), pp.693–707. doi: </w:t>
      </w:r>
      <w:r>
        <w:fldChar w:fldCharType="begin"/>
      </w:r>
      <w:r>
        <w:instrText xml:space="preserve"> HYPERLINK "https://doi.org/10.1007/s10551-013-1944-3" </w:instrText>
      </w:r>
      <w:r>
        <w:fldChar w:fldCharType="separate"/>
      </w:r>
      <w:r>
        <w:rPr>
          <w:rStyle w:val="22"/>
          <w:rFonts w:ascii="Times New Roman" w:hAnsi="Times New Roman" w:cs="Times New Roman"/>
          <w:sz w:val="24"/>
          <w:szCs w:val="24"/>
        </w:rPr>
        <w:t>https://doi.org/10.1007/s10551-013-1944-3</w:t>
      </w:r>
      <w:r>
        <w:rPr>
          <w:rStyle w:val="22"/>
          <w:rFonts w:ascii="Times New Roman" w:hAnsi="Times New Roman" w:cs="Times New Roman"/>
          <w:sz w:val="24"/>
          <w:szCs w:val="24"/>
        </w:rPr>
        <w:fldChar w:fldCharType="end"/>
      </w:r>
      <w:r>
        <w:rPr>
          <w:rFonts w:ascii="Times New Roman" w:hAnsi="Times New Roman" w:cs="Times New Roman"/>
          <w:sz w:val="24"/>
          <w:szCs w:val="24"/>
        </w:rPr>
        <w:t>.</w:t>
      </w:r>
    </w:p>
    <w:p w14:paraId="12B6858E">
      <w:pPr>
        <w:spacing w:after="0" w:line="480" w:lineRule="auto"/>
        <w:ind w:left="567" w:hanging="567"/>
        <w:jc w:val="both"/>
        <w:rPr>
          <w:rFonts w:ascii="Times New Roman" w:hAnsi="Times New Roman" w:cs="Times New Roman"/>
          <w:sz w:val="24"/>
          <w:szCs w:val="24"/>
        </w:rPr>
      </w:pPr>
      <w:r>
        <w:rPr>
          <w:rFonts w:ascii="Times New Roman" w:hAnsi="Times New Roman" w:cs="Times New Roman"/>
          <w:sz w:val="24"/>
          <w:szCs w:val="24"/>
        </w:rPr>
        <w:t xml:space="preserve">Moghadasnian, M. and KheymehGard, M. (2024) ‘Strategic brand management and marketing effectiveness in the airline industry: A KPI-driven approach’, </w:t>
      </w:r>
      <w:r>
        <w:rPr>
          <w:rFonts w:ascii="Times New Roman" w:hAnsi="Times New Roman" w:cs="Times New Roman"/>
          <w:i/>
          <w:iCs/>
          <w:sz w:val="24"/>
          <w:szCs w:val="24"/>
        </w:rPr>
        <w:t>Journal of Brand Management</w:t>
      </w:r>
      <w:r>
        <w:rPr>
          <w:rFonts w:ascii="Times New Roman" w:hAnsi="Times New Roman" w:cs="Times New Roman"/>
          <w:sz w:val="24"/>
          <w:szCs w:val="24"/>
        </w:rPr>
        <w:t>, 32(1), pp. 45–62.</w:t>
      </w:r>
    </w:p>
    <w:p w14:paraId="7F2E4C6F">
      <w:pPr>
        <w:spacing w:after="0" w:line="480" w:lineRule="auto"/>
        <w:ind w:left="567" w:hanging="567"/>
        <w:jc w:val="both"/>
        <w:rPr>
          <w:rFonts w:ascii="Times New Roman" w:hAnsi="Times New Roman" w:cs="Times New Roman"/>
          <w:sz w:val="24"/>
          <w:szCs w:val="24"/>
        </w:rPr>
      </w:pPr>
      <w:r>
        <w:rPr>
          <w:rFonts w:ascii="Times New Roman" w:hAnsi="Times New Roman" w:cs="Times New Roman"/>
          <w:sz w:val="24"/>
          <w:szCs w:val="24"/>
        </w:rPr>
        <w:t xml:space="preserve">Porter, M.E. (1980). Industry Structure and Competitive Strategy: Keys to Profitability. </w:t>
      </w:r>
      <w:r>
        <w:rPr>
          <w:rFonts w:ascii="Times New Roman" w:hAnsi="Times New Roman" w:cs="Times New Roman"/>
          <w:i/>
          <w:iCs/>
          <w:sz w:val="24"/>
          <w:szCs w:val="24"/>
        </w:rPr>
        <w:t>Financial Analysts Journal</w:t>
      </w:r>
      <w:r>
        <w:rPr>
          <w:rFonts w:ascii="Times New Roman" w:hAnsi="Times New Roman" w:cs="Times New Roman"/>
          <w:sz w:val="24"/>
          <w:szCs w:val="24"/>
        </w:rPr>
        <w:t>, [online] 36(4), pp.30–41. doi: https://doi.org/10.2469/faj.v36.n4.30.</w:t>
      </w:r>
    </w:p>
    <w:p w14:paraId="16A626F8">
      <w:pPr>
        <w:spacing w:after="0" w:line="480" w:lineRule="auto"/>
        <w:ind w:left="567" w:hanging="567"/>
        <w:jc w:val="both"/>
        <w:rPr>
          <w:rFonts w:ascii="Times New Roman" w:hAnsi="Times New Roman" w:cs="Times New Roman"/>
          <w:sz w:val="24"/>
          <w:szCs w:val="24"/>
        </w:rPr>
      </w:pPr>
      <w:r>
        <w:rPr>
          <w:rFonts w:ascii="Times New Roman" w:hAnsi="Times New Roman" w:cs="Times New Roman"/>
          <w:sz w:val="24"/>
          <w:szCs w:val="24"/>
        </w:rPr>
        <w:t xml:space="preserve">Ries, A. and Trout, J. (1981). </w:t>
      </w:r>
      <w:r>
        <w:rPr>
          <w:rFonts w:ascii="Times New Roman" w:hAnsi="Times New Roman" w:cs="Times New Roman"/>
          <w:i/>
          <w:iCs/>
          <w:sz w:val="24"/>
          <w:szCs w:val="24"/>
        </w:rPr>
        <w:t>Positioning : the Battle for Your Mind</w:t>
      </w:r>
      <w:r>
        <w:rPr>
          <w:rFonts w:ascii="Times New Roman" w:hAnsi="Times New Roman" w:cs="Times New Roman"/>
          <w:sz w:val="24"/>
          <w:szCs w:val="24"/>
        </w:rPr>
        <w:t>. Beijing: Ji Xie Gong Ye Chu Ban She.</w:t>
      </w:r>
    </w:p>
    <w:p w14:paraId="7F31A8CB">
      <w:pPr>
        <w:spacing w:after="0" w:line="480" w:lineRule="auto"/>
        <w:ind w:left="567" w:hanging="567"/>
        <w:jc w:val="both"/>
        <w:rPr>
          <w:rFonts w:ascii="Times New Roman" w:hAnsi="Times New Roman" w:cs="Times New Roman"/>
          <w:sz w:val="24"/>
          <w:szCs w:val="24"/>
        </w:rPr>
      </w:pPr>
      <w:r>
        <w:rPr>
          <w:rFonts w:ascii="Times New Roman" w:hAnsi="Times New Roman" w:cs="Times New Roman"/>
          <w:sz w:val="24"/>
          <w:szCs w:val="24"/>
        </w:rPr>
        <w:t xml:space="preserve">Verhoef, P.C., Broekhuizen, T., Bart, Y., Bhattacharya, A., Qi Dong, J., Fabian, N. and Haenlein, M. (2021). Digital transformation: a Multidisciplinary Reflection and Research Agenda. </w:t>
      </w:r>
      <w:r>
        <w:rPr>
          <w:rFonts w:ascii="Times New Roman" w:hAnsi="Times New Roman" w:cs="Times New Roman"/>
          <w:i/>
          <w:iCs/>
          <w:sz w:val="24"/>
          <w:szCs w:val="24"/>
        </w:rPr>
        <w:t>Journal of Business Research</w:t>
      </w:r>
      <w:r>
        <w:rPr>
          <w:rFonts w:ascii="Times New Roman" w:hAnsi="Times New Roman" w:cs="Times New Roman"/>
          <w:sz w:val="24"/>
          <w:szCs w:val="24"/>
        </w:rPr>
        <w:t>, [online] 122(122), pp.889–901. doi: https://doi.org/10.1016/j.jbusres.2019.09.022.</w:t>
      </w:r>
    </w:p>
    <w:p w14:paraId="2F25767F">
      <w:pPr>
        <w:spacing w:after="0" w:line="480" w:lineRule="auto"/>
        <w:ind w:left="567" w:hanging="567"/>
        <w:jc w:val="both"/>
        <w:rPr>
          <w:rFonts w:ascii="Times New Roman" w:hAnsi="Times New Roman" w:cs="Times New Roman"/>
          <w:sz w:val="24"/>
          <w:szCs w:val="24"/>
        </w:rPr>
      </w:pPr>
      <w:r>
        <w:rPr>
          <w:rFonts w:ascii="Times New Roman" w:hAnsi="Times New Roman" w:cs="Times New Roman"/>
          <w:sz w:val="24"/>
          <w:szCs w:val="24"/>
        </w:rPr>
        <w:t xml:space="preserve">Wedel, M. and Kamakura, W.A. (2012). </w:t>
      </w:r>
      <w:r>
        <w:rPr>
          <w:rFonts w:ascii="Times New Roman" w:hAnsi="Times New Roman" w:cs="Times New Roman"/>
          <w:i/>
          <w:iCs/>
          <w:sz w:val="24"/>
          <w:szCs w:val="24"/>
        </w:rPr>
        <w:t>Market Segmentation: Conceptual and Methodological Foundations</w:t>
      </w:r>
      <w:r>
        <w:rPr>
          <w:rFonts w:ascii="Times New Roman" w:hAnsi="Times New Roman" w:cs="Times New Roman"/>
          <w:sz w:val="24"/>
          <w:szCs w:val="24"/>
        </w:rPr>
        <w:t xml:space="preserve">. [online] </w:t>
      </w:r>
      <w:r>
        <w:rPr>
          <w:rFonts w:ascii="Times New Roman" w:hAnsi="Times New Roman" w:cs="Times New Roman"/>
          <w:i/>
          <w:iCs/>
          <w:sz w:val="24"/>
          <w:szCs w:val="24"/>
        </w:rPr>
        <w:t>International Series in Quantitative Marketing</w:t>
      </w:r>
      <w:r>
        <w:rPr>
          <w:rFonts w:ascii="Times New Roman" w:hAnsi="Times New Roman" w:cs="Times New Roman"/>
          <w:sz w:val="24"/>
          <w:szCs w:val="24"/>
        </w:rPr>
        <w:t xml:space="preserve">. Boston, MA: Springer US. doi: </w:t>
      </w:r>
      <w:r>
        <w:fldChar w:fldCharType="begin"/>
      </w:r>
      <w:r>
        <w:instrText xml:space="preserve"> HYPERLINK "https://doi.org/10.1007/978-1-4615-4651-1" </w:instrText>
      </w:r>
      <w:r>
        <w:fldChar w:fldCharType="separate"/>
      </w:r>
      <w:r>
        <w:rPr>
          <w:rStyle w:val="22"/>
          <w:rFonts w:ascii="Times New Roman" w:hAnsi="Times New Roman" w:cs="Times New Roman"/>
          <w:sz w:val="24"/>
          <w:szCs w:val="24"/>
        </w:rPr>
        <w:t>https://doi.org/10.1007/978-1-4615-4651-1</w:t>
      </w:r>
      <w:r>
        <w:rPr>
          <w:rStyle w:val="22"/>
          <w:rFonts w:ascii="Times New Roman" w:hAnsi="Times New Roman" w:cs="Times New Roman"/>
          <w:sz w:val="24"/>
          <w:szCs w:val="24"/>
        </w:rPr>
        <w:fldChar w:fldCharType="end"/>
      </w:r>
      <w:r>
        <w:rPr>
          <w:rFonts w:ascii="Times New Roman" w:hAnsi="Times New Roman" w:cs="Times New Roman"/>
          <w:sz w:val="24"/>
          <w:szCs w:val="24"/>
        </w:rPr>
        <w:t>.</w:t>
      </w:r>
    </w:p>
    <w:p w14:paraId="4B3FBEA0">
      <w:pPr>
        <w:spacing w:after="0" w:line="480" w:lineRule="auto"/>
        <w:ind w:left="567" w:hanging="567"/>
        <w:jc w:val="both"/>
        <w:rPr>
          <w:rFonts w:ascii="Times New Roman" w:hAnsi="Times New Roman" w:cs="Times New Roman"/>
          <w:sz w:val="24"/>
          <w:szCs w:val="24"/>
        </w:rPr>
      </w:pPr>
      <w:r>
        <w:rPr>
          <w:rFonts w:ascii="Times New Roman" w:hAnsi="Times New Roman" w:cs="Times New Roman"/>
          <w:sz w:val="24"/>
          <w:szCs w:val="24"/>
        </w:rPr>
        <w:t xml:space="preserve">Zeithaml, V.A., Bitner, M.J. and Gremler, D.D. (2020). </w:t>
      </w:r>
      <w:r>
        <w:rPr>
          <w:rFonts w:ascii="Times New Roman" w:hAnsi="Times New Roman" w:cs="Times New Roman"/>
          <w:i/>
          <w:iCs/>
          <w:sz w:val="24"/>
          <w:szCs w:val="24"/>
        </w:rPr>
        <w:t>Services marketing: Integrating customer focus across the firm</w:t>
      </w:r>
      <w:r>
        <w:rPr>
          <w:rFonts w:ascii="Times New Roman" w:hAnsi="Times New Roman" w:cs="Times New Roman"/>
          <w:sz w:val="24"/>
          <w:szCs w:val="24"/>
        </w:rPr>
        <w:t>. 7th ed. New York, Ny: Mcgraw-Hill Education.</w:t>
      </w:r>
    </w:p>
    <w:p w14:paraId="6780EDD1">
      <w:pPr>
        <w:spacing w:after="0" w:line="480" w:lineRule="auto"/>
        <w:ind w:left="567" w:hanging="567"/>
        <w:jc w:val="both"/>
        <w:rPr>
          <w:rFonts w:ascii="Times New Roman" w:hAnsi="Times New Roman" w:cs="Times New Roman"/>
          <w:sz w:val="24"/>
          <w:szCs w:val="24"/>
        </w:rPr>
      </w:pPr>
    </w:p>
    <w:bookmarkEnd w:id="0"/>
    <w:p w14:paraId="58306821">
      <w:pPr>
        <w:spacing w:after="0" w:line="480" w:lineRule="auto"/>
        <w:jc w:val="both"/>
        <w:rPr>
          <w:rFonts w:ascii="Times New Roman" w:hAnsi="Times New Roman" w:cs="Times New Roman"/>
          <w:sz w:val="24"/>
          <w:szCs w:val="24"/>
        </w:rPr>
      </w:pPr>
    </w:p>
    <w:sectPr>
      <w:headerReference r:id="rId5" w:type="default"/>
      <w:pgSz w:w="12240" w:h="15840"/>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86"/>
    <w:family w:val="swiss"/>
    <w:pitch w:val="default"/>
    <w:sig w:usb0="00000000" w:usb1="00000000" w:usb2="00000001" w:usb3="00000000" w:csb0="0000019F" w:csb1="00000000"/>
  </w:font>
  <w:font w:name="Calibri">
    <w:altName w:val="Helvetica Neue"/>
    <w:panose1 w:val="020F0502020204030204"/>
    <w:charset w:val="86"/>
    <w:family w:val="swiss"/>
    <w:pitch w:val="default"/>
    <w:sig w:usb0="00000000" w:usb1="00000000" w:usb2="00000001" w:usb3="00000000" w:csb0="0000019F" w:csb1="00000000"/>
  </w:font>
  <w:font w:name="Calibri">
    <w:altName w:val="Helvetica Neue"/>
    <w:panose1 w:val="00000000000000000000"/>
    <w:charset w:val="00"/>
    <w:family w:val="auto"/>
    <w:pitch w:val="default"/>
    <w:sig w:usb0="00000000" w:usb1="00000000" w:usb2="00000000" w:usb3="00000000" w:csb0="00000000" w:csb1="00000000"/>
  </w:font>
  <w:font w:name="等线 Light">
    <w:altName w:val="汉仪中等线KW"/>
    <w:panose1 w:val="00000000000000000000"/>
    <w:charset w:val="00"/>
    <w:family w:val="auto"/>
    <w:pitch w:val="default"/>
    <w:sig w:usb0="00000000" w:usb1="00000000" w:usb2="00000000" w:usb3="00000000" w:csb0="00000000" w:csb1="00000000"/>
  </w:font>
  <w:font w:name="Calibri Light">
    <w:altName w:val="Helvetica Neue"/>
    <w:panose1 w:val="020F0302020204030204"/>
    <w:charset w:val="00"/>
    <w:family w:val="swiss"/>
    <w:pitch w:val="default"/>
    <w:sig w:usb0="00000000" w:usb1="00000000" w:usb2="00000009" w:usb3="00000000" w:csb0="000001FF" w:csb1="00000000"/>
  </w:font>
  <w:font w:name="Helvetica Neue">
    <w:panose1 w:val="02000503000000020004"/>
    <w:charset w:val="00"/>
    <w:family w:val="auto"/>
    <w:pitch w:val="default"/>
    <w:sig w:usb0="E50002FF" w:usb1="500079DB" w:usb2="00000010" w:usb3="00000000" w:csb0="00000000" w:csb1="00000000"/>
  </w:font>
  <w:font w:name="冬青黑体简体中文">
    <w:panose1 w:val="020B0300000000000000"/>
    <w:charset w:val="86"/>
    <w:family w:val="auto"/>
    <w:pitch w:val="default"/>
    <w:sig w:usb0="A00002BF" w:usb1="1ACF7CFA" w:usb2="00000016" w:usb3="00000000" w:csb0="00060007" w:csb1="00000000"/>
  </w:font>
  <w:font w:name="PingFang SC">
    <w:panose1 w:val="020B0400000000000000"/>
    <w:charset w:val="86"/>
    <w:family w:val="auto"/>
    <w:pitch w:val="default"/>
    <w:sig w:usb0="A00002FF" w:usb1="7ACFFDFB" w:usb2="00000017" w:usb3="00000000" w:csb0="00040001" w:csb1="00000000"/>
  </w:font>
  <w:font w:name="Tahoma">
    <w:panose1 w:val="020B0604030504040204"/>
    <w:charset w:val="00"/>
    <w:family w:val="auto"/>
    <w:pitch w:val="default"/>
    <w:sig w:usb0="E1002AFF" w:usb1="C000605B" w:usb2="00000029" w:usb3="00000000" w:csb0="200101FF" w:csb1="2028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
      <w:docPartObj>
        <w:docPartGallery w:val="autotext"/>
      </w:docPartObj>
    </w:sdtPr>
    <w:sdtContent>
      <w:p w14:paraId="140DF655">
        <w:pPr>
          <w:pStyle w:val="13"/>
          <w:jc w:val="right"/>
        </w:pPr>
        <w:r>
          <w:fldChar w:fldCharType="begin"/>
        </w:r>
        <w:r>
          <w:instrText xml:space="preserve"> PAGE   \* MERGEFORMAT </w:instrText>
        </w:r>
        <w:r>
          <w:fldChar w:fldCharType="separate"/>
        </w:r>
        <w:r>
          <w:t>2</w:t>
        </w:r>
        <w:r>
          <w:fldChar w:fldCharType="end"/>
        </w:r>
      </w:p>
    </w:sdtContent>
  </w:sdt>
  <w:p w14:paraId="76AFD4CC">
    <w:pPr>
      <w:pStyle w:val="13"/>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9"/>
  <w:documentProtection w:enforcement="0"/>
  <w:defaultTabStop w:val="720"/>
  <w:characterSpacingControl w:val="doNotCompress"/>
  <w:footnotePr>
    <w:footnote w:id="0"/>
    <w:footnote w:id="1"/>
  </w:footnotePr>
  <w:endnotePr>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163A3"/>
    <w:rsid w:val="00014424"/>
    <w:rsid w:val="000200BD"/>
    <w:rsid w:val="00071763"/>
    <w:rsid w:val="000E02BA"/>
    <w:rsid w:val="000E1C94"/>
    <w:rsid w:val="000E470A"/>
    <w:rsid w:val="000E64C8"/>
    <w:rsid w:val="00162CD0"/>
    <w:rsid w:val="00166A5E"/>
    <w:rsid w:val="00181C64"/>
    <w:rsid w:val="0019040F"/>
    <w:rsid w:val="001A302F"/>
    <w:rsid w:val="001B0D13"/>
    <w:rsid w:val="0025641E"/>
    <w:rsid w:val="002C4816"/>
    <w:rsid w:val="002F062C"/>
    <w:rsid w:val="0030641E"/>
    <w:rsid w:val="00317C52"/>
    <w:rsid w:val="00323E39"/>
    <w:rsid w:val="00354DB9"/>
    <w:rsid w:val="00371FCA"/>
    <w:rsid w:val="00385AFD"/>
    <w:rsid w:val="003B24A2"/>
    <w:rsid w:val="003F0AB0"/>
    <w:rsid w:val="0042421C"/>
    <w:rsid w:val="00463A33"/>
    <w:rsid w:val="004A6FAF"/>
    <w:rsid w:val="004C6C58"/>
    <w:rsid w:val="005163A3"/>
    <w:rsid w:val="00553792"/>
    <w:rsid w:val="00563D4B"/>
    <w:rsid w:val="00567062"/>
    <w:rsid w:val="00572BA6"/>
    <w:rsid w:val="00575F3E"/>
    <w:rsid w:val="005B42BC"/>
    <w:rsid w:val="0069408B"/>
    <w:rsid w:val="006D08FE"/>
    <w:rsid w:val="006D525A"/>
    <w:rsid w:val="006F7A9F"/>
    <w:rsid w:val="0074331F"/>
    <w:rsid w:val="00761BEE"/>
    <w:rsid w:val="007F2868"/>
    <w:rsid w:val="00824048"/>
    <w:rsid w:val="00825D85"/>
    <w:rsid w:val="0084006C"/>
    <w:rsid w:val="008474B8"/>
    <w:rsid w:val="008618C0"/>
    <w:rsid w:val="00870788"/>
    <w:rsid w:val="008808BB"/>
    <w:rsid w:val="008B52D0"/>
    <w:rsid w:val="008E5033"/>
    <w:rsid w:val="008F27D5"/>
    <w:rsid w:val="009205B1"/>
    <w:rsid w:val="00926F14"/>
    <w:rsid w:val="00963523"/>
    <w:rsid w:val="00964A52"/>
    <w:rsid w:val="0096711D"/>
    <w:rsid w:val="009960F9"/>
    <w:rsid w:val="009A2A9B"/>
    <w:rsid w:val="009C38FE"/>
    <w:rsid w:val="009C65A3"/>
    <w:rsid w:val="009E4EBA"/>
    <w:rsid w:val="009F1BF1"/>
    <w:rsid w:val="00A021C0"/>
    <w:rsid w:val="00A35F2A"/>
    <w:rsid w:val="00A4102C"/>
    <w:rsid w:val="00A74FDF"/>
    <w:rsid w:val="00AA16F1"/>
    <w:rsid w:val="00AB12CE"/>
    <w:rsid w:val="00AD3CF7"/>
    <w:rsid w:val="00AE557B"/>
    <w:rsid w:val="00AE6D73"/>
    <w:rsid w:val="00AF4193"/>
    <w:rsid w:val="00B03F13"/>
    <w:rsid w:val="00B126C4"/>
    <w:rsid w:val="00B76A9C"/>
    <w:rsid w:val="00BE3901"/>
    <w:rsid w:val="00C043A9"/>
    <w:rsid w:val="00C17995"/>
    <w:rsid w:val="00C344BF"/>
    <w:rsid w:val="00C60730"/>
    <w:rsid w:val="00C76C16"/>
    <w:rsid w:val="00C91C2B"/>
    <w:rsid w:val="00CA4A22"/>
    <w:rsid w:val="00CB0EDF"/>
    <w:rsid w:val="00CE25BB"/>
    <w:rsid w:val="00CE5E7B"/>
    <w:rsid w:val="00D139DE"/>
    <w:rsid w:val="00D45982"/>
    <w:rsid w:val="00DE03EB"/>
    <w:rsid w:val="00DE3DC6"/>
    <w:rsid w:val="00E01345"/>
    <w:rsid w:val="00E1448B"/>
    <w:rsid w:val="00E25715"/>
    <w:rsid w:val="00E345D7"/>
    <w:rsid w:val="00E412D9"/>
    <w:rsid w:val="00E45AB3"/>
    <w:rsid w:val="00E5218B"/>
    <w:rsid w:val="00E86789"/>
    <w:rsid w:val="00EC23E0"/>
    <w:rsid w:val="00EC391F"/>
    <w:rsid w:val="00EF7CBF"/>
    <w:rsid w:val="00F00308"/>
    <w:rsid w:val="00F04E4F"/>
    <w:rsid w:val="00F13542"/>
    <w:rsid w:val="00FA781E"/>
    <w:rsid w:val="4D9624B6"/>
    <w:rsid w:val="F9FFEA8D"/>
    <w:rsid w:val="FCFF704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semiHidden="0"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qFormat="1"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kern w:val="2"/>
      <w:sz w:val="22"/>
      <w:szCs w:val="22"/>
      <w:lang w:val="en-US" w:eastAsia="en-US" w:bidi="ar-SA"/>
      <w14:ligatures w14:val="standardContextual"/>
    </w:rPr>
  </w:style>
  <w:style w:type="paragraph" w:styleId="2">
    <w:name w:val="heading 1"/>
    <w:basedOn w:val="1"/>
    <w:next w:val="1"/>
    <w:link w:val="23"/>
    <w:autoRedefine/>
    <w:qFormat/>
    <w:uiPriority w:val="9"/>
    <w:pPr>
      <w:keepNext/>
      <w:keepLines/>
      <w:spacing w:before="240" w:after="0" w:line="480" w:lineRule="auto"/>
      <w:jc w:val="center"/>
      <w:outlineLvl w:val="0"/>
    </w:pPr>
    <w:rPr>
      <w:rFonts w:ascii="Times New Roman" w:hAnsi="Times New Roman" w:eastAsiaTheme="majorEastAsia" w:cstheme="majorBidi"/>
      <w:b/>
      <w:sz w:val="28"/>
      <w:szCs w:val="28"/>
    </w:rPr>
  </w:style>
  <w:style w:type="paragraph" w:styleId="3">
    <w:name w:val="heading 2"/>
    <w:basedOn w:val="1"/>
    <w:next w:val="1"/>
    <w:link w:val="24"/>
    <w:autoRedefine/>
    <w:unhideWhenUsed/>
    <w:qFormat/>
    <w:uiPriority w:val="9"/>
    <w:pPr>
      <w:keepNext/>
      <w:keepLines/>
      <w:spacing w:before="40" w:after="0" w:line="480" w:lineRule="auto"/>
      <w:outlineLvl w:val="1"/>
    </w:pPr>
    <w:rPr>
      <w:rFonts w:ascii="Times New Roman" w:hAnsi="Times New Roman" w:eastAsiaTheme="majorEastAsia" w:cstheme="majorBidi"/>
      <w:b/>
      <w:sz w:val="28"/>
      <w:szCs w:val="28"/>
    </w:rPr>
  </w:style>
  <w:style w:type="paragraph" w:styleId="4">
    <w:name w:val="heading 3"/>
    <w:basedOn w:val="1"/>
    <w:next w:val="1"/>
    <w:link w:val="25"/>
    <w:unhideWhenUsed/>
    <w:qFormat/>
    <w:uiPriority w:val="9"/>
    <w:pPr>
      <w:keepNext/>
      <w:keepLines/>
      <w:spacing w:before="160" w:after="80"/>
      <w:outlineLvl w:val="2"/>
    </w:pPr>
    <w:rPr>
      <w:rFonts w:eastAsiaTheme="majorEastAsia" w:cstheme="majorBidi"/>
      <w:color w:val="2F5597" w:themeColor="accent1" w:themeShade="BF"/>
      <w:sz w:val="28"/>
      <w:szCs w:val="28"/>
    </w:rPr>
  </w:style>
  <w:style w:type="paragraph" w:styleId="5">
    <w:name w:val="heading 4"/>
    <w:basedOn w:val="1"/>
    <w:next w:val="1"/>
    <w:link w:val="26"/>
    <w:semiHidden/>
    <w:unhideWhenUsed/>
    <w:qFormat/>
    <w:uiPriority w:val="9"/>
    <w:pPr>
      <w:keepNext/>
      <w:keepLines/>
      <w:spacing w:before="80" w:after="40"/>
      <w:outlineLvl w:val="3"/>
    </w:pPr>
    <w:rPr>
      <w:rFonts w:eastAsiaTheme="majorEastAsia" w:cstheme="majorBidi"/>
      <w:i/>
      <w:iCs/>
      <w:color w:val="2F5597" w:themeColor="accent1" w:themeShade="BF"/>
    </w:rPr>
  </w:style>
  <w:style w:type="paragraph" w:styleId="6">
    <w:name w:val="heading 5"/>
    <w:basedOn w:val="1"/>
    <w:next w:val="1"/>
    <w:link w:val="27"/>
    <w:semiHidden/>
    <w:unhideWhenUsed/>
    <w:qFormat/>
    <w:uiPriority w:val="9"/>
    <w:pPr>
      <w:keepNext/>
      <w:keepLines/>
      <w:spacing w:before="80" w:after="40"/>
      <w:outlineLvl w:val="4"/>
    </w:pPr>
    <w:rPr>
      <w:rFonts w:eastAsiaTheme="majorEastAsia" w:cstheme="majorBidi"/>
      <w:color w:val="2F5597" w:themeColor="accent1" w:themeShade="BF"/>
    </w:rPr>
  </w:style>
  <w:style w:type="paragraph" w:styleId="7">
    <w:name w:val="heading 6"/>
    <w:basedOn w:val="1"/>
    <w:next w:val="1"/>
    <w:link w:val="28"/>
    <w:semiHidden/>
    <w:unhideWhenUsed/>
    <w:qFormat/>
    <w:uiPriority w:val="9"/>
    <w:pPr>
      <w:keepNext/>
      <w:keepLines/>
      <w:spacing w:before="40" w:after="0"/>
      <w:outlineLvl w:val="5"/>
    </w:pPr>
    <w:rPr>
      <w:rFonts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29"/>
    <w:semiHidden/>
    <w:unhideWhenUsed/>
    <w:qFormat/>
    <w:uiPriority w:val="9"/>
    <w:pPr>
      <w:keepNext/>
      <w:keepLines/>
      <w:spacing w:before="40" w:after="0"/>
      <w:outlineLvl w:val="6"/>
    </w:pPr>
    <w:rPr>
      <w:rFonts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30"/>
    <w:semiHidden/>
    <w:unhideWhenUsed/>
    <w:qFormat/>
    <w:uiPriority w:val="9"/>
    <w:pPr>
      <w:keepNext/>
      <w:keepLines/>
      <w:spacing w:after="0"/>
      <w:outlineLvl w:val="7"/>
    </w:pPr>
    <w:rPr>
      <w:rFonts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31"/>
    <w:semiHidden/>
    <w:unhideWhenUsed/>
    <w:qFormat/>
    <w:uiPriority w:val="9"/>
    <w:pPr>
      <w:keepNext/>
      <w:keepLines/>
      <w:spacing w:after="0"/>
      <w:outlineLvl w:val="8"/>
    </w:pPr>
    <w:rPr>
      <w:rFonts w:eastAsiaTheme="majorEastAsia" w:cstheme="majorBidi"/>
      <w:color w:val="262626" w:themeColor="text1" w:themeTint="D9"/>
      <w14:textFill>
        <w14:solidFill>
          <w14:schemeClr w14:val="tx1">
            <w14:lumMod w14:val="85000"/>
            <w14:lumOff w14:val="15000"/>
          </w14:schemeClr>
        </w14:solidFill>
      </w14:textFill>
    </w:rPr>
  </w:style>
  <w:style w:type="character" w:default="1" w:styleId="20">
    <w:name w:val="Default Paragraph Font"/>
    <w:semiHidden/>
    <w:unhideWhenUsed/>
    <w:uiPriority w:val="1"/>
  </w:style>
  <w:style w:type="table" w:default="1" w:styleId="18">
    <w:name w:val="Normal Table"/>
    <w:semiHidden/>
    <w:unhideWhenUsed/>
    <w:uiPriority w:val="99"/>
    <w:tblPr>
      <w:tblCellMar>
        <w:top w:w="0" w:type="dxa"/>
        <w:left w:w="108" w:type="dxa"/>
        <w:bottom w:w="0" w:type="dxa"/>
        <w:right w:w="108" w:type="dxa"/>
      </w:tblCellMar>
    </w:tblPr>
  </w:style>
  <w:style w:type="paragraph" w:styleId="11">
    <w:name w:val="caption"/>
    <w:basedOn w:val="1"/>
    <w:next w:val="1"/>
    <w:unhideWhenUsed/>
    <w:qFormat/>
    <w:uiPriority w:val="35"/>
    <w:pPr>
      <w:spacing w:after="200" w:line="240" w:lineRule="auto"/>
    </w:pPr>
    <w:rPr>
      <w:i/>
      <w:iCs/>
      <w:color w:val="44546A" w:themeColor="text2"/>
      <w:sz w:val="18"/>
      <w:szCs w:val="18"/>
      <w14:textFill>
        <w14:solidFill>
          <w14:schemeClr w14:val="tx2"/>
        </w14:solidFill>
      </w14:textFill>
    </w:rPr>
  </w:style>
  <w:style w:type="paragraph" w:styleId="12">
    <w:name w:val="footer"/>
    <w:basedOn w:val="1"/>
    <w:link w:val="43"/>
    <w:unhideWhenUsed/>
    <w:qFormat/>
    <w:uiPriority w:val="99"/>
    <w:pPr>
      <w:tabs>
        <w:tab w:val="center" w:pos="4680"/>
        <w:tab w:val="right" w:pos="9360"/>
      </w:tabs>
      <w:spacing w:after="0" w:line="240" w:lineRule="auto"/>
    </w:pPr>
  </w:style>
  <w:style w:type="paragraph" w:styleId="13">
    <w:name w:val="header"/>
    <w:basedOn w:val="1"/>
    <w:link w:val="42"/>
    <w:unhideWhenUsed/>
    <w:qFormat/>
    <w:uiPriority w:val="99"/>
    <w:pPr>
      <w:tabs>
        <w:tab w:val="center" w:pos="4680"/>
        <w:tab w:val="right" w:pos="9360"/>
      </w:tabs>
      <w:spacing w:after="0" w:line="240" w:lineRule="auto"/>
    </w:pPr>
  </w:style>
  <w:style w:type="paragraph" w:styleId="14">
    <w:name w:val="toc 1"/>
    <w:basedOn w:val="1"/>
    <w:next w:val="1"/>
    <w:autoRedefine/>
    <w:unhideWhenUsed/>
    <w:uiPriority w:val="39"/>
    <w:pPr>
      <w:spacing w:after="100"/>
    </w:pPr>
  </w:style>
  <w:style w:type="paragraph" w:styleId="15">
    <w:name w:val="Subtitle"/>
    <w:basedOn w:val="1"/>
    <w:next w:val="1"/>
    <w:link w:val="33"/>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16">
    <w:name w:val="toc 2"/>
    <w:basedOn w:val="1"/>
    <w:next w:val="1"/>
    <w:autoRedefine/>
    <w:unhideWhenUsed/>
    <w:uiPriority w:val="39"/>
    <w:pPr>
      <w:spacing w:after="100"/>
      <w:ind w:left="220"/>
    </w:pPr>
  </w:style>
  <w:style w:type="paragraph" w:styleId="17">
    <w:name w:val="Title"/>
    <w:basedOn w:val="1"/>
    <w:next w:val="1"/>
    <w:link w:val="32"/>
    <w:qFormat/>
    <w:uiPriority w:val="10"/>
    <w:pPr>
      <w:spacing w:after="80" w:line="240" w:lineRule="auto"/>
      <w:contextualSpacing/>
    </w:pPr>
    <w:rPr>
      <w:rFonts w:asciiTheme="majorHAnsi" w:hAnsiTheme="majorHAnsi" w:eastAsiaTheme="majorEastAsia" w:cstheme="majorBidi"/>
      <w:spacing w:val="-10"/>
      <w:kern w:val="28"/>
      <w:sz w:val="56"/>
      <w:szCs w:val="56"/>
    </w:rPr>
  </w:style>
  <w:style w:type="table" w:styleId="19">
    <w:name w:val="Table Grid"/>
    <w:basedOn w:val="18"/>
    <w:qFormat/>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21">
    <w:name w:val="FollowedHyperlink"/>
    <w:basedOn w:val="20"/>
    <w:semiHidden/>
    <w:unhideWhenUsed/>
    <w:qFormat/>
    <w:uiPriority w:val="99"/>
    <w:rPr>
      <w:color w:val="954F72" w:themeColor="followedHyperlink"/>
      <w:u w:val="single"/>
      <w14:textFill>
        <w14:solidFill>
          <w14:schemeClr w14:val="folHlink"/>
        </w14:solidFill>
      </w14:textFill>
    </w:rPr>
  </w:style>
  <w:style w:type="character" w:styleId="22">
    <w:name w:val="Hyperlink"/>
    <w:basedOn w:val="20"/>
    <w:unhideWhenUsed/>
    <w:qFormat/>
    <w:uiPriority w:val="99"/>
    <w:rPr>
      <w:color w:val="0563C1" w:themeColor="hyperlink"/>
      <w:u w:val="single"/>
      <w14:textFill>
        <w14:solidFill>
          <w14:schemeClr w14:val="hlink"/>
        </w14:solidFill>
      </w14:textFill>
    </w:rPr>
  </w:style>
  <w:style w:type="character" w:customStyle="1" w:styleId="23">
    <w:name w:val="Heading 1 Char"/>
    <w:basedOn w:val="20"/>
    <w:link w:val="2"/>
    <w:uiPriority w:val="9"/>
    <w:rPr>
      <w:rFonts w:ascii="Times New Roman" w:hAnsi="Times New Roman" w:eastAsiaTheme="majorEastAsia" w:cstheme="majorBidi"/>
      <w:b/>
      <w:sz w:val="28"/>
      <w:szCs w:val="28"/>
    </w:rPr>
  </w:style>
  <w:style w:type="character" w:customStyle="1" w:styleId="24">
    <w:name w:val="Heading 2 Char"/>
    <w:basedOn w:val="20"/>
    <w:link w:val="3"/>
    <w:uiPriority w:val="9"/>
    <w:rPr>
      <w:rFonts w:ascii="Times New Roman" w:hAnsi="Times New Roman" w:eastAsiaTheme="majorEastAsia" w:cstheme="majorBidi"/>
      <w:b/>
      <w:sz w:val="28"/>
      <w:szCs w:val="28"/>
    </w:rPr>
  </w:style>
  <w:style w:type="character" w:customStyle="1" w:styleId="25">
    <w:name w:val="Heading 3 Char"/>
    <w:basedOn w:val="20"/>
    <w:link w:val="4"/>
    <w:uiPriority w:val="9"/>
    <w:rPr>
      <w:rFonts w:eastAsiaTheme="majorEastAsia" w:cstheme="majorBidi"/>
      <w:color w:val="2F5597" w:themeColor="accent1" w:themeShade="BF"/>
      <w:sz w:val="28"/>
      <w:szCs w:val="28"/>
    </w:rPr>
  </w:style>
  <w:style w:type="character" w:customStyle="1" w:styleId="26">
    <w:name w:val="Heading 4 Char"/>
    <w:basedOn w:val="20"/>
    <w:link w:val="5"/>
    <w:semiHidden/>
    <w:qFormat/>
    <w:uiPriority w:val="9"/>
    <w:rPr>
      <w:rFonts w:eastAsiaTheme="majorEastAsia" w:cstheme="majorBidi"/>
      <w:i/>
      <w:iCs/>
      <w:color w:val="2F5597" w:themeColor="accent1" w:themeShade="BF"/>
    </w:rPr>
  </w:style>
  <w:style w:type="character" w:customStyle="1" w:styleId="27">
    <w:name w:val="Heading 5 Char"/>
    <w:basedOn w:val="20"/>
    <w:link w:val="6"/>
    <w:semiHidden/>
    <w:qFormat/>
    <w:uiPriority w:val="9"/>
    <w:rPr>
      <w:rFonts w:eastAsiaTheme="majorEastAsia" w:cstheme="majorBidi"/>
      <w:color w:val="2F5597" w:themeColor="accent1" w:themeShade="BF"/>
    </w:rPr>
  </w:style>
  <w:style w:type="character" w:customStyle="1" w:styleId="28">
    <w:name w:val="Heading 6 Char"/>
    <w:basedOn w:val="20"/>
    <w:link w:val="7"/>
    <w:semiHidden/>
    <w:qFormat/>
    <w:uiPriority w:val="9"/>
    <w:rPr>
      <w:rFonts w:eastAsiaTheme="majorEastAsia" w:cstheme="majorBidi"/>
      <w:i/>
      <w:iCs/>
      <w:color w:val="595959" w:themeColor="text1" w:themeTint="A6"/>
      <w14:textFill>
        <w14:solidFill>
          <w14:schemeClr w14:val="tx1">
            <w14:lumMod w14:val="65000"/>
            <w14:lumOff w14:val="35000"/>
          </w14:schemeClr>
        </w14:solidFill>
      </w14:textFill>
    </w:rPr>
  </w:style>
  <w:style w:type="character" w:customStyle="1" w:styleId="29">
    <w:name w:val="Heading 7 Char"/>
    <w:basedOn w:val="20"/>
    <w:link w:val="8"/>
    <w:semiHidden/>
    <w:qFormat/>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30">
    <w:name w:val="Heading 8 Char"/>
    <w:basedOn w:val="20"/>
    <w:link w:val="9"/>
    <w:semiHidden/>
    <w:qFormat/>
    <w:uiPriority w:val="9"/>
    <w:rPr>
      <w:rFonts w:eastAsiaTheme="majorEastAsia" w:cstheme="majorBidi"/>
      <w:i/>
      <w:iCs/>
      <w:color w:val="262626" w:themeColor="text1" w:themeTint="D9"/>
      <w14:textFill>
        <w14:solidFill>
          <w14:schemeClr w14:val="tx1">
            <w14:lumMod w14:val="85000"/>
            <w14:lumOff w14:val="15000"/>
          </w14:schemeClr>
        </w14:solidFill>
      </w14:textFill>
    </w:rPr>
  </w:style>
  <w:style w:type="character" w:customStyle="1" w:styleId="31">
    <w:name w:val="Heading 9 Char"/>
    <w:basedOn w:val="20"/>
    <w:link w:val="10"/>
    <w:semiHidden/>
    <w:qFormat/>
    <w:uiPriority w:val="9"/>
    <w:rPr>
      <w:rFonts w:eastAsiaTheme="majorEastAsia" w:cstheme="majorBidi"/>
      <w:color w:val="262626" w:themeColor="text1" w:themeTint="D9"/>
      <w14:textFill>
        <w14:solidFill>
          <w14:schemeClr w14:val="tx1">
            <w14:lumMod w14:val="85000"/>
            <w14:lumOff w14:val="15000"/>
          </w14:schemeClr>
        </w14:solidFill>
      </w14:textFill>
    </w:rPr>
  </w:style>
  <w:style w:type="character" w:customStyle="1" w:styleId="32">
    <w:name w:val="Title Char"/>
    <w:basedOn w:val="20"/>
    <w:link w:val="17"/>
    <w:qFormat/>
    <w:uiPriority w:val="10"/>
    <w:rPr>
      <w:rFonts w:asciiTheme="majorHAnsi" w:hAnsiTheme="majorHAnsi" w:eastAsiaTheme="majorEastAsia" w:cstheme="majorBidi"/>
      <w:spacing w:val="-10"/>
      <w:kern w:val="28"/>
      <w:sz w:val="56"/>
      <w:szCs w:val="56"/>
    </w:rPr>
  </w:style>
  <w:style w:type="character" w:customStyle="1" w:styleId="33">
    <w:name w:val="Subtitle Char"/>
    <w:basedOn w:val="20"/>
    <w:link w:val="15"/>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34">
    <w:name w:val="Quote"/>
    <w:basedOn w:val="1"/>
    <w:next w:val="1"/>
    <w:link w:val="35"/>
    <w:qFormat/>
    <w:uiPriority w:val="29"/>
    <w:pPr>
      <w:spacing w:before="160"/>
      <w:jc w:val="center"/>
    </w:pPr>
    <w:rPr>
      <w:i/>
      <w:iCs/>
      <w:color w:val="404040" w:themeColor="text1" w:themeTint="BF"/>
      <w14:textFill>
        <w14:solidFill>
          <w14:schemeClr w14:val="tx1">
            <w14:lumMod w14:val="75000"/>
            <w14:lumOff w14:val="25000"/>
          </w14:schemeClr>
        </w14:solidFill>
      </w14:textFill>
    </w:rPr>
  </w:style>
  <w:style w:type="character" w:customStyle="1" w:styleId="35">
    <w:name w:val="Quote Char"/>
    <w:basedOn w:val="20"/>
    <w:link w:val="34"/>
    <w:qFormat/>
    <w:uiPriority w:val="29"/>
    <w:rPr>
      <w:i/>
      <w:iCs/>
      <w:color w:val="404040" w:themeColor="text1" w:themeTint="BF"/>
      <w14:textFill>
        <w14:solidFill>
          <w14:schemeClr w14:val="tx1">
            <w14:lumMod w14:val="75000"/>
            <w14:lumOff w14:val="25000"/>
          </w14:schemeClr>
        </w14:solidFill>
      </w14:textFill>
    </w:rPr>
  </w:style>
  <w:style w:type="paragraph" w:styleId="36">
    <w:name w:val="List Paragraph"/>
    <w:basedOn w:val="1"/>
    <w:qFormat/>
    <w:uiPriority w:val="34"/>
    <w:pPr>
      <w:ind w:left="720"/>
      <w:contextualSpacing/>
    </w:pPr>
  </w:style>
  <w:style w:type="character" w:customStyle="1" w:styleId="37">
    <w:name w:val="Intense Emphasis1"/>
    <w:basedOn w:val="20"/>
    <w:qFormat/>
    <w:uiPriority w:val="21"/>
    <w:rPr>
      <w:i/>
      <w:iCs/>
      <w:color w:val="2F5597" w:themeColor="accent1" w:themeShade="BF"/>
    </w:rPr>
  </w:style>
  <w:style w:type="paragraph" w:styleId="38">
    <w:name w:val="Intense Quote"/>
    <w:basedOn w:val="1"/>
    <w:next w:val="1"/>
    <w:link w:val="39"/>
    <w:qFormat/>
    <w:uiPriority w:val="30"/>
    <w:pPr>
      <w:pBdr>
        <w:top w:val="single" w:color="2F5496" w:themeColor="accent1" w:themeShade="BF" w:sz="4" w:space="10"/>
        <w:bottom w:val="single" w:color="2F5496" w:themeColor="accent1" w:themeShade="BF" w:sz="4" w:space="10"/>
      </w:pBdr>
      <w:spacing w:before="360" w:after="360"/>
      <w:ind w:left="864" w:right="864"/>
      <w:jc w:val="center"/>
    </w:pPr>
    <w:rPr>
      <w:i/>
      <w:iCs/>
      <w:color w:val="2F5597" w:themeColor="accent1" w:themeShade="BF"/>
    </w:rPr>
  </w:style>
  <w:style w:type="character" w:customStyle="1" w:styleId="39">
    <w:name w:val="Intense Quote Char"/>
    <w:basedOn w:val="20"/>
    <w:link w:val="38"/>
    <w:qFormat/>
    <w:uiPriority w:val="30"/>
    <w:rPr>
      <w:i/>
      <w:iCs/>
      <w:color w:val="2F5597" w:themeColor="accent1" w:themeShade="BF"/>
    </w:rPr>
  </w:style>
  <w:style w:type="character" w:customStyle="1" w:styleId="40">
    <w:name w:val="Intense Reference1"/>
    <w:basedOn w:val="20"/>
    <w:qFormat/>
    <w:uiPriority w:val="32"/>
    <w:rPr>
      <w:b/>
      <w:bCs/>
      <w:smallCaps/>
      <w:color w:val="2F5597" w:themeColor="accent1" w:themeShade="BF"/>
      <w:spacing w:val="5"/>
    </w:rPr>
  </w:style>
  <w:style w:type="character" w:customStyle="1" w:styleId="41">
    <w:name w:val="Unresolved Mention1"/>
    <w:basedOn w:val="20"/>
    <w:semiHidden/>
    <w:unhideWhenUsed/>
    <w:qFormat/>
    <w:uiPriority w:val="99"/>
    <w:rPr>
      <w:color w:val="605E5C"/>
      <w:shd w:val="clear" w:color="auto" w:fill="E1DFDD"/>
    </w:rPr>
  </w:style>
  <w:style w:type="character" w:customStyle="1" w:styleId="42">
    <w:name w:val="Header Char"/>
    <w:basedOn w:val="20"/>
    <w:link w:val="13"/>
    <w:qFormat/>
    <w:uiPriority w:val="99"/>
  </w:style>
  <w:style w:type="character" w:customStyle="1" w:styleId="43">
    <w:name w:val="Footer Char"/>
    <w:basedOn w:val="20"/>
    <w:link w:val="12"/>
    <w:qFormat/>
    <w:uiPriority w:val="99"/>
  </w:style>
  <w:style w:type="paragraph" w:customStyle="1" w:styleId="44">
    <w:name w:val="heading"/>
    <w:basedOn w:val="1"/>
    <w:link w:val="45"/>
    <w:uiPriority w:val="0"/>
    <w:pPr>
      <w:tabs>
        <w:tab w:val="left" w:pos="720"/>
        <w:tab w:val="left" w:pos="1440"/>
        <w:tab w:val="left" w:pos="2160"/>
        <w:tab w:val="left" w:pos="2880"/>
      </w:tabs>
      <w:overflowPunct w:val="0"/>
      <w:autoSpaceDE w:val="0"/>
      <w:autoSpaceDN w:val="0"/>
      <w:adjustRightInd w:val="0"/>
      <w:spacing w:before="240" w:after="120" w:line="240" w:lineRule="auto"/>
      <w:ind w:left="3600" w:hanging="3600"/>
      <w:textAlignment w:val="baseline"/>
    </w:pPr>
    <w:rPr>
      <w:rFonts w:ascii="Times New Roman" w:hAnsi="Times New Roman" w:eastAsia="Times New Roman" w:cs="Times New Roman"/>
      <w:b/>
      <w:kern w:val="0"/>
      <w:sz w:val="24"/>
      <w:szCs w:val="20"/>
      <w:lang w:val="zh-CN" w:eastAsia="en-GB"/>
      <w14:ligatures w14:val="none"/>
    </w:rPr>
  </w:style>
  <w:style w:type="character" w:customStyle="1" w:styleId="45">
    <w:name w:val="heading Char"/>
    <w:link w:val="44"/>
    <w:uiPriority w:val="0"/>
    <w:rPr>
      <w:rFonts w:ascii="Times New Roman" w:hAnsi="Times New Roman" w:eastAsia="Times New Roman" w:cs="Times New Roman"/>
      <w:b/>
      <w:kern w:val="0"/>
      <w:sz w:val="24"/>
      <w:szCs w:val="20"/>
      <w:lang w:val="zh-CN" w:eastAsia="en-GB"/>
      <w14:ligatures w14:val="none"/>
    </w:rPr>
  </w:style>
  <w:style w:type="paragraph" w:customStyle="1" w:styleId="46">
    <w:name w:val="TOC Heading1"/>
    <w:basedOn w:val="2"/>
    <w:next w:val="1"/>
    <w:unhideWhenUsed/>
    <w:qFormat/>
    <w:uiPriority w:val="39"/>
    <w:pPr>
      <w:jc w:val="left"/>
      <w:outlineLvl w:val="9"/>
    </w:pPr>
    <w:rPr>
      <w:rFonts w:asciiTheme="majorHAnsi" w:hAnsiTheme="majorHAnsi"/>
      <w:b w:val="0"/>
      <w:color w:val="2F5597" w:themeColor="accent1" w:themeShade="BF"/>
      <w:kern w:val="0"/>
      <w:sz w:val="32"/>
      <w:szCs w:val="32"/>
      <w14:ligatures w14:val="none"/>
    </w:rPr>
  </w:style>
  <w:style w:type="table" w:customStyle="1" w:styleId="47">
    <w:name w:val="Grid Table 4 - Accent 11"/>
    <w:basedOn w:val="18"/>
    <w:uiPriority w:val="49"/>
    <w:tblPr>
      <w:tblBorders>
        <w:top w:val="single" w:color="8EAADB" w:themeColor="accent1" w:themeTint="99" w:sz="4" w:space="0"/>
        <w:left w:val="single" w:color="8EAADB" w:themeColor="accent1" w:themeTint="99" w:sz="4" w:space="0"/>
        <w:bottom w:val="single" w:color="8EAADB" w:themeColor="accent1" w:themeTint="99" w:sz="4" w:space="0"/>
        <w:right w:val="single" w:color="8EAADB" w:themeColor="accent1" w:themeTint="99" w:sz="4" w:space="0"/>
        <w:insideH w:val="single" w:color="8EAADB" w:themeColor="accent1" w:themeTint="99" w:sz="4" w:space="0"/>
        <w:insideV w:val="single" w:color="8EAADB" w:themeColor="accent1" w:themeTint="99" w:sz="4" w:space="0"/>
      </w:tblBorders>
    </w:tblPr>
    <w:tblStylePr w:type="firstRow">
      <w:rPr>
        <w:b/>
        <w:bCs/>
        <w:color w:val="FFFFFF" w:themeColor="background1"/>
        <w14:textFill>
          <w14:solidFill>
            <w14:schemeClr w14:val="bg1"/>
          </w14:solidFill>
        </w14:textFill>
      </w:rPr>
      <w:tcPr>
        <w:tcBorders>
          <w:top w:val="single" w:color="4472C4" w:themeColor="accent1" w:sz="4" w:space="0"/>
          <w:left w:val="single" w:color="4472C4" w:themeColor="accent1" w:sz="4" w:space="0"/>
          <w:bottom w:val="single" w:color="4472C4" w:themeColor="accent1" w:sz="4" w:space="0"/>
          <w:right w:val="single" w:color="4472C4" w:themeColor="accent1" w:sz="4" w:space="0"/>
          <w:insideH w:val="nil"/>
          <w:insideV w:val="nil"/>
        </w:tcBorders>
        <w:shd w:val="clear" w:color="auto" w:fill="4472C4" w:themeFill="accent1"/>
      </w:tcPr>
    </w:tblStylePr>
    <w:tblStylePr w:type="lastRow">
      <w:rPr>
        <w:b/>
        <w:bCs/>
      </w:rPr>
      <w:tcPr>
        <w:tcBorders>
          <w:top w:val="double" w:color="4472C4" w:themeColor="accent1" w:sz="4" w:space="0"/>
        </w:tcBorders>
      </w:tcPr>
    </w:tblStylePr>
    <w:tblStylePr w:type="firstCol">
      <w:rPr>
        <w:b/>
        <w:bCs/>
      </w:rPr>
    </w:tblStylePr>
    <w:tblStylePr w:type="lastCol">
      <w:rPr>
        <w:b/>
        <w:bCs/>
      </w:rPr>
    </w:tblStylePr>
    <w:tblStylePr w:type="band1Vert">
      <w:tcPr>
        <w:shd w:val="clear" w:color="auto" w:fill="D9E2F3" w:themeFill="accent1" w:themeFillTint="33"/>
      </w:tcPr>
    </w:tblStylePr>
    <w:tblStylePr w:type="band1Horz">
      <w:tcPr>
        <w:shd w:val="clear" w:color="auto" w:fill="D9E2F3" w:themeFill="accent1" w:themeFillTint="33"/>
      </w:tcPr>
    </w:tblStylePr>
  </w:style>
  <w:style w:type="table" w:customStyle="1" w:styleId="48">
    <w:name w:val="Grid Table 5 Dark - Accent 61"/>
    <w:basedOn w:val="18"/>
    <w:uiPriority w:val="50"/>
    <w:tblPr>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E2EFD9" w:themeFill="accent6" w:themeFillTint="33"/>
    </w:tcPr>
    <w:tblStylePr w:type="firstRow">
      <w:rPr>
        <w:b/>
        <w:bCs/>
        <w:color w:val="FFFFFF" w:themeColor="background1"/>
        <w14:textFill>
          <w14:solidFill>
            <w14:schemeClr w14:val="bg1"/>
          </w14:solidFill>
        </w14:textFill>
      </w:r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70AD47" w:themeFill="accent6"/>
      </w:tcPr>
    </w:tblStylePr>
    <w:tblStylePr w:type="lastRow">
      <w:rPr>
        <w:b/>
        <w:bCs/>
        <w:color w:val="FFFFFF" w:themeColor="background1"/>
        <w14:textFill>
          <w14:solidFill>
            <w14:schemeClr w14:val="bg1"/>
          </w14:solidFill>
        </w14:textFill>
      </w:r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70AD47" w:themeFill="accent6"/>
      </w:tcPr>
    </w:tblStylePr>
    <w:tblStylePr w:type="firstCol">
      <w:rPr>
        <w:b/>
        <w:bCs/>
        <w:color w:val="FFFFFF" w:themeColor="background1"/>
        <w14:textFill>
          <w14:solidFill>
            <w14:schemeClr w14:val="bg1"/>
          </w14:solidFill>
        </w14:textFill>
      </w:rPr>
      <w:tcPr>
        <w:tcBorders>
          <w:top w:val="single" w:color="FFFFFF" w:themeColor="background1" w:sz="4" w:space="0"/>
          <w:left w:val="single" w:color="FFFFFF" w:themeColor="background1" w:sz="4" w:space="0"/>
          <w:bottom w:val="single" w:color="FFFFFF" w:themeColor="background1" w:sz="4" w:space="0"/>
          <w:insideV w:val="nil"/>
        </w:tcBorders>
        <w:shd w:val="clear" w:color="auto" w:fill="70AD47" w:themeFill="accent6"/>
      </w:tcPr>
    </w:tblStylePr>
    <w:tblStylePr w:type="lastCol">
      <w:rPr>
        <w:b/>
        <w:bCs/>
        <w:color w:val="FFFFFF" w:themeColor="background1"/>
        <w14:textFill>
          <w14:solidFill>
            <w14:schemeClr w14:val="bg1"/>
          </w14:solidFill>
        </w14:textFill>
      </w:rPr>
      <w:tcPr>
        <w:tcBorders>
          <w:top w:val="single" w:color="FFFFFF" w:themeColor="background1" w:sz="4" w:space="0"/>
          <w:bottom w:val="single" w:color="FFFFFF" w:themeColor="background1" w:sz="4" w:space="0"/>
          <w:right w:val="single" w:color="FFFFFF" w:themeColor="background1" w:sz="4" w:space="0"/>
          <w:insideV w:val="nil"/>
        </w:tcBorders>
        <w:shd w:val="clear" w:color="auto" w:fill="70AD47" w:themeFill="accent6"/>
      </w:tcPr>
    </w:tblStylePr>
    <w:tblStylePr w:type="band1Vert">
      <w:tcPr>
        <w:shd w:val="clear" w:color="auto" w:fill="C5E0B3" w:themeFill="accent6" w:themeFillTint="66"/>
      </w:tcPr>
    </w:tblStylePr>
    <w:tblStylePr w:type="band1Horz">
      <w:tcPr>
        <w:shd w:val="clear" w:color="auto" w:fill="C5E0B3" w:themeFill="accent6" w:themeFillTint="66"/>
      </w:tcPr>
    </w:tblStylePr>
  </w:style>
  <w:style w:type="table" w:customStyle="1" w:styleId="49">
    <w:name w:val="Grid Table 6 Colorful1"/>
    <w:basedOn w:val="18"/>
    <w:uiPriority w:val="51"/>
    <w:rPr>
      <w:color w:val="000000" w:themeColor="text1"/>
      <w14:textFill>
        <w14:solidFill>
          <w14:schemeClr w14:val="tx1"/>
        </w14:solidFill>
      </w14:textFill>
    </w:rPr>
    <w:tblPr>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cPr>
        <w:tcBorders>
          <w:bottom w:val="single" w:color="666666" w:themeColor="text1" w:themeTint="99" w:sz="12" w:space="0"/>
        </w:tcBorders>
      </w:tcPr>
    </w:tblStylePr>
    <w:tblStylePr w:type="lastRow">
      <w:rPr>
        <w:b/>
        <w:bCs/>
      </w:rPr>
      <w:tcPr>
        <w:tcBorders>
          <w:top w:val="double" w:color="666666" w:themeColor="text1" w:themeTint="99" w:sz="4" w:space="0"/>
        </w:tcBorders>
      </w:tcPr>
    </w:tblStylePr>
    <w:tblStylePr w:type="firstCol">
      <w:rPr>
        <w:b/>
        <w:bCs/>
      </w:rPr>
    </w:tblStylePr>
    <w:tblStylePr w:type="lastCol">
      <w:rPr>
        <w:b/>
        <w:bCs/>
      </w:rPr>
    </w:tblStylePr>
    <w:tblStylePr w:type="band1Vert">
      <w:tcPr>
        <w:shd w:val="clear" w:color="auto" w:fill="CCCCCC" w:themeFill="text1" w:themeFillTint="33"/>
      </w:tcPr>
    </w:tblStylePr>
    <w:tblStylePr w:type="band1Horz">
      <w:tcPr>
        <w:shd w:val="clear" w:color="auto" w:fill="CCCCCC" w:themeFill="text1" w:themeFillTint="33"/>
      </w:tcPr>
    </w:tblStylePr>
  </w:style>
  <w:style w:type="table" w:customStyle="1" w:styleId="50">
    <w:name w:val="Grid Table 4 - Accent 61"/>
    <w:basedOn w:val="18"/>
    <w:uiPriority w:val="49"/>
    <w:tblPr>
      <w:tblBorders>
        <w:top w:val="single" w:color="A8D08D" w:themeColor="accent6" w:themeTint="99" w:sz="4" w:space="0"/>
        <w:left w:val="single" w:color="A8D08D" w:themeColor="accent6" w:themeTint="99" w:sz="4" w:space="0"/>
        <w:bottom w:val="single" w:color="A8D08D" w:themeColor="accent6" w:themeTint="99" w:sz="4" w:space="0"/>
        <w:right w:val="single" w:color="A8D08D" w:themeColor="accent6" w:themeTint="99" w:sz="4" w:space="0"/>
        <w:insideH w:val="single" w:color="A8D08D" w:themeColor="accent6" w:themeTint="99" w:sz="4" w:space="0"/>
        <w:insideV w:val="single" w:color="A8D08D" w:themeColor="accent6" w:themeTint="99" w:sz="4" w:space="0"/>
      </w:tblBorders>
    </w:tblPr>
    <w:tblStylePr w:type="firstRow">
      <w:rPr>
        <w:b/>
        <w:bCs/>
        <w:color w:val="FFFFFF" w:themeColor="background1"/>
        <w14:textFill>
          <w14:solidFill>
            <w14:schemeClr w14:val="bg1"/>
          </w14:solidFill>
        </w14:textFill>
      </w:rPr>
      <w:tcPr>
        <w:tcBorders>
          <w:top w:val="single" w:color="70AD47" w:themeColor="accent6" w:sz="4" w:space="0"/>
          <w:left w:val="single" w:color="70AD47" w:themeColor="accent6" w:sz="4" w:space="0"/>
          <w:bottom w:val="single" w:color="70AD47" w:themeColor="accent6" w:sz="4" w:space="0"/>
          <w:right w:val="single" w:color="70AD47" w:themeColor="accent6" w:sz="4" w:space="0"/>
          <w:insideH w:val="nil"/>
          <w:insideV w:val="nil"/>
        </w:tcBorders>
        <w:shd w:val="clear" w:color="auto" w:fill="70AD47" w:themeFill="accent6"/>
      </w:tcPr>
    </w:tblStylePr>
    <w:tblStylePr w:type="lastRow">
      <w:rPr>
        <w:b/>
        <w:bCs/>
      </w:rPr>
      <w:tcPr>
        <w:tcBorders>
          <w:top w:val="double" w:color="70AD47" w:themeColor="accent6" w:sz="4" w:space="0"/>
        </w:tcBorders>
      </w:tcPr>
    </w:tblStylePr>
    <w:tblStylePr w:type="firstCol">
      <w:rPr>
        <w:b/>
        <w:bCs/>
      </w:rPr>
    </w:tblStylePr>
    <w:tblStylePr w:type="lastCol">
      <w:rPr>
        <w:b/>
        <w:bCs/>
      </w:rPr>
    </w:tblStylePr>
    <w:tblStylePr w:type="band1Vert">
      <w:tcPr>
        <w:shd w:val="clear" w:color="auto" w:fill="E2EFD9" w:themeFill="accent6" w:themeFillTint="33"/>
      </w:tcPr>
    </w:tblStylePr>
    <w:tblStylePr w:type="band1Horz">
      <w:tcPr>
        <w:shd w:val="clear" w:color="auto" w:fill="E2EFD9" w:themeFill="accent6" w:themeFillTint="33"/>
      </w:tcPr>
    </w:tblStylePr>
  </w:style>
  <w:style w:type="table" w:customStyle="1" w:styleId="51">
    <w:name w:val="Grid Table 4 - Accent 21"/>
    <w:basedOn w:val="18"/>
    <w:uiPriority w:val="49"/>
    <w:tblPr>
      <w:tblBorders>
        <w:top w:val="single" w:color="F4B083" w:themeColor="accent2" w:themeTint="99" w:sz="4" w:space="0"/>
        <w:left w:val="single" w:color="F4B083" w:themeColor="accent2" w:themeTint="99" w:sz="4" w:space="0"/>
        <w:bottom w:val="single" w:color="F4B083" w:themeColor="accent2" w:themeTint="99" w:sz="4" w:space="0"/>
        <w:right w:val="single" w:color="F4B083" w:themeColor="accent2" w:themeTint="99" w:sz="4" w:space="0"/>
        <w:insideH w:val="single" w:color="F4B083" w:themeColor="accent2" w:themeTint="99" w:sz="4" w:space="0"/>
        <w:insideV w:val="single" w:color="F4B083" w:themeColor="accent2" w:themeTint="99" w:sz="4" w:space="0"/>
      </w:tblBorders>
    </w:tblPr>
    <w:tblStylePr w:type="firstRow">
      <w:rPr>
        <w:b/>
        <w:bCs/>
        <w:color w:val="FFFFFF" w:themeColor="background1"/>
        <w14:textFill>
          <w14:solidFill>
            <w14:schemeClr w14:val="bg1"/>
          </w14:solidFill>
        </w14:textFill>
      </w:rPr>
      <w:tcPr>
        <w:tcBorders>
          <w:top w:val="single" w:color="ED7D31" w:themeColor="accent2" w:sz="4" w:space="0"/>
          <w:left w:val="single" w:color="ED7D31" w:themeColor="accent2" w:sz="4" w:space="0"/>
          <w:bottom w:val="single" w:color="ED7D31" w:themeColor="accent2" w:sz="4" w:space="0"/>
          <w:right w:val="single" w:color="ED7D31" w:themeColor="accent2" w:sz="4" w:space="0"/>
          <w:insideH w:val="nil"/>
          <w:insideV w:val="nil"/>
        </w:tcBorders>
        <w:shd w:val="clear" w:color="auto" w:fill="ED7D31" w:themeFill="accent2"/>
      </w:tcPr>
    </w:tblStylePr>
    <w:tblStylePr w:type="lastRow">
      <w:rPr>
        <w:b/>
        <w:bCs/>
      </w:rPr>
      <w:tcPr>
        <w:tcBorders>
          <w:top w:val="double" w:color="ED7D31" w:themeColor="accent2" w:sz="4" w:space="0"/>
        </w:tcBorders>
      </w:tcPr>
    </w:tblStylePr>
    <w:tblStylePr w:type="firstCol">
      <w:rPr>
        <w:b/>
        <w:bCs/>
      </w:rPr>
    </w:tblStylePr>
    <w:tblStylePr w:type="lastCol">
      <w:rPr>
        <w:b/>
        <w:bCs/>
      </w:rPr>
    </w:tblStylePr>
    <w:tblStylePr w:type="band1Vert">
      <w:tcPr>
        <w:shd w:val="clear" w:color="auto" w:fill="FBE4D5" w:themeFill="accent2" w:themeFillTint="33"/>
      </w:tcPr>
    </w:tblStylePr>
    <w:tblStylePr w:type="band1Horz">
      <w:tcPr>
        <w:shd w:val="clear" w:color="auto" w:fill="FBE4D5" w:themeFill="accent2" w:themeFillTint="33"/>
      </w:tcPr>
    </w:tblStylePr>
  </w:style>
  <w:style w:type="table" w:customStyle="1" w:styleId="52">
    <w:name w:val="List Table 4 - Accent 21"/>
    <w:basedOn w:val="18"/>
    <w:qFormat/>
    <w:uiPriority w:val="49"/>
    <w:tblPr>
      <w:tblBorders>
        <w:top w:val="single" w:color="F4B083" w:themeColor="accent2" w:themeTint="99" w:sz="4" w:space="0"/>
        <w:left w:val="single" w:color="F4B083" w:themeColor="accent2" w:themeTint="99" w:sz="4" w:space="0"/>
        <w:bottom w:val="single" w:color="F4B083" w:themeColor="accent2" w:themeTint="99" w:sz="4" w:space="0"/>
        <w:right w:val="single" w:color="F4B083" w:themeColor="accent2" w:themeTint="99" w:sz="4" w:space="0"/>
        <w:insideH w:val="single" w:color="F4B083" w:themeColor="accent2" w:themeTint="99" w:sz="4" w:space="0"/>
      </w:tblBorders>
    </w:tblPr>
    <w:tblStylePr w:type="firstRow">
      <w:rPr>
        <w:b/>
        <w:bCs/>
        <w:color w:val="FFFFFF" w:themeColor="background1"/>
        <w14:textFill>
          <w14:solidFill>
            <w14:schemeClr w14:val="bg1"/>
          </w14:solidFill>
        </w14:textFill>
      </w:rPr>
      <w:tcPr>
        <w:tcBorders>
          <w:top w:val="single" w:color="ED7D31" w:themeColor="accent2" w:sz="4" w:space="0"/>
          <w:left w:val="single" w:color="ED7D31" w:themeColor="accent2" w:sz="4" w:space="0"/>
          <w:bottom w:val="single" w:color="ED7D31" w:themeColor="accent2" w:sz="4" w:space="0"/>
          <w:right w:val="single" w:color="ED7D31" w:themeColor="accent2" w:sz="4" w:space="0"/>
          <w:insideH w:val="nil"/>
        </w:tcBorders>
        <w:shd w:val="clear" w:color="auto" w:fill="ED7D31" w:themeFill="accent2"/>
      </w:tcPr>
    </w:tblStylePr>
    <w:tblStylePr w:type="lastRow">
      <w:rPr>
        <w:b/>
        <w:bCs/>
      </w:rPr>
      <w:tcPr>
        <w:tcBorders>
          <w:top w:val="double" w:color="F4B083" w:themeColor="accent2" w:themeTint="99" w:sz="4" w:space="0"/>
        </w:tcBorders>
      </w:tcPr>
    </w:tblStylePr>
    <w:tblStylePr w:type="firstCol">
      <w:rPr>
        <w:b/>
        <w:bCs/>
      </w:rPr>
    </w:tblStylePr>
    <w:tblStylePr w:type="lastCol">
      <w:rPr>
        <w:b/>
        <w:bCs/>
      </w:rPr>
    </w:tblStylePr>
    <w:tblStylePr w:type="band1Vert">
      <w:tcPr>
        <w:shd w:val="clear" w:color="auto" w:fill="FBE4D5" w:themeFill="accent2" w:themeFillTint="33"/>
      </w:tcPr>
    </w:tblStylePr>
    <w:tblStylePr w:type="band1Horz">
      <w:tcPr>
        <w:shd w:val="clear" w:color="auto" w:fill="FBE4D5" w:themeFill="accent2" w:themeFillTint="33"/>
      </w:tcPr>
    </w:tblStylePr>
  </w:style>
  <w:style w:type="table" w:customStyle="1" w:styleId="53">
    <w:name w:val="List Table 3 - Accent 31"/>
    <w:basedOn w:val="18"/>
    <w:uiPriority w:val="48"/>
    <w:tblPr>
      <w:tblBorders>
        <w:top w:val="single" w:color="A5A5A5" w:themeColor="accent3" w:sz="4" w:space="0"/>
        <w:left w:val="single" w:color="A5A5A5" w:themeColor="accent3" w:sz="4" w:space="0"/>
        <w:bottom w:val="single" w:color="A5A5A5" w:themeColor="accent3" w:sz="4" w:space="0"/>
        <w:right w:val="single" w:color="A5A5A5" w:themeColor="accent3" w:sz="4" w:space="0"/>
      </w:tblBorders>
    </w:tblPr>
    <w:tblStylePr w:type="firstRow">
      <w:rPr>
        <w:b/>
        <w:bCs/>
        <w:color w:val="FFFFFF" w:themeColor="background1"/>
        <w14:textFill>
          <w14:solidFill>
            <w14:schemeClr w14:val="bg1"/>
          </w14:solidFill>
        </w14:textFill>
      </w:rPr>
      <w:tcPr>
        <w:shd w:val="clear" w:color="auto" w:fill="A5A5A5" w:themeFill="accent3"/>
      </w:tcPr>
    </w:tblStylePr>
    <w:tblStylePr w:type="lastRow">
      <w:rPr>
        <w:b/>
        <w:bCs/>
      </w:rPr>
      <w:tcPr>
        <w:tcBorders>
          <w:top w:val="double" w:color="A5A5A5" w:themeColor="accent3" w:sz="4" w:space="0"/>
        </w:tcBorders>
        <w:shd w:val="clear" w:color="auto" w:fill="FFFFFF" w:themeFill="background1"/>
      </w:tcPr>
    </w:tblStylePr>
    <w:tblStylePr w:type="firstCol">
      <w:rPr>
        <w:b/>
        <w:bCs/>
      </w:rPr>
      <w:tcPr>
        <w:tcBorders>
          <w:right w:val="nil"/>
        </w:tcBorders>
        <w:shd w:val="clear" w:color="auto" w:fill="FFFFFF" w:themeFill="background1"/>
      </w:tcPr>
    </w:tblStylePr>
    <w:tblStylePr w:type="lastCol">
      <w:rPr>
        <w:b/>
        <w:bCs/>
      </w:rPr>
      <w:tcPr>
        <w:tcBorders>
          <w:left w:val="nil"/>
        </w:tcBorders>
        <w:shd w:val="clear" w:color="auto" w:fill="FFFFFF" w:themeFill="background1"/>
      </w:tcPr>
    </w:tblStylePr>
    <w:tblStylePr w:type="band1Vert">
      <w:tcPr>
        <w:tcBorders>
          <w:left w:val="single" w:color="A5A5A5" w:themeColor="accent3" w:sz="4" w:space="0"/>
          <w:right w:val="single" w:color="A5A5A5" w:themeColor="accent3" w:sz="4" w:space="0"/>
        </w:tcBorders>
      </w:tcPr>
    </w:tblStylePr>
    <w:tblStylePr w:type="band1Horz">
      <w:tcPr>
        <w:tcBorders>
          <w:top w:val="single" w:color="A5A5A5" w:themeColor="accent3" w:sz="4" w:space="0"/>
          <w:bottom w:val="single" w:color="A5A5A5" w:themeColor="accent3" w:sz="4" w:space="0"/>
          <w:insideH w:val="nil"/>
        </w:tcBorders>
      </w:tcPr>
    </w:tblStylePr>
    <w:tblStylePr w:type="neCell">
      <w:tcPr>
        <w:tcBorders>
          <w:left w:val="nil"/>
          <w:bottom w:val="nil"/>
        </w:tcBorders>
      </w:tcPr>
    </w:tblStylePr>
    <w:tblStylePr w:type="nwCell">
      <w:tcPr>
        <w:tcBorders>
          <w:bottom w:val="nil"/>
          <w:right w:val="nil"/>
        </w:tcBorders>
      </w:tcPr>
    </w:tblStylePr>
    <w:tblStylePr w:type="seCell">
      <w:tcPr>
        <w:tcBorders>
          <w:top w:val="double" w:color="A5A5A5" w:themeColor="accent3" w:sz="4" w:space="0"/>
          <w:left w:val="nil"/>
        </w:tcBorders>
      </w:tcPr>
    </w:tblStylePr>
    <w:tblStylePr w:type="swCell">
      <w:tcPr>
        <w:tcBorders>
          <w:top w:val="double" w:color="A5A5A5" w:themeColor="accent3" w:sz="4" w:space="0"/>
          <w:right w:val="nil"/>
        </w:tcBorders>
      </w:tcPr>
    </w:tblStylePr>
  </w:style>
  <w:style w:type="table" w:customStyle="1" w:styleId="54">
    <w:name w:val="Grid Table 5 Dark - Accent 21"/>
    <w:basedOn w:val="18"/>
    <w:uiPriority w:val="50"/>
    <w:tblPr>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BE4D5" w:themeFill="accent2" w:themeFillTint="33"/>
    </w:tcPr>
    <w:tblStylePr w:type="firstRow">
      <w:rPr>
        <w:b/>
        <w:bCs/>
        <w:color w:val="FFFFFF" w:themeColor="background1"/>
        <w14:textFill>
          <w14:solidFill>
            <w14:schemeClr w14:val="bg1"/>
          </w14:solidFill>
        </w14:textFill>
      </w:r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ED7D31" w:themeFill="accent2"/>
      </w:tcPr>
    </w:tblStylePr>
    <w:tblStylePr w:type="lastRow">
      <w:rPr>
        <w:b/>
        <w:bCs/>
        <w:color w:val="FFFFFF" w:themeColor="background1"/>
        <w14:textFill>
          <w14:solidFill>
            <w14:schemeClr w14:val="bg1"/>
          </w14:solidFill>
        </w14:textFill>
      </w:r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ED7D31" w:themeFill="accent2"/>
      </w:tcPr>
    </w:tblStylePr>
    <w:tblStylePr w:type="firstCol">
      <w:rPr>
        <w:b/>
        <w:bCs/>
        <w:color w:val="FFFFFF" w:themeColor="background1"/>
        <w14:textFill>
          <w14:solidFill>
            <w14:schemeClr w14:val="bg1"/>
          </w14:solidFill>
        </w14:textFill>
      </w:rPr>
      <w:tcPr>
        <w:tcBorders>
          <w:top w:val="single" w:color="FFFFFF" w:themeColor="background1" w:sz="4" w:space="0"/>
          <w:left w:val="single" w:color="FFFFFF" w:themeColor="background1" w:sz="4" w:space="0"/>
          <w:bottom w:val="single" w:color="FFFFFF" w:themeColor="background1" w:sz="4" w:space="0"/>
          <w:insideV w:val="nil"/>
        </w:tcBorders>
        <w:shd w:val="clear" w:color="auto" w:fill="ED7D31" w:themeFill="accent2"/>
      </w:tcPr>
    </w:tblStylePr>
    <w:tblStylePr w:type="lastCol">
      <w:rPr>
        <w:b/>
        <w:bCs/>
        <w:color w:val="FFFFFF" w:themeColor="background1"/>
        <w14:textFill>
          <w14:solidFill>
            <w14:schemeClr w14:val="bg1"/>
          </w14:solidFill>
        </w14:textFill>
      </w:rPr>
      <w:tcPr>
        <w:tcBorders>
          <w:top w:val="single" w:color="FFFFFF" w:themeColor="background1" w:sz="4" w:space="0"/>
          <w:bottom w:val="single" w:color="FFFFFF" w:themeColor="background1" w:sz="4" w:space="0"/>
          <w:right w:val="single" w:color="FFFFFF" w:themeColor="background1" w:sz="4" w:space="0"/>
          <w:insideV w:val="nil"/>
        </w:tcBorders>
        <w:shd w:val="clear" w:color="auto" w:fill="ED7D31" w:themeFill="accent2"/>
      </w:tcPr>
    </w:tblStylePr>
    <w:tblStylePr w:type="band1Vert">
      <w:tcPr>
        <w:shd w:val="clear" w:color="auto" w:fill="F7CAAC" w:themeFill="accent2" w:themeFillTint="66"/>
      </w:tcPr>
    </w:tblStylePr>
    <w:tblStylePr w:type="band1Horz">
      <w:tcPr>
        <w:shd w:val="clear" w:color="auto" w:fill="F7CAAC" w:themeFill="accent2" w:themeFillTint="66"/>
      </w:tcPr>
    </w:tblStyle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theme" Target="theme/theme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24</Pages>
  <Words>6016</Words>
  <Characters>34293</Characters>
  <Lines>285</Lines>
  <Paragraphs>80</Paragraphs>
  <TotalTime>0</TotalTime>
  <ScaleCrop>false</ScaleCrop>
  <LinksUpToDate>false</LinksUpToDate>
  <CharactersWithSpaces>40229</CharactersWithSpaces>
  <Application>WPS Office_6.12.0.8899_F1E327BC-269C-435d-A152-05C5408002CA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2026-01-04T12:09:00Z</dcterms:created>
  <dc:creator>Jack Ojango</dc:creator>
  <cp:lastModifiedBy>。</cp:lastModifiedBy>
  <dcterms:modified xsi:type="dcterms:W3CDTF">2026-01-06T21:47:06Z</dcterms:modified>
  <cp:revision>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eyJoZGlkIjoiYjkyZmNhZmMwYTRkMzdjNDc0ZDBiODA4ZTNmNjg2YzYiLCJ1c2VySWQiOiI1MDM2NzAzNTUifQ==</vt:lpwstr>
  </property>
  <property fmtid="{D5CDD505-2E9C-101B-9397-08002B2CF9AE}" pid="3" name="KSOProductBuildVer">
    <vt:lpwstr>2052-6.12.0.8899</vt:lpwstr>
  </property>
  <property fmtid="{D5CDD505-2E9C-101B-9397-08002B2CF9AE}" pid="4" name="ICV">
    <vt:lpwstr>999E232D9B5816CDCA745D6963C2D394_43</vt:lpwstr>
  </property>
</Properties>
</file>