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23C7AE7E"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5F63E0">
              <w:rPr>
                <w:b/>
                <w:color w:val="auto"/>
                <w:sz w:val="32"/>
              </w:rPr>
              <w:t xml:space="preserve"> Victoria Allen </w:t>
            </w:r>
          </w:p>
          <w:p w14:paraId="10C8B6FD" w14:textId="77777777" w:rsidR="005F63E0" w:rsidRDefault="005F63E0" w:rsidP="00340E9A">
            <w:pPr>
              <w:overflowPunct/>
              <w:autoSpaceDE/>
              <w:autoSpaceDN/>
              <w:adjustRightInd/>
              <w:ind w:right="237"/>
              <w:textAlignment w:val="auto"/>
              <w:rPr>
                <w:b/>
                <w:color w:val="auto"/>
                <w:sz w:val="32"/>
              </w:rPr>
            </w:pPr>
          </w:p>
          <w:p w14:paraId="07F4F00E" w14:textId="6FB9C902"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F63E0">
              <w:rPr>
                <w:b/>
                <w:color w:val="auto"/>
                <w:sz w:val="32"/>
              </w:rPr>
              <w:t xml:space="preserve"> 2016622</w:t>
            </w:r>
          </w:p>
          <w:p w14:paraId="161E8B2D" w14:textId="48256E18"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38652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38652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38652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38652F">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38652F">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38652F">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38652F">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38652F">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38652F">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21135D"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6F74A7BB" w14:textId="474F56B6" w:rsidR="00446F80" w:rsidRPr="00FF31EC" w:rsidRDefault="00446F80" w:rsidP="006E78A1">
            <w:pPr>
              <w:ind w:right="237"/>
              <w:jc w:val="both"/>
              <w:rPr>
                <w:b/>
                <w:sz w:val="24"/>
                <w:szCs w:val="24"/>
                <w:highlight w:val="green"/>
              </w:rPr>
            </w:pPr>
          </w:p>
        </w:tc>
        <w:tc>
          <w:tcPr>
            <w:tcW w:w="2300" w:type="dxa"/>
          </w:tcPr>
          <w:p w14:paraId="2C10A136" w14:textId="11879439" w:rsidR="00446F80" w:rsidRPr="001E7592" w:rsidRDefault="006E78A1" w:rsidP="001BC1C4">
            <w:pPr>
              <w:ind w:right="237"/>
              <w:jc w:val="both"/>
              <w:rPr>
                <w:b/>
                <w:bCs/>
                <w:sz w:val="24"/>
                <w:szCs w:val="24"/>
              </w:rPr>
            </w:pPr>
            <w:r>
              <w:rPr>
                <w:b/>
                <w:bCs/>
                <w:sz w:val="24"/>
                <w:szCs w:val="24"/>
              </w:rPr>
              <w:t>200</w:t>
            </w:r>
            <w:r w:rsidR="006EBD1E" w:rsidRPr="0EB17B2B">
              <w:rPr>
                <w:b/>
                <w:bCs/>
                <w:sz w:val="24"/>
                <w:szCs w:val="24"/>
              </w:rPr>
              <w:t>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04B891F" w:rsidR="00446F80" w:rsidRPr="001E7592" w:rsidRDefault="001BC1C4" w:rsidP="001BC1C4">
            <w:pPr>
              <w:ind w:right="237"/>
              <w:jc w:val="both"/>
              <w:rPr>
                <w:b/>
                <w:bCs/>
                <w:sz w:val="24"/>
                <w:szCs w:val="24"/>
              </w:rPr>
            </w:pPr>
            <w:r w:rsidRPr="0EB17B2B">
              <w:rPr>
                <w:b/>
                <w:bCs/>
                <w:sz w:val="24"/>
                <w:szCs w:val="24"/>
              </w:rPr>
              <w:t>1</w:t>
            </w:r>
            <w:r w:rsidR="006E78A1">
              <w:rPr>
                <w:b/>
                <w:bCs/>
                <w:sz w:val="24"/>
                <w:szCs w:val="24"/>
              </w:rPr>
              <w:t>50</w:t>
            </w:r>
            <w:r w:rsidR="6690485D" w:rsidRPr="0EB17B2B">
              <w:rPr>
                <w:b/>
                <w:bCs/>
                <w:sz w:val="24"/>
                <w:szCs w:val="24"/>
              </w:rPr>
              <w:t>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6E265046" w14:textId="6958A969" w:rsidR="00E83F91" w:rsidRDefault="005C6298" w:rsidP="00340E9A">
            <w:pPr>
              <w:ind w:right="237"/>
              <w:jc w:val="both"/>
              <w:rPr>
                <w:sz w:val="24"/>
                <w:szCs w:val="24"/>
              </w:rPr>
            </w:pPr>
            <w:r w:rsidRPr="00CE0473">
              <w:rPr>
                <w:b/>
                <w:bCs/>
                <w:sz w:val="24"/>
                <w:szCs w:val="24"/>
              </w:rPr>
              <w:t>Critically review</w:t>
            </w:r>
            <w:r>
              <w:rPr>
                <w:sz w:val="24"/>
                <w:szCs w:val="24"/>
              </w:rPr>
              <w:t xml:space="preserve"> models of teamworking and leadership that are currently being deployed within the police service.</w:t>
            </w:r>
          </w:p>
          <w:p w14:paraId="09680F25" w14:textId="7819A46D" w:rsidR="005C6298" w:rsidRDefault="005C6298" w:rsidP="00340E9A">
            <w:pPr>
              <w:ind w:right="237"/>
              <w:jc w:val="both"/>
              <w:rPr>
                <w:b/>
                <w:sz w:val="24"/>
                <w:szCs w:val="24"/>
              </w:rPr>
            </w:pPr>
          </w:p>
          <w:p w14:paraId="0AC5ED53" w14:textId="4BA2FC48" w:rsidR="005C6298" w:rsidRDefault="005C6298" w:rsidP="00340E9A">
            <w:pPr>
              <w:ind w:right="237"/>
              <w:jc w:val="both"/>
              <w:rPr>
                <w:bCs/>
                <w:sz w:val="24"/>
                <w:szCs w:val="24"/>
              </w:rPr>
            </w:pPr>
            <w:r w:rsidRPr="00CE0473">
              <w:rPr>
                <w:b/>
                <w:sz w:val="24"/>
                <w:szCs w:val="24"/>
              </w:rPr>
              <w:t xml:space="preserve">Consider </w:t>
            </w:r>
            <w:r w:rsidRPr="005C6298">
              <w:rPr>
                <w:bCs/>
                <w:sz w:val="24"/>
                <w:szCs w:val="24"/>
              </w:rPr>
              <w:t>strategies and processes for creating a healthy environment within effective teamworking</w:t>
            </w:r>
          </w:p>
          <w:p w14:paraId="46B53E4E" w14:textId="3224229C" w:rsidR="005C6298" w:rsidRDefault="005C6298" w:rsidP="00340E9A">
            <w:pPr>
              <w:ind w:right="237"/>
              <w:jc w:val="both"/>
              <w:rPr>
                <w:bCs/>
                <w:sz w:val="24"/>
                <w:szCs w:val="24"/>
              </w:rPr>
            </w:pPr>
          </w:p>
          <w:p w14:paraId="2F508035" w14:textId="3E533A4F" w:rsidR="005C6298" w:rsidRDefault="005C6298" w:rsidP="00340E9A">
            <w:pPr>
              <w:ind w:right="237"/>
              <w:jc w:val="both"/>
              <w:rPr>
                <w:bCs/>
                <w:sz w:val="24"/>
                <w:szCs w:val="24"/>
              </w:rPr>
            </w:pPr>
          </w:p>
          <w:p w14:paraId="19F0C65D" w14:textId="77777777" w:rsidR="005C6298" w:rsidRPr="005C6298" w:rsidRDefault="005C6298" w:rsidP="00340E9A">
            <w:pPr>
              <w:ind w:right="237"/>
              <w:jc w:val="both"/>
              <w:rPr>
                <w:bCs/>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7549CA5"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In this essay I am going to review </w:t>
      </w:r>
      <w:bookmarkStart w:id="0" w:name="_Hlk103436440"/>
      <w:r w:rsidRPr="004A33EB">
        <w:rPr>
          <w:rFonts w:asciiTheme="minorHAnsi" w:eastAsiaTheme="minorHAnsi" w:hAnsiTheme="minorHAnsi" w:cstheme="minorBidi"/>
          <w:color w:val="auto"/>
          <w:sz w:val="22"/>
          <w:szCs w:val="22"/>
          <w:lang w:eastAsia="en-US"/>
        </w:rPr>
        <w:t xml:space="preserve">the T7 Model of Team Effectiveness and Hackman's Five-Factors-Model </w:t>
      </w:r>
      <w:bookmarkEnd w:id="0"/>
      <w:r w:rsidRPr="004A33EB">
        <w:rPr>
          <w:rFonts w:asciiTheme="minorHAnsi" w:eastAsiaTheme="minorHAnsi" w:hAnsiTheme="minorHAnsi" w:cstheme="minorBidi"/>
          <w:color w:val="auto"/>
          <w:sz w:val="22"/>
          <w:szCs w:val="22"/>
          <w:lang w:eastAsia="en-US"/>
        </w:rPr>
        <w:t xml:space="preserve">and outline how they contribute to creating a healthy environment within policing. I will consider how relatable the models are when applying them to the dynamic nature of the policing role and also compare differences and similarities. </w:t>
      </w:r>
    </w:p>
    <w:p w14:paraId="640A3DAE"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7ED30F2"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The effectiveness of teamwork within the Police is invaluable as it allows Police forces </w:t>
      </w:r>
    </w:p>
    <w:p w14:paraId="617BB3F7" w14:textId="77777777" w:rsidR="004A33EB" w:rsidRPr="004A33EB" w:rsidRDefault="004A33EB" w:rsidP="004A33EB">
      <w:pPr>
        <w:overflowPunct/>
        <w:autoSpaceDE/>
        <w:autoSpaceDN/>
        <w:adjustRightInd/>
        <w:spacing w:after="160" w:line="259" w:lineRule="auto"/>
        <w:ind w:left="720"/>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to take advantage of in-house resources, pair important skills and reach out to other departments and agencies to solve and eliminate crimes. Often, teams within the police can be more efficient and more effective than individual officers and detectives working solo or in a vacuum. When police departments apply team building in the police force to unite against organised and systemic crime, they can better utilise available resources to keep the public safe </w:t>
      </w:r>
      <w:sdt>
        <w:sdtPr>
          <w:rPr>
            <w:rFonts w:asciiTheme="minorHAnsi" w:eastAsiaTheme="minorHAnsi" w:hAnsiTheme="minorHAnsi" w:cstheme="minorBidi"/>
            <w:color w:val="auto"/>
            <w:sz w:val="22"/>
            <w:szCs w:val="22"/>
            <w:lang w:eastAsia="en-US"/>
          </w:rPr>
          <w:id w:val="382067019"/>
          <w:citation/>
        </w:sdtPr>
        <w:sdtContent>
          <w:r w:rsidRPr="004A33EB">
            <w:rPr>
              <w:rFonts w:asciiTheme="minorHAnsi" w:eastAsiaTheme="minorHAnsi" w:hAnsiTheme="minorHAnsi" w:cstheme="minorBidi"/>
              <w:color w:val="auto"/>
              <w:sz w:val="22"/>
              <w:szCs w:val="22"/>
              <w:lang w:eastAsia="en-US"/>
            </w:rPr>
            <w:fldChar w:fldCharType="begin"/>
          </w:r>
          <w:r w:rsidRPr="004A33EB">
            <w:rPr>
              <w:rFonts w:asciiTheme="minorHAnsi" w:eastAsiaTheme="minorHAnsi" w:hAnsiTheme="minorHAnsi" w:cstheme="minorBidi"/>
              <w:color w:val="auto"/>
              <w:sz w:val="22"/>
              <w:szCs w:val="22"/>
              <w:lang w:eastAsia="en-US"/>
            </w:rPr>
            <w:instrText xml:space="preserve"> CITATION Hou21 \l 2057 </w:instrText>
          </w:r>
          <w:r w:rsidRPr="004A33EB">
            <w:rPr>
              <w:rFonts w:asciiTheme="minorHAnsi" w:eastAsiaTheme="minorHAnsi" w:hAnsiTheme="minorHAnsi" w:cstheme="minorBidi"/>
              <w:color w:val="auto"/>
              <w:sz w:val="22"/>
              <w:szCs w:val="22"/>
              <w:lang w:eastAsia="en-US"/>
            </w:rPr>
            <w:fldChar w:fldCharType="separate"/>
          </w:r>
          <w:r w:rsidRPr="004A33EB">
            <w:rPr>
              <w:rFonts w:asciiTheme="minorHAnsi" w:eastAsiaTheme="minorHAnsi" w:hAnsiTheme="minorHAnsi" w:cstheme="minorBidi"/>
              <w:noProof/>
              <w:color w:val="auto"/>
              <w:sz w:val="22"/>
              <w:szCs w:val="22"/>
              <w:lang w:eastAsia="en-US"/>
            </w:rPr>
            <w:t>(Houston Chronicle, 2021)</w:t>
          </w:r>
          <w:r w:rsidRPr="004A33EB">
            <w:rPr>
              <w:rFonts w:asciiTheme="minorHAnsi" w:eastAsiaTheme="minorHAnsi" w:hAnsiTheme="minorHAnsi" w:cstheme="minorBidi"/>
              <w:color w:val="auto"/>
              <w:sz w:val="22"/>
              <w:szCs w:val="22"/>
              <w:lang w:eastAsia="en-US"/>
            </w:rPr>
            <w:fldChar w:fldCharType="end"/>
          </w:r>
        </w:sdtContent>
      </w:sdt>
      <w:r w:rsidRPr="004A33EB">
        <w:rPr>
          <w:rFonts w:asciiTheme="minorHAnsi" w:eastAsiaTheme="minorHAnsi" w:hAnsiTheme="minorHAnsi" w:cstheme="minorBidi"/>
          <w:color w:val="auto"/>
          <w:sz w:val="22"/>
          <w:szCs w:val="22"/>
          <w:lang w:eastAsia="en-US"/>
        </w:rPr>
        <w:t xml:space="preserve">. </w:t>
      </w:r>
    </w:p>
    <w:p w14:paraId="61B3F4E7" w14:textId="77777777" w:rsidR="004A33EB" w:rsidRPr="004A33EB" w:rsidRDefault="004A33EB" w:rsidP="004A33EB">
      <w:pPr>
        <w:overflowPunct/>
        <w:autoSpaceDE/>
        <w:autoSpaceDN/>
        <w:adjustRightInd/>
        <w:spacing w:after="160" w:line="259" w:lineRule="auto"/>
        <w:ind w:left="720"/>
        <w:textAlignment w:val="auto"/>
        <w:rPr>
          <w:rFonts w:asciiTheme="minorHAnsi" w:eastAsiaTheme="minorHAnsi" w:hAnsiTheme="minorHAnsi" w:cstheme="minorBidi"/>
          <w:color w:val="auto"/>
          <w:sz w:val="22"/>
          <w:szCs w:val="22"/>
          <w:lang w:eastAsia="en-US"/>
        </w:rPr>
      </w:pPr>
    </w:p>
    <w:p w14:paraId="4FC72A84"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Teamworking and leadership models provide leaders and organisations an insight and understanding into how their team is functioning. It supports leaders to develop management skills and adapt their leadership style in order to better support team progression and highlights any areas requiring attention in order to improve team performance. </w:t>
      </w:r>
    </w:p>
    <w:p w14:paraId="26B6F9AC"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4950EA7"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The T7 model was introduced in 1995 by Michael M Lombardo and Robert W </w:t>
      </w:r>
      <w:proofErr w:type="spellStart"/>
      <w:r w:rsidRPr="004A33EB">
        <w:rPr>
          <w:rFonts w:asciiTheme="minorHAnsi" w:eastAsiaTheme="minorHAnsi" w:hAnsiTheme="minorHAnsi" w:cstheme="minorBidi"/>
          <w:color w:val="auto"/>
          <w:sz w:val="22"/>
          <w:szCs w:val="22"/>
          <w:lang w:eastAsia="en-US"/>
        </w:rPr>
        <w:t>Eichinger</w:t>
      </w:r>
      <w:proofErr w:type="spellEnd"/>
      <w:r w:rsidRPr="004A33EB">
        <w:rPr>
          <w:rFonts w:asciiTheme="minorHAnsi" w:eastAsiaTheme="minorHAnsi" w:hAnsiTheme="minorHAnsi" w:cstheme="minorBidi"/>
          <w:color w:val="auto"/>
          <w:sz w:val="22"/>
          <w:szCs w:val="22"/>
          <w:lang w:eastAsia="en-US"/>
        </w:rPr>
        <w:t xml:space="preserve"> to determine and understand the factors that impact team effectiveness. The model obtained its name because it is made up of five internal aspects and two external aspects, not surprisingly, all beginning with the letter ‘T’.  </w:t>
      </w:r>
    </w:p>
    <w:p w14:paraId="75600E55"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The core of the T7 model consists of; Thrust, Trust, Talent, Teaming and Task. </w:t>
      </w:r>
    </w:p>
    <w:p w14:paraId="0112C1C7"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Thrust provides clear and precise vision and objectives whereby members of the team share a common purpose and are committed to accomplishing team goals. Similarly, to South Wales Police Mission Statement, the force and its members are dedicated to ‘Keeping South Wales Safe’.</w:t>
      </w:r>
    </w:p>
    <w:p w14:paraId="47A09C2D"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lastRenderedPageBreak/>
        <w:t xml:space="preserve">“Trust is the amount of confidence team members have in each other. It affects various aspects of the team's relationship, including communication, accountability, and empathy” </w:t>
      </w:r>
      <w:sdt>
        <w:sdtPr>
          <w:rPr>
            <w:rFonts w:asciiTheme="minorHAnsi" w:eastAsiaTheme="minorHAnsi" w:hAnsiTheme="minorHAnsi" w:cstheme="minorBidi"/>
            <w:color w:val="auto"/>
            <w:sz w:val="22"/>
            <w:szCs w:val="22"/>
            <w:lang w:eastAsia="en-US"/>
          </w:rPr>
          <w:id w:val="1240058082"/>
          <w:citation/>
        </w:sdtPr>
        <w:sdtContent>
          <w:r w:rsidRPr="004A33EB">
            <w:rPr>
              <w:rFonts w:asciiTheme="minorHAnsi" w:eastAsiaTheme="minorHAnsi" w:hAnsiTheme="minorHAnsi" w:cstheme="minorBidi"/>
              <w:color w:val="auto"/>
              <w:sz w:val="22"/>
              <w:szCs w:val="22"/>
              <w:lang w:eastAsia="en-US"/>
            </w:rPr>
            <w:fldChar w:fldCharType="begin"/>
          </w:r>
          <w:r w:rsidRPr="004A33EB">
            <w:rPr>
              <w:rFonts w:asciiTheme="minorHAnsi" w:eastAsiaTheme="minorHAnsi" w:hAnsiTheme="minorHAnsi" w:cstheme="minorBidi"/>
              <w:color w:val="auto"/>
              <w:sz w:val="22"/>
              <w:szCs w:val="22"/>
              <w:lang w:eastAsia="en-US"/>
            </w:rPr>
            <w:instrText xml:space="preserve"> CITATION Ind21 \l 2057 </w:instrText>
          </w:r>
          <w:r w:rsidRPr="004A33EB">
            <w:rPr>
              <w:rFonts w:asciiTheme="minorHAnsi" w:eastAsiaTheme="minorHAnsi" w:hAnsiTheme="minorHAnsi" w:cstheme="minorBidi"/>
              <w:color w:val="auto"/>
              <w:sz w:val="22"/>
              <w:szCs w:val="22"/>
              <w:lang w:eastAsia="en-US"/>
            </w:rPr>
            <w:fldChar w:fldCharType="separate"/>
          </w:r>
          <w:r w:rsidRPr="004A33EB">
            <w:rPr>
              <w:rFonts w:asciiTheme="minorHAnsi" w:eastAsiaTheme="minorHAnsi" w:hAnsiTheme="minorHAnsi" w:cstheme="minorBidi"/>
              <w:noProof/>
              <w:color w:val="auto"/>
              <w:sz w:val="22"/>
              <w:szCs w:val="22"/>
              <w:lang w:eastAsia="en-US"/>
            </w:rPr>
            <w:t>(Indeed Editorial Team, 2021)</w:t>
          </w:r>
          <w:r w:rsidRPr="004A33EB">
            <w:rPr>
              <w:rFonts w:asciiTheme="minorHAnsi" w:eastAsiaTheme="minorHAnsi" w:hAnsiTheme="minorHAnsi" w:cstheme="minorBidi"/>
              <w:color w:val="auto"/>
              <w:sz w:val="22"/>
              <w:szCs w:val="22"/>
              <w:lang w:eastAsia="en-US"/>
            </w:rPr>
            <w:fldChar w:fldCharType="end"/>
          </w:r>
        </w:sdtContent>
      </w:sdt>
      <w:r w:rsidRPr="004A33EB">
        <w:rPr>
          <w:rFonts w:asciiTheme="minorHAnsi" w:eastAsiaTheme="minorHAnsi" w:hAnsiTheme="minorHAnsi" w:cstheme="minorBidi"/>
          <w:color w:val="auto"/>
          <w:sz w:val="22"/>
          <w:szCs w:val="22"/>
          <w:lang w:eastAsia="en-US"/>
        </w:rPr>
        <w:t xml:space="preserve">. Within policing, the success of our role is very dependent on us instilling trust in our colleagues. Whether it be the Public Service Centre (PSC) communicating all relevant information to response officers, colleagues and myself conducting dynamic risk assessments or leadership support when taking justified and proportionate action. </w:t>
      </w:r>
    </w:p>
    <w:p w14:paraId="77943C9E"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Talent takes into consideration the collective skills members of the team have and individual skillsets and how to allocate them effectively to maximise utilisation. It promotes enhancement of existing abilities such as good communication skills and effective team working and supports further development.  This element is highly relatable within response policing, skills such as ‘Blue Light’, ‘Taser’, ‘Stinger’ and ‘Method of Entry’ all have to be considered when deploying officers to incidents to ensure they are affected efficiently.  </w:t>
      </w:r>
    </w:p>
    <w:p w14:paraId="0CE66FA4"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Teaming skills measures the effectiveness and efficiency of a team. It “refers to how well team members can collaborate. It comprises the level of cohesion and coordination in the activities of team members” </w:t>
      </w:r>
      <w:sdt>
        <w:sdtPr>
          <w:rPr>
            <w:rFonts w:asciiTheme="minorHAnsi" w:eastAsiaTheme="minorHAnsi" w:hAnsiTheme="minorHAnsi" w:cstheme="minorBidi"/>
            <w:color w:val="auto"/>
            <w:sz w:val="22"/>
            <w:szCs w:val="22"/>
            <w:lang w:eastAsia="en-US"/>
          </w:rPr>
          <w:id w:val="-1161466351"/>
          <w:citation/>
        </w:sdtPr>
        <w:sdtContent>
          <w:r w:rsidRPr="004A33EB">
            <w:rPr>
              <w:rFonts w:asciiTheme="minorHAnsi" w:eastAsiaTheme="minorHAnsi" w:hAnsiTheme="minorHAnsi" w:cstheme="minorBidi"/>
              <w:color w:val="auto"/>
              <w:sz w:val="22"/>
              <w:szCs w:val="22"/>
              <w:lang w:eastAsia="en-US"/>
            </w:rPr>
            <w:fldChar w:fldCharType="begin"/>
          </w:r>
          <w:r w:rsidRPr="004A33EB">
            <w:rPr>
              <w:rFonts w:asciiTheme="minorHAnsi" w:eastAsiaTheme="minorHAnsi" w:hAnsiTheme="minorHAnsi" w:cstheme="minorBidi"/>
              <w:color w:val="auto"/>
              <w:sz w:val="22"/>
              <w:szCs w:val="22"/>
              <w:lang w:eastAsia="en-US"/>
            </w:rPr>
            <w:instrText xml:space="preserve"> CITATION Ind21 \l 2057 </w:instrText>
          </w:r>
          <w:r w:rsidRPr="004A33EB">
            <w:rPr>
              <w:rFonts w:asciiTheme="minorHAnsi" w:eastAsiaTheme="minorHAnsi" w:hAnsiTheme="minorHAnsi" w:cstheme="minorBidi"/>
              <w:color w:val="auto"/>
              <w:sz w:val="22"/>
              <w:szCs w:val="22"/>
              <w:lang w:eastAsia="en-US"/>
            </w:rPr>
            <w:fldChar w:fldCharType="separate"/>
          </w:r>
          <w:r w:rsidRPr="004A33EB">
            <w:rPr>
              <w:rFonts w:asciiTheme="minorHAnsi" w:eastAsiaTheme="minorHAnsi" w:hAnsiTheme="minorHAnsi" w:cstheme="minorBidi"/>
              <w:noProof/>
              <w:color w:val="auto"/>
              <w:sz w:val="22"/>
              <w:szCs w:val="22"/>
              <w:lang w:eastAsia="en-US"/>
            </w:rPr>
            <w:t>(Indeed Editorial Team, 2021)</w:t>
          </w:r>
          <w:r w:rsidRPr="004A33EB">
            <w:rPr>
              <w:rFonts w:asciiTheme="minorHAnsi" w:eastAsiaTheme="minorHAnsi" w:hAnsiTheme="minorHAnsi" w:cstheme="minorBidi"/>
              <w:color w:val="auto"/>
              <w:sz w:val="22"/>
              <w:szCs w:val="22"/>
              <w:lang w:eastAsia="en-US"/>
            </w:rPr>
            <w:fldChar w:fldCharType="end"/>
          </w:r>
        </w:sdtContent>
      </w:sdt>
      <w:r w:rsidRPr="004A33EB">
        <w:rPr>
          <w:rFonts w:asciiTheme="minorHAnsi" w:eastAsiaTheme="minorHAnsi" w:hAnsiTheme="minorHAnsi" w:cstheme="minorBidi"/>
          <w:color w:val="auto"/>
          <w:sz w:val="22"/>
          <w:szCs w:val="22"/>
          <w:lang w:eastAsia="en-US"/>
        </w:rPr>
        <w:t xml:space="preserve">. This can include activities such as; managing time; resources and processes, decision making and conflict resolution, all of which are relevant to policing. </w:t>
      </w:r>
    </w:p>
    <w:p w14:paraId="7F558BF7"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Task skills focus on the task level of the team and how effectively the team accomplish their goals. It takes into consideration; sufficient flexibility to complete the task, monitoring progress and the efficiency of work processes. </w:t>
      </w:r>
    </w:p>
    <w:p w14:paraId="0FE77513"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This then brings us onto the two external factors of the T7 model; Team-leader fit and Team support from the organisation. </w:t>
      </w:r>
    </w:p>
    <w:p w14:paraId="3D831492"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Team-leader fit measures the degree to which the team leader satisfies the needs of the team members. “Effective teams require leaders that prioritise the team's interests and understand its goals” </w:t>
      </w:r>
      <w:sdt>
        <w:sdtPr>
          <w:rPr>
            <w:rFonts w:asciiTheme="minorHAnsi" w:eastAsiaTheme="minorHAnsi" w:hAnsiTheme="minorHAnsi" w:cstheme="minorBidi"/>
            <w:color w:val="auto"/>
            <w:sz w:val="22"/>
            <w:szCs w:val="22"/>
            <w:lang w:eastAsia="en-US"/>
          </w:rPr>
          <w:id w:val="-278259201"/>
          <w:citation/>
        </w:sdtPr>
        <w:sdtContent>
          <w:r w:rsidRPr="004A33EB">
            <w:rPr>
              <w:rFonts w:asciiTheme="minorHAnsi" w:eastAsiaTheme="minorHAnsi" w:hAnsiTheme="minorHAnsi" w:cstheme="minorBidi"/>
              <w:color w:val="auto"/>
              <w:sz w:val="22"/>
              <w:szCs w:val="22"/>
              <w:lang w:eastAsia="en-US"/>
            </w:rPr>
            <w:fldChar w:fldCharType="begin"/>
          </w:r>
          <w:r w:rsidRPr="004A33EB">
            <w:rPr>
              <w:rFonts w:asciiTheme="minorHAnsi" w:eastAsiaTheme="minorHAnsi" w:hAnsiTheme="minorHAnsi" w:cstheme="minorBidi"/>
              <w:color w:val="auto"/>
              <w:sz w:val="22"/>
              <w:szCs w:val="22"/>
              <w:lang w:eastAsia="en-US"/>
            </w:rPr>
            <w:instrText xml:space="preserve"> CITATION Ind21 \l 2057 </w:instrText>
          </w:r>
          <w:r w:rsidRPr="004A33EB">
            <w:rPr>
              <w:rFonts w:asciiTheme="minorHAnsi" w:eastAsiaTheme="minorHAnsi" w:hAnsiTheme="minorHAnsi" w:cstheme="minorBidi"/>
              <w:color w:val="auto"/>
              <w:sz w:val="22"/>
              <w:szCs w:val="22"/>
              <w:lang w:eastAsia="en-US"/>
            </w:rPr>
            <w:fldChar w:fldCharType="separate"/>
          </w:r>
          <w:r w:rsidRPr="004A33EB">
            <w:rPr>
              <w:rFonts w:asciiTheme="minorHAnsi" w:eastAsiaTheme="minorHAnsi" w:hAnsiTheme="minorHAnsi" w:cstheme="minorBidi"/>
              <w:noProof/>
              <w:color w:val="auto"/>
              <w:sz w:val="22"/>
              <w:szCs w:val="22"/>
              <w:lang w:eastAsia="en-US"/>
            </w:rPr>
            <w:t>(Indeed Editorial Team, 2021)</w:t>
          </w:r>
          <w:r w:rsidRPr="004A33EB">
            <w:rPr>
              <w:rFonts w:asciiTheme="minorHAnsi" w:eastAsiaTheme="minorHAnsi" w:hAnsiTheme="minorHAnsi" w:cstheme="minorBidi"/>
              <w:color w:val="auto"/>
              <w:sz w:val="22"/>
              <w:szCs w:val="22"/>
              <w:lang w:eastAsia="en-US"/>
            </w:rPr>
            <w:fldChar w:fldCharType="end"/>
          </w:r>
        </w:sdtContent>
      </w:sdt>
      <w:r w:rsidRPr="004A33EB">
        <w:rPr>
          <w:rFonts w:asciiTheme="minorHAnsi" w:eastAsiaTheme="minorHAnsi" w:hAnsiTheme="minorHAnsi" w:cstheme="minorBidi"/>
          <w:color w:val="auto"/>
          <w:sz w:val="22"/>
          <w:szCs w:val="22"/>
          <w:lang w:eastAsia="en-US"/>
        </w:rPr>
        <w:t xml:space="preserve">. In policing, a Sergeant that is familiar with his/her teams’ workloads and incidents those members of his/her team are attending, are able to offer accurate prompt advice and support when required. </w:t>
      </w:r>
    </w:p>
    <w:p w14:paraId="68B9077E"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Team support relates to how organisations support their teams to perform. It can include; positive incentives, sufficient; funding, resources and training. </w:t>
      </w:r>
    </w:p>
    <w:p w14:paraId="1D61608A" w14:textId="77777777" w:rsidR="004A33EB" w:rsidRPr="004A33EB" w:rsidRDefault="004A33EB" w:rsidP="004A33EB">
      <w:pPr>
        <w:overflowPunct/>
        <w:autoSpaceDE/>
        <w:autoSpaceDN/>
        <w:adjustRightInd/>
        <w:spacing w:after="160" w:line="259" w:lineRule="auto"/>
        <w:ind w:left="720"/>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“According to the T7 Model, in order for teams to perform and reach their full potential, all seven factors must be at play; if any factor is lacking, it can cause issues with the team and lead to lower performance” </w:t>
      </w:r>
      <w:sdt>
        <w:sdtPr>
          <w:rPr>
            <w:rFonts w:asciiTheme="minorHAnsi" w:eastAsiaTheme="minorHAnsi" w:hAnsiTheme="minorHAnsi" w:cstheme="minorBidi"/>
            <w:color w:val="auto"/>
            <w:sz w:val="22"/>
            <w:szCs w:val="22"/>
            <w:lang w:eastAsia="en-US"/>
          </w:rPr>
          <w:id w:val="2117486374"/>
          <w:citation/>
        </w:sdtPr>
        <w:sdtContent>
          <w:r w:rsidRPr="004A33EB">
            <w:rPr>
              <w:rFonts w:asciiTheme="minorHAnsi" w:eastAsiaTheme="minorHAnsi" w:hAnsiTheme="minorHAnsi" w:cstheme="minorBidi"/>
              <w:color w:val="auto"/>
              <w:sz w:val="22"/>
              <w:szCs w:val="22"/>
              <w:lang w:eastAsia="en-US"/>
            </w:rPr>
            <w:fldChar w:fldCharType="begin"/>
          </w:r>
          <w:r w:rsidRPr="004A33EB">
            <w:rPr>
              <w:rFonts w:asciiTheme="minorHAnsi" w:eastAsiaTheme="minorHAnsi" w:hAnsiTheme="minorHAnsi" w:cstheme="minorBidi"/>
              <w:color w:val="auto"/>
              <w:sz w:val="22"/>
              <w:szCs w:val="22"/>
              <w:lang w:eastAsia="en-US"/>
            </w:rPr>
            <w:instrText xml:space="preserve"> CITATION deB21 \l 2057 </w:instrText>
          </w:r>
          <w:r w:rsidRPr="004A33EB">
            <w:rPr>
              <w:rFonts w:asciiTheme="minorHAnsi" w:eastAsiaTheme="minorHAnsi" w:hAnsiTheme="minorHAnsi" w:cstheme="minorBidi"/>
              <w:color w:val="auto"/>
              <w:sz w:val="22"/>
              <w:szCs w:val="22"/>
              <w:lang w:eastAsia="en-US"/>
            </w:rPr>
            <w:fldChar w:fldCharType="separate"/>
          </w:r>
          <w:r w:rsidRPr="004A33EB">
            <w:rPr>
              <w:rFonts w:asciiTheme="minorHAnsi" w:eastAsiaTheme="minorHAnsi" w:hAnsiTheme="minorHAnsi" w:cstheme="minorBidi"/>
              <w:noProof/>
              <w:color w:val="auto"/>
              <w:sz w:val="22"/>
              <w:szCs w:val="22"/>
              <w:lang w:eastAsia="en-US"/>
            </w:rPr>
            <w:t>(deBara, 2021)</w:t>
          </w:r>
          <w:r w:rsidRPr="004A33EB">
            <w:rPr>
              <w:rFonts w:asciiTheme="minorHAnsi" w:eastAsiaTheme="minorHAnsi" w:hAnsiTheme="minorHAnsi" w:cstheme="minorBidi"/>
              <w:color w:val="auto"/>
              <w:sz w:val="22"/>
              <w:szCs w:val="22"/>
              <w:lang w:eastAsia="en-US"/>
            </w:rPr>
            <w:fldChar w:fldCharType="end"/>
          </w:r>
        </w:sdtContent>
      </w:sdt>
      <w:r w:rsidRPr="004A33EB">
        <w:rPr>
          <w:rFonts w:asciiTheme="minorHAnsi" w:eastAsiaTheme="minorHAnsi" w:hAnsiTheme="minorHAnsi" w:cstheme="minorBidi"/>
          <w:color w:val="auto"/>
          <w:sz w:val="22"/>
          <w:szCs w:val="22"/>
          <w:lang w:eastAsia="en-US"/>
        </w:rPr>
        <w:t xml:space="preserve">. </w:t>
      </w:r>
    </w:p>
    <w:p w14:paraId="3BC159F6"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3A50551"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A simpler model but somewhat relatable is Hackman's five-factor model. Organisational behaviour expert Professor Richard Hackman published the model in 2002 and as the name suggests, the model consists of five necessary conditions for team effectiveness; Being a Real Team, Compelling Direction, Enabling Structure, Supportive Context and Expert Coaching.</w:t>
      </w:r>
    </w:p>
    <w:p w14:paraId="6CC9AAD2"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FAB358D"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Being a Real Team: “According to Hackman, an effective team is one where members have clear roles, rights, and tasks. This promotes clarity in the team” </w:t>
      </w:r>
      <w:sdt>
        <w:sdtPr>
          <w:rPr>
            <w:rFonts w:asciiTheme="minorHAnsi" w:eastAsiaTheme="minorHAnsi" w:hAnsiTheme="minorHAnsi" w:cstheme="minorBidi"/>
            <w:color w:val="auto"/>
            <w:sz w:val="22"/>
            <w:szCs w:val="22"/>
            <w:lang w:eastAsia="en-US"/>
          </w:rPr>
          <w:id w:val="-782268426"/>
          <w:citation/>
        </w:sdtPr>
        <w:sdtContent>
          <w:r w:rsidRPr="004A33EB">
            <w:rPr>
              <w:rFonts w:asciiTheme="minorHAnsi" w:eastAsiaTheme="minorHAnsi" w:hAnsiTheme="minorHAnsi" w:cstheme="minorBidi"/>
              <w:color w:val="auto"/>
              <w:sz w:val="22"/>
              <w:szCs w:val="22"/>
              <w:lang w:eastAsia="en-US"/>
            </w:rPr>
            <w:fldChar w:fldCharType="begin"/>
          </w:r>
          <w:r w:rsidRPr="004A33EB">
            <w:rPr>
              <w:rFonts w:asciiTheme="minorHAnsi" w:eastAsiaTheme="minorHAnsi" w:hAnsiTheme="minorHAnsi" w:cstheme="minorBidi"/>
              <w:color w:val="auto"/>
              <w:sz w:val="22"/>
              <w:szCs w:val="22"/>
              <w:lang w:eastAsia="en-US"/>
            </w:rPr>
            <w:instrText xml:space="preserve"> CITATION Ind21 \l 2057 </w:instrText>
          </w:r>
          <w:r w:rsidRPr="004A33EB">
            <w:rPr>
              <w:rFonts w:asciiTheme="minorHAnsi" w:eastAsiaTheme="minorHAnsi" w:hAnsiTheme="minorHAnsi" w:cstheme="minorBidi"/>
              <w:color w:val="auto"/>
              <w:sz w:val="22"/>
              <w:szCs w:val="22"/>
              <w:lang w:eastAsia="en-US"/>
            </w:rPr>
            <w:fldChar w:fldCharType="separate"/>
          </w:r>
          <w:r w:rsidRPr="004A33EB">
            <w:rPr>
              <w:rFonts w:asciiTheme="minorHAnsi" w:eastAsiaTheme="minorHAnsi" w:hAnsiTheme="minorHAnsi" w:cstheme="minorBidi"/>
              <w:noProof/>
              <w:color w:val="auto"/>
              <w:sz w:val="22"/>
              <w:szCs w:val="22"/>
              <w:lang w:eastAsia="en-US"/>
            </w:rPr>
            <w:t>(Indeed Editorial Team, 2021)</w:t>
          </w:r>
          <w:r w:rsidRPr="004A33EB">
            <w:rPr>
              <w:rFonts w:asciiTheme="minorHAnsi" w:eastAsiaTheme="minorHAnsi" w:hAnsiTheme="minorHAnsi" w:cstheme="minorBidi"/>
              <w:color w:val="auto"/>
              <w:sz w:val="22"/>
              <w:szCs w:val="22"/>
              <w:lang w:eastAsia="en-US"/>
            </w:rPr>
            <w:fldChar w:fldCharType="end"/>
          </w:r>
        </w:sdtContent>
      </w:sdt>
      <w:r w:rsidRPr="004A33EB">
        <w:rPr>
          <w:rFonts w:asciiTheme="minorHAnsi" w:eastAsiaTheme="minorHAnsi" w:hAnsiTheme="minorHAnsi" w:cstheme="minorBidi"/>
          <w:color w:val="auto"/>
          <w:sz w:val="22"/>
          <w:szCs w:val="22"/>
          <w:lang w:eastAsia="en-US"/>
        </w:rPr>
        <w:t xml:space="preserve">. This supports a stable interdependent team and provides team members with clear boundaries. </w:t>
      </w:r>
    </w:p>
    <w:p w14:paraId="36320E0E"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lastRenderedPageBreak/>
        <w:t xml:space="preserve">Compelling Direction refers to “having a compelling direction that everyone works toward: This means setting goals that are clear, challenging, and of sufficient consequence to motivate team members to strive together” </w:t>
      </w:r>
      <w:sdt>
        <w:sdtPr>
          <w:rPr>
            <w:rFonts w:asciiTheme="minorHAnsi" w:eastAsiaTheme="minorHAnsi" w:hAnsiTheme="minorHAnsi" w:cstheme="minorBidi"/>
            <w:color w:val="auto"/>
            <w:sz w:val="22"/>
            <w:szCs w:val="22"/>
            <w:lang w:eastAsia="en-US"/>
          </w:rPr>
          <w:id w:val="2003692504"/>
          <w:citation/>
        </w:sdtPr>
        <w:sdtContent>
          <w:r w:rsidRPr="004A33EB">
            <w:rPr>
              <w:rFonts w:asciiTheme="minorHAnsi" w:eastAsiaTheme="minorHAnsi" w:hAnsiTheme="minorHAnsi" w:cstheme="minorBidi"/>
              <w:color w:val="auto"/>
              <w:sz w:val="22"/>
              <w:szCs w:val="22"/>
              <w:lang w:eastAsia="en-US"/>
            </w:rPr>
            <w:fldChar w:fldCharType="begin"/>
          </w:r>
          <w:r w:rsidRPr="004A33EB">
            <w:rPr>
              <w:rFonts w:asciiTheme="minorHAnsi" w:eastAsiaTheme="minorHAnsi" w:hAnsiTheme="minorHAnsi" w:cstheme="minorBidi"/>
              <w:color w:val="auto"/>
              <w:sz w:val="22"/>
              <w:szCs w:val="22"/>
              <w:lang w:eastAsia="en-US"/>
            </w:rPr>
            <w:instrText xml:space="preserve"> CITATION Udo21 \l 2057 </w:instrText>
          </w:r>
          <w:r w:rsidRPr="004A33EB">
            <w:rPr>
              <w:rFonts w:asciiTheme="minorHAnsi" w:eastAsiaTheme="minorHAnsi" w:hAnsiTheme="minorHAnsi" w:cstheme="minorBidi"/>
              <w:color w:val="auto"/>
              <w:sz w:val="22"/>
              <w:szCs w:val="22"/>
              <w:lang w:eastAsia="en-US"/>
            </w:rPr>
            <w:fldChar w:fldCharType="separate"/>
          </w:r>
          <w:r w:rsidRPr="004A33EB">
            <w:rPr>
              <w:rFonts w:asciiTheme="minorHAnsi" w:eastAsiaTheme="minorHAnsi" w:hAnsiTheme="minorHAnsi" w:cstheme="minorBidi"/>
              <w:noProof/>
              <w:color w:val="auto"/>
              <w:sz w:val="22"/>
              <w:szCs w:val="22"/>
              <w:lang w:eastAsia="en-US"/>
            </w:rPr>
            <w:t>(Udoagwu, 2021)</w:t>
          </w:r>
          <w:r w:rsidRPr="004A33EB">
            <w:rPr>
              <w:rFonts w:asciiTheme="minorHAnsi" w:eastAsiaTheme="minorHAnsi" w:hAnsiTheme="minorHAnsi" w:cstheme="minorBidi"/>
              <w:color w:val="auto"/>
              <w:sz w:val="22"/>
              <w:szCs w:val="22"/>
              <w:lang w:eastAsia="en-US"/>
            </w:rPr>
            <w:fldChar w:fldCharType="end"/>
          </w:r>
        </w:sdtContent>
      </w:sdt>
      <w:r w:rsidRPr="004A33EB">
        <w:rPr>
          <w:rFonts w:asciiTheme="minorHAnsi" w:eastAsiaTheme="minorHAnsi" w:hAnsiTheme="minorHAnsi" w:cstheme="minorBidi"/>
          <w:color w:val="auto"/>
          <w:sz w:val="22"/>
          <w:szCs w:val="22"/>
          <w:lang w:eastAsia="en-US"/>
        </w:rPr>
        <w:t xml:space="preserve">. </w:t>
      </w:r>
    </w:p>
    <w:p w14:paraId="395212E4"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An enabling structure consists of work processes and structures that support teamwork and its effectiveness without hindering it. </w:t>
      </w:r>
    </w:p>
    <w:p w14:paraId="1CAB8C92"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Supportive Context highlights the requirement for “adequate resources, rewards, information, and the cooperation and support needed to do their work” </w:t>
      </w:r>
      <w:sdt>
        <w:sdtPr>
          <w:rPr>
            <w:rFonts w:asciiTheme="minorHAnsi" w:eastAsiaTheme="minorHAnsi" w:hAnsiTheme="minorHAnsi" w:cstheme="minorBidi"/>
            <w:color w:val="auto"/>
            <w:sz w:val="22"/>
            <w:szCs w:val="22"/>
            <w:lang w:eastAsia="en-US"/>
          </w:rPr>
          <w:id w:val="-282428281"/>
          <w:citation/>
        </w:sdtPr>
        <w:sdtContent>
          <w:r w:rsidRPr="004A33EB">
            <w:rPr>
              <w:rFonts w:asciiTheme="minorHAnsi" w:eastAsiaTheme="minorHAnsi" w:hAnsiTheme="minorHAnsi" w:cstheme="minorBidi"/>
              <w:color w:val="auto"/>
              <w:sz w:val="22"/>
              <w:szCs w:val="22"/>
              <w:lang w:eastAsia="en-US"/>
            </w:rPr>
            <w:fldChar w:fldCharType="begin"/>
          </w:r>
          <w:r w:rsidRPr="004A33EB">
            <w:rPr>
              <w:rFonts w:asciiTheme="minorHAnsi" w:eastAsiaTheme="minorHAnsi" w:hAnsiTheme="minorHAnsi" w:cstheme="minorBidi"/>
              <w:color w:val="auto"/>
              <w:sz w:val="22"/>
              <w:szCs w:val="22"/>
              <w:lang w:eastAsia="en-US"/>
            </w:rPr>
            <w:instrText xml:space="preserve"> CITATION Udo21 \l 2057 </w:instrText>
          </w:r>
          <w:r w:rsidRPr="004A33EB">
            <w:rPr>
              <w:rFonts w:asciiTheme="minorHAnsi" w:eastAsiaTheme="minorHAnsi" w:hAnsiTheme="minorHAnsi" w:cstheme="minorBidi"/>
              <w:color w:val="auto"/>
              <w:sz w:val="22"/>
              <w:szCs w:val="22"/>
              <w:lang w:eastAsia="en-US"/>
            </w:rPr>
            <w:fldChar w:fldCharType="separate"/>
          </w:r>
          <w:r w:rsidRPr="004A33EB">
            <w:rPr>
              <w:rFonts w:asciiTheme="minorHAnsi" w:eastAsiaTheme="minorHAnsi" w:hAnsiTheme="minorHAnsi" w:cstheme="minorBidi"/>
              <w:noProof/>
              <w:color w:val="auto"/>
              <w:sz w:val="22"/>
              <w:szCs w:val="22"/>
              <w:lang w:eastAsia="en-US"/>
            </w:rPr>
            <w:t>(Udoagwu, 2021)</w:t>
          </w:r>
          <w:r w:rsidRPr="004A33EB">
            <w:rPr>
              <w:rFonts w:asciiTheme="minorHAnsi" w:eastAsiaTheme="minorHAnsi" w:hAnsiTheme="minorHAnsi" w:cstheme="minorBidi"/>
              <w:color w:val="auto"/>
              <w:sz w:val="22"/>
              <w:szCs w:val="22"/>
              <w:lang w:eastAsia="en-US"/>
            </w:rPr>
            <w:fldChar w:fldCharType="end"/>
          </w:r>
        </w:sdtContent>
      </w:sdt>
      <w:r w:rsidRPr="004A33EB">
        <w:rPr>
          <w:rFonts w:asciiTheme="minorHAnsi" w:eastAsiaTheme="minorHAnsi" w:hAnsiTheme="minorHAnsi" w:cstheme="minorBidi"/>
          <w:color w:val="auto"/>
          <w:sz w:val="22"/>
          <w:szCs w:val="22"/>
          <w:lang w:eastAsia="en-US"/>
        </w:rPr>
        <w:t>.</w:t>
      </w:r>
    </w:p>
    <w:p w14:paraId="7C3C8B69"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And lastly, “Expert Coaching refers to the availability of a competent coach to help team members deal with potential issues or existing problems in order to accomplish the team tasks” </w:t>
      </w:r>
      <w:sdt>
        <w:sdtPr>
          <w:rPr>
            <w:rFonts w:asciiTheme="minorHAnsi" w:eastAsiaTheme="minorHAnsi" w:hAnsiTheme="minorHAnsi" w:cstheme="minorBidi"/>
            <w:color w:val="auto"/>
            <w:sz w:val="22"/>
            <w:szCs w:val="22"/>
            <w:lang w:eastAsia="en-US"/>
          </w:rPr>
          <w:id w:val="-1646429869"/>
          <w:citation/>
        </w:sdtPr>
        <w:sdtContent>
          <w:r w:rsidRPr="004A33EB">
            <w:rPr>
              <w:rFonts w:asciiTheme="minorHAnsi" w:eastAsiaTheme="minorHAnsi" w:hAnsiTheme="minorHAnsi" w:cstheme="minorBidi"/>
              <w:color w:val="auto"/>
              <w:sz w:val="22"/>
              <w:szCs w:val="22"/>
              <w:lang w:eastAsia="en-US"/>
            </w:rPr>
            <w:fldChar w:fldCharType="begin"/>
          </w:r>
          <w:r w:rsidRPr="004A33EB">
            <w:rPr>
              <w:rFonts w:asciiTheme="minorHAnsi" w:eastAsiaTheme="minorHAnsi" w:hAnsiTheme="minorHAnsi" w:cstheme="minorBidi"/>
              <w:color w:val="auto"/>
              <w:sz w:val="22"/>
              <w:szCs w:val="22"/>
              <w:lang w:eastAsia="en-US"/>
            </w:rPr>
            <w:instrText xml:space="preserve"> CITATION Kor16 \l 2057 </w:instrText>
          </w:r>
          <w:r w:rsidRPr="004A33EB">
            <w:rPr>
              <w:rFonts w:asciiTheme="minorHAnsi" w:eastAsiaTheme="minorHAnsi" w:hAnsiTheme="minorHAnsi" w:cstheme="minorBidi"/>
              <w:color w:val="auto"/>
              <w:sz w:val="22"/>
              <w:szCs w:val="22"/>
              <w:lang w:eastAsia="en-US"/>
            </w:rPr>
            <w:fldChar w:fldCharType="separate"/>
          </w:r>
          <w:r w:rsidRPr="004A33EB">
            <w:rPr>
              <w:rFonts w:asciiTheme="minorHAnsi" w:eastAsiaTheme="minorHAnsi" w:hAnsiTheme="minorHAnsi" w:cstheme="minorBidi"/>
              <w:noProof/>
              <w:color w:val="auto"/>
              <w:sz w:val="22"/>
              <w:szCs w:val="22"/>
              <w:lang w:eastAsia="en-US"/>
            </w:rPr>
            <w:t>(Korn Ferry Institute, 2016)</w:t>
          </w:r>
          <w:r w:rsidRPr="004A33EB">
            <w:rPr>
              <w:rFonts w:asciiTheme="minorHAnsi" w:eastAsiaTheme="minorHAnsi" w:hAnsiTheme="minorHAnsi" w:cstheme="minorBidi"/>
              <w:color w:val="auto"/>
              <w:sz w:val="22"/>
              <w:szCs w:val="22"/>
              <w:lang w:eastAsia="en-US"/>
            </w:rPr>
            <w:fldChar w:fldCharType="end"/>
          </w:r>
        </w:sdtContent>
      </w:sdt>
      <w:r w:rsidRPr="004A33EB">
        <w:rPr>
          <w:rFonts w:asciiTheme="minorHAnsi" w:eastAsiaTheme="minorHAnsi" w:hAnsiTheme="minorHAnsi" w:cstheme="minorBidi"/>
          <w:color w:val="auto"/>
          <w:sz w:val="22"/>
          <w:szCs w:val="22"/>
          <w:lang w:eastAsia="en-US"/>
        </w:rPr>
        <w:t xml:space="preserve">. </w:t>
      </w:r>
    </w:p>
    <w:p w14:paraId="39BD3B33"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B94D757"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According to the Korn Ferry Institutes comparative analysis of the T7 model of Team Effectiveness and other popular team models; unlike the T7 Model, Hackman's Five-Factors-Model does not put emphasis on ‘Task Skills’; “assignment flexibility, measurement and delivering goods”, i.e., how effective tasks are accomplished. Instead, it focusses more on ‘Trust’; “truthful communication, trust in actions and trust inside team”, i.e., relationships and communication. In addition to this, Hackman’s model lacks focus on “commitment, allocation/deployment, learning, decision making, and conflict resolution” making it somewhat less relatable to policing and highlighting the significance of the T7 Model </w:t>
      </w:r>
      <w:sdt>
        <w:sdtPr>
          <w:rPr>
            <w:rFonts w:asciiTheme="minorHAnsi" w:eastAsiaTheme="minorHAnsi" w:hAnsiTheme="minorHAnsi" w:cstheme="minorBidi"/>
            <w:color w:val="auto"/>
            <w:sz w:val="22"/>
            <w:szCs w:val="22"/>
            <w:lang w:eastAsia="en-US"/>
          </w:rPr>
          <w:id w:val="2083869539"/>
          <w:citation/>
        </w:sdtPr>
        <w:sdtContent>
          <w:r w:rsidRPr="004A33EB">
            <w:rPr>
              <w:rFonts w:asciiTheme="minorHAnsi" w:eastAsiaTheme="minorHAnsi" w:hAnsiTheme="minorHAnsi" w:cstheme="minorBidi"/>
              <w:color w:val="auto"/>
              <w:sz w:val="22"/>
              <w:szCs w:val="22"/>
              <w:lang w:eastAsia="en-US"/>
            </w:rPr>
            <w:fldChar w:fldCharType="begin"/>
          </w:r>
          <w:r w:rsidRPr="004A33EB">
            <w:rPr>
              <w:rFonts w:asciiTheme="minorHAnsi" w:eastAsiaTheme="minorHAnsi" w:hAnsiTheme="minorHAnsi" w:cstheme="minorBidi"/>
              <w:color w:val="auto"/>
              <w:sz w:val="22"/>
              <w:szCs w:val="22"/>
              <w:lang w:eastAsia="en-US"/>
            </w:rPr>
            <w:instrText xml:space="preserve"> CITATION Kor16 \l 2057 </w:instrText>
          </w:r>
          <w:r w:rsidRPr="004A33EB">
            <w:rPr>
              <w:rFonts w:asciiTheme="minorHAnsi" w:eastAsiaTheme="minorHAnsi" w:hAnsiTheme="minorHAnsi" w:cstheme="minorBidi"/>
              <w:color w:val="auto"/>
              <w:sz w:val="22"/>
              <w:szCs w:val="22"/>
              <w:lang w:eastAsia="en-US"/>
            </w:rPr>
            <w:fldChar w:fldCharType="separate"/>
          </w:r>
          <w:r w:rsidRPr="004A33EB">
            <w:rPr>
              <w:rFonts w:asciiTheme="minorHAnsi" w:eastAsiaTheme="minorHAnsi" w:hAnsiTheme="minorHAnsi" w:cstheme="minorBidi"/>
              <w:noProof/>
              <w:color w:val="auto"/>
              <w:sz w:val="22"/>
              <w:szCs w:val="22"/>
              <w:lang w:eastAsia="en-US"/>
            </w:rPr>
            <w:t>(Korn Ferry Institute, 2016)</w:t>
          </w:r>
          <w:r w:rsidRPr="004A33EB">
            <w:rPr>
              <w:rFonts w:asciiTheme="minorHAnsi" w:eastAsiaTheme="minorHAnsi" w:hAnsiTheme="minorHAnsi" w:cstheme="minorBidi"/>
              <w:color w:val="auto"/>
              <w:sz w:val="22"/>
              <w:szCs w:val="22"/>
              <w:lang w:eastAsia="en-US"/>
            </w:rPr>
            <w:fldChar w:fldCharType="end"/>
          </w:r>
        </w:sdtContent>
      </w:sdt>
      <w:r w:rsidRPr="004A33EB">
        <w:rPr>
          <w:rFonts w:asciiTheme="minorHAnsi" w:eastAsiaTheme="minorHAnsi" w:hAnsiTheme="minorHAnsi" w:cstheme="minorBidi"/>
          <w:color w:val="auto"/>
          <w:sz w:val="22"/>
          <w:szCs w:val="22"/>
          <w:lang w:eastAsia="en-US"/>
        </w:rPr>
        <w:t xml:space="preserve">. </w:t>
      </w:r>
    </w:p>
    <w:p w14:paraId="0815E6D9"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B45B5D3"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In conclusion; despite the similarities between teamworking and leadership models, they do tend to be a ‘one-size-fits-all’ and some consist of aspects that are more relatable to policing than others. Indisputably, one thing that they all do have in common is the emphasis of overall team performance and achievement of team goals. Some of the benefits of these models include; clarity and understanding of factors that contribute to team effectiveness and job satisfaction, highlighting dysfunctional elements that require attention for improved efficiency, supporting team cohesion and collective thinking to resolve issues or achieve goals and encouraging team engagement to build trust in relationships. As with everything there are also downsides to these models; If partially applied they could have a detrimental effect to team dynamics and implementing them can be time consuming and require leadership and/or the organisation to be invested in order to achieve the desired result.</w:t>
      </w:r>
    </w:p>
    <w:p w14:paraId="4C5D32D3"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Word count: 1148 </w:t>
      </w:r>
    </w:p>
    <w:p w14:paraId="3B855813" w14:textId="46282D8D" w:rsidR="00FF7784" w:rsidRPr="00270EEB" w:rsidRDefault="00FF7784" w:rsidP="004A33EB">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1F793CFE" w14:textId="6048BAFD" w:rsidR="00242DD7" w:rsidRDefault="00242DD7" w:rsidP="00242DD7">
            <w:pPr>
              <w:ind w:right="237"/>
              <w:jc w:val="both"/>
              <w:rPr>
                <w:rFonts w:eastAsia="Arial"/>
                <w:b/>
                <w:bCs/>
                <w:color w:val="000000" w:themeColor="text1"/>
                <w:sz w:val="24"/>
                <w:szCs w:val="24"/>
              </w:rPr>
            </w:pPr>
          </w:p>
          <w:p w14:paraId="613A6F99" w14:textId="7860E250" w:rsidR="00CE0473" w:rsidRDefault="00CE0473" w:rsidP="00242DD7">
            <w:pPr>
              <w:ind w:right="237"/>
              <w:jc w:val="both"/>
              <w:rPr>
                <w:rFonts w:eastAsia="Arial"/>
                <w:bCs/>
                <w:color w:val="000000" w:themeColor="text1"/>
                <w:sz w:val="24"/>
                <w:szCs w:val="24"/>
              </w:rPr>
            </w:pPr>
            <w:r w:rsidRPr="00CE0473">
              <w:rPr>
                <w:rFonts w:eastAsia="Arial"/>
                <w:b/>
                <w:color w:val="000000" w:themeColor="text1"/>
                <w:sz w:val="24"/>
                <w:szCs w:val="24"/>
              </w:rPr>
              <w:t>Evaluate</w:t>
            </w:r>
            <w:r>
              <w:rPr>
                <w:rFonts w:eastAsia="Arial"/>
                <w:bCs/>
                <w:color w:val="000000" w:themeColor="text1"/>
                <w:sz w:val="24"/>
                <w:szCs w:val="24"/>
              </w:rPr>
              <w:t xml:space="preserve"> the impact of risk aversion and risk avoidance on the ability of the police to deliver an effective service</w:t>
            </w:r>
          </w:p>
          <w:p w14:paraId="37D710BF" w14:textId="50AA48A0" w:rsidR="00CE0473" w:rsidRDefault="00CE0473" w:rsidP="00242DD7">
            <w:pPr>
              <w:ind w:right="237"/>
              <w:jc w:val="both"/>
              <w:rPr>
                <w:rFonts w:eastAsia="Arial"/>
                <w:bCs/>
                <w:color w:val="000000" w:themeColor="text1"/>
                <w:sz w:val="24"/>
                <w:szCs w:val="24"/>
              </w:rPr>
            </w:pPr>
          </w:p>
          <w:p w14:paraId="2FB108C7" w14:textId="0321087E" w:rsidR="00CE0473" w:rsidRDefault="00CE0473" w:rsidP="00242DD7">
            <w:pPr>
              <w:ind w:right="237"/>
              <w:jc w:val="both"/>
              <w:rPr>
                <w:rFonts w:eastAsia="Arial"/>
                <w:bCs/>
                <w:color w:val="000000" w:themeColor="text1"/>
                <w:sz w:val="24"/>
                <w:szCs w:val="24"/>
              </w:rPr>
            </w:pPr>
            <w:r>
              <w:rPr>
                <w:rFonts w:eastAsia="Arial"/>
                <w:bCs/>
                <w:color w:val="000000" w:themeColor="text1"/>
                <w:sz w:val="24"/>
                <w:szCs w:val="24"/>
              </w:rPr>
              <w:t>Whilst using the N</w:t>
            </w:r>
            <w:r w:rsidR="00605FA2">
              <w:rPr>
                <w:rFonts w:eastAsia="Arial"/>
                <w:bCs/>
                <w:color w:val="000000" w:themeColor="text1"/>
                <w:sz w:val="24"/>
                <w:szCs w:val="24"/>
              </w:rPr>
              <w:t>ational Decision Model</w:t>
            </w:r>
            <w:r>
              <w:rPr>
                <w:rFonts w:eastAsia="Arial"/>
                <w:bCs/>
                <w:color w:val="000000" w:themeColor="text1"/>
                <w:sz w:val="24"/>
                <w:szCs w:val="24"/>
              </w:rPr>
              <w:t>, consider the effect of risk avoidance and risk aversion</w:t>
            </w:r>
            <w:r w:rsidR="00605FA2">
              <w:rPr>
                <w:rFonts w:eastAsia="Arial"/>
                <w:bCs/>
                <w:color w:val="000000" w:themeColor="text1"/>
                <w:sz w:val="24"/>
                <w:szCs w:val="24"/>
              </w:rPr>
              <w:t xml:space="preserve"> when making decisions at your incident</w:t>
            </w:r>
          </w:p>
          <w:p w14:paraId="635BF187" w14:textId="594DA960" w:rsidR="00605FA2" w:rsidRDefault="00605FA2" w:rsidP="00242DD7">
            <w:pPr>
              <w:ind w:right="237"/>
              <w:jc w:val="both"/>
              <w:rPr>
                <w:rFonts w:eastAsia="Arial"/>
                <w:bCs/>
                <w:color w:val="000000" w:themeColor="text1"/>
                <w:sz w:val="24"/>
                <w:szCs w:val="24"/>
              </w:rPr>
            </w:pPr>
          </w:p>
          <w:p w14:paraId="13679FD8" w14:textId="0296E87E" w:rsidR="00605FA2" w:rsidRDefault="00605FA2" w:rsidP="00242DD7">
            <w:pPr>
              <w:ind w:right="237"/>
              <w:jc w:val="both"/>
              <w:rPr>
                <w:rFonts w:eastAsia="Arial"/>
                <w:bCs/>
                <w:color w:val="000000" w:themeColor="text1"/>
                <w:sz w:val="24"/>
                <w:szCs w:val="24"/>
              </w:rPr>
            </w:pPr>
            <w:r w:rsidRPr="00605FA2">
              <w:rPr>
                <w:rFonts w:eastAsia="Arial"/>
                <w:b/>
                <w:color w:val="000000" w:themeColor="text1"/>
                <w:sz w:val="24"/>
                <w:szCs w:val="24"/>
              </w:rPr>
              <w:t>Discuss</w:t>
            </w:r>
            <w:r>
              <w:rPr>
                <w:rFonts w:eastAsia="Arial"/>
                <w:bCs/>
                <w:color w:val="000000" w:themeColor="text1"/>
                <w:sz w:val="24"/>
                <w:szCs w:val="24"/>
              </w:rPr>
              <w:t xml:space="preserve"> the ethical implications of your decision making</w:t>
            </w:r>
          </w:p>
          <w:p w14:paraId="6AE65B5C" w14:textId="224BD4F4" w:rsidR="00CE0473" w:rsidRDefault="00CE0473" w:rsidP="00242DD7">
            <w:pPr>
              <w:ind w:right="237"/>
              <w:jc w:val="both"/>
              <w:rPr>
                <w:rFonts w:eastAsia="Arial"/>
                <w:bCs/>
                <w:color w:val="000000" w:themeColor="text1"/>
                <w:sz w:val="24"/>
                <w:szCs w:val="24"/>
              </w:rPr>
            </w:pPr>
          </w:p>
          <w:p w14:paraId="52356A48" w14:textId="77777777" w:rsidR="00CE0473" w:rsidRDefault="00CE0473" w:rsidP="00242DD7">
            <w:pPr>
              <w:ind w:right="237"/>
              <w:jc w:val="both"/>
              <w:rPr>
                <w:rFonts w:eastAsia="Arial"/>
                <w:bCs/>
                <w:color w:val="000000" w:themeColor="text1"/>
                <w:sz w:val="24"/>
                <w:szCs w:val="24"/>
              </w:rPr>
            </w:pPr>
          </w:p>
          <w:p w14:paraId="727B6EB7" w14:textId="0453543A" w:rsidR="00CE0473" w:rsidRDefault="00CE0473" w:rsidP="00242DD7">
            <w:pPr>
              <w:ind w:right="237"/>
              <w:jc w:val="both"/>
              <w:rPr>
                <w:rFonts w:eastAsia="Arial"/>
                <w:color w:val="000000" w:themeColor="text1"/>
                <w:sz w:val="24"/>
                <w:szCs w:val="24"/>
              </w:rPr>
            </w:pPr>
          </w:p>
          <w:p w14:paraId="0BD2DE5C" w14:textId="77777777" w:rsidR="00CE0473" w:rsidRDefault="00CE0473" w:rsidP="00242DD7">
            <w:pPr>
              <w:ind w:right="237"/>
              <w:jc w:val="both"/>
              <w:rPr>
                <w:rFonts w:eastAsia="Arial"/>
                <w:color w:val="000000" w:themeColor="text1"/>
                <w:sz w:val="24"/>
                <w:szCs w:val="24"/>
              </w:rPr>
            </w:pPr>
          </w:p>
          <w:p w14:paraId="09258F01" w14:textId="7A981BBE" w:rsidR="00242DD7" w:rsidRDefault="00FB0F60" w:rsidP="00242DD7">
            <w:pPr>
              <w:ind w:right="237"/>
              <w:jc w:val="both"/>
              <w:rPr>
                <w:rFonts w:eastAsia="Arial"/>
                <w:color w:val="000000" w:themeColor="text1"/>
                <w:sz w:val="24"/>
                <w:szCs w:val="24"/>
              </w:rPr>
            </w:pPr>
            <w:r>
              <w:rPr>
                <w:rFonts w:eastAsia="Arial"/>
                <w:color w:val="000000" w:themeColor="text1"/>
                <w:sz w:val="24"/>
                <w:szCs w:val="24"/>
              </w:rPr>
              <w:t>1750</w:t>
            </w:r>
            <w:r w:rsidR="60E07A85" w:rsidRPr="0EB17B2B">
              <w:rPr>
                <w:rFonts w:eastAsia="Arial"/>
                <w:color w:val="000000" w:themeColor="text1"/>
                <w:sz w:val="24"/>
                <w:szCs w:val="24"/>
              </w:rPr>
              <w:t xml:space="preserve">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322EAE5D"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I was required to attend a domestic related incident whereby a 25-year-old male had allegedly been harassing a 16-year-old female. The reporting person was the females’ mother who stated that the couple had been romantically involved for a few months but recent changes in the males’ behaviour had raised concerns. On speaking with the vulnerable victim, she informed me that at the start of the relationship things seemed fine and the male was pleasant and a romantic relationship formed.  She then went on to say that not long into the relationship she started receiving a barrage of unwanted and persistent phone calls and text messages from the subject on a daily basis demanding to know her whereabouts at all times and also the clothing that she was wearing whilst out in public. Due to the young age of the victim and the lack of previous relationship experience, the victims’ perception of social cues, words and emotions relating to the male were flawed as she did not have the experience or information to fully understand the relationship.  Her parents on the other hand, with more life and relationship experience, perceived this behaviour as abusive and unwanted, so encouraged the victim to report it to the police.  It was reported that the behaviour had then escalated further and the subject had turned up unannounced at the victims’ place of work and refused to leave. The victim disclosed that this was not the first time that the subject had pursued this course of conduct as he had previously attended the victims home address and place of education. The victim was visibly shaken and expressed that she was fearful that the subject would reattend her home address and was watching for when she was alone, she felt isolated and </w:t>
      </w:r>
      <w:r w:rsidRPr="004A33EB">
        <w:rPr>
          <w:rFonts w:asciiTheme="minorHAnsi" w:eastAsiaTheme="minorHAnsi" w:hAnsiTheme="minorHAnsi" w:cstheme="minorBidi"/>
          <w:color w:val="auto"/>
          <w:sz w:val="22"/>
          <w:szCs w:val="22"/>
          <w:lang w:eastAsia="en-US"/>
        </w:rPr>
        <w:lastRenderedPageBreak/>
        <w:t>pressured.  It was only when sharing the situation with her parents that the victim understood what she had experienced, was in fact a criminal offence.  I explained the law on Harassment and the legislation to ensure certainty for the victim, as well as the provisions of the law that the police could enforce.  This ensured certainty and a rule of law which balanced collective and individual responsibility that had the force of authority.</w:t>
      </w:r>
    </w:p>
    <w:p w14:paraId="43E4065E"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1DD52329"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Having liaised with the Public Service Centre (PSC), checks were conducted on the Police operating systems; Niche and the Police National Computer (PNC) and it was established that the subject was a foreign national from Albania. The subject was a known perpetrator of domestic abuse and had a number of warning markers for violence and weapons. Taking into consideration all the information available to me at that time, my initial dynamic risk assessment prioritised the safeguarding of the vulnerable victim. According to the College of Policing, “a person is vulnerable if, as a result of their situation or circumstances, they are unable to take care of or protect themselves or others from harm or exploitation” </w:t>
      </w:r>
      <w:sdt>
        <w:sdtPr>
          <w:rPr>
            <w:rFonts w:asciiTheme="minorHAnsi" w:eastAsiaTheme="minorHAnsi" w:hAnsiTheme="minorHAnsi" w:cstheme="minorBidi"/>
            <w:color w:val="auto"/>
            <w:sz w:val="22"/>
            <w:szCs w:val="22"/>
            <w:lang w:eastAsia="en-US"/>
          </w:rPr>
          <w:id w:val="2009248586"/>
          <w:citation/>
        </w:sdtPr>
        <w:sdtContent>
          <w:r w:rsidRPr="004A33EB">
            <w:rPr>
              <w:rFonts w:asciiTheme="minorHAnsi" w:eastAsiaTheme="minorHAnsi" w:hAnsiTheme="minorHAnsi" w:cstheme="minorBidi"/>
              <w:color w:val="auto"/>
              <w:sz w:val="22"/>
              <w:szCs w:val="22"/>
              <w:lang w:eastAsia="en-US"/>
            </w:rPr>
            <w:fldChar w:fldCharType="begin"/>
          </w:r>
          <w:r w:rsidRPr="004A33EB">
            <w:rPr>
              <w:rFonts w:asciiTheme="minorHAnsi" w:eastAsiaTheme="minorHAnsi" w:hAnsiTheme="minorHAnsi" w:cstheme="minorBidi"/>
              <w:color w:val="auto"/>
              <w:sz w:val="22"/>
              <w:szCs w:val="22"/>
              <w:lang w:eastAsia="en-US"/>
            </w:rPr>
            <w:instrText xml:space="preserve"> CITATION Col21 \l 2057 </w:instrText>
          </w:r>
          <w:r w:rsidRPr="004A33EB">
            <w:rPr>
              <w:rFonts w:asciiTheme="minorHAnsi" w:eastAsiaTheme="minorHAnsi" w:hAnsiTheme="minorHAnsi" w:cstheme="minorBidi"/>
              <w:color w:val="auto"/>
              <w:sz w:val="22"/>
              <w:szCs w:val="22"/>
              <w:lang w:eastAsia="en-US"/>
            </w:rPr>
            <w:fldChar w:fldCharType="separate"/>
          </w:r>
          <w:r w:rsidRPr="004A33EB">
            <w:rPr>
              <w:rFonts w:asciiTheme="minorHAnsi" w:eastAsiaTheme="minorHAnsi" w:hAnsiTheme="minorHAnsi" w:cstheme="minorBidi"/>
              <w:noProof/>
              <w:color w:val="auto"/>
              <w:sz w:val="22"/>
              <w:szCs w:val="22"/>
              <w:lang w:eastAsia="en-US"/>
            </w:rPr>
            <w:t>(College of Policing, 2021)</w:t>
          </w:r>
          <w:r w:rsidRPr="004A33EB">
            <w:rPr>
              <w:rFonts w:asciiTheme="minorHAnsi" w:eastAsiaTheme="minorHAnsi" w:hAnsiTheme="minorHAnsi" w:cstheme="minorBidi"/>
              <w:color w:val="auto"/>
              <w:sz w:val="22"/>
              <w:szCs w:val="22"/>
              <w:lang w:eastAsia="en-US"/>
            </w:rPr>
            <w:fldChar w:fldCharType="end"/>
          </w:r>
        </w:sdtContent>
      </w:sdt>
      <w:r w:rsidRPr="004A33EB">
        <w:rPr>
          <w:rFonts w:asciiTheme="minorHAnsi" w:eastAsiaTheme="minorHAnsi" w:hAnsiTheme="minorHAnsi" w:cstheme="minorBidi"/>
          <w:color w:val="auto"/>
          <w:sz w:val="22"/>
          <w:szCs w:val="22"/>
          <w:lang w:eastAsia="en-US"/>
        </w:rPr>
        <w:t xml:space="preserve">. </w:t>
      </w:r>
    </w:p>
    <w:p w14:paraId="14B29BA9"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30A6BFA"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Owing to the fact that the subject was from Albania I had to make considerations around a potential language barrier, cultural differences and beliefs.  I liaised with the victim to gain more information and I found that the subject spoke very good English and was a practising Muslim. I was aware that cultural traditions often impact gender roles, prevailing cultural norms and this may be a factor within the relationship. For example; some Muslims believe that “dating in the Islamic tradition is not done just for fun or for curing loneliness. Engaging with the opposite sex through dating should be done solely to find a lifelong partner” </w:t>
      </w:r>
      <w:sdt>
        <w:sdtPr>
          <w:rPr>
            <w:rFonts w:asciiTheme="minorHAnsi" w:eastAsiaTheme="minorHAnsi" w:hAnsiTheme="minorHAnsi" w:cstheme="minorBidi"/>
            <w:color w:val="auto"/>
            <w:sz w:val="22"/>
            <w:szCs w:val="22"/>
            <w:lang w:eastAsia="en-US"/>
          </w:rPr>
          <w:id w:val="1082341990"/>
          <w:citation/>
        </w:sdtPr>
        <w:sdtContent>
          <w:r w:rsidRPr="004A33EB">
            <w:rPr>
              <w:rFonts w:asciiTheme="minorHAnsi" w:eastAsiaTheme="minorHAnsi" w:hAnsiTheme="minorHAnsi" w:cstheme="minorBidi"/>
              <w:color w:val="auto"/>
              <w:sz w:val="22"/>
              <w:szCs w:val="22"/>
              <w:lang w:eastAsia="en-US"/>
            </w:rPr>
            <w:fldChar w:fldCharType="begin"/>
          </w:r>
          <w:r w:rsidRPr="004A33EB">
            <w:rPr>
              <w:rFonts w:asciiTheme="minorHAnsi" w:eastAsiaTheme="minorHAnsi" w:hAnsiTheme="minorHAnsi" w:cstheme="minorBidi"/>
              <w:color w:val="auto"/>
              <w:sz w:val="22"/>
              <w:szCs w:val="22"/>
              <w:lang w:eastAsia="en-US"/>
            </w:rPr>
            <w:instrText xml:space="preserve"> CITATION Sal22 \l 2057 </w:instrText>
          </w:r>
          <w:r w:rsidRPr="004A33EB">
            <w:rPr>
              <w:rFonts w:asciiTheme="minorHAnsi" w:eastAsiaTheme="minorHAnsi" w:hAnsiTheme="minorHAnsi" w:cstheme="minorBidi"/>
              <w:color w:val="auto"/>
              <w:sz w:val="22"/>
              <w:szCs w:val="22"/>
              <w:lang w:eastAsia="en-US"/>
            </w:rPr>
            <w:fldChar w:fldCharType="separate"/>
          </w:r>
          <w:r w:rsidRPr="004A33EB">
            <w:rPr>
              <w:rFonts w:asciiTheme="minorHAnsi" w:eastAsiaTheme="minorHAnsi" w:hAnsiTheme="minorHAnsi" w:cstheme="minorBidi"/>
              <w:noProof/>
              <w:color w:val="auto"/>
              <w:sz w:val="22"/>
              <w:szCs w:val="22"/>
              <w:lang w:eastAsia="en-US"/>
            </w:rPr>
            <w:t>(Salams, n.d.)</w:t>
          </w:r>
          <w:r w:rsidRPr="004A33EB">
            <w:rPr>
              <w:rFonts w:asciiTheme="minorHAnsi" w:eastAsiaTheme="minorHAnsi" w:hAnsiTheme="minorHAnsi" w:cstheme="minorBidi"/>
              <w:color w:val="auto"/>
              <w:sz w:val="22"/>
              <w:szCs w:val="22"/>
              <w:lang w:eastAsia="en-US"/>
            </w:rPr>
            <w:fldChar w:fldCharType="end"/>
          </w:r>
        </w:sdtContent>
      </w:sdt>
      <w:r w:rsidRPr="004A33EB">
        <w:rPr>
          <w:rFonts w:asciiTheme="minorHAnsi" w:eastAsiaTheme="minorHAnsi" w:hAnsiTheme="minorHAnsi" w:cstheme="minorBidi"/>
          <w:color w:val="auto"/>
          <w:sz w:val="22"/>
          <w:szCs w:val="22"/>
          <w:lang w:eastAsia="en-US"/>
        </w:rPr>
        <w:t xml:space="preserve">. </w:t>
      </w:r>
    </w:p>
    <w:p w14:paraId="61DD1788"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9DCA1B5"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From a policing perspective, the achievement of risk avoidance is unlikely as there is no way of knowing the intricate details of all contributing factors that can pose a threat. Risk aversion on the other hand, can minimise potential threats but unfortunately due to increased negative publicity, </w:t>
      </w:r>
      <w:r w:rsidRPr="004A33EB">
        <w:rPr>
          <w:rFonts w:asciiTheme="minorHAnsi" w:eastAsiaTheme="minorHAnsi" w:hAnsiTheme="minorHAnsi" w:cstheme="minorBidi"/>
          <w:color w:val="auto"/>
          <w:sz w:val="22"/>
          <w:szCs w:val="22"/>
          <w:lang w:eastAsia="en-US"/>
        </w:rPr>
        <w:softHyphen/>
      </w:r>
      <w:r w:rsidRPr="004A33EB">
        <w:rPr>
          <w:rFonts w:asciiTheme="minorHAnsi" w:eastAsiaTheme="minorHAnsi" w:hAnsiTheme="minorHAnsi" w:cstheme="minorBidi"/>
          <w:color w:val="auto"/>
          <w:sz w:val="22"/>
          <w:szCs w:val="22"/>
          <w:lang w:eastAsia="en-US"/>
        </w:rPr>
        <w:softHyphen/>
        <w:t xml:space="preserve">scrutiny and criticism, concerns have been raised “that the police have become a risk averse and inefficient service where officers are afraid of using their discretion” </w:t>
      </w:r>
      <w:sdt>
        <w:sdtPr>
          <w:rPr>
            <w:rFonts w:asciiTheme="minorHAnsi" w:eastAsiaTheme="minorHAnsi" w:hAnsiTheme="minorHAnsi" w:cstheme="minorBidi"/>
            <w:color w:val="auto"/>
            <w:sz w:val="22"/>
            <w:szCs w:val="22"/>
            <w:lang w:eastAsia="en-US"/>
          </w:rPr>
          <w:id w:val="1822312928"/>
          <w:citation/>
        </w:sdtPr>
        <w:sdtContent>
          <w:r w:rsidRPr="004A33EB">
            <w:rPr>
              <w:rFonts w:asciiTheme="minorHAnsi" w:eastAsiaTheme="minorHAnsi" w:hAnsiTheme="minorHAnsi" w:cstheme="minorBidi"/>
              <w:color w:val="auto"/>
              <w:sz w:val="22"/>
              <w:szCs w:val="22"/>
              <w:lang w:eastAsia="en-US"/>
            </w:rPr>
            <w:fldChar w:fldCharType="begin"/>
          </w:r>
          <w:r w:rsidRPr="004A33EB">
            <w:rPr>
              <w:rFonts w:asciiTheme="minorHAnsi" w:eastAsiaTheme="minorHAnsi" w:hAnsiTheme="minorHAnsi" w:cstheme="minorBidi"/>
              <w:color w:val="auto"/>
              <w:sz w:val="22"/>
              <w:szCs w:val="22"/>
              <w:lang w:eastAsia="en-US"/>
            </w:rPr>
            <w:instrText xml:space="preserve"> CITATION Ind11 \l 2057 </w:instrText>
          </w:r>
          <w:r w:rsidRPr="004A33EB">
            <w:rPr>
              <w:rFonts w:asciiTheme="minorHAnsi" w:eastAsiaTheme="minorHAnsi" w:hAnsiTheme="minorHAnsi" w:cstheme="minorBidi"/>
              <w:color w:val="auto"/>
              <w:sz w:val="22"/>
              <w:szCs w:val="22"/>
              <w:lang w:eastAsia="en-US"/>
            </w:rPr>
            <w:fldChar w:fldCharType="separate"/>
          </w:r>
          <w:r w:rsidRPr="004A33EB">
            <w:rPr>
              <w:rFonts w:asciiTheme="minorHAnsi" w:eastAsiaTheme="minorHAnsi" w:hAnsiTheme="minorHAnsi" w:cstheme="minorBidi"/>
              <w:noProof/>
              <w:color w:val="auto"/>
              <w:sz w:val="22"/>
              <w:szCs w:val="22"/>
              <w:lang w:eastAsia="en-US"/>
            </w:rPr>
            <w:t>(Independent Office for Police Conduct, 2011)</w:t>
          </w:r>
          <w:r w:rsidRPr="004A33EB">
            <w:rPr>
              <w:rFonts w:asciiTheme="minorHAnsi" w:eastAsiaTheme="minorHAnsi" w:hAnsiTheme="minorHAnsi" w:cstheme="minorBidi"/>
              <w:color w:val="auto"/>
              <w:sz w:val="22"/>
              <w:szCs w:val="22"/>
              <w:lang w:eastAsia="en-US"/>
            </w:rPr>
            <w:fldChar w:fldCharType="end"/>
          </w:r>
        </w:sdtContent>
      </w:sdt>
      <w:r w:rsidRPr="004A33EB">
        <w:rPr>
          <w:rFonts w:asciiTheme="minorHAnsi" w:eastAsiaTheme="minorHAnsi" w:hAnsiTheme="minorHAnsi" w:cstheme="minorBidi"/>
          <w:color w:val="auto"/>
          <w:sz w:val="22"/>
          <w:szCs w:val="22"/>
          <w:lang w:eastAsia="en-US"/>
        </w:rPr>
        <w:t xml:space="preserve">. This is further supported by the College of Policing who state that </w:t>
      </w:r>
    </w:p>
    <w:p w14:paraId="20348CC6" w14:textId="77777777" w:rsidR="004A33EB" w:rsidRPr="004A33EB" w:rsidRDefault="004A33EB" w:rsidP="004A33EB">
      <w:pPr>
        <w:overflowPunct/>
        <w:autoSpaceDE/>
        <w:autoSpaceDN/>
        <w:adjustRightInd/>
        <w:spacing w:after="160" w:line="259" w:lineRule="auto"/>
        <w:ind w:left="720"/>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the media and public tend to focus on decisions that result in poor outcomes and this has led to the police service becoming risk averse with some officers and staff afraid to make decisions in case things go wrong </w:t>
      </w:r>
      <w:sdt>
        <w:sdtPr>
          <w:rPr>
            <w:rFonts w:asciiTheme="minorHAnsi" w:eastAsiaTheme="minorHAnsi" w:hAnsiTheme="minorHAnsi" w:cstheme="minorBidi"/>
            <w:color w:val="auto"/>
            <w:sz w:val="22"/>
            <w:szCs w:val="22"/>
            <w:lang w:eastAsia="en-US"/>
          </w:rPr>
          <w:id w:val="995770714"/>
          <w:citation/>
        </w:sdtPr>
        <w:sdtContent>
          <w:r w:rsidRPr="004A33EB">
            <w:rPr>
              <w:rFonts w:asciiTheme="minorHAnsi" w:eastAsiaTheme="minorHAnsi" w:hAnsiTheme="minorHAnsi" w:cstheme="minorBidi"/>
              <w:color w:val="auto"/>
              <w:sz w:val="22"/>
              <w:szCs w:val="22"/>
              <w:lang w:eastAsia="en-US"/>
            </w:rPr>
            <w:fldChar w:fldCharType="begin"/>
          </w:r>
          <w:r w:rsidRPr="004A33EB">
            <w:rPr>
              <w:rFonts w:asciiTheme="minorHAnsi" w:eastAsiaTheme="minorHAnsi" w:hAnsiTheme="minorHAnsi" w:cstheme="minorBidi"/>
              <w:color w:val="auto"/>
              <w:sz w:val="22"/>
              <w:szCs w:val="22"/>
              <w:lang w:eastAsia="en-US"/>
            </w:rPr>
            <w:instrText xml:space="preserve"> CITATION Col22 \l 2057 </w:instrText>
          </w:r>
          <w:r w:rsidRPr="004A33EB">
            <w:rPr>
              <w:rFonts w:asciiTheme="minorHAnsi" w:eastAsiaTheme="minorHAnsi" w:hAnsiTheme="minorHAnsi" w:cstheme="minorBidi"/>
              <w:color w:val="auto"/>
              <w:sz w:val="22"/>
              <w:szCs w:val="22"/>
              <w:lang w:eastAsia="en-US"/>
            </w:rPr>
            <w:fldChar w:fldCharType="separate"/>
          </w:r>
          <w:r w:rsidRPr="004A33EB">
            <w:rPr>
              <w:rFonts w:asciiTheme="minorHAnsi" w:eastAsiaTheme="minorHAnsi" w:hAnsiTheme="minorHAnsi" w:cstheme="minorBidi"/>
              <w:noProof/>
              <w:color w:val="auto"/>
              <w:sz w:val="22"/>
              <w:szCs w:val="22"/>
              <w:lang w:eastAsia="en-US"/>
            </w:rPr>
            <w:t>(College of Policing, n.d.)</w:t>
          </w:r>
          <w:r w:rsidRPr="004A33EB">
            <w:rPr>
              <w:rFonts w:asciiTheme="minorHAnsi" w:eastAsiaTheme="minorHAnsi" w:hAnsiTheme="minorHAnsi" w:cstheme="minorBidi"/>
              <w:color w:val="auto"/>
              <w:sz w:val="22"/>
              <w:szCs w:val="22"/>
              <w:lang w:eastAsia="en-US"/>
            </w:rPr>
            <w:fldChar w:fldCharType="end"/>
          </w:r>
        </w:sdtContent>
      </w:sdt>
      <w:r w:rsidRPr="004A33EB">
        <w:rPr>
          <w:rFonts w:asciiTheme="minorHAnsi" w:eastAsiaTheme="minorHAnsi" w:hAnsiTheme="minorHAnsi" w:cstheme="minorBidi"/>
          <w:color w:val="auto"/>
          <w:sz w:val="22"/>
          <w:szCs w:val="22"/>
          <w:lang w:eastAsia="en-US"/>
        </w:rPr>
        <w:t xml:space="preserve">. </w:t>
      </w:r>
    </w:p>
    <w:p w14:paraId="1B0950B0"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The impact being that “uncertainty becomes a justification for pre-emptive action by officers before risks become known, and demonstrates a shift to precautionary policing practices which do not follow the blueprints of risk management” </w:t>
      </w:r>
      <w:sdt>
        <w:sdtPr>
          <w:rPr>
            <w:rFonts w:asciiTheme="minorHAnsi" w:eastAsiaTheme="minorHAnsi" w:hAnsiTheme="minorHAnsi" w:cstheme="minorBidi"/>
            <w:color w:val="auto"/>
            <w:sz w:val="22"/>
            <w:szCs w:val="22"/>
            <w:lang w:eastAsia="en-US"/>
          </w:rPr>
          <w:id w:val="2064292143"/>
          <w:citation/>
        </w:sdtPr>
        <w:sdtContent>
          <w:r w:rsidRPr="004A33EB">
            <w:rPr>
              <w:rFonts w:asciiTheme="minorHAnsi" w:eastAsiaTheme="minorHAnsi" w:hAnsiTheme="minorHAnsi" w:cstheme="minorBidi"/>
              <w:color w:val="auto"/>
              <w:sz w:val="22"/>
              <w:szCs w:val="22"/>
              <w:lang w:eastAsia="en-US"/>
            </w:rPr>
            <w:fldChar w:fldCharType="begin"/>
          </w:r>
          <w:r w:rsidRPr="004A33EB">
            <w:rPr>
              <w:rFonts w:asciiTheme="minorHAnsi" w:eastAsiaTheme="minorHAnsi" w:hAnsiTheme="minorHAnsi" w:cstheme="minorBidi"/>
              <w:color w:val="auto"/>
              <w:sz w:val="22"/>
              <w:szCs w:val="22"/>
              <w:lang w:eastAsia="en-US"/>
            </w:rPr>
            <w:instrText xml:space="preserve"> CITATION Bla19 \l 2057 </w:instrText>
          </w:r>
          <w:r w:rsidRPr="004A33EB">
            <w:rPr>
              <w:rFonts w:asciiTheme="minorHAnsi" w:eastAsiaTheme="minorHAnsi" w:hAnsiTheme="minorHAnsi" w:cstheme="minorBidi"/>
              <w:color w:val="auto"/>
              <w:sz w:val="22"/>
              <w:szCs w:val="22"/>
              <w:lang w:eastAsia="en-US"/>
            </w:rPr>
            <w:fldChar w:fldCharType="separate"/>
          </w:r>
          <w:r w:rsidRPr="004A33EB">
            <w:rPr>
              <w:rFonts w:asciiTheme="minorHAnsi" w:eastAsiaTheme="minorHAnsi" w:hAnsiTheme="minorHAnsi" w:cstheme="minorBidi"/>
              <w:noProof/>
              <w:color w:val="auto"/>
              <w:sz w:val="22"/>
              <w:szCs w:val="22"/>
              <w:lang w:eastAsia="en-US"/>
            </w:rPr>
            <w:t>(Black &amp; Lumsden, 2019)</w:t>
          </w:r>
          <w:r w:rsidRPr="004A33EB">
            <w:rPr>
              <w:rFonts w:asciiTheme="minorHAnsi" w:eastAsiaTheme="minorHAnsi" w:hAnsiTheme="minorHAnsi" w:cstheme="minorBidi"/>
              <w:color w:val="auto"/>
              <w:sz w:val="22"/>
              <w:szCs w:val="22"/>
              <w:lang w:eastAsia="en-US"/>
            </w:rPr>
            <w:fldChar w:fldCharType="end"/>
          </w:r>
        </w:sdtContent>
      </w:sdt>
      <w:r w:rsidRPr="004A33EB">
        <w:rPr>
          <w:rFonts w:asciiTheme="minorHAnsi" w:eastAsiaTheme="minorHAnsi" w:hAnsiTheme="minorHAnsi" w:cstheme="minorBidi"/>
          <w:color w:val="auto"/>
          <w:sz w:val="22"/>
          <w:szCs w:val="22"/>
          <w:lang w:eastAsia="en-US"/>
        </w:rPr>
        <w:t xml:space="preserve">. </w:t>
      </w:r>
    </w:p>
    <w:p w14:paraId="4F6931B9"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11A5727B"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Being mindful that the victim was a 16-year-old female that potentially could have been criminally exploited to ‘County Lines’ or ‘Child Sex Exploitation’, I utilised the National Decision Model to gather information and intelligence and decide an appropriate course of action while also taking into consideration the PSC ‘THRIVE’ assessment. Consisting of; Threat, Harm, Risk, Investigation, Vulnerability and Engagement, the Thrive Model is used to assess risk and levels of harm and </w:t>
      </w:r>
      <w:r w:rsidRPr="004A33EB">
        <w:rPr>
          <w:rFonts w:asciiTheme="minorHAnsi" w:eastAsiaTheme="minorHAnsi" w:hAnsiTheme="minorHAnsi" w:cstheme="minorBidi"/>
          <w:color w:val="auto"/>
          <w:sz w:val="22"/>
          <w:szCs w:val="22"/>
          <w:lang w:eastAsia="en-US"/>
        </w:rPr>
        <w:lastRenderedPageBreak/>
        <w:t>supports ethical decision making. It was “developed as a framework for risk assessing public need, vulnerability and other key elements of service delivery” (College of Policing, 2021).</w:t>
      </w:r>
    </w:p>
    <w:p w14:paraId="13259E38"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                                   </w:t>
      </w:r>
    </w:p>
    <w:p w14:paraId="25339367" w14:textId="19B7B516"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By utilising each stage of the National decision-making model, I drew conclusion from the information provided to me, that the subject had pursued a course of conduct that amounted to the offence of Harassment. I identified what options were available and considered the most appropriate course of action, whether it would be to take the victim to a place of safety or to utilise police powers. Due to the rapid escalation in the subject’s behaviour, him becoming erratic and unpredictable and previous knowledge obtained from the PSC, I decided that the most appropriate course of action would be to utilise arrest powers in order to safeguard the victim and members of the public.  Part of my </w:t>
      </w:r>
      <w:r w:rsidR="003235DB" w:rsidRPr="004A33EB">
        <w:rPr>
          <w:rFonts w:asciiTheme="minorHAnsi" w:eastAsiaTheme="minorHAnsi" w:hAnsiTheme="minorHAnsi" w:cstheme="minorBidi"/>
          <w:color w:val="auto"/>
          <w:sz w:val="22"/>
          <w:szCs w:val="22"/>
          <w:lang w:eastAsia="en-US"/>
        </w:rPr>
        <w:t>decision-making</w:t>
      </w:r>
      <w:r w:rsidRPr="004A33EB">
        <w:rPr>
          <w:rFonts w:asciiTheme="minorHAnsi" w:eastAsiaTheme="minorHAnsi" w:hAnsiTheme="minorHAnsi" w:cstheme="minorBidi"/>
          <w:color w:val="auto"/>
          <w:sz w:val="22"/>
          <w:szCs w:val="22"/>
          <w:lang w:eastAsia="en-US"/>
        </w:rPr>
        <w:t xml:space="preserve"> process took into consideration how my presence as a female Police officer may be perceived or received by the subject.  I took the decision to take a male colleague with me to assist, this was in order to minimise risk during the arrest.</w:t>
      </w:r>
    </w:p>
    <w:p w14:paraId="46AA8DB7"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  </w:t>
      </w:r>
    </w:p>
    <w:p w14:paraId="180B8145"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As mentioned before, when conducting a dynamic risk assessment, risk avoidance is unachievable but by utilising all relevant information we can identify hazards that pose a risk to ourselves, our colleagues and others. By preparing for as many eventualities as possible and ensuring that control measures are implemented, we can minimise risk and recognise when further action maybe required. In addition; when utilising the NDM to make decisions, if risk aversion and risk avoidance are prioritised it restricts officers from identifying learning opportunities from their decision making. </w:t>
      </w:r>
    </w:p>
    <w:p w14:paraId="0C6AFB1A"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F2FCF69"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Despite knowing that the subject had a history of violence and possession of weapons, I also considered if the subject maybe vulnerable and impact factors such as mental health, alcohol and drugs. Thought was given to his location should he not be compliant when apprehending him to make arrest and if he could pose a threat to others. </w:t>
      </w:r>
    </w:p>
    <w:p w14:paraId="6834ED79"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1871E63"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In additional to this, I also contemplated that English was not the subjects first spoken language and that he may not have an understanding of the situation due to a language barrier.  On arrival at the arrest attempt, I was continuously utilising the National decision making model and dynamic risk assessment whilst at the address and engaging with the subject.  The police can use such force as is reasonable in the circumstances in the prevention of crime, or in effecting or assisting in the lawful arrest of offenders or suspected offenders. Due to the subject being compliant and unobstructive, I used my discretion and made the decision not to handcuff the subject, however continually risk assessing as situations can change quickly and without warning.  Utilising section 32 of The Police and Criminal Evidence Act 1984, I made the decision to seize the subjects mobile phone device for forensic examination as I believed it contained relevant information and evidence relating to the offence. </w:t>
      </w:r>
    </w:p>
    <w:p w14:paraId="47A5973A"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6A76F0D"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 xml:space="preserve">Following the interview, the subject was released while advice was obtained from Crown Prosecution Service (CPS). The decision was made to bail the subject with conditions. “Bail can be attached where necessary to prevent the suspect from failing to surrender, offending on bail, interfering with prosecution witnesses or otherwise obstructing the course of justice, or for his own </w:t>
      </w:r>
      <w:r w:rsidRPr="004A33EB">
        <w:rPr>
          <w:rFonts w:asciiTheme="minorHAnsi" w:eastAsiaTheme="minorHAnsi" w:hAnsiTheme="minorHAnsi" w:cstheme="minorBidi"/>
          <w:color w:val="auto"/>
          <w:sz w:val="22"/>
          <w:szCs w:val="22"/>
          <w:lang w:eastAsia="en-US"/>
        </w:rPr>
        <w:lastRenderedPageBreak/>
        <w:t xml:space="preserve">protection” </w:t>
      </w:r>
      <w:sdt>
        <w:sdtPr>
          <w:rPr>
            <w:rFonts w:asciiTheme="minorHAnsi" w:eastAsiaTheme="minorHAnsi" w:hAnsiTheme="minorHAnsi" w:cstheme="minorBidi"/>
            <w:color w:val="auto"/>
            <w:sz w:val="22"/>
            <w:szCs w:val="22"/>
            <w:lang w:eastAsia="en-US"/>
          </w:rPr>
          <w:id w:val="1368951196"/>
          <w:citation/>
        </w:sdtPr>
        <w:sdtContent>
          <w:r w:rsidRPr="004A33EB">
            <w:rPr>
              <w:rFonts w:asciiTheme="minorHAnsi" w:eastAsiaTheme="minorHAnsi" w:hAnsiTheme="minorHAnsi" w:cstheme="minorBidi"/>
              <w:color w:val="auto"/>
              <w:sz w:val="22"/>
              <w:szCs w:val="22"/>
              <w:lang w:eastAsia="en-US"/>
            </w:rPr>
            <w:fldChar w:fldCharType="begin"/>
          </w:r>
          <w:r w:rsidRPr="004A33EB">
            <w:rPr>
              <w:rFonts w:asciiTheme="minorHAnsi" w:eastAsiaTheme="minorHAnsi" w:hAnsiTheme="minorHAnsi" w:cstheme="minorBidi"/>
              <w:color w:val="auto"/>
              <w:sz w:val="22"/>
              <w:szCs w:val="22"/>
              <w:lang w:eastAsia="en-US"/>
            </w:rPr>
            <w:instrText xml:space="preserve"> CITATION The21 \l 2057 </w:instrText>
          </w:r>
          <w:r w:rsidRPr="004A33EB">
            <w:rPr>
              <w:rFonts w:asciiTheme="minorHAnsi" w:eastAsiaTheme="minorHAnsi" w:hAnsiTheme="minorHAnsi" w:cstheme="minorBidi"/>
              <w:color w:val="auto"/>
              <w:sz w:val="22"/>
              <w:szCs w:val="22"/>
              <w:lang w:eastAsia="en-US"/>
            </w:rPr>
            <w:fldChar w:fldCharType="separate"/>
          </w:r>
          <w:r w:rsidRPr="004A33EB">
            <w:rPr>
              <w:rFonts w:asciiTheme="minorHAnsi" w:eastAsiaTheme="minorHAnsi" w:hAnsiTheme="minorHAnsi" w:cstheme="minorBidi"/>
              <w:noProof/>
              <w:color w:val="auto"/>
              <w:sz w:val="22"/>
              <w:szCs w:val="22"/>
              <w:lang w:eastAsia="en-US"/>
            </w:rPr>
            <w:t>(The Crown Prosecution Service, 2021)</w:t>
          </w:r>
          <w:r w:rsidRPr="004A33EB">
            <w:rPr>
              <w:rFonts w:asciiTheme="minorHAnsi" w:eastAsiaTheme="minorHAnsi" w:hAnsiTheme="minorHAnsi" w:cstheme="minorBidi"/>
              <w:color w:val="auto"/>
              <w:sz w:val="22"/>
              <w:szCs w:val="22"/>
              <w:lang w:eastAsia="en-US"/>
            </w:rPr>
            <w:fldChar w:fldCharType="end"/>
          </w:r>
        </w:sdtContent>
      </w:sdt>
      <w:r w:rsidRPr="004A33EB">
        <w:rPr>
          <w:rFonts w:asciiTheme="minorHAnsi" w:eastAsiaTheme="minorHAnsi" w:hAnsiTheme="minorHAnsi" w:cstheme="minorBidi"/>
          <w:color w:val="auto"/>
          <w:sz w:val="22"/>
          <w:szCs w:val="22"/>
          <w:lang w:eastAsia="en-US"/>
        </w:rPr>
        <w:t>. These conditions were placed in order to safeguard the victim from further offences, therefore providing her with protection from the subject.  The outcome was relayed to the victim and her concerned parents in order to provide some comfort and increase confidence in the police.</w:t>
      </w:r>
    </w:p>
    <w:p w14:paraId="505C1D8A"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8E60C79"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During this incident I utilised the National decision-making model throughout to conduct dynamic risk assessments and make ethical decisions. I utilised my discretion where appropriate and ensured I provided a justified and proportionate response to the incident. Safeguarding the victim was always at the forefront of my mind but I also acknowledged that risk aversion was unavoidable in order to provide an effective service. I took into consideration the subjects needs and potential impact factors and treated him with respect and dignity and considered his ethnicity and cultural believes. I believe this aided me when building rapport with the subject in order to bring the incident to a safe and well managed conclusion, ensuring all parties safety, including the safety of the officers involved in the incident bringing it to a positive conclusion.</w:t>
      </w:r>
    </w:p>
    <w:p w14:paraId="2C7979E4" w14:textId="77777777" w:rsidR="004A33EB" w:rsidRPr="004A33EB" w:rsidRDefault="004A33EB" w:rsidP="004A33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color w:val="auto"/>
          <w:sz w:val="22"/>
          <w:szCs w:val="22"/>
          <w:lang w:eastAsia="en-US"/>
        </w:rPr>
        <w:t>Word count: 1576</w:t>
      </w:r>
    </w:p>
    <w:p w14:paraId="3B3526AE" w14:textId="08FBAC54" w:rsidR="00025650" w:rsidRDefault="00025650" w:rsidP="004A33EB">
      <w:pPr>
        <w:ind w:right="237"/>
        <w:jc w:val="both"/>
        <w:rPr>
          <w:sz w:val="24"/>
          <w:szCs w:val="24"/>
        </w:rPr>
      </w:pPr>
    </w:p>
    <w:p w14:paraId="657D9F8B" w14:textId="77777777" w:rsidR="00F90EFA" w:rsidRDefault="00F90EFA" w:rsidP="004A33EB">
      <w:pPr>
        <w:ind w:right="237"/>
        <w:jc w:val="both"/>
        <w:rPr>
          <w:sz w:val="24"/>
          <w:szCs w:val="24"/>
        </w:rPr>
      </w:pPr>
    </w:p>
    <w:p w14:paraId="72FEFD1E" w14:textId="77777777" w:rsidR="00F90EFA" w:rsidRDefault="00F90EFA" w:rsidP="004A33EB">
      <w:pPr>
        <w:ind w:right="237"/>
        <w:jc w:val="both"/>
        <w:rPr>
          <w:sz w:val="24"/>
          <w:szCs w:val="24"/>
        </w:rPr>
      </w:pPr>
    </w:p>
    <w:p w14:paraId="546F1FC8" w14:textId="77777777" w:rsidR="00F90EFA" w:rsidRDefault="00F90EFA" w:rsidP="004A33EB">
      <w:pPr>
        <w:ind w:right="237"/>
        <w:jc w:val="both"/>
        <w:rPr>
          <w:sz w:val="24"/>
          <w:szCs w:val="24"/>
        </w:rPr>
      </w:pPr>
    </w:p>
    <w:p w14:paraId="4C5E0AE7" w14:textId="77777777" w:rsidR="00F90EFA" w:rsidRDefault="00F90EFA" w:rsidP="004A33EB">
      <w:pPr>
        <w:ind w:right="237"/>
        <w:jc w:val="both"/>
        <w:rPr>
          <w:sz w:val="24"/>
          <w:szCs w:val="24"/>
        </w:rPr>
      </w:pPr>
    </w:p>
    <w:p w14:paraId="5EFF6805" w14:textId="77777777" w:rsidR="00F90EFA" w:rsidRDefault="00F90EFA" w:rsidP="004A33EB">
      <w:pPr>
        <w:ind w:right="237"/>
        <w:jc w:val="both"/>
        <w:rPr>
          <w:sz w:val="24"/>
          <w:szCs w:val="24"/>
        </w:rPr>
      </w:pPr>
    </w:p>
    <w:p w14:paraId="34144512" w14:textId="77777777" w:rsidR="00F90EFA" w:rsidRDefault="00F90EFA" w:rsidP="004A33EB">
      <w:pPr>
        <w:ind w:right="237"/>
        <w:jc w:val="both"/>
        <w:rPr>
          <w:sz w:val="24"/>
          <w:szCs w:val="24"/>
        </w:rPr>
      </w:pPr>
    </w:p>
    <w:p w14:paraId="157B375E" w14:textId="77777777" w:rsidR="00F90EFA" w:rsidRDefault="00F90EFA" w:rsidP="004A33EB">
      <w:pPr>
        <w:ind w:right="237"/>
        <w:jc w:val="both"/>
        <w:rPr>
          <w:sz w:val="24"/>
          <w:szCs w:val="24"/>
        </w:rPr>
      </w:pPr>
    </w:p>
    <w:p w14:paraId="4F537A2A" w14:textId="77777777" w:rsidR="00F90EFA" w:rsidRDefault="00F90EFA" w:rsidP="004A33EB">
      <w:pPr>
        <w:ind w:right="237"/>
        <w:jc w:val="both"/>
        <w:rPr>
          <w:sz w:val="24"/>
          <w:szCs w:val="24"/>
        </w:rPr>
      </w:pPr>
    </w:p>
    <w:p w14:paraId="36903DBB" w14:textId="77777777" w:rsidR="00F90EFA" w:rsidRDefault="00F90EFA" w:rsidP="004A33EB">
      <w:pPr>
        <w:ind w:right="237"/>
        <w:jc w:val="both"/>
        <w:rPr>
          <w:sz w:val="24"/>
          <w:szCs w:val="24"/>
        </w:rPr>
      </w:pPr>
    </w:p>
    <w:p w14:paraId="60F08AE7" w14:textId="77777777" w:rsidR="00F90EFA" w:rsidRDefault="00F90EFA" w:rsidP="004A33EB">
      <w:pPr>
        <w:ind w:right="237"/>
        <w:jc w:val="both"/>
        <w:rPr>
          <w:sz w:val="24"/>
          <w:szCs w:val="24"/>
        </w:rPr>
      </w:pPr>
    </w:p>
    <w:p w14:paraId="32123F28" w14:textId="77777777" w:rsidR="00F90EFA" w:rsidRDefault="00F90EFA" w:rsidP="004A33EB">
      <w:pPr>
        <w:ind w:right="237"/>
        <w:jc w:val="both"/>
        <w:rPr>
          <w:sz w:val="24"/>
          <w:szCs w:val="24"/>
        </w:rPr>
      </w:pPr>
    </w:p>
    <w:p w14:paraId="0361C526" w14:textId="77777777" w:rsidR="00F90EFA" w:rsidRDefault="00F90EFA" w:rsidP="004A33EB">
      <w:pPr>
        <w:ind w:right="237"/>
        <w:jc w:val="both"/>
        <w:rPr>
          <w:sz w:val="24"/>
          <w:szCs w:val="24"/>
        </w:rPr>
      </w:pPr>
    </w:p>
    <w:p w14:paraId="7E04594B" w14:textId="77777777" w:rsidR="00F90EFA" w:rsidRDefault="00F90EFA" w:rsidP="004A33EB">
      <w:pPr>
        <w:ind w:right="237"/>
        <w:jc w:val="both"/>
        <w:rPr>
          <w:sz w:val="24"/>
          <w:szCs w:val="24"/>
        </w:rPr>
      </w:pPr>
    </w:p>
    <w:p w14:paraId="1B246B6D" w14:textId="77777777" w:rsidR="00F90EFA" w:rsidRDefault="00F90EFA" w:rsidP="004A33EB">
      <w:pPr>
        <w:ind w:right="237"/>
        <w:jc w:val="both"/>
        <w:rPr>
          <w:sz w:val="24"/>
          <w:szCs w:val="24"/>
        </w:rPr>
      </w:pPr>
    </w:p>
    <w:p w14:paraId="4B8612B4" w14:textId="77777777" w:rsidR="00F90EFA" w:rsidRDefault="00F90EFA" w:rsidP="004A33EB">
      <w:pPr>
        <w:ind w:right="237"/>
        <w:jc w:val="both"/>
        <w:rPr>
          <w:sz w:val="24"/>
          <w:szCs w:val="24"/>
        </w:rPr>
      </w:pPr>
    </w:p>
    <w:p w14:paraId="17FA4BC5" w14:textId="77777777" w:rsidR="00F90EFA" w:rsidRDefault="00F90EFA" w:rsidP="004A33EB">
      <w:pPr>
        <w:ind w:right="237"/>
        <w:jc w:val="both"/>
        <w:rPr>
          <w:sz w:val="24"/>
          <w:szCs w:val="24"/>
        </w:rPr>
      </w:pPr>
    </w:p>
    <w:p w14:paraId="53EC5F8F" w14:textId="77777777" w:rsidR="00F90EFA" w:rsidRDefault="00F90EFA" w:rsidP="004A33EB">
      <w:pPr>
        <w:ind w:right="237"/>
        <w:jc w:val="both"/>
        <w:rPr>
          <w:sz w:val="24"/>
          <w:szCs w:val="24"/>
        </w:rPr>
      </w:pPr>
    </w:p>
    <w:p w14:paraId="551076FC" w14:textId="77777777" w:rsidR="00F90EFA" w:rsidRDefault="00F90EFA" w:rsidP="004A33EB">
      <w:pPr>
        <w:ind w:right="237"/>
        <w:jc w:val="both"/>
        <w:rPr>
          <w:sz w:val="24"/>
          <w:szCs w:val="24"/>
        </w:rPr>
      </w:pPr>
    </w:p>
    <w:p w14:paraId="7C6404C9" w14:textId="77777777" w:rsidR="00F90EFA" w:rsidRDefault="00F90EFA" w:rsidP="004A33EB">
      <w:pPr>
        <w:ind w:right="237"/>
        <w:jc w:val="both"/>
        <w:rPr>
          <w:sz w:val="24"/>
          <w:szCs w:val="24"/>
        </w:rPr>
      </w:pPr>
    </w:p>
    <w:p w14:paraId="5EC63897" w14:textId="77777777" w:rsidR="00F90EFA" w:rsidRDefault="00F90EFA" w:rsidP="004A33EB">
      <w:pPr>
        <w:ind w:right="237"/>
        <w:jc w:val="both"/>
        <w:rPr>
          <w:sz w:val="24"/>
          <w:szCs w:val="24"/>
        </w:rPr>
      </w:pPr>
    </w:p>
    <w:p w14:paraId="44F85EA3" w14:textId="77777777" w:rsidR="00F90EFA" w:rsidRDefault="00F90EFA" w:rsidP="004A33EB">
      <w:pPr>
        <w:ind w:right="237"/>
        <w:jc w:val="both"/>
        <w:rPr>
          <w:sz w:val="24"/>
          <w:szCs w:val="24"/>
        </w:rPr>
      </w:pPr>
    </w:p>
    <w:p w14:paraId="2629C828" w14:textId="77777777" w:rsidR="00F90EFA" w:rsidRDefault="00F90EFA" w:rsidP="004A33EB">
      <w:pPr>
        <w:ind w:right="237"/>
        <w:jc w:val="both"/>
        <w:rPr>
          <w:sz w:val="24"/>
          <w:szCs w:val="24"/>
        </w:rPr>
      </w:pPr>
    </w:p>
    <w:p w14:paraId="4268A5FB" w14:textId="77777777" w:rsidR="00F90EFA" w:rsidRDefault="00F90EFA" w:rsidP="004A33EB">
      <w:pPr>
        <w:ind w:right="237"/>
        <w:jc w:val="both"/>
        <w:rPr>
          <w:sz w:val="24"/>
          <w:szCs w:val="24"/>
        </w:rPr>
      </w:pPr>
    </w:p>
    <w:p w14:paraId="799D5025" w14:textId="77777777" w:rsidR="00F90EFA" w:rsidRDefault="00F90EFA" w:rsidP="004A33EB">
      <w:pPr>
        <w:ind w:right="237"/>
        <w:jc w:val="both"/>
        <w:rPr>
          <w:sz w:val="24"/>
          <w:szCs w:val="24"/>
        </w:rPr>
      </w:pPr>
    </w:p>
    <w:p w14:paraId="7F5A7A3D" w14:textId="77777777" w:rsidR="00F90EFA" w:rsidRDefault="00F90EFA" w:rsidP="004A33EB">
      <w:pPr>
        <w:ind w:right="237"/>
        <w:jc w:val="both"/>
        <w:rPr>
          <w:sz w:val="24"/>
          <w:szCs w:val="24"/>
        </w:rPr>
      </w:pPr>
    </w:p>
    <w:p w14:paraId="0DCA2664" w14:textId="77777777" w:rsidR="00F90EFA" w:rsidRDefault="00F90EFA" w:rsidP="004A33EB">
      <w:pPr>
        <w:ind w:right="237"/>
        <w:jc w:val="both"/>
        <w:rPr>
          <w:sz w:val="24"/>
          <w:szCs w:val="24"/>
        </w:rPr>
      </w:pPr>
    </w:p>
    <w:p w14:paraId="7E4D1EBC" w14:textId="77777777" w:rsidR="00F90EFA" w:rsidRDefault="00F90EFA" w:rsidP="004A33EB">
      <w:pPr>
        <w:ind w:right="237"/>
        <w:jc w:val="both"/>
        <w:rPr>
          <w:sz w:val="24"/>
          <w:szCs w:val="24"/>
        </w:rPr>
      </w:pPr>
    </w:p>
    <w:p w14:paraId="0FE27A99" w14:textId="77777777" w:rsidR="00F90EFA" w:rsidRDefault="00F90EFA" w:rsidP="004A33EB">
      <w:pPr>
        <w:ind w:right="237"/>
        <w:jc w:val="both"/>
        <w:rPr>
          <w:sz w:val="24"/>
          <w:szCs w:val="24"/>
        </w:rPr>
      </w:pPr>
    </w:p>
    <w:p w14:paraId="776DAE37" w14:textId="77777777" w:rsidR="00F90EFA" w:rsidRDefault="00F90EFA" w:rsidP="004A33EB">
      <w:pPr>
        <w:ind w:right="237"/>
        <w:jc w:val="both"/>
        <w:rPr>
          <w:sz w:val="24"/>
          <w:szCs w:val="24"/>
        </w:rPr>
      </w:pPr>
    </w:p>
    <w:p w14:paraId="2AA6F468" w14:textId="77777777" w:rsidR="00F90EFA" w:rsidRDefault="00F90EFA" w:rsidP="004A33EB">
      <w:pPr>
        <w:ind w:right="237"/>
        <w:jc w:val="both"/>
        <w:rPr>
          <w:sz w:val="24"/>
          <w:szCs w:val="24"/>
        </w:rPr>
      </w:pPr>
    </w:p>
    <w:p w14:paraId="775AB5DF" w14:textId="77777777" w:rsidR="00F90EFA" w:rsidRPr="004A33EB" w:rsidRDefault="00F90EFA" w:rsidP="004A33EB">
      <w:pPr>
        <w:ind w:right="237"/>
        <w:jc w:val="both"/>
        <w:rPr>
          <w:sz w:val="24"/>
          <w:szCs w:val="24"/>
        </w:rPr>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1764E622" w:rsidR="00711A70" w:rsidRDefault="005B1CF8" w:rsidP="00340E9A">
      <w:pPr>
        <w:ind w:right="237"/>
        <w:jc w:val="both"/>
        <w:rPr>
          <w:b/>
          <w:sz w:val="24"/>
          <w:szCs w:val="24"/>
        </w:rPr>
      </w:pPr>
      <w:r>
        <w:rPr>
          <w:b/>
          <w:sz w:val="24"/>
          <w:szCs w:val="24"/>
        </w:rPr>
        <w:t xml:space="preserve">Maintaining </w:t>
      </w:r>
      <w:r w:rsidR="00656D91">
        <w:rPr>
          <w:b/>
          <w:sz w:val="24"/>
          <w:szCs w:val="24"/>
        </w:rPr>
        <w:t>Professional Standards</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223C72BE" w14:textId="639D2961" w:rsidR="00711A70" w:rsidRDefault="00E538E9" w:rsidP="00340E9A">
            <w:pPr>
              <w:ind w:right="237"/>
              <w:rPr>
                <w:bCs/>
                <w:sz w:val="24"/>
                <w:szCs w:val="24"/>
              </w:rPr>
            </w:pPr>
            <w:r>
              <w:rPr>
                <w:b/>
                <w:sz w:val="24"/>
                <w:szCs w:val="24"/>
              </w:rPr>
              <w:t xml:space="preserve">Evaluate </w:t>
            </w:r>
            <w:r w:rsidRPr="00E538E9">
              <w:rPr>
                <w:bCs/>
                <w:sz w:val="24"/>
                <w:szCs w:val="24"/>
              </w:rPr>
              <w:t xml:space="preserve">the organisational factors that have contributed to inappropriate behaviour and breaches of professional standards within the police </w:t>
            </w:r>
            <w:r>
              <w:rPr>
                <w:bCs/>
                <w:sz w:val="24"/>
                <w:szCs w:val="24"/>
              </w:rPr>
              <w:t xml:space="preserve">service. </w:t>
            </w:r>
          </w:p>
          <w:p w14:paraId="1F496168" w14:textId="5D2A8D39" w:rsidR="00E538E9" w:rsidRDefault="00E538E9" w:rsidP="00340E9A">
            <w:pPr>
              <w:ind w:right="237"/>
              <w:rPr>
                <w:bCs/>
                <w:sz w:val="24"/>
                <w:szCs w:val="24"/>
              </w:rPr>
            </w:pPr>
          </w:p>
          <w:p w14:paraId="4478B79F" w14:textId="421C9B19" w:rsidR="00E538E9" w:rsidRDefault="00E538E9" w:rsidP="00340E9A">
            <w:pPr>
              <w:ind w:right="237"/>
              <w:rPr>
                <w:bCs/>
                <w:sz w:val="24"/>
                <w:szCs w:val="24"/>
              </w:rPr>
            </w:pPr>
            <w:r w:rsidRPr="00E538E9">
              <w:rPr>
                <w:b/>
                <w:sz w:val="24"/>
                <w:szCs w:val="24"/>
              </w:rPr>
              <w:t>Consider</w:t>
            </w:r>
            <w:r>
              <w:rPr>
                <w:bCs/>
                <w:sz w:val="24"/>
                <w:szCs w:val="24"/>
              </w:rPr>
              <w:t xml:space="preserve"> breaches of professional standards and organisational culture.</w:t>
            </w:r>
          </w:p>
          <w:p w14:paraId="37C6D860" w14:textId="6267B862" w:rsidR="00E538E9" w:rsidRDefault="00E538E9" w:rsidP="00340E9A">
            <w:pPr>
              <w:ind w:right="237"/>
              <w:rPr>
                <w:bCs/>
                <w:sz w:val="24"/>
                <w:szCs w:val="24"/>
              </w:rPr>
            </w:pPr>
          </w:p>
          <w:p w14:paraId="40197BD1" w14:textId="0ADA54ED" w:rsidR="00E538E9" w:rsidRPr="00E538E9" w:rsidRDefault="00E538E9" w:rsidP="00340E9A">
            <w:pPr>
              <w:ind w:right="237"/>
              <w:rPr>
                <w:bCs/>
                <w:sz w:val="24"/>
                <w:szCs w:val="24"/>
              </w:rPr>
            </w:pPr>
            <w:r w:rsidRPr="00E538E9">
              <w:rPr>
                <w:b/>
                <w:sz w:val="24"/>
                <w:szCs w:val="24"/>
              </w:rPr>
              <w:t>Examine</w:t>
            </w:r>
            <w:r>
              <w:rPr>
                <w:bCs/>
                <w:sz w:val="24"/>
                <w:szCs w:val="24"/>
              </w:rPr>
              <w:t xml:space="preserve"> the perceptions of the public in relation to the police service having a ‘blame culture’ and review the improvements that professional standards can make to professionalising the police service. </w:t>
            </w:r>
          </w:p>
          <w:p w14:paraId="040A9587" w14:textId="77777777" w:rsidR="00711A70" w:rsidRPr="00270EEB" w:rsidRDefault="00711A70" w:rsidP="00340E9A">
            <w:pPr>
              <w:ind w:right="237"/>
              <w:jc w:val="both"/>
              <w:rPr>
                <w:sz w:val="24"/>
                <w:szCs w:val="24"/>
              </w:rPr>
            </w:pPr>
          </w:p>
          <w:p w14:paraId="364E4B13" w14:textId="670B933E" w:rsidR="00711A70" w:rsidRDefault="00E538E9" w:rsidP="0EB17B2B">
            <w:pPr>
              <w:ind w:right="237"/>
              <w:jc w:val="both"/>
              <w:rPr>
                <w:i/>
                <w:iCs/>
                <w:sz w:val="24"/>
                <w:szCs w:val="24"/>
              </w:rPr>
            </w:pPr>
            <w:r>
              <w:rPr>
                <w:sz w:val="24"/>
                <w:szCs w:val="24"/>
              </w:rPr>
              <w:t>200</w:t>
            </w:r>
            <w:r w:rsidR="5AE5D1FF" w:rsidRPr="0EB17B2B">
              <w:rPr>
                <w:sz w:val="24"/>
                <w:szCs w:val="24"/>
              </w:rPr>
              <w:t>0</w:t>
            </w:r>
            <w:r w:rsidR="001BC1C4" w:rsidRPr="0EB17B2B">
              <w:rPr>
                <w:sz w:val="24"/>
                <w:szCs w:val="24"/>
              </w:rPr>
              <w:t xml:space="preserve"> words </w:t>
            </w:r>
            <w:r w:rsidR="001BC1C4"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00FFC53D"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In this essay I am going to explore Hall and Schein’s interpretation of the Cultural Iceberg Model and examine how it relates to organisational factors that have contributed to breaches of professional standards within policing. In addition to this, I will research the impacts of ‘blame culture’ to police accountability, reformation and public perception. </w:t>
      </w:r>
    </w:p>
    <w:p w14:paraId="6F3E737F"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9E1D423" w14:textId="77777777" w:rsidR="0038652F" w:rsidRPr="0038652F" w:rsidRDefault="0038652F" w:rsidP="0038652F">
      <w:pPr>
        <w:overflowPunct/>
        <w:autoSpaceDE/>
        <w:autoSpaceDN/>
        <w:adjustRightInd/>
        <w:spacing w:after="160" w:line="259" w:lineRule="auto"/>
        <w:ind w:left="720"/>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An organisational culture is defined as the deeper level of assumptions and beliefs that are shared by members of an organisation, that operates and projects unconsciously an organisation's view of itself and environment </w:t>
      </w:r>
      <w:sdt>
        <w:sdtPr>
          <w:rPr>
            <w:rFonts w:asciiTheme="minorHAnsi" w:eastAsiaTheme="minorHAnsi" w:hAnsiTheme="minorHAnsi" w:cstheme="minorBidi"/>
            <w:color w:val="auto"/>
            <w:sz w:val="22"/>
            <w:szCs w:val="22"/>
            <w:lang w:eastAsia="en-US"/>
          </w:rPr>
          <w:id w:val="1430382971"/>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Gri07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(Grieve, et al., 2007)</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t>
      </w:r>
    </w:p>
    <w:p w14:paraId="7794119C"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6749825"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In 1976, respected anthropologist Edward T Hall developed the Cultural Iceberg Model as a metaphor suggesting that culture consists of two levels; explicit manifestations of culture (conscious) and implicit manifestations of culture (unconscious). </w:t>
      </w:r>
    </w:p>
    <w:p w14:paraId="41FD6A54"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Hall believed that the tip of the iceberg, the 10% that is visible above the waterline, represents explicit manifestations. Consisting of behaviours, traditions and customs, the tip is easily observable by using our senses. Unlike the remaining 90% below the waterline, implicit manifestations; consisting of core values, beliefs and attitudes is difficult to observe and requires thoughts and feeling to be understood. </w:t>
      </w:r>
    </w:p>
    <w:p w14:paraId="31E4FCC5"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8C1ECC1"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Edgar Henry Schein a renowned professor at the MIT Sloan School of Management expanded on the Cultural Iceberg Model. Schein depicts three levels of culture, consisting of Artifacts, Espoused Beliefs and Values, and Basic Underlying Assumptions. </w:t>
      </w:r>
    </w:p>
    <w:p w14:paraId="02A48421"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Schein’s representation consists of Artifacts as the tip of the iceberg. In addition to Hall’s example of the iceberg, Schein believes that as well as what we can encounter when utilising our senses </w:t>
      </w:r>
    </w:p>
    <w:p w14:paraId="7C6D9B8F" w14:textId="77777777" w:rsidR="0038652F" w:rsidRPr="0038652F" w:rsidRDefault="0038652F" w:rsidP="0038652F">
      <w:pPr>
        <w:overflowPunct/>
        <w:autoSpaceDE/>
        <w:autoSpaceDN/>
        <w:adjustRightInd/>
        <w:spacing w:after="160" w:line="259" w:lineRule="auto"/>
        <w:ind w:left="720"/>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lastRenderedPageBreak/>
        <w:t xml:space="preserve">Artifacts include the visible products of the group, such as the architecture of its physical environment; its language; its technology and products; its artistic creations; its style, as embodied in clothing, manners of address, and emotional displays; its myths and stories told about the organization; its published lists of values; and its observable rituals and ceremonies </w:t>
      </w:r>
      <w:sdt>
        <w:sdtPr>
          <w:rPr>
            <w:rFonts w:asciiTheme="minorHAnsi" w:eastAsiaTheme="minorHAnsi" w:hAnsiTheme="minorHAnsi" w:cstheme="minorBidi"/>
            <w:color w:val="auto"/>
            <w:sz w:val="22"/>
            <w:szCs w:val="22"/>
            <w:lang w:eastAsia="en-US"/>
          </w:rPr>
          <w:id w:val="1949424063"/>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Sch16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(Schein &amp; Schein, 2016)</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t>
      </w:r>
    </w:p>
    <w:p w14:paraId="13F5B849"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The ’Artifacts’ level consisting of representations of the organisation are visible and feelable structures and processes making it easy to observe but difficult to understand. To achieve understanding you need to understand why the organisation does what they do, once this is achieved you will start to discover the next level, the organisations espoused beliefs and values.</w:t>
      </w:r>
    </w:p>
    <w:p w14:paraId="54AB9253"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The Espoused Beliefs and Values of an organisation are less visible than Artifacts. It is how an organisation represents itself and provides an insight into its culture and organisation behaviours. It is what an organisation state it stands for and their values. An example of this would be publicised vision and mission statements. </w:t>
      </w:r>
    </w:p>
    <w:p w14:paraId="551950C5" w14:textId="77777777" w:rsidR="0038652F" w:rsidRPr="0038652F" w:rsidRDefault="0038652F" w:rsidP="0038652F">
      <w:pPr>
        <w:overflowPunct/>
        <w:autoSpaceDE/>
        <w:autoSpaceDN/>
        <w:adjustRightInd/>
        <w:spacing w:after="160" w:line="259" w:lineRule="auto"/>
        <w:ind w:left="720"/>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The espoused beliefs and moral or ethical rules remain conscious and are explicitly articulated because they serve the normative or moral function of guiding members of the group as to how to deal with certain key situations as well as in training new members how to behave </w:t>
      </w:r>
      <w:sdt>
        <w:sdtPr>
          <w:rPr>
            <w:rFonts w:asciiTheme="minorHAnsi" w:eastAsiaTheme="minorHAnsi" w:hAnsiTheme="minorHAnsi" w:cstheme="minorBidi"/>
            <w:color w:val="auto"/>
            <w:sz w:val="22"/>
            <w:szCs w:val="22"/>
            <w:lang w:eastAsia="en-US"/>
          </w:rPr>
          <w:id w:val="-1089690878"/>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Sch16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(Schein &amp; Schein, 2016)</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t>
      </w:r>
    </w:p>
    <w:p w14:paraId="473C6E82"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Referring back to the iceberg metaphor, the third level of culture is the Basic Underlying Assumptions that are buried deep below the surface of the waterline and represent an unconscious level of culture. Basic Underlying Assumptions can be described as the core of the organisations culture. They consist of employees’ inferred beliefs and values who have become accustomed to the way the organisation works making them the most influential factor of culture but the most difficult to modify. “They are not written down anywhere and people may not want to talk about them, but they exist and are often powerful” </w:t>
      </w:r>
      <w:sdt>
        <w:sdtPr>
          <w:rPr>
            <w:rFonts w:asciiTheme="minorHAnsi" w:eastAsiaTheme="minorHAnsi" w:hAnsiTheme="minorHAnsi" w:cstheme="minorBidi"/>
            <w:color w:val="auto"/>
            <w:sz w:val="22"/>
            <w:szCs w:val="22"/>
            <w:lang w:eastAsia="en-US"/>
          </w:rPr>
          <w:id w:val="-1453624541"/>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Lim95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(Lim, 1995)</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providing a truer representation of what an organisation’s culture is really like.  </w:t>
      </w:r>
    </w:p>
    <w:p w14:paraId="74683C01"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DD2D6D7"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The organisational culture of the police has been under scrutiny on numerous occasions over the years with accusations of police forces across England and Wales being institutionally racist, corrupt and misogynist. In particular, incidents such as the 1981 Brixton Riots, 1987 murder of Daniel Morgan, 1993 murder of Stephen Lawrence, 2011 death of Mark Duggan and the 2021 murder of Sarah Everard have drawn attention to some deep-rooted aspects of police culture within the Metropolitan Police Service (MPS) that have increasingly being recognised as problematic.</w:t>
      </w:r>
    </w:p>
    <w:p w14:paraId="7C88E645"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In April 1981 in the largely populated black community of Brixton, the MPS launched ‘Operation Swamp’, a special operation that aimed to combat street crime in the area. Utilising powers of ‘sus’ law, “authorising the arrest and punishment of suspected persons frequenting, or loitering in, public places with criminal intent” (Collins English Dictionary, n.d.), officers conducted over 1000 stop-searches and 150 arrests. The community believed this to be an act of racist discrimination by the MPS which resulted in rioting between black youths and the police.</w:t>
      </w:r>
    </w:p>
    <w:p w14:paraId="2AF6E20C"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A recent report conducted by the Daniel Morgan Independent Panel into the murder investigation of Daniel Morgan concluded that</w:t>
      </w:r>
    </w:p>
    <w:p w14:paraId="5C4ABF4C" w14:textId="77777777" w:rsidR="0038652F" w:rsidRPr="0038652F" w:rsidRDefault="0038652F" w:rsidP="0038652F">
      <w:pPr>
        <w:overflowPunct/>
        <w:autoSpaceDE/>
        <w:autoSpaceDN/>
        <w:adjustRightInd/>
        <w:spacing w:after="160" w:line="259" w:lineRule="auto"/>
        <w:ind w:left="720"/>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The Metropolitan Police placed its concern for its own reputation above the public interest, when it concealed from the family of Daniel Morgan and from the wider public the failings in </w:t>
      </w:r>
      <w:r w:rsidRPr="0038652F">
        <w:rPr>
          <w:rFonts w:asciiTheme="minorHAnsi" w:eastAsiaTheme="minorHAnsi" w:hAnsiTheme="minorHAnsi" w:cstheme="minorBidi"/>
          <w:color w:val="auto"/>
          <w:sz w:val="22"/>
          <w:szCs w:val="22"/>
          <w:lang w:eastAsia="en-US"/>
        </w:rPr>
        <w:lastRenderedPageBreak/>
        <w:t xml:space="preserve">the first murder investigation and the role of corrupt officers in the lack of success in gathering evidence to convict those responsible </w:t>
      </w:r>
      <w:sdt>
        <w:sdtPr>
          <w:rPr>
            <w:rFonts w:asciiTheme="minorHAnsi" w:eastAsiaTheme="minorHAnsi" w:hAnsiTheme="minorHAnsi" w:cstheme="minorBidi"/>
            <w:color w:val="auto"/>
            <w:sz w:val="22"/>
            <w:szCs w:val="22"/>
            <w:lang w:eastAsia="en-US"/>
          </w:rPr>
          <w:id w:val="2123651157"/>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Dan21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(Daniel Morgan Independent Panel , 2021)</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t>
      </w:r>
    </w:p>
    <w:p w14:paraId="3A99B7C0"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Outcomes of the 1999 MacPherson report, an inquiry into the investigation of the murder of Stephen Lawrence concluded that the MPS conduct of the investigation “was marred by a combination of professional incompetence, institutional racism and a failure of leadership by senior officers” </w:t>
      </w:r>
      <w:sdt>
        <w:sdtPr>
          <w:rPr>
            <w:rFonts w:asciiTheme="minorHAnsi" w:eastAsiaTheme="minorHAnsi" w:hAnsiTheme="minorHAnsi" w:cstheme="minorBidi"/>
            <w:color w:val="auto"/>
            <w:sz w:val="22"/>
            <w:szCs w:val="22"/>
            <w:lang w:eastAsia="en-US"/>
          </w:rPr>
          <w:id w:val="-1236922923"/>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Sir99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(MacPherson, 1999)</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t>
      </w:r>
    </w:p>
    <w:p w14:paraId="362B253B"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According to writer and cultural studies pioneer Stuart Hall, he stated that; </w:t>
      </w:r>
    </w:p>
    <w:p w14:paraId="3040122A" w14:textId="77777777" w:rsidR="0038652F" w:rsidRPr="0038652F" w:rsidRDefault="0038652F" w:rsidP="0038652F">
      <w:pPr>
        <w:overflowPunct/>
        <w:autoSpaceDE/>
        <w:autoSpaceDN/>
        <w:adjustRightInd/>
        <w:spacing w:after="160" w:line="259" w:lineRule="auto"/>
        <w:ind w:left="720"/>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Institutional racism has clearly taken the argument that culture regulates conduct. These behavioural norms are carried within the occupational culture of an organisation, and transmitted by informal and implicit ways through its routine, everyday practices as an indestructible part of the institutional habitus (Hall, 1999).</w:t>
      </w:r>
    </w:p>
    <w:p w14:paraId="2505A4E9"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On 4th August 2011, Mark Duggan, a 29-year-old black male was shot dead in North London by a MPS officer, it was believed that Duggan was in possession of a handgun and intended to carry out an attack. The Jury in the Mark Duggan inquest concluded that Duggan did not have a gun in his hand when he was fatally shot and that insufficient intelligence had been gathered by the MPS before taking action. Notably, the death of Mark Duggan was a catalyst for the riots in London in 2011.</w:t>
      </w:r>
    </w:p>
    <w:p w14:paraId="64943557"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The kidnap, rape and murder of Sarah Everard at the hands of a serving Metropolitan Police officer has raised serious concerns about the culture and standards of behaviour within the MPS. “Images of Met officers arresting women at the vigil led to claims of “institutional sexism” at the Met” </w:t>
      </w:r>
      <w:sdt>
        <w:sdtPr>
          <w:rPr>
            <w:rFonts w:asciiTheme="minorHAnsi" w:eastAsiaTheme="minorHAnsi" w:hAnsiTheme="minorHAnsi" w:cstheme="minorBidi"/>
            <w:color w:val="auto"/>
            <w:sz w:val="22"/>
            <w:szCs w:val="22"/>
            <w:lang w:eastAsia="en-US"/>
          </w:rPr>
          <w:id w:val="-1232384427"/>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Hou22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(House of Commons, 2022)</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and allegations of systemic misogyny and sexual harassment has been further fuelled by reports of 600 allegations of sexual misconduct by Met officers </w:t>
      </w:r>
      <w:sdt>
        <w:sdtPr>
          <w:rPr>
            <w:rFonts w:asciiTheme="minorHAnsi" w:eastAsiaTheme="minorHAnsi" w:hAnsiTheme="minorHAnsi" w:cstheme="minorBidi"/>
            <w:color w:val="auto"/>
            <w:sz w:val="22"/>
            <w:szCs w:val="22"/>
            <w:lang w:eastAsia="en-US"/>
          </w:rPr>
          <w:id w:val="973720488"/>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Hou22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(House of Commons, 2022)</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t>
      </w:r>
    </w:p>
    <w:p w14:paraId="24CF3B60"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Notably, “public confidence, the basis of our model of policing by consent, threatens to be damaged by a continuing series of events and revelations relating to police misconduct” (Home Office, 2014). On Monday 4</w:t>
      </w:r>
      <w:r w:rsidRPr="0038652F">
        <w:rPr>
          <w:rFonts w:asciiTheme="minorHAnsi" w:eastAsiaTheme="minorHAnsi" w:hAnsiTheme="minorHAnsi" w:cstheme="minorBidi"/>
          <w:color w:val="auto"/>
          <w:sz w:val="22"/>
          <w:szCs w:val="22"/>
          <w:vertAlign w:val="superscript"/>
          <w:lang w:eastAsia="en-US"/>
        </w:rPr>
        <w:t>th</w:t>
      </w:r>
      <w:r w:rsidRPr="0038652F">
        <w:rPr>
          <w:rFonts w:asciiTheme="minorHAnsi" w:eastAsiaTheme="minorHAnsi" w:hAnsiTheme="minorHAnsi" w:cstheme="minorBidi"/>
          <w:color w:val="auto"/>
          <w:sz w:val="22"/>
          <w:szCs w:val="22"/>
          <w:lang w:eastAsia="en-US"/>
        </w:rPr>
        <w:t xml:space="preserve"> October 2021, the MPS announced that Baroness Casey of Blackstock would be conducting an independent review to examine the culture and standards of behaviour of the MPS. </w:t>
      </w:r>
    </w:p>
    <w:p w14:paraId="3D259383"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598E6EC"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It could be suggested that deep rooted ‘blame culture’ is responsible for the MPS lack of accountability. “A blame culture is characterised by distrust and a fear of admonishment that prevents individuals from acknowledging failure” </w:t>
      </w:r>
      <w:sdt>
        <w:sdtPr>
          <w:rPr>
            <w:rFonts w:asciiTheme="minorHAnsi" w:eastAsiaTheme="minorHAnsi" w:hAnsiTheme="minorHAnsi" w:cstheme="minorBidi"/>
            <w:color w:val="auto"/>
            <w:sz w:val="22"/>
            <w:szCs w:val="22"/>
            <w:lang w:eastAsia="en-US"/>
          </w:rPr>
          <w:id w:val="-1180192828"/>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Jeh95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(Jehn, 1995)</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t>
      </w:r>
    </w:p>
    <w:p w14:paraId="35DFDFE0" w14:textId="77777777" w:rsidR="0038652F" w:rsidRPr="0038652F" w:rsidRDefault="0038652F" w:rsidP="0038652F">
      <w:pPr>
        <w:overflowPunct/>
        <w:autoSpaceDE/>
        <w:autoSpaceDN/>
        <w:adjustRightInd/>
        <w:spacing w:after="160" w:line="259" w:lineRule="auto"/>
        <w:ind w:left="720"/>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The rational response of officers and staff operating within a blame culture is to retreat, resulting in a defensive posture prioritising reputational protection over public protection, limiting accountability through non-disclosure and undermining internal and external legitimacy </w:t>
      </w:r>
      <w:sdt>
        <w:sdtPr>
          <w:rPr>
            <w:rFonts w:asciiTheme="minorHAnsi" w:eastAsiaTheme="minorHAnsi" w:hAnsiTheme="minorHAnsi" w:cstheme="minorBidi"/>
            <w:color w:val="auto"/>
            <w:sz w:val="22"/>
            <w:szCs w:val="22"/>
            <w:lang w:eastAsia="en-US"/>
          </w:rPr>
          <w:id w:val="302894678"/>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Met17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(Metcalfe, Tim, 2017)</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t>
      </w:r>
    </w:p>
    <w:p w14:paraId="689C5CAE"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Retired president of the Police Superintendents' Association of England and Wales (PSAEW), Chief Superintendent Irene Curtis addressed ‘blame culture’ within the police on numerous occasions. Curtis believed that ‘blame culture’ was responsible for encouraging officers to be fearful of making mistakes and when addressing the PSAEW annual conference in 2014, she stated that</w:t>
      </w:r>
    </w:p>
    <w:p w14:paraId="519C63EA" w14:textId="77777777" w:rsidR="0038652F" w:rsidRPr="0038652F" w:rsidRDefault="0038652F" w:rsidP="0038652F">
      <w:pPr>
        <w:overflowPunct/>
        <w:autoSpaceDE/>
        <w:autoSpaceDN/>
        <w:adjustRightInd/>
        <w:spacing w:after="160" w:line="259" w:lineRule="auto"/>
        <w:ind w:left="720"/>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“In any job, people will make mistakes or get things wrong. That’s human nature. More importantly, it’s a really important part of how people learn and get better at their jobs and find ways to improve how things are done” </w:t>
      </w:r>
      <w:sdt>
        <w:sdtPr>
          <w:rPr>
            <w:rFonts w:asciiTheme="minorHAnsi" w:eastAsiaTheme="minorHAnsi" w:hAnsiTheme="minorHAnsi" w:cstheme="minorBidi"/>
            <w:color w:val="auto"/>
            <w:sz w:val="22"/>
            <w:szCs w:val="22"/>
            <w:lang w:eastAsia="en-US"/>
          </w:rPr>
          <w:id w:val="1377427341"/>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Wes14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(West Yorkshire Police Federation, 2014)</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t>
      </w:r>
    </w:p>
    <w:p w14:paraId="77B1E6A4"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lastRenderedPageBreak/>
        <w:t xml:space="preserve">In March 2016, during a Parliamentary debate Curtis stated that “the blame culture in policing has got progressively worse, and it is having a huge impact on morale and the confidence of officers to do their job” </w:t>
      </w:r>
      <w:sdt>
        <w:sdtPr>
          <w:rPr>
            <w:rFonts w:asciiTheme="minorHAnsi" w:eastAsiaTheme="minorHAnsi" w:hAnsiTheme="minorHAnsi" w:cstheme="minorBidi"/>
            <w:color w:val="auto"/>
            <w:sz w:val="22"/>
            <w:szCs w:val="22"/>
            <w:lang w:eastAsia="en-US"/>
          </w:rPr>
          <w:id w:val="-666859125"/>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Hou16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(House of Commons, 2016)</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t>
      </w:r>
    </w:p>
    <w:p w14:paraId="7EEA0B39"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This is further supported by the Policing Vision 2025, highlighting the need to define “a better balance between personal accountability and a bureaucratic fear of making mistakes” </w:t>
      </w:r>
      <w:sdt>
        <w:sdtPr>
          <w:rPr>
            <w:rFonts w:asciiTheme="minorHAnsi" w:eastAsiaTheme="minorHAnsi" w:hAnsiTheme="minorHAnsi" w:cstheme="minorBidi"/>
            <w:color w:val="auto"/>
            <w:sz w:val="22"/>
            <w:szCs w:val="22"/>
            <w:lang w:eastAsia="en-US"/>
          </w:rPr>
          <w:id w:val="10419251"/>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Nat16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(National Police Chiefs’ Council and Association of Police and Crime Commissioners, 2016)</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w:t>
      </w:r>
    </w:p>
    <w:p w14:paraId="73BD8E67"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Despite this, the abolishment of the long established ‘blame culture’ within policing is a long way from being resolved. </w:t>
      </w:r>
    </w:p>
    <w:p w14:paraId="4A0CF9A2"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In 2018 the Police Foundation and KPMG explored ‘How do we move from a blame culture to a learning culture in policing?’, bringing together a group of senior police leaders and stakeholders with experts from the aviation and healthcare sectors, to discuss the issue, they identified that </w:t>
      </w:r>
    </w:p>
    <w:p w14:paraId="6ED18B33" w14:textId="77777777" w:rsidR="0038652F" w:rsidRPr="0038652F" w:rsidRDefault="0038652F" w:rsidP="0038652F">
      <w:pPr>
        <w:overflowPunct/>
        <w:autoSpaceDE/>
        <w:autoSpaceDN/>
        <w:adjustRightInd/>
        <w:spacing w:after="160" w:line="259" w:lineRule="auto"/>
        <w:ind w:left="720"/>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“Although there is an inherent tension between the need for public accountability and the desire for a learning culture – a recognition that a number of factors make that tension particularly acute within policing” </w:t>
      </w:r>
      <w:sdt>
        <w:sdtPr>
          <w:rPr>
            <w:rFonts w:asciiTheme="minorHAnsi" w:eastAsiaTheme="minorHAnsi" w:hAnsiTheme="minorHAnsi" w:cstheme="minorBidi"/>
            <w:color w:val="auto"/>
            <w:sz w:val="22"/>
            <w:szCs w:val="22"/>
            <w:lang w:eastAsia="en-US"/>
          </w:rPr>
          <w:id w:val="-1975668732"/>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The18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(The Police Foundation, 2018)</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t>
      </w:r>
    </w:p>
    <w:p w14:paraId="77D60B13"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In conclusion, based on Schein’s interpretation of the Iceberg Culture model, it does imply that racism, corruption and sexism does exist in the MPS Basic Underlying Assumptions which could explain a resistance to reformation. </w:t>
      </w:r>
    </w:p>
    <w:p w14:paraId="6973D94D"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First and foremost, “the public have a right to expect that those who uphold the law on their behalf are held to account when their actions are called into question </w:t>
      </w:r>
      <w:sdt>
        <w:sdtPr>
          <w:rPr>
            <w:rFonts w:asciiTheme="minorHAnsi" w:eastAsiaTheme="minorHAnsi" w:hAnsiTheme="minorHAnsi" w:cstheme="minorBidi"/>
            <w:color w:val="auto"/>
            <w:sz w:val="22"/>
            <w:szCs w:val="22"/>
            <w:lang w:eastAsia="en-US"/>
          </w:rPr>
          <w:id w:val="1119415070"/>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Hom14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(Home Office, 2014)</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but at what cost? It could be argued that an ongoing ‘tug-of-war’ between organisational learning and accountability is being directed by ‘blame culture’ within policing and that is the catalyst for history repeating itself. With increased scrutiny from the media and the public, the demand for police accountability is growing and damage limitation to force reputation is being prioritised rather than damage prevention, meaning the necessity to learn from failure is being lost and forgotten to a ‘blame culture’ that not only exists within policing but is fuelled by society. </w:t>
      </w:r>
    </w:p>
    <w:p w14:paraId="1C64537D"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It comes as no surprise that independent reviews into police investigations highlight shortcomings and discrepancies in police conduct. Arguably, it could be said that it is an expectation of a review in order to justify its requirement. It does need to be taken into consideration that policing decisions are often made under extenuating circumstances and the observation that the interpretation of discretion can vary somewhat. It also begs the question if independent reviews, misconduct hearings and dismissals have adverse effects and are to some extent counterproductive to accountability. Alternatively, a shift in mindset could contribute to a more positive and productive outcome of accountability, where it would entail recognising mistakes, identifying learning opportunities and developing organisational reform. </w:t>
      </w:r>
    </w:p>
    <w:p w14:paraId="4FE3A732"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Word count: 1803</w:t>
      </w:r>
    </w:p>
    <w:p w14:paraId="6B91F943"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7B06F5F" w14:textId="07D7F56A"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46840D33" w:rsidR="003769F6" w:rsidRDefault="003769F6" w:rsidP="00340E9A">
            <w:pPr>
              <w:pStyle w:val="TableParagraph"/>
              <w:tabs>
                <w:tab w:val="left" w:pos="355"/>
              </w:tabs>
              <w:ind w:left="0" w:right="237"/>
              <w:rPr>
                <w:rFonts w:eastAsia="Times New Roman"/>
                <w:color w:val="000000"/>
                <w:sz w:val="24"/>
                <w:szCs w:val="24"/>
                <w:lang w:bidi="ar-SA"/>
              </w:rPr>
            </w:pPr>
          </w:p>
          <w:p w14:paraId="52FB4AD9" w14:textId="3F27C090" w:rsidR="002E667C" w:rsidRDefault="002E667C" w:rsidP="00340E9A">
            <w:pPr>
              <w:pStyle w:val="TableParagraph"/>
              <w:tabs>
                <w:tab w:val="left" w:pos="355"/>
              </w:tabs>
              <w:ind w:left="0" w:right="237"/>
              <w:rPr>
                <w:rFonts w:eastAsia="Times New Roman"/>
                <w:color w:val="000000"/>
                <w:sz w:val="24"/>
                <w:szCs w:val="24"/>
                <w:lang w:bidi="ar-SA"/>
              </w:rPr>
            </w:pPr>
            <w:r w:rsidRPr="006E78A1">
              <w:rPr>
                <w:rFonts w:eastAsia="Times New Roman"/>
                <w:b/>
                <w:bCs/>
                <w:color w:val="000000"/>
                <w:sz w:val="24"/>
                <w:szCs w:val="24"/>
                <w:lang w:bidi="ar-SA"/>
              </w:rPr>
              <w:t>Critically review</w:t>
            </w:r>
            <w:r>
              <w:rPr>
                <w:rFonts w:eastAsia="Times New Roman"/>
                <w:color w:val="000000"/>
                <w:sz w:val="24"/>
                <w:szCs w:val="24"/>
                <w:lang w:bidi="ar-SA"/>
              </w:rPr>
              <w:t xml:space="preserve"> available prevention and disruption options to target criminal activity on the roads</w:t>
            </w:r>
          </w:p>
          <w:p w14:paraId="731339FD" w14:textId="43A48B68" w:rsidR="002E667C" w:rsidRDefault="002E667C" w:rsidP="00340E9A">
            <w:pPr>
              <w:pStyle w:val="TableParagraph"/>
              <w:tabs>
                <w:tab w:val="left" w:pos="355"/>
              </w:tabs>
              <w:ind w:left="0" w:right="237"/>
              <w:rPr>
                <w:rFonts w:eastAsia="Times New Roman"/>
                <w:color w:val="000000"/>
                <w:sz w:val="24"/>
                <w:szCs w:val="24"/>
                <w:lang w:bidi="ar-SA"/>
              </w:rPr>
            </w:pPr>
          </w:p>
          <w:p w14:paraId="1A84EF39" w14:textId="7F1BF2F7" w:rsidR="002E667C" w:rsidRDefault="006E78A1" w:rsidP="00340E9A">
            <w:pPr>
              <w:pStyle w:val="TableParagraph"/>
              <w:tabs>
                <w:tab w:val="left" w:pos="355"/>
              </w:tabs>
              <w:ind w:left="0" w:right="237"/>
              <w:rPr>
                <w:rFonts w:eastAsia="Times New Roman"/>
                <w:color w:val="000000"/>
                <w:sz w:val="24"/>
                <w:szCs w:val="24"/>
                <w:lang w:bidi="ar-SA"/>
              </w:rPr>
            </w:pPr>
            <w:r w:rsidRPr="006E78A1">
              <w:rPr>
                <w:rFonts w:eastAsia="Times New Roman"/>
                <w:b/>
                <w:bCs/>
                <w:color w:val="000000"/>
                <w:sz w:val="24"/>
                <w:szCs w:val="24"/>
                <w:lang w:bidi="ar-SA"/>
              </w:rPr>
              <w:t>Consider</w:t>
            </w:r>
            <w:r w:rsidR="002E667C">
              <w:rPr>
                <w:rFonts w:eastAsia="Times New Roman"/>
                <w:color w:val="000000"/>
                <w:sz w:val="24"/>
                <w:szCs w:val="24"/>
                <w:lang w:bidi="ar-SA"/>
              </w:rPr>
              <w:t xml:space="preserve"> the impact of organised crime activity at a national</w:t>
            </w:r>
            <w:r>
              <w:rPr>
                <w:rFonts w:eastAsia="Times New Roman"/>
                <w:color w:val="000000"/>
                <w:sz w:val="24"/>
                <w:szCs w:val="24"/>
                <w:lang w:bidi="ar-SA"/>
              </w:rPr>
              <w:t xml:space="preserve">, regional, and local level. </w:t>
            </w:r>
          </w:p>
          <w:p w14:paraId="6E44E04B" w14:textId="635D931B" w:rsidR="006E78A1" w:rsidRDefault="006E78A1" w:rsidP="00340E9A">
            <w:pPr>
              <w:pStyle w:val="TableParagraph"/>
              <w:tabs>
                <w:tab w:val="left" w:pos="355"/>
              </w:tabs>
              <w:ind w:left="0" w:right="237"/>
              <w:rPr>
                <w:rFonts w:eastAsia="Times New Roman"/>
                <w:color w:val="000000"/>
                <w:sz w:val="24"/>
                <w:szCs w:val="24"/>
                <w:lang w:bidi="ar-SA"/>
              </w:rPr>
            </w:pPr>
          </w:p>
          <w:p w14:paraId="17E16860" w14:textId="2A721A3A" w:rsidR="006E78A1" w:rsidRDefault="006E78A1" w:rsidP="00340E9A">
            <w:pPr>
              <w:pStyle w:val="TableParagraph"/>
              <w:tabs>
                <w:tab w:val="left" w:pos="355"/>
              </w:tabs>
              <w:ind w:left="0" w:right="237"/>
              <w:rPr>
                <w:rFonts w:eastAsia="Times New Roman"/>
                <w:color w:val="000000"/>
                <w:sz w:val="24"/>
                <w:szCs w:val="24"/>
                <w:lang w:bidi="ar-SA"/>
              </w:rPr>
            </w:pPr>
            <w:r w:rsidRPr="006E78A1">
              <w:rPr>
                <w:rFonts w:eastAsia="Times New Roman"/>
                <w:b/>
                <w:bCs/>
                <w:color w:val="000000"/>
                <w:sz w:val="24"/>
                <w:szCs w:val="24"/>
                <w:lang w:bidi="ar-SA"/>
              </w:rPr>
              <w:t>Examine</w:t>
            </w:r>
            <w:r>
              <w:rPr>
                <w:rFonts w:eastAsia="Times New Roman"/>
                <w:color w:val="000000"/>
                <w:sz w:val="24"/>
                <w:szCs w:val="24"/>
                <w:lang w:bidi="ar-SA"/>
              </w:rPr>
              <w:t xml:space="preserve"> the use of information and intelligence as a tool for disrupting organised crime on the road networks </w:t>
            </w:r>
          </w:p>
          <w:p w14:paraId="1998F741" w14:textId="77777777" w:rsidR="002E667C" w:rsidRDefault="002E667C" w:rsidP="00340E9A">
            <w:pPr>
              <w:pStyle w:val="TableParagraph"/>
              <w:tabs>
                <w:tab w:val="left" w:pos="355"/>
              </w:tabs>
              <w:ind w:left="0" w:right="237"/>
              <w:rPr>
                <w:rFonts w:eastAsia="Times New Roman"/>
                <w:color w:val="000000"/>
                <w:sz w:val="24"/>
                <w:szCs w:val="24"/>
                <w:lang w:bidi="ar-SA"/>
              </w:rPr>
            </w:pPr>
          </w:p>
          <w:p w14:paraId="5A93EC2F" w14:textId="77777777" w:rsidR="003C458C" w:rsidRPr="00270EEB" w:rsidRDefault="003C458C" w:rsidP="00340E9A">
            <w:pPr>
              <w:ind w:right="237"/>
              <w:jc w:val="both"/>
              <w:rPr>
                <w:sz w:val="24"/>
                <w:szCs w:val="24"/>
              </w:rPr>
            </w:pPr>
          </w:p>
          <w:p w14:paraId="5EACB626" w14:textId="27BADB84" w:rsidR="003C458C" w:rsidRDefault="001BC1C4" w:rsidP="0EB17B2B">
            <w:pPr>
              <w:ind w:right="237"/>
              <w:jc w:val="both"/>
              <w:rPr>
                <w:i/>
                <w:iCs/>
                <w:sz w:val="24"/>
                <w:szCs w:val="24"/>
              </w:rPr>
            </w:pPr>
            <w:r w:rsidRPr="0EB17B2B">
              <w:rPr>
                <w:sz w:val="24"/>
                <w:szCs w:val="24"/>
              </w:rPr>
              <w:t>1</w:t>
            </w:r>
            <w:r w:rsidR="002E667C">
              <w:rPr>
                <w:sz w:val="24"/>
                <w:szCs w:val="24"/>
              </w:rPr>
              <w:t>50</w:t>
            </w:r>
            <w:r w:rsidR="45AF2B96" w:rsidRPr="0EB17B2B">
              <w:rPr>
                <w:sz w:val="24"/>
                <w:szCs w:val="24"/>
              </w:rPr>
              <w:t xml:space="preserve">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09BB98EA"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In this essay I am going to discuss how Automatic Number Plate Recognition (ANPR) contributes to preventing and disrupting criminal activity on the UK roads network and how the information and intelligence gathered by ANPR aids criminal investigations. In addition to this, I will briefly discuss the impacts of organised crime and using research and statistics, highlight the increase of criminal activity that contributes to serious organised crime (SOC) and the importance of targeting it.</w:t>
      </w:r>
    </w:p>
    <w:p w14:paraId="7CE60A7E"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02D7A89"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It is reported that SOC is estimated to cost the UK economy at least £37 billion a year </w:t>
      </w:r>
      <w:sdt>
        <w:sdtPr>
          <w:rPr>
            <w:rFonts w:asciiTheme="minorHAnsi" w:eastAsiaTheme="minorHAnsi" w:hAnsiTheme="minorHAnsi" w:cstheme="minorBidi"/>
            <w:color w:val="auto"/>
            <w:sz w:val="22"/>
            <w:szCs w:val="22"/>
            <w:lang w:eastAsia="en-US"/>
          </w:rPr>
          <w:id w:val="-290982686"/>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Nat191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(National Crime Agency, 2019)</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With a large proportion of SOC facilitated by the UK roads networks, it is unsurprising that Police forces across England and Wales prioritise the prevention and disruption of criminal activity on the roads by utilising Roads Policing Units (RPU). </w:t>
      </w:r>
    </w:p>
    <w:p w14:paraId="0BC2AFDE"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6E17FCF"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RPU proactively deny criminals the use of the road network by carrying out strategic patrols providing police presence, utilising use of stop powers, seizing vehicles and exploiting ANPR intelligence. </w:t>
      </w:r>
    </w:p>
    <w:p w14:paraId="53F10FD3"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1F8F382"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Contrary to believe, ANPR technology has been in existence for some time.  It was invented in 1976 by the Police Scientific Development Branch (PSDB) and was credited its first arrest in 1981 for the detection of a stolen vehicle. </w:t>
      </w:r>
    </w:p>
    <w:p w14:paraId="26A2A49C"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891BB1B"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“At present around 13000 ANPR cameras nationally, submit on average around 55 million ANPR ‘read’ records to national ANPR systems daily” </w:t>
      </w:r>
      <w:sdt>
        <w:sdtPr>
          <w:rPr>
            <w:rFonts w:asciiTheme="minorHAnsi" w:eastAsiaTheme="minorHAnsi" w:hAnsiTheme="minorHAnsi" w:cstheme="minorBidi"/>
            <w:color w:val="auto"/>
            <w:sz w:val="22"/>
            <w:szCs w:val="22"/>
            <w:lang w:eastAsia="en-US"/>
          </w:rPr>
          <w:id w:val="-1995332389"/>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Nat224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(National Police Chiefs' Council, n.d.)</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Utilised by Law </w:t>
      </w:r>
      <w:r w:rsidRPr="0038652F">
        <w:rPr>
          <w:rFonts w:asciiTheme="minorHAnsi" w:eastAsiaTheme="minorHAnsi" w:hAnsiTheme="minorHAnsi" w:cstheme="minorBidi"/>
          <w:color w:val="auto"/>
          <w:sz w:val="22"/>
          <w:szCs w:val="22"/>
          <w:lang w:eastAsia="en-US"/>
        </w:rPr>
        <w:lastRenderedPageBreak/>
        <w:t xml:space="preserve">Enforcement Agencies (LEA) throughout England, Wales, Scotland and Northern Ireland, the information gathered by ANPR is collated to detect, deter and disrupt criminality at a local, regional and national level. This information provides lines of enquiry and evidence in the investigation of crime including; Organised Crime Groups (OCG), County Lines, human trafficking/slavery/child sex exploitation (CSE), vehicle crime and terrorism. It aids identifying those who are using our roads for criminal purposes and the protection of vulnerable people from harm. </w:t>
      </w:r>
    </w:p>
    <w:p w14:paraId="19C3CAC2"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The Association of Chief Police Officers (ACPO) states that three of the principal benefits to the police of ANPR are to:</w:t>
      </w:r>
    </w:p>
    <w:p w14:paraId="0746470D" w14:textId="77777777" w:rsidR="0038652F" w:rsidRPr="0038652F" w:rsidRDefault="0038652F" w:rsidP="0038652F">
      <w:pPr>
        <w:overflowPunct/>
        <w:autoSpaceDE/>
        <w:autoSpaceDN/>
        <w:adjustRightInd/>
        <w:ind w:left="720"/>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Increase the information and intelligence available to identify criminals.</w:t>
      </w:r>
    </w:p>
    <w:p w14:paraId="2E2077A5" w14:textId="77777777" w:rsidR="0038652F" w:rsidRPr="0038652F" w:rsidRDefault="0038652F" w:rsidP="0038652F">
      <w:pPr>
        <w:overflowPunct/>
        <w:autoSpaceDE/>
        <w:autoSpaceDN/>
        <w:adjustRightInd/>
        <w:ind w:left="720"/>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Enable the police to deploy resources to respond to vehicles of interest in real time.</w:t>
      </w:r>
    </w:p>
    <w:p w14:paraId="2E9AB814" w14:textId="77777777" w:rsidR="0038652F" w:rsidRPr="0038652F" w:rsidRDefault="0038652F" w:rsidP="0038652F">
      <w:pPr>
        <w:overflowPunct/>
        <w:autoSpaceDE/>
        <w:autoSpaceDN/>
        <w:adjustRightInd/>
        <w:ind w:left="720"/>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 Improve investigations after crimes have been committed </w:t>
      </w:r>
      <w:sdt>
        <w:sdtPr>
          <w:rPr>
            <w:rFonts w:asciiTheme="minorHAnsi" w:eastAsiaTheme="minorHAnsi" w:hAnsiTheme="minorHAnsi" w:cstheme="minorBidi"/>
            <w:color w:val="auto"/>
            <w:sz w:val="22"/>
            <w:szCs w:val="22"/>
            <w:lang w:eastAsia="en-US"/>
          </w:rPr>
          <w:id w:val="593671062"/>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ANP12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(ANPR Working Group, 2012)</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t>
      </w:r>
    </w:p>
    <w:p w14:paraId="0094A785"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1EB3B08"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ANPR technology captures vehicle registration numbers (VRN) using an infrared camera and uses several algorithms to instantly check them against intelligence records. If the vehicle is highlighted as a vehicle of interest (VOI), the relevant LEA will be notified, allowing officers to intercept and stop the vehicle, identify and secure evidence and where necessary; make arrests. </w:t>
      </w:r>
    </w:p>
    <w:p w14:paraId="18449812"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bookmarkStart w:id="1" w:name="_Hlk104127274"/>
    </w:p>
    <w:p w14:paraId="1A8ABAA4"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In addition to this, mobile ANPR cameras can scan up to one hundred VRN per second and will instantly notify mobile patrol police officers of stolen, uninsured or other VOI. </w:t>
      </w:r>
    </w:p>
    <w:p w14:paraId="5726DFB9" w14:textId="77777777" w:rsidR="0038652F" w:rsidRPr="0038652F" w:rsidRDefault="0038652F" w:rsidP="0038652F">
      <w:pPr>
        <w:overflowPunct/>
        <w:autoSpaceDE/>
        <w:autoSpaceDN/>
        <w:adjustRightInd/>
        <w:spacing w:after="160" w:line="259" w:lineRule="auto"/>
        <w:ind w:left="720"/>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According to statistics of the International Association of Chiefs of Police, up to 70% of serious crime is linked to the theft of motor vehicles or their use in committing crimes. Analyses and statistics show that ANPR systems are particularly useful in locating stolen cars and missing persons, and with investigating robberies and kidnappings </w:t>
      </w:r>
      <w:sdt>
        <w:sdtPr>
          <w:rPr>
            <w:rFonts w:asciiTheme="minorHAnsi" w:eastAsiaTheme="minorHAnsi" w:hAnsiTheme="minorHAnsi" w:cstheme="minorBidi"/>
            <w:color w:val="auto"/>
            <w:sz w:val="22"/>
            <w:szCs w:val="22"/>
            <w:lang w:eastAsia="en-US"/>
          </w:rPr>
          <w:id w:val="1004245427"/>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Soi22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(Soitron, n.d.)</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t>
      </w:r>
    </w:p>
    <w:bookmarkEnd w:id="1"/>
    <w:p w14:paraId="09619440"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F811F22"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With the ability to track and trace criminal movement across ANPR locations, ANPR data captured from each police force is processed and stored by the National ANPR Service (NAS) for a period of one year including data for vehicles that are not known to be of an interest at the time. In appropriate circumstances this information can be accessed for investigative purposes, providing lines of enquiry and evidence in the investigation of crime and can aid in identifying and intercepting criminal activity. This is hugely advantageous as it can “assist in both reactive and proactive investigations, to support witness and suspect strategies and to identify vehicles and potential persons of interest” </w:t>
      </w:r>
      <w:sdt>
        <w:sdtPr>
          <w:rPr>
            <w:rFonts w:asciiTheme="minorHAnsi" w:eastAsiaTheme="minorHAnsi" w:hAnsiTheme="minorHAnsi" w:cstheme="minorBidi"/>
            <w:color w:val="auto"/>
            <w:sz w:val="22"/>
            <w:szCs w:val="22"/>
            <w:lang w:eastAsia="en-US"/>
          </w:rPr>
          <w:id w:val="-345094801"/>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Col134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(College of Policing, 2013)</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w:t>
      </w:r>
    </w:p>
    <w:p w14:paraId="17944AEC"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F0B050B"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Notably, ANPR works particularly well when initiating effective responses quickly and efficiently during live incidents as it can identify the vehicles direction of travel, speed, and anticipated routes, allowing police to strategically deploy resources to ensure the vehicle is apprehended safely. </w:t>
      </w:r>
    </w:p>
    <w:p w14:paraId="54CD5182"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3BCD240"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The use of ANPR is an invaluable tool and is recognised by the College of Policing to aid and support police forces across the UK to; </w:t>
      </w:r>
    </w:p>
    <w:p w14:paraId="5DDABBE9" w14:textId="77777777" w:rsidR="0038652F" w:rsidRPr="0038652F" w:rsidRDefault="0038652F" w:rsidP="0038652F">
      <w:pPr>
        <w:overflowPunct/>
        <w:autoSpaceDE/>
        <w:autoSpaceDN/>
        <w:adjustRightInd/>
        <w:ind w:firstLine="720"/>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w:t>
      </w:r>
      <w:r w:rsidRPr="0038652F">
        <w:rPr>
          <w:rFonts w:asciiTheme="minorHAnsi" w:eastAsiaTheme="minorHAnsi" w:hAnsiTheme="minorHAnsi" w:cstheme="minorBidi"/>
          <w:color w:val="auto"/>
          <w:sz w:val="22"/>
          <w:szCs w:val="22"/>
          <w:lang w:eastAsia="en-US"/>
        </w:rPr>
        <w:tab/>
        <w:t>Locate lost or stolen vehicles.</w:t>
      </w:r>
    </w:p>
    <w:p w14:paraId="2B67D19B" w14:textId="77777777" w:rsidR="0038652F" w:rsidRPr="0038652F" w:rsidRDefault="0038652F" w:rsidP="0038652F">
      <w:pPr>
        <w:overflowPunct/>
        <w:autoSpaceDE/>
        <w:autoSpaceDN/>
        <w:adjustRightInd/>
        <w:ind w:left="1440" w:hanging="720"/>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lastRenderedPageBreak/>
        <w:t>•</w:t>
      </w:r>
      <w:r w:rsidRPr="0038652F">
        <w:rPr>
          <w:rFonts w:asciiTheme="minorHAnsi" w:eastAsiaTheme="minorHAnsi" w:hAnsiTheme="minorHAnsi" w:cstheme="minorBidi"/>
          <w:color w:val="auto"/>
          <w:sz w:val="22"/>
          <w:szCs w:val="22"/>
          <w:lang w:eastAsia="en-US"/>
        </w:rPr>
        <w:tab/>
        <w:t>Identify the movements of a vehicle(s) involved in a crime and information associated with vehicle(s).</w:t>
      </w:r>
    </w:p>
    <w:p w14:paraId="48E0F9BB" w14:textId="77777777" w:rsidR="0038652F" w:rsidRPr="0038652F" w:rsidRDefault="0038652F" w:rsidP="0038652F">
      <w:pPr>
        <w:overflowPunct/>
        <w:autoSpaceDE/>
        <w:autoSpaceDN/>
        <w:adjustRightInd/>
        <w:ind w:firstLine="720"/>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w:t>
      </w:r>
      <w:r w:rsidRPr="0038652F">
        <w:rPr>
          <w:rFonts w:asciiTheme="minorHAnsi" w:eastAsiaTheme="minorHAnsi" w:hAnsiTheme="minorHAnsi" w:cstheme="minorBidi"/>
          <w:color w:val="auto"/>
          <w:sz w:val="22"/>
          <w:szCs w:val="22"/>
          <w:lang w:eastAsia="en-US"/>
        </w:rPr>
        <w:tab/>
        <w:t>Research the movements of the victim’s vehicle to assist with victimology.</w:t>
      </w:r>
    </w:p>
    <w:p w14:paraId="79D94D47" w14:textId="77777777" w:rsidR="0038652F" w:rsidRPr="0038652F" w:rsidRDefault="0038652F" w:rsidP="0038652F">
      <w:pPr>
        <w:overflowPunct/>
        <w:autoSpaceDE/>
        <w:autoSpaceDN/>
        <w:adjustRightInd/>
        <w:ind w:firstLine="720"/>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w:t>
      </w:r>
      <w:r w:rsidRPr="0038652F">
        <w:rPr>
          <w:rFonts w:asciiTheme="minorHAnsi" w:eastAsiaTheme="minorHAnsi" w:hAnsiTheme="minorHAnsi" w:cstheme="minorBidi"/>
          <w:color w:val="auto"/>
          <w:sz w:val="22"/>
          <w:szCs w:val="22"/>
          <w:lang w:eastAsia="en-US"/>
        </w:rPr>
        <w:tab/>
        <w:t>Research alibis.</w:t>
      </w:r>
    </w:p>
    <w:p w14:paraId="20768E89" w14:textId="77777777" w:rsidR="0038652F" w:rsidRPr="0038652F" w:rsidRDefault="0038652F" w:rsidP="0038652F">
      <w:pPr>
        <w:overflowPunct/>
        <w:autoSpaceDE/>
        <w:autoSpaceDN/>
        <w:adjustRightInd/>
        <w:ind w:left="1440" w:hanging="720"/>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w:t>
      </w:r>
      <w:r w:rsidRPr="0038652F">
        <w:rPr>
          <w:rFonts w:asciiTheme="minorHAnsi" w:eastAsiaTheme="minorHAnsi" w:hAnsiTheme="minorHAnsi" w:cstheme="minorBidi"/>
          <w:color w:val="auto"/>
          <w:sz w:val="22"/>
          <w:szCs w:val="22"/>
          <w:lang w:eastAsia="en-US"/>
        </w:rPr>
        <w:tab/>
        <w:t>Identify the vehicle(s) in a particular location during particular time periods to assist in identifying a suspect, potential victims, or potential witnesses, for example, linking crimes or identifying witnesses to an incident.</w:t>
      </w:r>
    </w:p>
    <w:p w14:paraId="7F46ED6A" w14:textId="77777777" w:rsidR="0038652F" w:rsidRPr="0038652F" w:rsidRDefault="0038652F" w:rsidP="0038652F">
      <w:pPr>
        <w:overflowPunct/>
        <w:autoSpaceDE/>
        <w:autoSpaceDN/>
        <w:adjustRightInd/>
        <w:ind w:left="1440" w:hanging="720"/>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w:t>
      </w:r>
      <w:r w:rsidRPr="0038652F">
        <w:rPr>
          <w:rFonts w:asciiTheme="minorHAnsi" w:eastAsiaTheme="minorHAnsi" w:hAnsiTheme="minorHAnsi" w:cstheme="minorBidi"/>
          <w:color w:val="auto"/>
          <w:sz w:val="22"/>
          <w:szCs w:val="22"/>
          <w:lang w:eastAsia="en-US"/>
        </w:rPr>
        <w:tab/>
        <w:t xml:space="preserve">ANPR data can also be cross-referenced and integrated with data from other sources, to enhance information and intelligence </w:t>
      </w:r>
      <w:sdt>
        <w:sdtPr>
          <w:rPr>
            <w:rFonts w:asciiTheme="minorHAnsi" w:eastAsiaTheme="minorHAnsi" w:hAnsiTheme="minorHAnsi" w:cstheme="minorBidi"/>
            <w:color w:val="auto"/>
            <w:sz w:val="22"/>
            <w:szCs w:val="22"/>
            <w:lang w:eastAsia="en-US"/>
          </w:rPr>
          <w:id w:val="1681007636"/>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Col134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(College of Policing, 2013)</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t>
      </w:r>
    </w:p>
    <w:p w14:paraId="5F0EFEEE" w14:textId="77777777" w:rsidR="0038652F" w:rsidRPr="0038652F" w:rsidRDefault="0038652F" w:rsidP="0038652F">
      <w:pPr>
        <w:overflowPunct/>
        <w:autoSpaceDE/>
        <w:autoSpaceDN/>
        <w:adjustRightInd/>
        <w:textAlignment w:val="auto"/>
        <w:rPr>
          <w:rFonts w:asciiTheme="minorHAnsi" w:eastAsiaTheme="minorHAnsi" w:hAnsiTheme="minorHAnsi" w:cstheme="minorBidi"/>
          <w:color w:val="auto"/>
          <w:sz w:val="22"/>
          <w:szCs w:val="22"/>
          <w:lang w:eastAsia="en-US"/>
        </w:rPr>
      </w:pPr>
    </w:p>
    <w:p w14:paraId="5D56E160" w14:textId="77777777" w:rsidR="0038652F" w:rsidRPr="0038652F" w:rsidRDefault="0038652F" w:rsidP="0038652F">
      <w:pPr>
        <w:overflowPunct/>
        <w:autoSpaceDE/>
        <w:autoSpaceDN/>
        <w:adjustRightInd/>
        <w:textAlignment w:val="auto"/>
        <w:rPr>
          <w:rFonts w:asciiTheme="minorHAnsi" w:eastAsiaTheme="minorHAnsi" w:hAnsiTheme="minorHAnsi" w:cstheme="minorBidi"/>
          <w:color w:val="auto"/>
          <w:sz w:val="22"/>
          <w:szCs w:val="22"/>
          <w:lang w:eastAsia="en-US"/>
        </w:rPr>
      </w:pPr>
    </w:p>
    <w:p w14:paraId="691115CF" w14:textId="77777777" w:rsidR="0038652F" w:rsidRPr="0038652F" w:rsidRDefault="0038652F" w:rsidP="0038652F">
      <w:pPr>
        <w:overflowPunct/>
        <w:autoSpaceDE/>
        <w:autoSpaceDN/>
        <w:adjustRightInd/>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In addition to the huge financial cost that SOC has to the UK economy, there are also a number of other detrimental impacts to consider, including; the exploitation of vulnerable persons through modern slavery, human trafficking, people smuggling, sexual exploitation, and child sexual abuse;   the domination of communities through wholesale drugs supply networks and the illegal firearms trade, and the undermining of the UK’s economy and infrastructure through criminality, seeing money syphoned off through illicit transactions and cyber-crime </w:t>
      </w:r>
      <w:sdt>
        <w:sdtPr>
          <w:rPr>
            <w:rFonts w:asciiTheme="minorHAnsi" w:eastAsiaTheme="minorHAnsi" w:hAnsiTheme="minorHAnsi" w:cstheme="minorBidi"/>
            <w:color w:val="auto"/>
            <w:sz w:val="22"/>
            <w:szCs w:val="22"/>
            <w:lang w:eastAsia="en-US"/>
          </w:rPr>
          <w:id w:val="-149754313"/>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CITATION Nat20 \l 2057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eastAsia="en-US"/>
            </w:rPr>
            <w:t>(National Crime Agency, 2020)</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t>
      </w:r>
    </w:p>
    <w:p w14:paraId="4F7EA2A8" w14:textId="77777777" w:rsidR="0038652F" w:rsidRPr="0038652F" w:rsidRDefault="0038652F" w:rsidP="0038652F">
      <w:pPr>
        <w:overflowPunct/>
        <w:autoSpaceDE/>
        <w:autoSpaceDN/>
        <w:adjustRightInd/>
        <w:textAlignment w:val="auto"/>
        <w:rPr>
          <w:rFonts w:asciiTheme="minorHAnsi" w:eastAsiaTheme="minorHAnsi" w:hAnsiTheme="minorHAnsi" w:cstheme="minorBidi"/>
          <w:color w:val="auto"/>
          <w:sz w:val="22"/>
          <w:szCs w:val="22"/>
          <w:lang w:eastAsia="en-US"/>
        </w:rPr>
      </w:pPr>
    </w:p>
    <w:p w14:paraId="4832D58E" w14:textId="77777777" w:rsidR="0038652F" w:rsidRPr="0038652F" w:rsidRDefault="0038652F" w:rsidP="0038652F">
      <w:pPr>
        <w:overflowPunct/>
        <w:autoSpaceDE/>
        <w:autoSpaceDN/>
        <w:adjustRightInd/>
        <w:textAlignment w:val="auto"/>
        <w:rPr>
          <w:rFonts w:asciiTheme="minorHAnsi" w:eastAsiaTheme="minorHAnsi" w:hAnsiTheme="minorHAnsi" w:cstheme="minorBidi"/>
          <w:color w:val="auto"/>
          <w:sz w:val="22"/>
          <w:szCs w:val="22"/>
          <w:lang w:eastAsia="en-US"/>
        </w:rPr>
      </w:pPr>
    </w:p>
    <w:p w14:paraId="61379036" w14:textId="77777777" w:rsidR="0038652F" w:rsidRPr="0038652F" w:rsidRDefault="0038652F" w:rsidP="0038652F">
      <w:pPr>
        <w:overflowPunct/>
        <w:autoSpaceDE/>
        <w:autoSpaceDN/>
        <w:adjustRightInd/>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According to the Home Office, the largest components of the social and economic cost estimate are:</w:t>
      </w:r>
    </w:p>
    <w:p w14:paraId="2BA4497A" w14:textId="77777777" w:rsidR="0038652F" w:rsidRPr="0038652F" w:rsidRDefault="0038652F" w:rsidP="0038652F">
      <w:pPr>
        <w:overflowPunct/>
        <w:autoSpaceDE/>
        <w:autoSpaceDN/>
        <w:adjustRightInd/>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drugs supply (£20 billion), economic crime (£8 billion) and modern slavery (£2 billion) </w:t>
      </w:r>
      <w:sdt>
        <w:sdtPr>
          <w:rPr>
            <w:rFonts w:asciiTheme="minorHAnsi" w:eastAsiaTheme="minorHAnsi" w:hAnsiTheme="minorHAnsi" w:cstheme="minorBidi"/>
            <w:color w:val="auto"/>
            <w:sz w:val="22"/>
            <w:szCs w:val="22"/>
            <w:lang w:eastAsia="en-US"/>
          </w:rPr>
          <w:id w:val="829030888"/>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val="en-US" w:eastAsia="en-US"/>
            </w:rPr>
            <w:instrText xml:space="preserve"> CITATION Fel19 \l 1033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val="en-US" w:eastAsia="en-US"/>
            </w:rPr>
            <w:t>(Fell, et al., 2019)</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t>
      </w:r>
    </w:p>
    <w:p w14:paraId="58A38956" w14:textId="77777777" w:rsidR="0038652F" w:rsidRPr="0038652F" w:rsidRDefault="0038652F" w:rsidP="0038652F">
      <w:pPr>
        <w:overflowPunct/>
        <w:autoSpaceDE/>
        <w:autoSpaceDN/>
        <w:adjustRightInd/>
        <w:textAlignment w:val="auto"/>
        <w:rPr>
          <w:rFonts w:asciiTheme="minorHAnsi" w:eastAsiaTheme="minorHAnsi" w:hAnsiTheme="minorHAnsi" w:cstheme="minorBidi"/>
          <w:color w:val="auto"/>
          <w:sz w:val="22"/>
          <w:szCs w:val="22"/>
          <w:lang w:eastAsia="en-US"/>
        </w:rPr>
      </w:pPr>
    </w:p>
    <w:p w14:paraId="14D8950B" w14:textId="77777777" w:rsidR="0038652F" w:rsidRPr="0038652F" w:rsidRDefault="0038652F" w:rsidP="0038652F">
      <w:pPr>
        <w:overflowPunct/>
        <w:autoSpaceDE/>
        <w:autoSpaceDN/>
        <w:adjustRightInd/>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The supply of drugs is not only the largest contributor to SOC, it also has a corrosive impact to communities and thrives in disadvantaged areas whereby mental health, drug addiction, debt, family dysfunction and troubled childhoods are all vulnerabilities that are exploited for profit.</w:t>
      </w:r>
    </w:p>
    <w:p w14:paraId="53DA7095" w14:textId="77777777" w:rsidR="0038652F" w:rsidRPr="0038652F" w:rsidRDefault="0038652F" w:rsidP="0038652F">
      <w:pPr>
        <w:overflowPunct/>
        <w:autoSpaceDE/>
        <w:autoSpaceDN/>
        <w:adjustRightInd/>
        <w:textAlignment w:val="auto"/>
        <w:rPr>
          <w:rFonts w:asciiTheme="minorHAnsi" w:eastAsiaTheme="minorHAnsi" w:hAnsiTheme="minorHAnsi" w:cstheme="minorBidi"/>
          <w:color w:val="auto"/>
          <w:sz w:val="22"/>
          <w:szCs w:val="22"/>
          <w:lang w:eastAsia="en-US"/>
        </w:rPr>
      </w:pPr>
    </w:p>
    <w:p w14:paraId="7E1DD6B2" w14:textId="77777777" w:rsidR="0038652F" w:rsidRPr="0038652F" w:rsidRDefault="0038652F" w:rsidP="0038652F">
      <w:pPr>
        <w:numPr>
          <w:ilvl w:val="0"/>
          <w:numId w:val="5"/>
        </w:num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In 2020, 4,561 deaths related to drug poisoning were registered in England and Wales; the highest number since records began in 1993, and 3.8% higher than in 2019 (4,393 registered deaths).</w:t>
      </w:r>
    </w:p>
    <w:p w14:paraId="59C2714F" w14:textId="77777777" w:rsidR="0038652F" w:rsidRPr="0038652F" w:rsidRDefault="0038652F" w:rsidP="0038652F">
      <w:pPr>
        <w:numPr>
          <w:ilvl w:val="0"/>
          <w:numId w:val="5"/>
        </w:num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Rates of drug-related poisoning were 60.9% higher in 2020 (79.5 deaths per million) than they were in 2010 (49.4 per million). The rate has increased every year since 2012 </w:t>
      </w:r>
      <w:sdt>
        <w:sdtPr>
          <w:rPr>
            <w:rFonts w:asciiTheme="minorHAnsi" w:eastAsiaTheme="minorHAnsi" w:hAnsiTheme="minorHAnsi" w:cstheme="minorBidi"/>
            <w:color w:val="auto"/>
            <w:sz w:val="22"/>
            <w:szCs w:val="22"/>
            <w:lang w:eastAsia="en-US"/>
          </w:rPr>
          <w:id w:val="1262034051"/>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val="en-US" w:eastAsia="en-US"/>
            </w:rPr>
            <w:instrText xml:space="preserve"> CITATION Off21 \l 1033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val="en-US" w:eastAsia="en-US"/>
            </w:rPr>
            <w:t>(Office for National Statistics, 2021)</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t>
      </w:r>
    </w:p>
    <w:p w14:paraId="1381CD47"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5ACCDA5"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Costing the UK economy an estimated £8 billion a year, economic crime can be described as activities such as; money laundering, fraud and bribery/corruption. </w:t>
      </w:r>
    </w:p>
    <w:p w14:paraId="015A1D45" w14:textId="77777777" w:rsidR="0038652F" w:rsidRPr="0038652F" w:rsidRDefault="0038652F" w:rsidP="0038652F">
      <w:pPr>
        <w:overflowPunct/>
        <w:autoSpaceDE/>
        <w:autoSpaceDN/>
        <w:adjustRightInd/>
        <w:spacing w:after="160" w:line="259" w:lineRule="auto"/>
        <w:ind w:left="720"/>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The CPS prosecutes thousands of cases of fraud every year with it now being the most commonly experienced crime in England and Wales, with an estimated 3.4 million incidents in the year ending March 2017. More than half of these were cyber-related and the number of fraud and forgery cases dealt with by the CPS has risen by almost a third since 2011 </w:t>
      </w:r>
      <w:sdt>
        <w:sdtPr>
          <w:rPr>
            <w:rFonts w:asciiTheme="minorHAnsi" w:eastAsiaTheme="minorHAnsi" w:hAnsiTheme="minorHAnsi" w:cstheme="minorBidi"/>
            <w:color w:val="auto"/>
            <w:sz w:val="22"/>
            <w:szCs w:val="22"/>
            <w:lang w:eastAsia="en-US"/>
          </w:rPr>
          <w:id w:val="1851758588"/>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val="en-US" w:eastAsia="en-US"/>
            </w:rPr>
            <w:instrText xml:space="preserve"> CITATION The221 \l 1033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val="en-US" w:eastAsia="en-US"/>
            </w:rPr>
            <w:t>(The Crown Prosecution Service, n.d.)</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t>
      </w:r>
    </w:p>
    <w:p w14:paraId="792189F3"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16B61DBA"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It is worth noting that the modern slavery £2 billion a year estimated economic cost does not include (CSE). Modern slavery encompasses offences such as human trafficking, labour exploitation of children/adults and sexual exploitation of adults. In the UK in 2015, it is estimated that there were approximately 7,679 victims of organised modern slavery and approximately 6,850 victims of </w:t>
      </w:r>
      <w:r w:rsidRPr="0038652F">
        <w:rPr>
          <w:rFonts w:asciiTheme="minorHAnsi" w:eastAsiaTheme="minorHAnsi" w:hAnsiTheme="minorHAnsi" w:cstheme="minorBidi"/>
          <w:color w:val="auto"/>
          <w:sz w:val="22"/>
          <w:szCs w:val="22"/>
          <w:lang w:eastAsia="en-US"/>
        </w:rPr>
        <w:lastRenderedPageBreak/>
        <w:t xml:space="preserve">organised CSE. With both types of criminal activity costing the UK economy an estimated £2.3 billion each </w:t>
      </w:r>
      <w:sdt>
        <w:sdtPr>
          <w:rPr>
            <w:rFonts w:asciiTheme="minorHAnsi" w:eastAsiaTheme="minorHAnsi" w:hAnsiTheme="minorHAnsi" w:cstheme="minorBidi"/>
            <w:color w:val="auto"/>
            <w:sz w:val="22"/>
            <w:szCs w:val="22"/>
            <w:lang w:eastAsia="en-US"/>
          </w:rPr>
          <w:id w:val="843049586"/>
          <w:citation/>
        </w:sdtPr>
        <w:sdtContent>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val="en-US" w:eastAsia="en-US"/>
            </w:rPr>
            <w:instrText xml:space="preserve"> CITATION Fel19 \l 1033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val="en-US" w:eastAsia="en-US"/>
            </w:rPr>
            <w:t>(Fell, et al., 2019)</w:t>
          </w:r>
          <w:r w:rsidRPr="0038652F">
            <w:rPr>
              <w:rFonts w:asciiTheme="minorHAnsi" w:eastAsiaTheme="minorHAnsi" w:hAnsiTheme="minorHAnsi" w:cstheme="minorBidi"/>
              <w:color w:val="auto"/>
              <w:sz w:val="22"/>
              <w:szCs w:val="22"/>
              <w:lang w:eastAsia="en-US"/>
            </w:rPr>
            <w:fldChar w:fldCharType="end"/>
          </w:r>
        </w:sdtContent>
      </w:sdt>
      <w:r w:rsidRPr="0038652F">
        <w:rPr>
          <w:rFonts w:asciiTheme="minorHAnsi" w:eastAsiaTheme="minorHAnsi" w:hAnsiTheme="minorHAnsi" w:cstheme="minorBidi"/>
          <w:color w:val="auto"/>
          <w:sz w:val="22"/>
          <w:szCs w:val="22"/>
          <w:lang w:eastAsia="en-US"/>
        </w:rPr>
        <w:t xml:space="preserve">. </w:t>
      </w:r>
    </w:p>
    <w:p w14:paraId="639F1D8B"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A3D4771"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To conclude, the use of ANPR technology contributes significantly to detecting, deterring and disrupting criminal activity on the UK roads network. Undisputedly, ANPR technology is an invaluable evidence-gathering tool providing lines of enquiry and evidence when progressing criminal investigations. </w:t>
      </w:r>
    </w:p>
    <w:p w14:paraId="4BEAB41C"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RPU can target VOI effectively and collate evidence using ANPR data to target or eliminate specific vehicles that are involved in criminal activity for specific criminal offences such as County Lines, human trafficking, vehicle crime and counter-terrorism activity.</w:t>
      </w:r>
    </w:p>
    <w:p w14:paraId="060C6BE5"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 xml:space="preserve">The utilisation of the NAS supports forces across the UK to collaborate and work effectively together to investigate crime regionally and nationally. It provides forces the opportunity to deploy RPU and intercept vehicles in real-time. This supports forces when securing evidence relating to criminal offences, arresting suspects and disrupting criminal activity. </w:t>
      </w:r>
    </w:p>
    <w:p w14:paraId="2593DBE0"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With research highlighting the growing increase of SOC across the UK, it emphasises the importance of developing technology such as ANPR. As criminal’s methods become more sophisticated, the utilisation of ANPR technology is imperative to disrupting criminals from using the roads network to facilitate crime and combating SOC.</w:t>
      </w:r>
    </w:p>
    <w:p w14:paraId="3466F63E" w14:textId="77777777" w:rsidR="0038652F" w:rsidRPr="0038652F" w:rsidRDefault="0038652F" w:rsidP="003865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color w:val="auto"/>
          <w:sz w:val="22"/>
          <w:szCs w:val="22"/>
          <w:lang w:eastAsia="en-US"/>
        </w:rPr>
        <w:t>Word count: 1351</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1B531C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3ABD5E2" w14:textId="77777777" w:rsidR="00827AEC" w:rsidRDefault="00827AEC" w:rsidP="00FE5420">
            <w:pPr>
              <w:overflowPunct/>
              <w:autoSpaceDE/>
              <w:autoSpaceDN/>
              <w:adjustRightInd/>
              <w:rPr>
                <w:sz w:val="24"/>
                <w:szCs w:val="24"/>
                <w:lang w:eastAsia="zh-TW"/>
              </w:rPr>
            </w:pPr>
          </w:p>
          <w:p w14:paraId="084D2D24" w14:textId="32390BAE" w:rsidR="00827AEC" w:rsidRPr="00FE5420" w:rsidRDefault="00827AEC"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E32D87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365BA37" w14:textId="77777777" w:rsidR="00827AEC" w:rsidRDefault="00827AEC" w:rsidP="00FE5420">
            <w:pPr>
              <w:overflowPunct/>
              <w:autoSpaceDE/>
              <w:autoSpaceDN/>
              <w:adjustRightInd/>
              <w:rPr>
                <w:sz w:val="24"/>
                <w:szCs w:val="24"/>
                <w:lang w:eastAsia="zh-TW"/>
              </w:rPr>
            </w:pPr>
          </w:p>
          <w:p w14:paraId="0BCB15AA" w14:textId="60A5A59F" w:rsidR="00827AEC" w:rsidRPr="00FE5420" w:rsidRDefault="00827AEC"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5BBEC6FB" w:rsidR="00FE5420" w:rsidRPr="00FE5420" w:rsidRDefault="000D21DA" w:rsidP="00FE5420">
            <w:pPr>
              <w:overflowPunct/>
              <w:autoSpaceDE/>
              <w:autoSpaceDN/>
              <w:adjustRightInd/>
              <w:rPr>
                <w:rFonts w:ascii="Times New Roman" w:hAnsi="Times New Roman" w:cs="Times New Roman"/>
                <w:sz w:val="24"/>
                <w:szCs w:val="24"/>
                <w:lang w:eastAsia="zh-TW"/>
              </w:rPr>
            </w:pPr>
            <w:r>
              <w:t xml:space="preserve">I </w:t>
            </w:r>
            <w:r>
              <w:t>have become more confident in dealing with the more common offences that I deal with on a daily basis (Harassment, DV Assault and Criminal Damage), but over the next 12 months I would like to expand my knowledge base by exposing myself to more complex offences. I have recently dealt with a Rape case which I found beneficial for personal development as I had not dealt with one before</w:t>
            </w:r>
            <w:r>
              <w:t>.</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75C239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C7F38D4" w14:textId="77777777" w:rsidR="00BF03FE" w:rsidRDefault="00BF03FE" w:rsidP="00FE5420">
            <w:pPr>
              <w:overflowPunct/>
              <w:autoSpaceDE/>
              <w:autoSpaceDN/>
              <w:adjustRightInd/>
              <w:rPr>
                <w:sz w:val="24"/>
                <w:szCs w:val="24"/>
                <w:lang w:eastAsia="zh-TW"/>
              </w:rPr>
            </w:pPr>
          </w:p>
          <w:p w14:paraId="0C242629" w14:textId="27B3E1E0" w:rsidR="00BF03FE" w:rsidRPr="00FE5420" w:rsidRDefault="00BF03FE"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6C23C7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387652D" w14:textId="77777777" w:rsidR="00BF03FE" w:rsidRDefault="00BF03FE" w:rsidP="00FE5420">
            <w:pPr>
              <w:overflowPunct/>
              <w:autoSpaceDE/>
              <w:autoSpaceDN/>
              <w:adjustRightInd/>
              <w:rPr>
                <w:sz w:val="24"/>
                <w:szCs w:val="24"/>
                <w:lang w:eastAsia="zh-TW"/>
              </w:rPr>
            </w:pPr>
          </w:p>
          <w:p w14:paraId="33334C9E" w14:textId="7C4123F2" w:rsidR="00BF03FE" w:rsidRPr="00FE5420" w:rsidRDefault="00BF03FE"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6EED594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357DA">
              <w:t xml:space="preserve">have recently successfully completed my Response Driving course and I have Taser, Method of Entry and </w:t>
            </w:r>
            <w:proofErr w:type="spellStart"/>
            <w:r w:rsidR="008357DA">
              <w:t>Intoxilyzer</w:t>
            </w:r>
            <w:proofErr w:type="spellEnd"/>
            <w:r w:rsidR="008357DA">
              <w:t xml:space="preserve"> courses booked for later on in the year. In </w:t>
            </w:r>
            <w:r w:rsidR="008357DA">
              <w:lastRenderedPageBreak/>
              <w:t>addition, I intend on completing the ‘Red Box’ training and PNC if there is course availability. I am keen to learn new skills to aid my development but I am also mindful not to become overwhelmed by learning too much, too soon.</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24EF9F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B98C29D" w14:textId="77777777" w:rsidR="00031812" w:rsidRDefault="00031812" w:rsidP="00FE5420">
            <w:pPr>
              <w:overflowPunct/>
              <w:autoSpaceDE/>
              <w:autoSpaceDN/>
              <w:adjustRightInd/>
              <w:rPr>
                <w:sz w:val="24"/>
                <w:szCs w:val="24"/>
                <w:lang w:eastAsia="zh-TW"/>
              </w:rPr>
            </w:pPr>
          </w:p>
          <w:p w14:paraId="5277763A" w14:textId="6E6ECF2F" w:rsidR="00031812" w:rsidRPr="00FE5420" w:rsidRDefault="00031812"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CAD3FF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16EB5CC" w14:textId="77777777" w:rsidR="00031812" w:rsidRDefault="00031812" w:rsidP="00FE5420">
            <w:pPr>
              <w:overflowPunct/>
              <w:autoSpaceDE/>
              <w:autoSpaceDN/>
              <w:adjustRightInd/>
              <w:rPr>
                <w:sz w:val="24"/>
                <w:szCs w:val="24"/>
                <w:lang w:eastAsia="zh-TW"/>
              </w:rPr>
            </w:pPr>
          </w:p>
          <w:p w14:paraId="19ACC4DF" w14:textId="0F40F175" w:rsidR="00031812" w:rsidRPr="00FE5420" w:rsidRDefault="00031812"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3CDF343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31812">
              <w:t>Although I have attended a number of different incidents, I am very mindful that I still have a lot to learn. I have recently completed my Sudden Death attachment which I found beneficial and would also like to complete additional attachments (Neighbourhood Policing Team, Public Protection Unit, Roads Policing Unit) to obtain a thorough understanding of other areas. I believe by challenging myself and exposing myself to more complex cases and completing more attachments that I will gain more suitable experience which in turn will improve my confidence.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5881A4E0" w:rsidR="00FE5420" w:rsidRPr="003235DB" w:rsidRDefault="00536FA9" w:rsidP="003235DB">
      <w:pPr>
        <w:overflowPunct/>
        <w:autoSpaceDE/>
        <w:autoSpaceDN/>
        <w:adjustRightInd/>
        <w:ind w:right="237"/>
        <w:textAlignment w:val="auto"/>
        <w:rPr>
          <w:b/>
          <w:sz w:val="24"/>
          <w:szCs w:val="24"/>
        </w:rPr>
      </w:pPr>
      <w:r w:rsidRPr="0EB17B2B">
        <w:rPr>
          <w:b/>
          <w:bCs/>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2EDACD0A" w14:textId="47F0E9C5" w:rsidR="00F90EFA" w:rsidRDefault="00F90EFA" w:rsidP="00B459FC">
      <w:r>
        <w:t xml:space="preserve">Task 1 </w:t>
      </w:r>
    </w:p>
    <w:p w14:paraId="71E3C5AB" w14:textId="77777777" w:rsidR="00F90EFA" w:rsidRDefault="00F90EFA" w:rsidP="00B459FC"/>
    <w:p w14:paraId="15811BC2" w14:textId="77777777" w:rsidR="00F90EFA" w:rsidRPr="004A33EB" w:rsidRDefault="00F90EFA" w:rsidP="00F90EFA">
      <w:pPr>
        <w:keepNext/>
        <w:keepLines/>
        <w:overflowPunct/>
        <w:autoSpaceDE/>
        <w:autoSpaceDN/>
        <w:adjustRightInd/>
        <w:spacing w:before="240" w:line="259" w:lineRule="auto"/>
        <w:textAlignment w:val="auto"/>
        <w:outlineLvl w:val="0"/>
        <w:rPr>
          <w:rFonts w:asciiTheme="majorHAnsi" w:eastAsiaTheme="majorEastAsia" w:hAnsiTheme="majorHAnsi" w:cstheme="majorBidi"/>
          <w:color w:val="2F5496" w:themeColor="accent1" w:themeShade="BF"/>
          <w:sz w:val="32"/>
          <w:szCs w:val="32"/>
          <w:lang w:val="en-US" w:eastAsia="en-US"/>
        </w:rPr>
      </w:pPr>
      <w:r w:rsidRPr="004A33EB">
        <w:rPr>
          <w:rFonts w:asciiTheme="majorHAnsi" w:eastAsiaTheme="majorEastAsia" w:hAnsiTheme="majorHAnsi" w:cstheme="majorBidi"/>
          <w:color w:val="2F5496" w:themeColor="accent1" w:themeShade="BF"/>
          <w:sz w:val="32"/>
          <w:szCs w:val="32"/>
          <w:lang w:val="en-US" w:eastAsia="en-US"/>
        </w:rPr>
        <w:t>References</w:t>
      </w:r>
    </w:p>
    <w:sdt>
      <w:sdtPr>
        <w:rPr>
          <w:rFonts w:asciiTheme="minorHAnsi" w:eastAsiaTheme="minorHAnsi" w:hAnsiTheme="minorHAnsi" w:cstheme="minorBidi"/>
          <w:color w:val="auto"/>
          <w:sz w:val="22"/>
          <w:szCs w:val="22"/>
          <w:lang w:eastAsia="en-US"/>
        </w:rPr>
        <w:id w:val="-573587230"/>
        <w:bibliography/>
      </w:sdtPr>
      <w:sdtContent>
        <w:p w14:paraId="1512ADAE" w14:textId="77777777" w:rsidR="00F90EFA" w:rsidRPr="004A33EB"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4"/>
              <w:szCs w:val="24"/>
              <w:lang w:val="en-US" w:eastAsia="en-US"/>
            </w:rPr>
          </w:pPr>
          <w:r w:rsidRPr="004A33EB">
            <w:rPr>
              <w:rFonts w:asciiTheme="minorHAnsi" w:eastAsiaTheme="minorHAnsi" w:hAnsiTheme="minorHAnsi" w:cstheme="minorBidi"/>
              <w:color w:val="auto"/>
              <w:sz w:val="22"/>
              <w:szCs w:val="22"/>
              <w:lang w:eastAsia="en-US"/>
            </w:rPr>
            <w:fldChar w:fldCharType="begin"/>
          </w:r>
          <w:r w:rsidRPr="004A33EB">
            <w:rPr>
              <w:rFonts w:asciiTheme="minorHAnsi" w:eastAsiaTheme="minorHAnsi" w:hAnsiTheme="minorHAnsi" w:cstheme="minorBidi"/>
              <w:color w:val="auto"/>
              <w:sz w:val="22"/>
              <w:szCs w:val="22"/>
              <w:lang w:eastAsia="en-US"/>
            </w:rPr>
            <w:instrText xml:space="preserve"> BIBLIOGRAPHY </w:instrText>
          </w:r>
          <w:r w:rsidRPr="004A33EB">
            <w:rPr>
              <w:rFonts w:asciiTheme="minorHAnsi" w:eastAsiaTheme="minorHAnsi" w:hAnsiTheme="minorHAnsi" w:cstheme="minorBidi"/>
              <w:color w:val="auto"/>
              <w:sz w:val="22"/>
              <w:szCs w:val="22"/>
              <w:lang w:eastAsia="en-US"/>
            </w:rPr>
            <w:fldChar w:fldCharType="separate"/>
          </w:r>
          <w:r w:rsidRPr="004A33EB">
            <w:rPr>
              <w:rFonts w:asciiTheme="minorHAnsi" w:eastAsiaTheme="minorHAnsi" w:hAnsiTheme="minorHAnsi" w:cstheme="minorBidi"/>
              <w:noProof/>
              <w:color w:val="auto"/>
              <w:sz w:val="22"/>
              <w:szCs w:val="22"/>
              <w:lang w:val="en-US" w:eastAsia="en-US"/>
            </w:rPr>
            <w:t xml:space="preserve">deBara, D., 2021. </w:t>
          </w:r>
          <w:r w:rsidRPr="004A33EB">
            <w:rPr>
              <w:rFonts w:asciiTheme="minorHAnsi" w:eastAsiaTheme="minorHAnsi" w:hAnsiTheme="minorHAnsi" w:cstheme="minorBidi"/>
              <w:i/>
              <w:iCs/>
              <w:noProof/>
              <w:color w:val="auto"/>
              <w:sz w:val="22"/>
              <w:szCs w:val="22"/>
              <w:lang w:val="en-US" w:eastAsia="en-US"/>
            </w:rPr>
            <w:t xml:space="preserve">4 Team Effectiveness Models To Understand Your Team Better. </w:t>
          </w:r>
          <w:r w:rsidRPr="004A33EB">
            <w:rPr>
              <w:rFonts w:asciiTheme="minorHAnsi" w:eastAsiaTheme="minorHAnsi" w:hAnsiTheme="minorHAnsi" w:cstheme="minorBidi"/>
              <w:noProof/>
              <w:color w:val="auto"/>
              <w:sz w:val="22"/>
              <w:szCs w:val="22"/>
              <w:lang w:val="en-US" w:eastAsia="en-US"/>
            </w:rPr>
            <w:t xml:space="preserve">[Online] </w:t>
          </w:r>
          <w:r w:rsidRPr="004A33EB">
            <w:rPr>
              <w:rFonts w:asciiTheme="minorHAnsi" w:eastAsiaTheme="minorHAnsi" w:hAnsiTheme="minorHAnsi" w:cstheme="minorBidi"/>
              <w:noProof/>
              <w:color w:val="auto"/>
              <w:sz w:val="22"/>
              <w:szCs w:val="22"/>
              <w:lang w:val="en-US" w:eastAsia="en-US"/>
            </w:rPr>
            <w:br/>
            <w:t xml:space="preserve">Available at: </w:t>
          </w:r>
          <w:r w:rsidRPr="004A33EB">
            <w:rPr>
              <w:rFonts w:asciiTheme="minorHAnsi" w:eastAsiaTheme="minorHAnsi" w:hAnsiTheme="minorHAnsi" w:cstheme="minorBidi"/>
              <w:noProof/>
              <w:color w:val="auto"/>
              <w:sz w:val="22"/>
              <w:szCs w:val="22"/>
              <w:u w:val="single"/>
              <w:lang w:val="en-US" w:eastAsia="en-US"/>
            </w:rPr>
            <w:t>https://blog.trello.com/team-effectiveness-models#:~:text=%E2%80%9CTeam%20effectiveness%20models%20are%20simple,the%20best%20from%20each%20other.</w:t>
          </w:r>
          <w:r w:rsidRPr="004A33EB">
            <w:rPr>
              <w:rFonts w:asciiTheme="minorHAnsi" w:eastAsiaTheme="minorHAnsi" w:hAnsiTheme="minorHAnsi" w:cstheme="minorBidi"/>
              <w:noProof/>
              <w:color w:val="auto"/>
              <w:sz w:val="22"/>
              <w:szCs w:val="22"/>
              <w:lang w:val="en-US" w:eastAsia="en-US"/>
            </w:rPr>
            <w:br/>
            <w:t>[Accessed 14 May 2022].</w:t>
          </w:r>
        </w:p>
        <w:p w14:paraId="089DBBA3" w14:textId="77777777" w:rsidR="00F90EFA" w:rsidRPr="004A33EB"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4A33EB">
            <w:rPr>
              <w:rFonts w:asciiTheme="minorHAnsi" w:eastAsiaTheme="minorHAnsi" w:hAnsiTheme="minorHAnsi" w:cstheme="minorBidi"/>
              <w:noProof/>
              <w:color w:val="auto"/>
              <w:sz w:val="22"/>
              <w:szCs w:val="22"/>
              <w:lang w:val="en-US" w:eastAsia="en-US"/>
            </w:rPr>
            <w:t xml:space="preserve">Houston Chronicle, 2021. </w:t>
          </w:r>
          <w:r w:rsidRPr="004A33EB">
            <w:rPr>
              <w:rFonts w:asciiTheme="minorHAnsi" w:eastAsiaTheme="minorHAnsi" w:hAnsiTheme="minorHAnsi" w:cstheme="minorBidi"/>
              <w:i/>
              <w:iCs/>
              <w:noProof/>
              <w:color w:val="auto"/>
              <w:sz w:val="22"/>
              <w:szCs w:val="22"/>
              <w:lang w:val="en-US" w:eastAsia="en-US"/>
            </w:rPr>
            <w:t xml:space="preserve">How Police Use Teamwork. </w:t>
          </w:r>
          <w:r w:rsidRPr="004A33EB">
            <w:rPr>
              <w:rFonts w:asciiTheme="minorHAnsi" w:eastAsiaTheme="minorHAnsi" w:hAnsiTheme="minorHAnsi" w:cstheme="minorBidi"/>
              <w:noProof/>
              <w:color w:val="auto"/>
              <w:sz w:val="22"/>
              <w:szCs w:val="22"/>
              <w:lang w:val="en-US" w:eastAsia="en-US"/>
            </w:rPr>
            <w:t xml:space="preserve">[Online] </w:t>
          </w:r>
          <w:r w:rsidRPr="004A33EB">
            <w:rPr>
              <w:rFonts w:asciiTheme="minorHAnsi" w:eastAsiaTheme="minorHAnsi" w:hAnsiTheme="minorHAnsi" w:cstheme="minorBidi"/>
              <w:noProof/>
              <w:color w:val="auto"/>
              <w:sz w:val="22"/>
              <w:szCs w:val="22"/>
              <w:lang w:val="en-US" w:eastAsia="en-US"/>
            </w:rPr>
            <w:br/>
            <w:t xml:space="preserve">Available at: </w:t>
          </w:r>
          <w:r w:rsidRPr="004A33EB">
            <w:rPr>
              <w:rFonts w:asciiTheme="minorHAnsi" w:eastAsiaTheme="minorHAnsi" w:hAnsiTheme="minorHAnsi" w:cstheme="minorBidi"/>
              <w:noProof/>
              <w:color w:val="auto"/>
              <w:sz w:val="22"/>
              <w:szCs w:val="22"/>
              <w:u w:val="single"/>
              <w:lang w:val="en-US" w:eastAsia="en-US"/>
            </w:rPr>
            <w:t>https://work.chron.com/police-use-teamwork-15370.html</w:t>
          </w:r>
          <w:r w:rsidRPr="004A33EB">
            <w:rPr>
              <w:rFonts w:asciiTheme="minorHAnsi" w:eastAsiaTheme="minorHAnsi" w:hAnsiTheme="minorHAnsi" w:cstheme="minorBidi"/>
              <w:noProof/>
              <w:color w:val="auto"/>
              <w:sz w:val="22"/>
              <w:szCs w:val="22"/>
              <w:lang w:val="en-US" w:eastAsia="en-US"/>
            </w:rPr>
            <w:br/>
            <w:t>[Accessed 15 May 2022].</w:t>
          </w:r>
        </w:p>
        <w:p w14:paraId="2634245F" w14:textId="77777777" w:rsidR="00F90EFA" w:rsidRPr="004A33EB"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4A33EB">
            <w:rPr>
              <w:rFonts w:asciiTheme="minorHAnsi" w:eastAsiaTheme="minorHAnsi" w:hAnsiTheme="minorHAnsi" w:cstheme="minorBidi"/>
              <w:noProof/>
              <w:color w:val="auto"/>
              <w:sz w:val="22"/>
              <w:szCs w:val="22"/>
              <w:lang w:val="en-US" w:eastAsia="en-US"/>
            </w:rPr>
            <w:t xml:space="preserve">Indeed Editorial Team, 2021. </w:t>
          </w:r>
          <w:r w:rsidRPr="004A33EB">
            <w:rPr>
              <w:rFonts w:asciiTheme="minorHAnsi" w:eastAsiaTheme="minorHAnsi" w:hAnsiTheme="minorHAnsi" w:cstheme="minorBidi"/>
              <w:i/>
              <w:iCs/>
              <w:noProof/>
              <w:color w:val="auto"/>
              <w:sz w:val="22"/>
              <w:szCs w:val="22"/>
              <w:lang w:val="en-US" w:eastAsia="en-US"/>
            </w:rPr>
            <w:t xml:space="preserve">What are Team Effectiveness Models for Workplaces?. </w:t>
          </w:r>
          <w:r w:rsidRPr="004A33EB">
            <w:rPr>
              <w:rFonts w:asciiTheme="minorHAnsi" w:eastAsiaTheme="minorHAnsi" w:hAnsiTheme="minorHAnsi" w:cstheme="minorBidi"/>
              <w:noProof/>
              <w:color w:val="auto"/>
              <w:sz w:val="22"/>
              <w:szCs w:val="22"/>
              <w:lang w:val="en-US" w:eastAsia="en-US"/>
            </w:rPr>
            <w:t xml:space="preserve">[Online] </w:t>
          </w:r>
          <w:r w:rsidRPr="004A33EB">
            <w:rPr>
              <w:rFonts w:asciiTheme="minorHAnsi" w:eastAsiaTheme="minorHAnsi" w:hAnsiTheme="minorHAnsi" w:cstheme="minorBidi"/>
              <w:noProof/>
              <w:color w:val="auto"/>
              <w:sz w:val="22"/>
              <w:szCs w:val="22"/>
              <w:lang w:val="en-US" w:eastAsia="en-US"/>
            </w:rPr>
            <w:br/>
            <w:t xml:space="preserve">Available at: </w:t>
          </w:r>
          <w:r w:rsidRPr="004A33EB">
            <w:rPr>
              <w:rFonts w:asciiTheme="minorHAnsi" w:eastAsiaTheme="minorHAnsi" w:hAnsiTheme="minorHAnsi" w:cstheme="minorBidi"/>
              <w:noProof/>
              <w:color w:val="auto"/>
              <w:sz w:val="22"/>
              <w:szCs w:val="22"/>
              <w:u w:val="single"/>
              <w:lang w:val="en-US" w:eastAsia="en-US"/>
            </w:rPr>
            <w:t>https://ca.indeed.com/career-advice/career-development/team-effectiveness-models</w:t>
          </w:r>
          <w:r w:rsidRPr="004A33EB">
            <w:rPr>
              <w:rFonts w:asciiTheme="minorHAnsi" w:eastAsiaTheme="minorHAnsi" w:hAnsiTheme="minorHAnsi" w:cstheme="minorBidi"/>
              <w:noProof/>
              <w:color w:val="auto"/>
              <w:sz w:val="22"/>
              <w:szCs w:val="22"/>
              <w:lang w:val="en-US" w:eastAsia="en-US"/>
            </w:rPr>
            <w:br/>
            <w:t>[Accessed 13 May 2022].</w:t>
          </w:r>
        </w:p>
        <w:p w14:paraId="39642748" w14:textId="77777777" w:rsidR="00F90EFA" w:rsidRPr="004A33EB"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4A33EB">
            <w:rPr>
              <w:rFonts w:asciiTheme="minorHAnsi" w:eastAsiaTheme="minorHAnsi" w:hAnsiTheme="minorHAnsi" w:cstheme="minorBidi"/>
              <w:noProof/>
              <w:color w:val="auto"/>
              <w:sz w:val="22"/>
              <w:szCs w:val="22"/>
              <w:lang w:val="en-US" w:eastAsia="en-US"/>
            </w:rPr>
            <w:t xml:space="preserve">Korn Ferry Institute, 2016. </w:t>
          </w:r>
          <w:r w:rsidRPr="004A33EB">
            <w:rPr>
              <w:rFonts w:asciiTheme="minorHAnsi" w:eastAsiaTheme="minorHAnsi" w:hAnsiTheme="minorHAnsi" w:cstheme="minorBidi"/>
              <w:i/>
              <w:iCs/>
              <w:noProof/>
              <w:color w:val="auto"/>
              <w:sz w:val="22"/>
              <w:szCs w:val="22"/>
              <w:lang w:val="en-US" w:eastAsia="en-US"/>
            </w:rPr>
            <w:t xml:space="preserve">Driving team effectiveness. </w:t>
          </w:r>
          <w:r w:rsidRPr="004A33EB">
            <w:rPr>
              <w:rFonts w:asciiTheme="minorHAnsi" w:eastAsiaTheme="minorHAnsi" w:hAnsiTheme="minorHAnsi" w:cstheme="minorBidi"/>
              <w:noProof/>
              <w:color w:val="auto"/>
              <w:sz w:val="22"/>
              <w:szCs w:val="22"/>
              <w:lang w:val="en-US" w:eastAsia="en-US"/>
            </w:rPr>
            <w:t xml:space="preserve">[Online] </w:t>
          </w:r>
          <w:r w:rsidRPr="004A33EB">
            <w:rPr>
              <w:rFonts w:asciiTheme="minorHAnsi" w:eastAsiaTheme="minorHAnsi" w:hAnsiTheme="minorHAnsi" w:cstheme="minorBidi"/>
              <w:noProof/>
              <w:color w:val="auto"/>
              <w:sz w:val="22"/>
              <w:szCs w:val="22"/>
              <w:lang w:val="en-US" w:eastAsia="en-US"/>
            </w:rPr>
            <w:br/>
            <w:t xml:space="preserve">Available at: </w:t>
          </w:r>
          <w:r w:rsidRPr="004A33EB">
            <w:rPr>
              <w:rFonts w:asciiTheme="minorHAnsi" w:eastAsiaTheme="minorHAnsi" w:hAnsiTheme="minorHAnsi" w:cstheme="minorBidi"/>
              <w:noProof/>
              <w:color w:val="auto"/>
              <w:sz w:val="22"/>
              <w:szCs w:val="22"/>
              <w:u w:val="single"/>
              <w:lang w:val="en-US" w:eastAsia="en-US"/>
            </w:rPr>
            <w:t>https://www.kornferry.com/content/dam/kornferry/docs/pdfs/driving-team-effectiveness.pdf</w:t>
          </w:r>
          <w:r w:rsidRPr="004A33EB">
            <w:rPr>
              <w:rFonts w:asciiTheme="minorHAnsi" w:eastAsiaTheme="minorHAnsi" w:hAnsiTheme="minorHAnsi" w:cstheme="minorBidi"/>
              <w:noProof/>
              <w:color w:val="auto"/>
              <w:sz w:val="22"/>
              <w:szCs w:val="22"/>
              <w:lang w:val="en-US" w:eastAsia="en-US"/>
            </w:rPr>
            <w:br/>
            <w:t>[Accessed 14 May 2022].</w:t>
          </w:r>
        </w:p>
        <w:p w14:paraId="5243B5AB" w14:textId="77777777" w:rsidR="00F90EFA" w:rsidRPr="004A33EB"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4A33EB">
            <w:rPr>
              <w:rFonts w:asciiTheme="minorHAnsi" w:eastAsiaTheme="minorHAnsi" w:hAnsiTheme="minorHAnsi" w:cstheme="minorBidi"/>
              <w:noProof/>
              <w:color w:val="auto"/>
              <w:sz w:val="22"/>
              <w:szCs w:val="22"/>
              <w:lang w:val="en-US" w:eastAsia="en-US"/>
            </w:rPr>
            <w:t xml:space="preserve">Udoagwu, K., 2021. </w:t>
          </w:r>
          <w:r w:rsidRPr="004A33EB">
            <w:rPr>
              <w:rFonts w:asciiTheme="minorHAnsi" w:eastAsiaTheme="minorHAnsi" w:hAnsiTheme="minorHAnsi" w:cstheme="minorBidi"/>
              <w:i/>
              <w:iCs/>
              <w:noProof/>
              <w:color w:val="auto"/>
              <w:sz w:val="22"/>
              <w:szCs w:val="22"/>
              <w:lang w:val="en-US" w:eastAsia="en-US"/>
            </w:rPr>
            <w:t xml:space="preserve">6 Different Team Effectiveness Models to Understand Your Team Better. </w:t>
          </w:r>
          <w:r w:rsidRPr="004A33EB">
            <w:rPr>
              <w:rFonts w:asciiTheme="minorHAnsi" w:eastAsiaTheme="minorHAnsi" w:hAnsiTheme="minorHAnsi" w:cstheme="minorBidi"/>
              <w:noProof/>
              <w:color w:val="auto"/>
              <w:sz w:val="22"/>
              <w:szCs w:val="22"/>
              <w:lang w:val="en-US" w:eastAsia="en-US"/>
            </w:rPr>
            <w:t xml:space="preserve">[Online] </w:t>
          </w:r>
          <w:r w:rsidRPr="004A33EB">
            <w:rPr>
              <w:rFonts w:asciiTheme="minorHAnsi" w:eastAsiaTheme="minorHAnsi" w:hAnsiTheme="minorHAnsi" w:cstheme="minorBidi"/>
              <w:noProof/>
              <w:color w:val="auto"/>
              <w:sz w:val="22"/>
              <w:szCs w:val="22"/>
              <w:lang w:val="en-US" w:eastAsia="en-US"/>
            </w:rPr>
            <w:br/>
            <w:t xml:space="preserve">Available at: </w:t>
          </w:r>
          <w:r w:rsidRPr="004A33EB">
            <w:rPr>
              <w:rFonts w:asciiTheme="minorHAnsi" w:eastAsiaTheme="minorHAnsi" w:hAnsiTheme="minorHAnsi" w:cstheme="minorBidi"/>
              <w:noProof/>
              <w:color w:val="auto"/>
              <w:sz w:val="22"/>
              <w:szCs w:val="22"/>
              <w:u w:val="single"/>
              <w:lang w:val="en-US" w:eastAsia="en-US"/>
            </w:rPr>
            <w:t>https://www.wrike.com/blog/6-different-team-effectiveness-models/</w:t>
          </w:r>
          <w:r w:rsidRPr="004A33EB">
            <w:rPr>
              <w:rFonts w:asciiTheme="minorHAnsi" w:eastAsiaTheme="minorHAnsi" w:hAnsiTheme="minorHAnsi" w:cstheme="minorBidi"/>
              <w:noProof/>
              <w:color w:val="auto"/>
              <w:sz w:val="22"/>
              <w:szCs w:val="22"/>
              <w:lang w:val="en-US" w:eastAsia="en-US"/>
            </w:rPr>
            <w:br/>
            <w:t>[Accessed 14 May 2022].</w:t>
          </w:r>
        </w:p>
        <w:p w14:paraId="20A29A0C" w14:textId="77777777" w:rsidR="00F90EFA" w:rsidRDefault="00F90EFA" w:rsidP="00F90EFA">
          <w:pPr>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b/>
              <w:bCs/>
              <w:noProof/>
              <w:color w:val="auto"/>
              <w:sz w:val="22"/>
              <w:szCs w:val="22"/>
              <w:lang w:eastAsia="en-US"/>
            </w:rPr>
            <w:fldChar w:fldCharType="end"/>
          </w:r>
        </w:p>
      </w:sdtContent>
    </w:sdt>
    <w:p w14:paraId="27C040C2" w14:textId="668BBA59" w:rsidR="00F90EFA" w:rsidRDefault="00F90EFA" w:rsidP="00F90EFA">
      <w:r>
        <w:t xml:space="preserve">Task 2 </w:t>
      </w:r>
    </w:p>
    <w:p w14:paraId="4CE853AD" w14:textId="77777777" w:rsidR="00F90EFA" w:rsidRDefault="00F90EFA" w:rsidP="00F90EFA"/>
    <w:p w14:paraId="6E0025B1" w14:textId="77777777" w:rsidR="00F90EFA" w:rsidRPr="004A33EB" w:rsidRDefault="00F90EFA" w:rsidP="00F90EFA">
      <w:pPr>
        <w:keepNext/>
        <w:keepLines/>
        <w:overflowPunct/>
        <w:autoSpaceDE/>
        <w:autoSpaceDN/>
        <w:adjustRightInd/>
        <w:spacing w:before="240" w:line="259" w:lineRule="auto"/>
        <w:textAlignment w:val="auto"/>
        <w:outlineLvl w:val="0"/>
        <w:rPr>
          <w:rFonts w:asciiTheme="majorHAnsi" w:eastAsiaTheme="majorEastAsia" w:hAnsiTheme="majorHAnsi" w:cstheme="majorBidi"/>
          <w:color w:val="2F5496" w:themeColor="accent1" w:themeShade="BF"/>
          <w:sz w:val="32"/>
          <w:szCs w:val="32"/>
          <w:lang w:val="en-US" w:eastAsia="en-US"/>
        </w:rPr>
      </w:pPr>
      <w:r w:rsidRPr="004A33EB">
        <w:rPr>
          <w:rFonts w:asciiTheme="majorHAnsi" w:eastAsiaTheme="majorEastAsia" w:hAnsiTheme="majorHAnsi" w:cstheme="majorBidi"/>
          <w:color w:val="2F5496" w:themeColor="accent1" w:themeShade="BF"/>
          <w:sz w:val="32"/>
          <w:szCs w:val="32"/>
          <w:lang w:val="en-US" w:eastAsia="en-US"/>
        </w:rPr>
        <w:t>References</w:t>
      </w:r>
    </w:p>
    <w:sdt>
      <w:sdtPr>
        <w:rPr>
          <w:rFonts w:asciiTheme="minorHAnsi" w:eastAsiaTheme="minorHAnsi" w:hAnsiTheme="minorHAnsi" w:cstheme="minorBidi"/>
          <w:color w:val="auto"/>
          <w:sz w:val="22"/>
          <w:szCs w:val="22"/>
          <w:lang w:eastAsia="en-US"/>
        </w:rPr>
        <w:id w:val="1289933423"/>
        <w:bibliography/>
      </w:sdtPr>
      <w:sdtContent>
        <w:p w14:paraId="16B2F6E8" w14:textId="77777777" w:rsidR="00F90EFA" w:rsidRPr="004A33EB"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4"/>
              <w:szCs w:val="24"/>
              <w:lang w:val="en-US" w:eastAsia="en-US"/>
            </w:rPr>
          </w:pPr>
          <w:r w:rsidRPr="004A33EB">
            <w:rPr>
              <w:rFonts w:asciiTheme="minorHAnsi" w:eastAsiaTheme="minorHAnsi" w:hAnsiTheme="minorHAnsi" w:cstheme="minorBidi"/>
              <w:color w:val="auto"/>
              <w:sz w:val="22"/>
              <w:szCs w:val="22"/>
              <w:lang w:eastAsia="en-US"/>
            </w:rPr>
            <w:fldChar w:fldCharType="begin"/>
          </w:r>
          <w:r w:rsidRPr="004A33EB">
            <w:rPr>
              <w:rFonts w:asciiTheme="minorHAnsi" w:eastAsiaTheme="minorHAnsi" w:hAnsiTheme="minorHAnsi" w:cstheme="minorBidi"/>
              <w:color w:val="auto"/>
              <w:sz w:val="22"/>
              <w:szCs w:val="22"/>
              <w:lang w:eastAsia="en-US"/>
            </w:rPr>
            <w:instrText xml:space="preserve"> BIBLIOGRAPHY </w:instrText>
          </w:r>
          <w:r w:rsidRPr="004A33EB">
            <w:rPr>
              <w:rFonts w:asciiTheme="minorHAnsi" w:eastAsiaTheme="minorHAnsi" w:hAnsiTheme="minorHAnsi" w:cstheme="minorBidi"/>
              <w:color w:val="auto"/>
              <w:sz w:val="22"/>
              <w:szCs w:val="22"/>
              <w:lang w:eastAsia="en-US"/>
            </w:rPr>
            <w:fldChar w:fldCharType="separate"/>
          </w:r>
          <w:r w:rsidRPr="004A33EB">
            <w:rPr>
              <w:rFonts w:asciiTheme="minorHAnsi" w:eastAsiaTheme="minorHAnsi" w:hAnsiTheme="minorHAnsi" w:cstheme="minorBidi"/>
              <w:noProof/>
              <w:color w:val="auto"/>
              <w:sz w:val="22"/>
              <w:szCs w:val="22"/>
              <w:lang w:val="en-US" w:eastAsia="en-US"/>
            </w:rPr>
            <w:t xml:space="preserve">Black, A. &amp; Lumsden, K., 2019. Precautionary policing and dispositives of risk in a police force control room in domestic abuse incidents: an ethnography of call handlers, dispatchers and response officers. </w:t>
          </w:r>
          <w:r w:rsidRPr="004A33EB">
            <w:rPr>
              <w:rFonts w:asciiTheme="minorHAnsi" w:eastAsiaTheme="minorHAnsi" w:hAnsiTheme="minorHAnsi" w:cstheme="minorBidi"/>
              <w:i/>
              <w:iCs/>
              <w:noProof/>
              <w:color w:val="auto"/>
              <w:sz w:val="22"/>
              <w:szCs w:val="22"/>
              <w:lang w:val="en-US" w:eastAsia="en-US"/>
            </w:rPr>
            <w:t xml:space="preserve">Policing and Society, </w:t>
          </w:r>
          <w:r w:rsidRPr="004A33EB">
            <w:rPr>
              <w:rFonts w:asciiTheme="minorHAnsi" w:eastAsiaTheme="minorHAnsi" w:hAnsiTheme="minorHAnsi" w:cstheme="minorBidi"/>
              <w:noProof/>
              <w:color w:val="auto"/>
              <w:sz w:val="22"/>
              <w:szCs w:val="22"/>
              <w:lang w:val="en-US" w:eastAsia="en-US"/>
            </w:rPr>
            <w:t>XXX(1), pp. 65-80.</w:t>
          </w:r>
        </w:p>
        <w:p w14:paraId="6AB6E2A4" w14:textId="77777777" w:rsidR="00F90EFA" w:rsidRPr="004A33EB"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4A33EB">
            <w:rPr>
              <w:rFonts w:asciiTheme="minorHAnsi" w:eastAsiaTheme="minorHAnsi" w:hAnsiTheme="minorHAnsi" w:cstheme="minorBidi"/>
              <w:noProof/>
              <w:color w:val="auto"/>
              <w:sz w:val="22"/>
              <w:szCs w:val="22"/>
              <w:lang w:val="en-US" w:eastAsia="en-US"/>
            </w:rPr>
            <w:t xml:space="preserve">College of Policing, 2021. </w:t>
          </w:r>
          <w:r w:rsidRPr="004A33EB">
            <w:rPr>
              <w:rFonts w:asciiTheme="minorHAnsi" w:eastAsiaTheme="minorHAnsi" w:hAnsiTheme="minorHAnsi" w:cstheme="minorBidi"/>
              <w:i/>
              <w:iCs/>
              <w:noProof/>
              <w:color w:val="auto"/>
              <w:sz w:val="22"/>
              <w:szCs w:val="22"/>
              <w:lang w:val="en-US" w:eastAsia="en-US"/>
            </w:rPr>
            <w:t xml:space="preserve">Recognising and responding to vulnerability-related risks. </w:t>
          </w:r>
          <w:r w:rsidRPr="004A33EB">
            <w:rPr>
              <w:rFonts w:asciiTheme="minorHAnsi" w:eastAsiaTheme="minorHAnsi" w:hAnsiTheme="minorHAnsi" w:cstheme="minorBidi"/>
              <w:noProof/>
              <w:color w:val="auto"/>
              <w:sz w:val="22"/>
              <w:szCs w:val="22"/>
              <w:lang w:val="en-US" w:eastAsia="en-US"/>
            </w:rPr>
            <w:t xml:space="preserve">[Online] </w:t>
          </w:r>
          <w:r w:rsidRPr="004A33EB">
            <w:rPr>
              <w:rFonts w:asciiTheme="minorHAnsi" w:eastAsiaTheme="minorHAnsi" w:hAnsiTheme="minorHAnsi" w:cstheme="minorBidi"/>
              <w:noProof/>
              <w:color w:val="auto"/>
              <w:sz w:val="22"/>
              <w:szCs w:val="22"/>
              <w:lang w:val="en-US" w:eastAsia="en-US"/>
            </w:rPr>
            <w:br/>
            <w:t xml:space="preserve">Available at: </w:t>
          </w:r>
          <w:r w:rsidRPr="004A33EB">
            <w:rPr>
              <w:rFonts w:asciiTheme="minorHAnsi" w:eastAsiaTheme="minorHAnsi" w:hAnsiTheme="minorHAnsi" w:cstheme="minorBidi"/>
              <w:noProof/>
              <w:color w:val="auto"/>
              <w:sz w:val="22"/>
              <w:szCs w:val="22"/>
              <w:u w:val="single"/>
              <w:lang w:val="en-US" w:eastAsia="en-US"/>
            </w:rPr>
            <w:t>https://assets.college.police.uk/s3fs-public/2021-11/Recognising-responding-vulnerability-related-risks-guidelines.pdf</w:t>
          </w:r>
          <w:r w:rsidRPr="004A33EB">
            <w:rPr>
              <w:rFonts w:asciiTheme="minorHAnsi" w:eastAsiaTheme="minorHAnsi" w:hAnsiTheme="minorHAnsi" w:cstheme="minorBidi"/>
              <w:noProof/>
              <w:color w:val="auto"/>
              <w:sz w:val="22"/>
              <w:szCs w:val="22"/>
              <w:lang w:val="en-US" w:eastAsia="en-US"/>
            </w:rPr>
            <w:br/>
            <w:t>[Accessed 16 May 2022].</w:t>
          </w:r>
        </w:p>
        <w:p w14:paraId="0521AEE9" w14:textId="77777777" w:rsidR="00F90EFA" w:rsidRPr="004A33EB"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4A33EB">
            <w:rPr>
              <w:rFonts w:asciiTheme="minorHAnsi" w:eastAsiaTheme="minorHAnsi" w:hAnsiTheme="minorHAnsi" w:cstheme="minorBidi"/>
              <w:noProof/>
              <w:color w:val="auto"/>
              <w:sz w:val="22"/>
              <w:szCs w:val="22"/>
              <w:lang w:val="en-US" w:eastAsia="en-US"/>
            </w:rPr>
            <w:t xml:space="preserve">College of Policing, n.d. </w:t>
          </w:r>
          <w:r w:rsidRPr="004A33EB">
            <w:rPr>
              <w:rFonts w:asciiTheme="minorHAnsi" w:eastAsiaTheme="minorHAnsi" w:hAnsiTheme="minorHAnsi" w:cstheme="minorBidi"/>
              <w:i/>
              <w:iCs/>
              <w:noProof/>
              <w:color w:val="auto"/>
              <w:sz w:val="22"/>
              <w:szCs w:val="22"/>
              <w:lang w:val="en-US" w:eastAsia="en-US"/>
            </w:rPr>
            <w:t xml:space="preserve">Risk - Authorised Professional Practice. </w:t>
          </w:r>
          <w:r w:rsidRPr="004A33EB">
            <w:rPr>
              <w:rFonts w:asciiTheme="minorHAnsi" w:eastAsiaTheme="minorHAnsi" w:hAnsiTheme="minorHAnsi" w:cstheme="minorBidi"/>
              <w:noProof/>
              <w:color w:val="auto"/>
              <w:sz w:val="22"/>
              <w:szCs w:val="22"/>
              <w:lang w:val="en-US" w:eastAsia="en-US"/>
            </w:rPr>
            <w:t xml:space="preserve">[Online] </w:t>
          </w:r>
          <w:r w:rsidRPr="004A33EB">
            <w:rPr>
              <w:rFonts w:asciiTheme="minorHAnsi" w:eastAsiaTheme="minorHAnsi" w:hAnsiTheme="minorHAnsi" w:cstheme="minorBidi"/>
              <w:noProof/>
              <w:color w:val="auto"/>
              <w:sz w:val="22"/>
              <w:szCs w:val="22"/>
              <w:lang w:val="en-US" w:eastAsia="en-US"/>
            </w:rPr>
            <w:br/>
            <w:t xml:space="preserve">Available at: </w:t>
          </w:r>
          <w:r w:rsidRPr="004A33EB">
            <w:rPr>
              <w:rFonts w:asciiTheme="minorHAnsi" w:eastAsiaTheme="minorHAnsi" w:hAnsiTheme="minorHAnsi" w:cstheme="minorBidi"/>
              <w:noProof/>
              <w:color w:val="auto"/>
              <w:sz w:val="22"/>
              <w:szCs w:val="22"/>
              <w:u w:val="single"/>
              <w:lang w:val="en-US" w:eastAsia="en-US"/>
            </w:rPr>
            <w:lastRenderedPageBreak/>
            <w:t>https://www.college.police.uk/app/risk#:~:text=The%20media%20and%20public%20tend,in%20case%20things%20go%20wrong.</w:t>
          </w:r>
          <w:r w:rsidRPr="004A33EB">
            <w:rPr>
              <w:rFonts w:asciiTheme="minorHAnsi" w:eastAsiaTheme="minorHAnsi" w:hAnsiTheme="minorHAnsi" w:cstheme="minorBidi"/>
              <w:noProof/>
              <w:color w:val="auto"/>
              <w:sz w:val="22"/>
              <w:szCs w:val="22"/>
              <w:lang w:val="en-US" w:eastAsia="en-US"/>
            </w:rPr>
            <w:br/>
            <w:t>[Accessed 16 May 2022].</w:t>
          </w:r>
        </w:p>
        <w:p w14:paraId="783FC163" w14:textId="77777777" w:rsidR="00F90EFA" w:rsidRPr="004A33EB"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4A33EB">
            <w:rPr>
              <w:rFonts w:asciiTheme="minorHAnsi" w:eastAsiaTheme="minorHAnsi" w:hAnsiTheme="minorHAnsi" w:cstheme="minorBidi"/>
              <w:noProof/>
              <w:color w:val="auto"/>
              <w:sz w:val="22"/>
              <w:szCs w:val="22"/>
              <w:lang w:val="en-US" w:eastAsia="en-US"/>
            </w:rPr>
            <w:t xml:space="preserve">Independent Office for Police Conduct, 2011. </w:t>
          </w:r>
          <w:r w:rsidRPr="004A33EB">
            <w:rPr>
              <w:rFonts w:asciiTheme="minorHAnsi" w:eastAsiaTheme="minorHAnsi" w:hAnsiTheme="minorHAnsi" w:cstheme="minorBidi"/>
              <w:i/>
              <w:iCs/>
              <w:noProof/>
              <w:color w:val="auto"/>
              <w:sz w:val="22"/>
              <w:szCs w:val="22"/>
              <w:lang w:val="en-US" w:eastAsia="en-US"/>
            </w:rPr>
            <w:t xml:space="preserve">Risk in police decision-making and accountability in operational policing. </w:t>
          </w:r>
          <w:r w:rsidRPr="004A33EB">
            <w:rPr>
              <w:rFonts w:asciiTheme="minorHAnsi" w:eastAsiaTheme="minorHAnsi" w:hAnsiTheme="minorHAnsi" w:cstheme="minorBidi"/>
              <w:noProof/>
              <w:color w:val="auto"/>
              <w:sz w:val="22"/>
              <w:szCs w:val="22"/>
              <w:lang w:val="en-US" w:eastAsia="en-US"/>
            </w:rPr>
            <w:t xml:space="preserve">[Online] </w:t>
          </w:r>
          <w:r w:rsidRPr="004A33EB">
            <w:rPr>
              <w:rFonts w:asciiTheme="minorHAnsi" w:eastAsiaTheme="minorHAnsi" w:hAnsiTheme="minorHAnsi" w:cstheme="minorBidi"/>
              <w:noProof/>
              <w:color w:val="auto"/>
              <w:sz w:val="22"/>
              <w:szCs w:val="22"/>
              <w:lang w:val="en-US" w:eastAsia="en-US"/>
            </w:rPr>
            <w:br/>
            <w:t xml:space="preserve">Available at: </w:t>
          </w:r>
          <w:r w:rsidRPr="004A33EB">
            <w:rPr>
              <w:rFonts w:asciiTheme="minorHAnsi" w:eastAsiaTheme="minorHAnsi" w:hAnsiTheme="minorHAnsi" w:cstheme="minorBidi"/>
              <w:noProof/>
              <w:color w:val="auto"/>
              <w:sz w:val="22"/>
              <w:szCs w:val="22"/>
              <w:u w:val="single"/>
              <w:lang w:val="en-US" w:eastAsia="en-US"/>
            </w:rPr>
            <w:t>https://policeconduct.gov.uk/sites/default/files/Documents/Who-we-are/Our-Policies/position_statement_on_risk_in_police_decision_making_2018.pdf</w:t>
          </w:r>
          <w:r w:rsidRPr="004A33EB">
            <w:rPr>
              <w:rFonts w:asciiTheme="minorHAnsi" w:eastAsiaTheme="minorHAnsi" w:hAnsiTheme="minorHAnsi" w:cstheme="minorBidi"/>
              <w:noProof/>
              <w:color w:val="auto"/>
              <w:sz w:val="22"/>
              <w:szCs w:val="22"/>
              <w:lang w:val="en-US" w:eastAsia="en-US"/>
            </w:rPr>
            <w:br/>
            <w:t>[Accessed 16 May 2022].</w:t>
          </w:r>
        </w:p>
        <w:p w14:paraId="40EADB44" w14:textId="77777777" w:rsidR="00F90EFA" w:rsidRPr="004A33EB"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4A33EB">
            <w:rPr>
              <w:rFonts w:asciiTheme="minorHAnsi" w:eastAsiaTheme="minorHAnsi" w:hAnsiTheme="minorHAnsi" w:cstheme="minorBidi"/>
              <w:noProof/>
              <w:color w:val="auto"/>
              <w:sz w:val="22"/>
              <w:szCs w:val="22"/>
              <w:lang w:val="en-US" w:eastAsia="en-US"/>
            </w:rPr>
            <w:t xml:space="preserve">Salams, n.d. </w:t>
          </w:r>
          <w:r w:rsidRPr="004A33EB">
            <w:rPr>
              <w:rFonts w:asciiTheme="minorHAnsi" w:eastAsiaTheme="minorHAnsi" w:hAnsiTheme="minorHAnsi" w:cstheme="minorBidi"/>
              <w:i/>
              <w:iCs/>
              <w:noProof/>
              <w:color w:val="auto"/>
              <w:sz w:val="22"/>
              <w:szCs w:val="22"/>
              <w:lang w:val="en-US" w:eastAsia="en-US"/>
            </w:rPr>
            <w:t xml:space="preserve">8 Muslim Dating Rules and Traditions. </w:t>
          </w:r>
          <w:r w:rsidRPr="004A33EB">
            <w:rPr>
              <w:rFonts w:asciiTheme="minorHAnsi" w:eastAsiaTheme="minorHAnsi" w:hAnsiTheme="minorHAnsi" w:cstheme="minorBidi"/>
              <w:noProof/>
              <w:color w:val="auto"/>
              <w:sz w:val="22"/>
              <w:szCs w:val="22"/>
              <w:lang w:val="en-US" w:eastAsia="en-US"/>
            </w:rPr>
            <w:t xml:space="preserve">[Online] </w:t>
          </w:r>
          <w:r w:rsidRPr="004A33EB">
            <w:rPr>
              <w:rFonts w:asciiTheme="minorHAnsi" w:eastAsiaTheme="minorHAnsi" w:hAnsiTheme="minorHAnsi" w:cstheme="minorBidi"/>
              <w:noProof/>
              <w:color w:val="auto"/>
              <w:sz w:val="22"/>
              <w:szCs w:val="22"/>
              <w:lang w:val="en-US" w:eastAsia="en-US"/>
            </w:rPr>
            <w:br/>
            <w:t xml:space="preserve">Available at: </w:t>
          </w:r>
          <w:r w:rsidRPr="004A33EB">
            <w:rPr>
              <w:rFonts w:asciiTheme="minorHAnsi" w:eastAsiaTheme="minorHAnsi" w:hAnsiTheme="minorHAnsi" w:cstheme="minorBidi"/>
              <w:noProof/>
              <w:color w:val="auto"/>
              <w:sz w:val="22"/>
              <w:szCs w:val="22"/>
              <w:u w:val="single"/>
              <w:lang w:val="en-US" w:eastAsia="en-US"/>
            </w:rPr>
            <w:t>https://www.salams.app/post/muslim-dating-rules</w:t>
          </w:r>
          <w:r w:rsidRPr="004A33EB">
            <w:rPr>
              <w:rFonts w:asciiTheme="minorHAnsi" w:eastAsiaTheme="minorHAnsi" w:hAnsiTheme="minorHAnsi" w:cstheme="minorBidi"/>
              <w:noProof/>
              <w:color w:val="auto"/>
              <w:sz w:val="22"/>
              <w:szCs w:val="22"/>
              <w:lang w:val="en-US" w:eastAsia="en-US"/>
            </w:rPr>
            <w:br/>
            <w:t>[Accessed 16 May 2022].</w:t>
          </w:r>
        </w:p>
        <w:p w14:paraId="0CEA938D" w14:textId="77777777" w:rsidR="00F90EFA" w:rsidRPr="004A33EB"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4A33EB">
            <w:rPr>
              <w:rFonts w:asciiTheme="minorHAnsi" w:eastAsiaTheme="minorHAnsi" w:hAnsiTheme="minorHAnsi" w:cstheme="minorBidi"/>
              <w:noProof/>
              <w:color w:val="auto"/>
              <w:sz w:val="22"/>
              <w:szCs w:val="22"/>
              <w:lang w:val="en-US" w:eastAsia="en-US"/>
            </w:rPr>
            <w:t xml:space="preserve">The Crown Prosecution Service, 2021. </w:t>
          </w:r>
          <w:r w:rsidRPr="004A33EB">
            <w:rPr>
              <w:rFonts w:asciiTheme="minorHAnsi" w:eastAsiaTheme="minorHAnsi" w:hAnsiTheme="minorHAnsi" w:cstheme="minorBidi"/>
              <w:i/>
              <w:iCs/>
              <w:noProof/>
              <w:color w:val="auto"/>
              <w:sz w:val="22"/>
              <w:szCs w:val="22"/>
              <w:lang w:val="en-US" w:eastAsia="en-US"/>
            </w:rPr>
            <w:t xml:space="preserve">Bail. </w:t>
          </w:r>
          <w:r w:rsidRPr="004A33EB">
            <w:rPr>
              <w:rFonts w:asciiTheme="minorHAnsi" w:eastAsiaTheme="minorHAnsi" w:hAnsiTheme="minorHAnsi" w:cstheme="minorBidi"/>
              <w:noProof/>
              <w:color w:val="auto"/>
              <w:sz w:val="22"/>
              <w:szCs w:val="22"/>
              <w:lang w:val="en-US" w:eastAsia="en-US"/>
            </w:rPr>
            <w:t xml:space="preserve">[Online] </w:t>
          </w:r>
          <w:r w:rsidRPr="004A33EB">
            <w:rPr>
              <w:rFonts w:asciiTheme="minorHAnsi" w:eastAsiaTheme="minorHAnsi" w:hAnsiTheme="minorHAnsi" w:cstheme="minorBidi"/>
              <w:noProof/>
              <w:color w:val="auto"/>
              <w:sz w:val="22"/>
              <w:szCs w:val="22"/>
              <w:lang w:val="en-US" w:eastAsia="en-US"/>
            </w:rPr>
            <w:br/>
            <w:t xml:space="preserve">Available at: </w:t>
          </w:r>
          <w:r w:rsidRPr="004A33EB">
            <w:rPr>
              <w:rFonts w:asciiTheme="minorHAnsi" w:eastAsiaTheme="minorHAnsi" w:hAnsiTheme="minorHAnsi" w:cstheme="minorBidi"/>
              <w:noProof/>
              <w:color w:val="auto"/>
              <w:sz w:val="22"/>
              <w:szCs w:val="22"/>
              <w:u w:val="single"/>
              <w:lang w:val="en-US" w:eastAsia="en-US"/>
            </w:rPr>
            <w:t>https://www.cps.gov.uk/legal-guidance/bail#:~:text=When%20bail%20is%20granted%20conditions,or%20for%20his%20own%20protection.</w:t>
          </w:r>
          <w:r w:rsidRPr="004A33EB">
            <w:rPr>
              <w:rFonts w:asciiTheme="minorHAnsi" w:eastAsiaTheme="minorHAnsi" w:hAnsiTheme="minorHAnsi" w:cstheme="minorBidi"/>
              <w:noProof/>
              <w:color w:val="auto"/>
              <w:sz w:val="22"/>
              <w:szCs w:val="22"/>
              <w:lang w:val="en-US" w:eastAsia="en-US"/>
            </w:rPr>
            <w:br/>
            <w:t>[Accessed 16 May 2022].</w:t>
          </w:r>
        </w:p>
        <w:p w14:paraId="686EC317" w14:textId="77777777" w:rsidR="00F90EFA" w:rsidRDefault="00F90EFA" w:rsidP="00F90EFA">
          <w:pPr>
            <w:rPr>
              <w:rFonts w:asciiTheme="minorHAnsi" w:eastAsiaTheme="minorHAnsi" w:hAnsiTheme="minorHAnsi" w:cstheme="minorBidi"/>
              <w:color w:val="auto"/>
              <w:sz w:val="22"/>
              <w:szCs w:val="22"/>
              <w:lang w:eastAsia="en-US"/>
            </w:rPr>
          </w:pPr>
          <w:r w:rsidRPr="004A33EB">
            <w:rPr>
              <w:rFonts w:asciiTheme="minorHAnsi" w:eastAsiaTheme="minorHAnsi" w:hAnsiTheme="minorHAnsi" w:cstheme="minorBidi"/>
              <w:b/>
              <w:bCs/>
              <w:noProof/>
              <w:color w:val="auto"/>
              <w:sz w:val="22"/>
              <w:szCs w:val="22"/>
              <w:lang w:eastAsia="en-US"/>
            </w:rPr>
            <w:fldChar w:fldCharType="end"/>
          </w:r>
        </w:p>
      </w:sdtContent>
    </w:sdt>
    <w:p w14:paraId="0F17A1B0" w14:textId="2D591419" w:rsidR="00F90EFA" w:rsidRDefault="00F90EFA" w:rsidP="00F90EFA">
      <w:r>
        <w:t xml:space="preserve">Task 3 </w:t>
      </w:r>
    </w:p>
    <w:p w14:paraId="2D6E6A18" w14:textId="77777777" w:rsidR="00F90EFA" w:rsidRDefault="00F90EFA" w:rsidP="00F90EFA"/>
    <w:sdt>
      <w:sdtPr>
        <w:rPr>
          <w:rFonts w:asciiTheme="majorHAnsi" w:eastAsiaTheme="majorEastAsia" w:hAnsiTheme="majorHAnsi" w:cstheme="majorBidi"/>
          <w:color w:val="2F5496" w:themeColor="accent1" w:themeShade="BF"/>
          <w:sz w:val="32"/>
          <w:szCs w:val="32"/>
          <w:lang w:val="en-US" w:eastAsia="en-US"/>
        </w:rPr>
        <w:id w:val="-146735878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2EE99AF" w14:textId="77777777" w:rsidR="00F90EFA" w:rsidRPr="0038652F" w:rsidRDefault="00F90EFA" w:rsidP="00F90EFA">
          <w:pPr>
            <w:keepNext/>
            <w:keepLines/>
            <w:overflowPunct/>
            <w:autoSpaceDE/>
            <w:autoSpaceDN/>
            <w:adjustRightInd/>
            <w:spacing w:before="240" w:line="259" w:lineRule="auto"/>
            <w:textAlignment w:val="auto"/>
            <w:outlineLvl w:val="0"/>
            <w:rPr>
              <w:rFonts w:asciiTheme="majorHAnsi" w:eastAsiaTheme="majorEastAsia" w:hAnsiTheme="majorHAnsi" w:cstheme="majorBidi"/>
              <w:color w:val="2F5496" w:themeColor="accent1" w:themeShade="BF"/>
              <w:sz w:val="32"/>
              <w:szCs w:val="32"/>
              <w:lang w:val="en-US" w:eastAsia="en-US"/>
            </w:rPr>
          </w:pPr>
          <w:r w:rsidRPr="0038652F">
            <w:rPr>
              <w:rFonts w:asciiTheme="majorHAnsi" w:eastAsiaTheme="majorEastAsia" w:hAnsiTheme="majorHAnsi" w:cstheme="majorBidi"/>
              <w:color w:val="2F5496" w:themeColor="accent1" w:themeShade="BF"/>
              <w:sz w:val="32"/>
              <w:szCs w:val="32"/>
              <w:lang w:val="en-US" w:eastAsia="en-US"/>
            </w:rPr>
            <w:t>References</w:t>
          </w:r>
        </w:p>
        <w:sdt>
          <w:sdtPr>
            <w:rPr>
              <w:rFonts w:asciiTheme="minorHAnsi" w:eastAsiaTheme="minorHAnsi" w:hAnsiTheme="minorHAnsi" w:cstheme="minorBidi"/>
              <w:color w:val="auto"/>
              <w:sz w:val="22"/>
              <w:szCs w:val="22"/>
              <w:lang w:eastAsia="en-US"/>
            </w:rPr>
            <w:id w:val="-596403674"/>
            <w:bibliography/>
          </w:sdtPr>
          <w:sdtContent>
            <w:p w14:paraId="168A8E91" w14:textId="77777777" w:rsidR="00F90EFA" w:rsidRPr="0038652F"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4"/>
                  <w:szCs w:val="24"/>
                  <w:lang w:val="en-US" w:eastAsia="en-US"/>
                </w:rPr>
              </w:pPr>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BIBLIOGRAPHY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val="en-US" w:eastAsia="en-US"/>
                </w:rPr>
                <w:t xml:space="preserve">Collins English Dictionary, n.d. </w:t>
              </w:r>
              <w:r w:rsidRPr="0038652F">
                <w:rPr>
                  <w:rFonts w:asciiTheme="minorHAnsi" w:eastAsiaTheme="minorHAnsi" w:hAnsiTheme="minorHAnsi" w:cstheme="minorBidi"/>
                  <w:i/>
                  <w:iCs/>
                  <w:noProof/>
                  <w:color w:val="auto"/>
                  <w:sz w:val="22"/>
                  <w:szCs w:val="22"/>
                  <w:lang w:val="en-US" w:eastAsia="en-US"/>
                </w:rPr>
                <w:t xml:space="preserve">sus laws. </w:t>
              </w:r>
              <w:r w:rsidRPr="0038652F">
                <w:rPr>
                  <w:rFonts w:asciiTheme="minorHAnsi" w:eastAsiaTheme="minorHAnsi" w:hAnsiTheme="minorHAnsi" w:cstheme="minorBidi"/>
                  <w:noProof/>
                  <w:color w:val="auto"/>
                  <w:sz w:val="22"/>
                  <w:szCs w:val="22"/>
                  <w:lang w:val="en-US" w:eastAsia="en-US"/>
                </w:rPr>
                <w:t xml:space="preserve">[Online] </w:t>
              </w:r>
              <w:r w:rsidRPr="0038652F">
                <w:rPr>
                  <w:rFonts w:asciiTheme="minorHAnsi" w:eastAsiaTheme="minorHAnsi" w:hAnsiTheme="minorHAnsi" w:cstheme="minorBidi"/>
                  <w:noProof/>
                  <w:color w:val="auto"/>
                  <w:sz w:val="22"/>
                  <w:szCs w:val="22"/>
                  <w:lang w:val="en-US" w:eastAsia="en-US"/>
                </w:rPr>
                <w:br/>
                <w:t xml:space="preserve">Available at: </w:t>
              </w:r>
              <w:r w:rsidRPr="0038652F">
                <w:rPr>
                  <w:rFonts w:asciiTheme="minorHAnsi" w:eastAsiaTheme="minorHAnsi" w:hAnsiTheme="minorHAnsi" w:cstheme="minorBidi"/>
                  <w:noProof/>
                  <w:color w:val="auto"/>
                  <w:sz w:val="22"/>
                  <w:szCs w:val="22"/>
                  <w:u w:val="single"/>
                  <w:lang w:val="en-US" w:eastAsia="en-US"/>
                </w:rPr>
                <w:t>https://www.collinsdictionary.com/dictionary/english/sus-laws</w:t>
              </w:r>
              <w:r w:rsidRPr="0038652F">
                <w:rPr>
                  <w:rFonts w:asciiTheme="minorHAnsi" w:eastAsiaTheme="minorHAnsi" w:hAnsiTheme="minorHAnsi" w:cstheme="minorBidi"/>
                  <w:noProof/>
                  <w:color w:val="auto"/>
                  <w:sz w:val="22"/>
                  <w:szCs w:val="22"/>
                  <w:lang w:val="en-US" w:eastAsia="en-US"/>
                </w:rPr>
                <w:br/>
                <w:t>[Accessed 25 May 2022].</w:t>
              </w:r>
            </w:p>
            <w:p w14:paraId="5C8C08CC" w14:textId="77777777" w:rsidR="00F90EFA" w:rsidRPr="0038652F"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Daniel Morgan Independent Panel , 2021. </w:t>
              </w:r>
              <w:r w:rsidRPr="0038652F">
                <w:rPr>
                  <w:rFonts w:asciiTheme="minorHAnsi" w:eastAsiaTheme="minorHAnsi" w:hAnsiTheme="minorHAnsi" w:cstheme="minorBidi"/>
                  <w:i/>
                  <w:iCs/>
                  <w:noProof/>
                  <w:color w:val="auto"/>
                  <w:sz w:val="22"/>
                  <w:szCs w:val="22"/>
                  <w:lang w:val="en-US" w:eastAsia="en-US"/>
                </w:rPr>
                <w:t xml:space="preserve">The Report of the Daniel Morgan Independent Panel, </w:t>
              </w:r>
              <w:r w:rsidRPr="0038652F">
                <w:rPr>
                  <w:rFonts w:asciiTheme="minorHAnsi" w:eastAsiaTheme="minorHAnsi" w:hAnsiTheme="minorHAnsi" w:cstheme="minorBidi"/>
                  <w:noProof/>
                  <w:color w:val="auto"/>
                  <w:sz w:val="22"/>
                  <w:szCs w:val="22"/>
                  <w:lang w:val="en-US" w:eastAsia="en-US"/>
                </w:rPr>
                <w:t>s.l.: s.n.</w:t>
              </w:r>
            </w:p>
            <w:p w14:paraId="033A6CD4" w14:textId="77777777" w:rsidR="00F90EFA" w:rsidRPr="0038652F"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Grieve, J., Harfield, C. &amp; MacVean, A., 2007. The Organisational Culture of the Police. In: </w:t>
              </w:r>
              <w:r w:rsidRPr="0038652F">
                <w:rPr>
                  <w:rFonts w:asciiTheme="minorHAnsi" w:eastAsiaTheme="minorHAnsi" w:hAnsiTheme="minorHAnsi" w:cstheme="minorBidi"/>
                  <w:i/>
                  <w:iCs/>
                  <w:noProof/>
                  <w:color w:val="auto"/>
                  <w:sz w:val="22"/>
                  <w:szCs w:val="22"/>
                  <w:lang w:val="en-US" w:eastAsia="en-US"/>
                </w:rPr>
                <w:t xml:space="preserve">Policing. </w:t>
              </w:r>
              <w:r w:rsidRPr="0038652F">
                <w:rPr>
                  <w:rFonts w:asciiTheme="minorHAnsi" w:eastAsiaTheme="minorHAnsi" w:hAnsiTheme="minorHAnsi" w:cstheme="minorBidi"/>
                  <w:noProof/>
                  <w:color w:val="auto"/>
                  <w:sz w:val="22"/>
                  <w:szCs w:val="22"/>
                  <w:lang w:val="en-US" w:eastAsia="en-US"/>
                </w:rPr>
                <w:t>London: Sage Publications Ltd, pp. 116-120.</w:t>
              </w:r>
            </w:p>
            <w:p w14:paraId="736DB803" w14:textId="77777777" w:rsidR="00F90EFA" w:rsidRPr="0038652F"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Hall, S., 1999. From Scarman to Stephen Lawrence. </w:t>
              </w:r>
              <w:r w:rsidRPr="0038652F">
                <w:rPr>
                  <w:rFonts w:asciiTheme="minorHAnsi" w:eastAsiaTheme="minorHAnsi" w:hAnsiTheme="minorHAnsi" w:cstheme="minorBidi"/>
                  <w:i/>
                  <w:iCs/>
                  <w:noProof/>
                  <w:color w:val="auto"/>
                  <w:sz w:val="22"/>
                  <w:szCs w:val="22"/>
                  <w:lang w:val="en-US" w:eastAsia="en-US"/>
                </w:rPr>
                <w:t xml:space="preserve">History Workshop Journal, </w:t>
              </w:r>
              <w:r w:rsidRPr="0038652F">
                <w:rPr>
                  <w:rFonts w:asciiTheme="minorHAnsi" w:eastAsiaTheme="minorHAnsi" w:hAnsiTheme="minorHAnsi" w:cstheme="minorBidi"/>
                  <w:noProof/>
                  <w:color w:val="auto"/>
                  <w:sz w:val="22"/>
                  <w:szCs w:val="22"/>
                  <w:lang w:val="en-US" w:eastAsia="en-US"/>
                </w:rPr>
                <w:t>Issue 48, pp. 187-197.</w:t>
              </w:r>
            </w:p>
            <w:p w14:paraId="5339315E" w14:textId="77777777" w:rsidR="00F90EFA" w:rsidRPr="0038652F"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Home Office, 2014. </w:t>
              </w:r>
              <w:r w:rsidRPr="0038652F">
                <w:rPr>
                  <w:rFonts w:asciiTheme="minorHAnsi" w:eastAsiaTheme="minorHAnsi" w:hAnsiTheme="minorHAnsi" w:cstheme="minorBidi"/>
                  <w:i/>
                  <w:iCs/>
                  <w:noProof/>
                  <w:color w:val="auto"/>
                  <w:sz w:val="22"/>
                  <w:szCs w:val="22"/>
                  <w:lang w:val="en-US" w:eastAsia="en-US"/>
                </w:rPr>
                <w:t xml:space="preserve">Improving police integrity: reforming the police complaints and disciplinary systems. </w:t>
              </w:r>
              <w:r w:rsidRPr="0038652F">
                <w:rPr>
                  <w:rFonts w:asciiTheme="minorHAnsi" w:eastAsiaTheme="minorHAnsi" w:hAnsiTheme="minorHAnsi" w:cstheme="minorBidi"/>
                  <w:noProof/>
                  <w:color w:val="auto"/>
                  <w:sz w:val="22"/>
                  <w:szCs w:val="22"/>
                  <w:lang w:val="en-US" w:eastAsia="en-US"/>
                </w:rPr>
                <w:t xml:space="preserve">[Online] </w:t>
              </w:r>
              <w:r w:rsidRPr="0038652F">
                <w:rPr>
                  <w:rFonts w:asciiTheme="minorHAnsi" w:eastAsiaTheme="minorHAnsi" w:hAnsiTheme="minorHAnsi" w:cstheme="minorBidi"/>
                  <w:noProof/>
                  <w:color w:val="auto"/>
                  <w:sz w:val="22"/>
                  <w:szCs w:val="22"/>
                  <w:lang w:val="en-US" w:eastAsia="en-US"/>
                </w:rPr>
                <w:br/>
                <w:t xml:space="preserve">Available at: </w:t>
              </w:r>
              <w:r w:rsidRPr="0038652F">
                <w:rPr>
                  <w:rFonts w:asciiTheme="minorHAnsi" w:eastAsiaTheme="minorHAnsi" w:hAnsiTheme="minorHAnsi" w:cstheme="minorBidi"/>
                  <w:noProof/>
                  <w:color w:val="auto"/>
                  <w:sz w:val="22"/>
                  <w:szCs w:val="22"/>
                  <w:u w:val="single"/>
                  <w:lang w:val="en-US" w:eastAsia="en-US"/>
                </w:rPr>
                <w:t>https://assets.publishing.service.gov.uk/government/uploads/system/uploads/attachment_data/file/385896/45363_Cm_8976_Accessible.pdf</w:t>
              </w:r>
              <w:r w:rsidRPr="0038652F">
                <w:rPr>
                  <w:rFonts w:asciiTheme="minorHAnsi" w:eastAsiaTheme="minorHAnsi" w:hAnsiTheme="minorHAnsi" w:cstheme="minorBidi"/>
                  <w:noProof/>
                  <w:color w:val="auto"/>
                  <w:sz w:val="22"/>
                  <w:szCs w:val="22"/>
                  <w:lang w:val="en-US" w:eastAsia="en-US"/>
                </w:rPr>
                <w:br/>
                <w:t>[Accessed 25 May 2022].</w:t>
              </w:r>
            </w:p>
            <w:p w14:paraId="5427D1AB" w14:textId="77777777" w:rsidR="00F90EFA" w:rsidRPr="0038652F"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House of Commons, 2016. </w:t>
              </w:r>
              <w:r w:rsidRPr="0038652F">
                <w:rPr>
                  <w:rFonts w:asciiTheme="minorHAnsi" w:eastAsiaTheme="minorHAnsi" w:hAnsiTheme="minorHAnsi" w:cstheme="minorBidi"/>
                  <w:i/>
                  <w:iCs/>
                  <w:noProof/>
                  <w:color w:val="auto"/>
                  <w:sz w:val="22"/>
                  <w:szCs w:val="22"/>
                  <w:lang w:val="en-US" w:eastAsia="en-US"/>
                </w:rPr>
                <w:t xml:space="preserve">Policing and Crime Bill. </w:t>
              </w:r>
              <w:r w:rsidRPr="0038652F">
                <w:rPr>
                  <w:rFonts w:asciiTheme="minorHAnsi" w:eastAsiaTheme="minorHAnsi" w:hAnsiTheme="minorHAnsi" w:cstheme="minorBidi"/>
                  <w:noProof/>
                  <w:color w:val="auto"/>
                  <w:sz w:val="22"/>
                  <w:szCs w:val="22"/>
                  <w:lang w:val="en-US" w:eastAsia="en-US"/>
                </w:rPr>
                <w:t xml:space="preserve">[Online] </w:t>
              </w:r>
              <w:r w:rsidRPr="0038652F">
                <w:rPr>
                  <w:rFonts w:asciiTheme="minorHAnsi" w:eastAsiaTheme="minorHAnsi" w:hAnsiTheme="minorHAnsi" w:cstheme="minorBidi"/>
                  <w:noProof/>
                  <w:color w:val="auto"/>
                  <w:sz w:val="22"/>
                  <w:szCs w:val="22"/>
                  <w:lang w:val="en-US" w:eastAsia="en-US"/>
                </w:rPr>
                <w:br/>
                <w:t xml:space="preserve">Available at: </w:t>
              </w:r>
              <w:r w:rsidRPr="0038652F">
                <w:rPr>
                  <w:rFonts w:asciiTheme="minorHAnsi" w:eastAsiaTheme="minorHAnsi" w:hAnsiTheme="minorHAnsi" w:cstheme="minorBidi"/>
                  <w:noProof/>
                  <w:color w:val="auto"/>
                  <w:sz w:val="22"/>
                  <w:szCs w:val="22"/>
                  <w:u w:val="single"/>
                  <w:lang w:val="en-US" w:eastAsia="en-US"/>
                </w:rPr>
                <w:t>https://publications.parliament.uk/pa/cm201516/cmpublic/policingandcrime/160315/am/160315s01.pdf</w:t>
              </w:r>
              <w:r w:rsidRPr="0038652F">
                <w:rPr>
                  <w:rFonts w:asciiTheme="minorHAnsi" w:eastAsiaTheme="minorHAnsi" w:hAnsiTheme="minorHAnsi" w:cstheme="minorBidi"/>
                  <w:noProof/>
                  <w:color w:val="auto"/>
                  <w:sz w:val="22"/>
                  <w:szCs w:val="22"/>
                  <w:lang w:val="en-US" w:eastAsia="en-US"/>
                </w:rPr>
                <w:br/>
                <w:t>[Accessed 2022 May 25].</w:t>
              </w:r>
            </w:p>
            <w:p w14:paraId="16A363E4" w14:textId="77777777" w:rsidR="00F90EFA" w:rsidRPr="0038652F"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House of Commons, 2022. </w:t>
              </w:r>
              <w:r w:rsidRPr="0038652F">
                <w:rPr>
                  <w:rFonts w:asciiTheme="minorHAnsi" w:eastAsiaTheme="minorHAnsi" w:hAnsiTheme="minorHAnsi" w:cstheme="minorBidi"/>
                  <w:i/>
                  <w:iCs/>
                  <w:noProof/>
                  <w:color w:val="auto"/>
                  <w:sz w:val="22"/>
                  <w:szCs w:val="22"/>
                  <w:lang w:val="en-US" w:eastAsia="en-US"/>
                </w:rPr>
                <w:t xml:space="preserve">Reports of misogyny and sexual harassment in the Metropolitan police. </w:t>
              </w:r>
              <w:r w:rsidRPr="0038652F">
                <w:rPr>
                  <w:rFonts w:asciiTheme="minorHAnsi" w:eastAsiaTheme="minorHAnsi" w:hAnsiTheme="minorHAnsi" w:cstheme="minorBidi"/>
                  <w:noProof/>
                  <w:color w:val="auto"/>
                  <w:sz w:val="22"/>
                  <w:szCs w:val="22"/>
                  <w:lang w:val="en-US" w:eastAsia="en-US"/>
                </w:rPr>
                <w:t xml:space="preserve">[Online] </w:t>
              </w:r>
              <w:r w:rsidRPr="0038652F">
                <w:rPr>
                  <w:rFonts w:asciiTheme="minorHAnsi" w:eastAsiaTheme="minorHAnsi" w:hAnsiTheme="minorHAnsi" w:cstheme="minorBidi"/>
                  <w:noProof/>
                  <w:color w:val="auto"/>
                  <w:sz w:val="22"/>
                  <w:szCs w:val="22"/>
                  <w:lang w:val="en-US" w:eastAsia="en-US"/>
                </w:rPr>
                <w:br/>
              </w:r>
              <w:r w:rsidRPr="0038652F">
                <w:rPr>
                  <w:rFonts w:asciiTheme="minorHAnsi" w:eastAsiaTheme="minorHAnsi" w:hAnsiTheme="minorHAnsi" w:cstheme="minorBidi"/>
                  <w:noProof/>
                  <w:color w:val="auto"/>
                  <w:sz w:val="22"/>
                  <w:szCs w:val="22"/>
                  <w:lang w:val="en-US" w:eastAsia="en-US"/>
                </w:rPr>
                <w:lastRenderedPageBreak/>
                <w:t xml:space="preserve">Available at: </w:t>
              </w:r>
              <w:r w:rsidRPr="0038652F">
                <w:rPr>
                  <w:rFonts w:asciiTheme="minorHAnsi" w:eastAsiaTheme="minorHAnsi" w:hAnsiTheme="minorHAnsi" w:cstheme="minorBidi"/>
                  <w:noProof/>
                  <w:color w:val="auto"/>
                  <w:sz w:val="22"/>
                  <w:szCs w:val="22"/>
                  <w:u w:val="single"/>
                  <w:lang w:val="en-US" w:eastAsia="en-US"/>
                </w:rPr>
                <w:t>https://researchbriefings.files.parliament.uk/documents/CDP-2022-0046/CDP-2022-0046.pdf</w:t>
              </w:r>
              <w:r w:rsidRPr="0038652F">
                <w:rPr>
                  <w:rFonts w:asciiTheme="minorHAnsi" w:eastAsiaTheme="minorHAnsi" w:hAnsiTheme="minorHAnsi" w:cstheme="minorBidi"/>
                  <w:noProof/>
                  <w:color w:val="auto"/>
                  <w:sz w:val="22"/>
                  <w:szCs w:val="22"/>
                  <w:lang w:val="en-US" w:eastAsia="en-US"/>
                </w:rPr>
                <w:br/>
                <w:t>[Accessed 25 May 2022].</w:t>
              </w:r>
            </w:p>
            <w:p w14:paraId="153BE258" w14:textId="77777777" w:rsidR="00F90EFA" w:rsidRPr="0038652F"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Jehn, K. A., 1995. A multimethod examination of the benefits and detriments of intragroup conflict. </w:t>
              </w:r>
              <w:r w:rsidRPr="0038652F">
                <w:rPr>
                  <w:rFonts w:asciiTheme="minorHAnsi" w:eastAsiaTheme="minorHAnsi" w:hAnsiTheme="minorHAnsi" w:cstheme="minorBidi"/>
                  <w:i/>
                  <w:iCs/>
                  <w:noProof/>
                  <w:color w:val="auto"/>
                  <w:sz w:val="22"/>
                  <w:szCs w:val="22"/>
                  <w:lang w:val="en-US" w:eastAsia="en-US"/>
                </w:rPr>
                <w:t xml:space="preserve">Administrative Science Quarterly, </w:t>
              </w:r>
              <w:r w:rsidRPr="0038652F">
                <w:rPr>
                  <w:rFonts w:asciiTheme="minorHAnsi" w:eastAsiaTheme="minorHAnsi" w:hAnsiTheme="minorHAnsi" w:cstheme="minorBidi"/>
                  <w:noProof/>
                  <w:color w:val="auto"/>
                  <w:sz w:val="22"/>
                  <w:szCs w:val="22"/>
                  <w:lang w:val="en-US" w:eastAsia="en-US"/>
                </w:rPr>
                <w:t>40(2), pp. 256-282.</w:t>
              </w:r>
            </w:p>
            <w:p w14:paraId="35670C82" w14:textId="77777777" w:rsidR="00F90EFA" w:rsidRPr="0038652F"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Lim, B., 1995. Examining the organizational culture and organizational performance link. </w:t>
              </w:r>
              <w:r w:rsidRPr="0038652F">
                <w:rPr>
                  <w:rFonts w:asciiTheme="minorHAnsi" w:eastAsiaTheme="minorHAnsi" w:hAnsiTheme="minorHAnsi" w:cstheme="minorBidi"/>
                  <w:i/>
                  <w:iCs/>
                  <w:noProof/>
                  <w:color w:val="auto"/>
                  <w:sz w:val="22"/>
                  <w:szCs w:val="22"/>
                  <w:lang w:val="en-US" w:eastAsia="en-US"/>
                </w:rPr>
                <w:t xml:space="preserve">Leadership &amp; Organization Development Journal, </w:t>
              </w:r>
              <w:r w:rsidRPr="0038652F">
                <w:rPr>
                  <w:rFonts w:asciiTheme="minorHAnsi" w:eastAsiaTheme="minorHAnsi" w:hAnsiTheme="minorHAnsi" w:cstheme="minorBidi"/>
                  <w:noProof/>
                  <w:color w:val="auto"/>
                  <w:sz w:val="22"/>
                  <w:szCs w:val="22"/>
                  <w:lang w:val="en-US" w:eastAsia="en-US"/>
                </w:rPr>
                <w:t>XVI(5), pp. 16-21.</w:t>
              </w:r>
            </w:p>
            <w:p w14:paraId="4D579617" w14:textId="77777777" w:rsidR="00F90EFA" w:rsidRPr="0038652F"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MacPherson, S. W., 1999. </w:t>
              </w:r>
              <w:r w:rsidRPr="0038652F">
                <w:rPr>
                  <w:rFonts w:asciiTheme="minorHAnsi" w:eastAsiaTheme="minorHAnsi" w:hAnsiTheme="minorHAnsi" w:cstheme="minorBidi"/>
                  <w:i/>
                  <w:iCs/>
                  <w:noProof/>
                  <w:color w:val="auto"/>
                  <w:sz w:val="22"/>
                  <w:szCs w:val="22"/>
                  <w:lang w:val="en-US" w:eastAsia="en-US"/>
                </w:rPr>
                <w:t xml:space="preserve">The Stephen Lawrence Inquiry, </w:t>
              </w:r>
              <w:r w:rsidRPr="0038652F">
                <w:rPr>
                  <w:rFonts w:asciiTheme="minorHAnsi" w:eastAsiaTheme="minorHAnsi" w:hAnsiTheme="minorHAnsi" w:cstheme="minorBidi"/>
                  <w:noProof/>
                  <w:color w:val="auto"/>
                  <w:sz w:val="22"/>
                  <w:szCs w:val="22"/>
                  <w:lang w:val="en-US" w:eastAsia="en-US"/>
                </w:rPr>
                <w:t>s.l.: s.n.</w:t>
              </w:r>
            </w:p>
            <w:p w14:paraId="3425D968" w14:textId="77777777" w:rsidR="00F90EFA" w:rsidRPr="0038652F"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Metcalfe, Tim, 2017. Shifting the blame: towards a self-reforming police service in England and Wales. </w:t>
              </w:r>
              <w:r w:rsidRPr="0038652F">
                <w:rPr>
                  <w:rFonts w:asciiTheme="minorHAnsi" w:eastAsiaTheme="minorHAnsi" w:hAnsiTheme="minorHAnsi" w:cstheme="minorBidi"/>
                  <w:i/>
                  <w:iCs/>
                  <w:noProof/>
                  <w:color w:val="auto"/>
                  <w:sz w:val="22"/>
                  <w:szCs w:val="22"/>
                  <w:lang w:val="en-US" w:eastAsia="en-US"/>
                </w:rPr>
                <w:t xml:space="preserve">International Journal of Emergency Services, </w:t>
              </w:r>
              <w:r w:rsidRPr="0038652F">
                <w:rPr>
                  <w:rFonts w:asciiTheme="minorHAnsi" w:eastAsiaTheme="minorHAnsi" w:hAnsiTheme="minorHAnsi" w:cstheme="minorBidi"/>
                  <w:noProof/>
                  <w:color w:val="auto"/>
                  <w:sz w:val="22"/>
                  <w:szCs w:val="22"/>
                  <w:lang w:val="en-US" w:eastAsia="en-US"/>
                </w:rPr>
                <w:t>6(3), pp. 153-165.</w:t>
              </w:r>
            </w:p>
            <w:p w14:paraId="2B123796" w14:textId="77777777" w:rsidR="00F90EFA" w:rsidRPr="0038652F"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National Police Chiefs’ Council and Association of Police and Crime Commissioners, 2016. </w:t>
              </w:r>
              <w:r w:rsidRPr="0038652F">
                <w:rPr>
                  <w:rFonts w:asciiTheme="minorHAnsi" w:eastAsiaTheme="minorHAnsi" w:hAnsiTheme="minorHAnsi" w:cstheme="minorBidi"/>
                  <w:i/>
                  <w:iCs/>
                  <w:noProof/>
                  <w:color w:val="auto"/>
                  <w:sz w:val="22"/>
                  <w:szCs w:val="22"/>
                  <w:lang w:val="en-US" w:eastAsia="en-US"/>
                </w:rPr>
                <w:t xml:space="preserve">Policing Vision 2025. </w:t>
              </w:r>
              <w:r w:rsidRPr="0038652F">
                <w:rPr>
                  <w:rFonts w:asciiTheme="minorHAnsi" w:eastAsiaTheme="minorHAnsi" w:hAnsiTheme="minorHAnsi" w:cstheme="minorBidi"/>
                  <w:noProof/>
                  <w:color w:val="auto"/>
                  <w:sz w:val="22"/>
                  <w:szCs w:val="22"/>
                  <w:lang w:val="en-US" w:eastAsia="en-US"/>
                </w:rPr>
                <w:t xml:space="preserve">[Online] </w:t>
              </w:r>
              <w:r w:rsidRPr="0038652F">
                <w:rPr>
                  <w:rFonts w:asciiTheme="minorHAnsi" w:eastAsiaTheme="minorHAnsi" w:hAnsiTheme="minorHAnsi" w:cstheme="minorBidi"/>
                  <w:noProof/>
                  <w:color w:val="auto"/>
                  <w:sz w:val="22"/>
                  <w:szCs w:val="22"/>
                  <w:lang w:val="en-US" w:eastAsia="en-US"/>
                </w:rPr>
                <w:br/>
                <w:t xml:space="preserve">Available at: </w:t>
              </w:r>
              <w:r w:rsidRPr="0038652F">
                <w:rPr>
                  <w:rFonts w:asciiTheme="minorHAnsi" w:eastAsiaTheme="minorHAnsi" w:hAnsiTheme="minorHAnsi" w:cstheme="minorBidi"/>
                  <w:noProof/>
                  <w:color w:val="auto"/>
                  <w:sz w:val="22"/>
                  <w:szCs w:val="22"/>
                  <w:u w:val="single"/>
                  <w:lang w:val="en-US" w:eastAsia="en-US"/>
                </w:rPr>
                <w:t>https://www.npcc.police.uk/documents/Policing%20Vision.pdf</w:t>
              </w:r>
              <w:r w:rsidRPr="0038652F">
                <w:rPr>
                  <w:rFonts w:asciiTheme="minorHAnsi" w:eastAsiaTheme="minorHAnsi" w:hAnsiTheme="minorHAnsi" w:cstheme="minorBidi"/>
                  <w:noProof/>
                  <w:color w:val="auto"/>
                  <w:sz w:val="22"/>
                  <w:szCs w:val="22"/>
                  <w:lang w:val="en-US" w:eastAsia="en-US"/>
                </w:rPr>
                <w:br/>
                <w:t>[Accessed 26 May 2022].</w:t>
              </w:r>
            </w:p>
            <w:p w14:paraId="74EB2FEF" w14:textId="77777777" w:rsidR="00F90EFA" w:rsidRPr="0038652F"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Schein, E. H. &amp; Schein, P. A., 2016. In: </w:t>
              </w:r>
              <w:r w:rsidRPr="0038652F">
                <w:rPr>
                  <w:rFonts w:asciiTheme="minorHAnsi" w:eastAsiaTheme="minorHAnsi" w:hAnsiTheme="minorHAnsi" w:cstheme="minorBidi"/>
                  <w:i/>
                  <w:iCs/>
                  <w:noProof/>
                  <w:color w:val="auto"/>
                  <w:sz w:val="22"/>
                  <w:szCs w:val="22"/>
                  <w:lang w:val="en-US" w:eastAsia="en-US"/>
                </w:rPr>
                <w:t xml:space="preserve">Organizational Culture and Leadership. </w:t>
              </w:r>
              <w:r w:rsidRPr="0038652F">
                <w:rPr>
                  <w:rFonts w:asciiTheme="minorHAnsi" w:eastAsiaTheme="minorHAnsi" w:hAnsiTheme="minorHAnsi" w:cstheme="minorBidi"/>
                  <w:noProof/>
                  <w:color w:val="auto"/>
                  <w:sz w:val="22"/>
                  <w:szCs w:val="22"/>
                  <w:lang w:val="en-US" w:eastAsia="en-US"/>
                </w:rPr>
                <w:t>Hoboken, New Jersey: John Wiley &amp; Sons, Incorporated, p. 17.</w:t>
              </w:r>
            </w:p>
            <w:p w14:paraId="7D9AD7BC" w14:textId="77777777" w:rsidR="00F90EFA" w:rsidRPr="0038652F"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The Police Foundation, 2018. </w:t>
              </w:r>
              <w:r w:rsidRPr="0038652F">
                <w:rPr>
                  <w:rFonts w:asciiTheme="minorHAnsi" w:eastAsiaTheme="minorHAnsi" w:hAnsiTheme="minorHAnsi" w:cstheme="minorBidi"/>
                  <w:i/>
                  <w:iCs/>
                  <w:noProof/>
                  <w:color w:val="auto"/>
                  <w:sz w:val="22"/>
                  <w:szCs w:val="22"/>
                  <w:lang w:val="en-US" w:eastAsia="en-US"/>
                </w:rPr>
                <w:t xml:space="preserve">How do we move from a blame culture to a learning culture in policing?. </w:t>
              </w:r>
              <w:r w:rsidRPr="0038652F">
                <w:rPr>
                  <w:rFonts w:asciiTheme="minorHAnsi" w:eastAsiaTheme="minorHAnsi" w:hAnsiTheme="minorHAnsi" w:cstheme="minorBidi"/>
                  <w:noProof/>
                  <w:color w:val="auto"/>
                  <w:sz w:val="22"/>
                  <w:szCs w:val="22"/>
                  <w:lang w:val="en-US" w:eastAsia="en-US"/>
                </w:rPr>
                <w:t xml:space="preserve">[Online] </w:t>
              </w:r>
              <w:r w:rsidRPr="0038652F">
                <w:rPr>
                  <w:rFonts w:asciiTheme="minorHAnsi" w:eastAsiaTheme="minorHAnsi" w:hAnsiTheme="minorHAnsi" w:cstheme="minorBidi"/>
                  <w:noProof/>
                  <w:color w:val="auto"/>
                  <w:sz w:val="22"/>
                  <w:szCs w:val="22"/>
                  <w:lang w:val="en-US" w:eastAsia="en-US"/>
                </w:rPr>
                <w:br/>
                <w:t xml:space="preserve">Available at: </w:t>
              </w:r>
              <w:r w:rsidRPr="0038652F">
                <w:rPr>
                  <w:rFonts w:asciiTheme="minorHAnsi" w:eastAsiaTheme="minorHAnsi" w:hAnsiTheme="minorHAnsi" w:cstheme="minorBidi"/>
                  <w:noProof/>
                  <w:color w:val="auto"/>
                  <w:sz w:val="22"/>
                  <w:szCs w:val="22"/>
                  <w:u w:val="single"/>
                  <w:lang w:val="en-US" w:eastAsia="en-US"/>
                </w:rPr>
                <w:t>https://www.police-foundation.org.uk/2017/wp-content/uploads/2018/07/from_blame_to_learning_policy_dinner.pdf</w:t>
              </w:r>
              <w:r w:rsidRPr="0038652F">
                <w:rPr>
                  <w:rFonts w:asciiTheme="minorHAnsi" w:eastAsiaTheme="minorHAnsi" w:hAnsiTheme="minorHAnsi" w:cstheme="minorBidi"/>
                  <w:noProof/>
                  <w:color w:val="auto"/>
                  <w:sz w:val="22"/>
                  <w:szCs w:val="22"/>
                  <w:lang w:val="en-US" w:eastAsia="en-US"/>
                </w:rPr>
                <w:br/>
                <w:t>[Accessed 25 May 2022].</w:t>
              </w:r>
            </w:p>
            <w:p w14:paraId="38534780" w14:textId="77777777" w:rsidR="00F90EFA" w:rsidRPr="0038652F" w:rsidRDefault="00F90EFA" w:rsidP="00F90EFA">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West Yorkshire Police Federation, 2014. </w:t>
              </w:r>
              <w:r w:rsidRPr="0038652F">
                <w:rPr>
                  <w:rFonts w:asciiTheme="minorHAnsi" w:eastAsiaTheme="minorHAnsi" w:hAnsiTheme="minorHAnsi" w:cstheme="minorBidi"/>
                  <w:i/>
                  <w:iCs/>
                  <w:noProof/>
                  <w:color w:val="auto"/>
                  <w:sz w:val="22"/>
                  <w:szCs w:val="22"/>
                  <w:lang w:val="en-US" w:eastAsia="en-US"/>
                </w:rPr>
                <w:t xml:space="preserve">Blame culture: Police officers are “too fearful of making mistakes”. </w:t>
              </w:r>
              <w:r w:rsidRPr="0038652F">
                <w:rPr>
                  <w:rFonts w:asciiTheme="minorHAnsi" w:eastAsiaTheme="minorHAnsi" w:hAnsiTheme="minorHAnsi" w:cstheme="minorBidi"/>
                  <w:noProof/>
                  <w:color w:val="auto"/>
                  <w:sz w:val="22"/>
                  <w:szCs w:val="22"/>
                  <w:lang w:val="en-US" w:eastAsia="en-US"/>
                </w:rPr>
                <w:t xml:space="preserve">[Online] </w:t>
              </w:r>
              <w:r w:rsidRPr="0038652F">
                <w:rPr>
                  <w:rFonts w:asciiTheme="minorHAnsi" w:eastAsiaTheme="minorHAnsi" w:hAnsiTheme="minorHAnsi" w:cstheme="minorBidi"/>
                  <w:noProof/>
                  <w:color w:val="auto"/>
                  <w:sz w:val="22"/>
                  <w:szCs w:val="22"/>
                  <w:lang w:val="en-US" w:eastAsia="en-US"/>
                </w:rPr>
                <w:br/>
                <w:t xml:space="preserve">Available at: </w:t>
              </w:r>
              <w:r w:rsidRPr="0038652F">
                <w:rPr>
                  <w:rFonts w:asciiTheme="minorHAnsi" w:eastAsiaTheme="minorHAnsi" w:hAnsiTheme="minorHAnsi" w:cstheme="minorBidi"/>
                  <w:noProof/>
                  <w:color w:val="auto"/>
                  <w:sz w:val="22"/>
                  <w:szCs w:val="22"/>
                  <w:u w:val="single"/>
                  <w:lang w:val="en-US" w:eastAsia="en-US"/>
                </w:rPr>
                <w:t>https://wypf.polfed.org/2014/09/12/blame-culture-police-officers-are-too-fearful-of-making-mistakes/</w:t>
              </w:r>
              <w:r w:rsidRPr="0038652F">
                <w:rPr>
                  <w:rFonts w:asciiTheme="minorHAnsi" w:eastAsiaTheme="minorHAnsi" w:hAnsiTheme="minorHAnsi" w:cstheme="minorBidi"/>
                  <w:noProof/>
                  <w:color w:val="auto"/>
                  <w:sz w:val="22"/>
                  <w:szCs w:val="22"/>
                  <w:lang w:val="en-US" w:eastAsia="en-US"/>
                </w:rPr>
                <w:br/>
                <w:t>[Accessed 25 May 2022].</w:t>
              </w:r>
            </w:p>
            <w:p w14:paraId="6DEACB3F" w14:textId="77777777" w:rsidR="00F90EFA" w:rsidRDefault="00F90EFA" w:rsidP="00F90EF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b/>
                  <w:bCs/>
                  <w:noProof/>
                  <w:color w:val="auto"/>
                  <w:sz w:val="22"/>
                  <w:szCs w:val="22"/>
                  <w:lang w:eastAsia="en-US"/>
                </w:rPr>
                <w:fldChar w:fldCharType="end"/>
              </w:r>
            </w:p>
          </w:sdtContent>
        </w:sdt>
      </w:sdtContent>
    </w:sdt>
    <w:p w14:paraId="25A4D303" w14:textId="59D5E448" w:rsidR="00F90EFA" w:rsidRDefault="003235DB" w:rsidP="00F90EFA">
      <w:r>
        <w:t xml:space="preserve">Task 4 </w:t>
      </w:r>
    </w:p>
    <w:p w14:paraId="05AC2761" w14:textId="77777777" w:rsidR="003235DB" w:rsidRDefault="003235DB" w:rsidP="00F90EFA"/>
    <w:sdt>
      <w:sdtPr>
        <w:rPr>
          <w:rFonts w:asciiTheme="majorHAnsi" w:eastAsiaTheme="majorEastAsia" w:hAnsiTheme="majorHAnsi" w:cstheme="majorBidi"/>
          <w:color w:val="2F5496" w:themeColor="accent1" w:themeShade="BF"/>
          <w:sz w:val="32"/>
          <w:szCs w:val="32"/>
          <w:lang w:val="en-US" w:eastAsia="en-US"/>
        </w:rPr>
        <w:id w:val="-209230601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9CDB23F" w14:textId="77777777" w:rsidR="003235DB" w:rsidRPr="0038652F" w:rsidRDefault="003235DB" w:rsidP="003235DB">
          <w:pPr>
            <w:keepNext/>
            <w:keepLines/>
            <w:overflowPunct/>
            <w:autoSpaceDE/>
            <w:autoSpaceDN/>
            <w:adjustRightInd/>
            <w:spacing w:before="240" w:line="259" w:lineRule="auto"/>
            <w:textAlignment w:val="auto"/>
            <w:outlineLvl w:val="0"/>
            <w:rPr>
              <w:rFonts w:asciiTheme="majorHAnsi" w:eastAsiaTheme="majorEastAsia" w:hAnsiTheme="majorHAnsi" w:cstheme="majorBidi"/>
              <w:color w:val="2F5496" w:themeColor="accent1" w:themeShade="BF"/>
              <w:sz w:val="32"/>
              <w:szCs w:val="32"/>
              <w:lang w:val="en-US" w:eastAsia="en-US"/>
            </w:rPr>
          </w:pPr>
          <w:r w:rsidRPr="0038652F">
            <w:rPr>
              <w:rFonts w:asciiTheme="majorHAnsi" w:eastAsiaTheme="majorEastAsia" w:hAnsiTheme="majorHAnsi" w:cstheme="majorBidi"/>
              <w:color w:val="2F5496" w:themeColor="accent1" w:themeShade="BF"/>
              <w:sz w:val="32"/>
              <w:szCs w:val="32"/>
              <w:lang w:val="en-US" w:eastAsia="en-US"/>
            </w:rPr>
            <w:t>References</w:t>
          </w:r>
        </w:p>
        <w:sdt>
          <w:sdtPr>
            <w:rPr>
              <w:rFonts w:asciiTheme="minorHAnsi" w:eastAsiaTheme="minorHAnsi" w:hAnsiTheme="minorHAnsi" w:cstheme="minorBidi"/>
              <w:color w:val="auto"/>
              <w:sz w:val="22"/>
              <w:szCs w:val="22"/>
              <w:lang w:eastAsia="en-US"/>
            </w:rPr>
            <w:id w:val="-1469355265"/>
            <w:bibliography/>
          </w:sdtPr>
          <w:sdtContent>
            <w:p w14:paraId="633C0967" w14:textId="77777777" w:rsidR="003235DB" w:rsidRPr="0038652F" w:rsidRDefault="003235DB" w:rsidP="003235DB">
              <w:pPr>
                <w:overflowPunct/>
                <w:autoSpaceDE/>
                <w:autoSpaceDN/>
                <w:adjustRightInd/>
                <w:spacing w:after="160" w:line="259" w:lineRule="auto"/>
                <w:textAlignment w:val="auto"/>
                <w:rPr>
                  <w:rFonts w:asciiTheme="minorHAnsi" w:eastAsiaTheme="minorHAnsi" w:hAnsiTheme="minorHAnsi" w:cstheme="minorBidi"/>
                  <w:noProof/>
                  <w:color w:val="auto"/>
                  <w:sz w:val="24"/>
                  <w:szCs w:val="24"/>
                  <w:lang w:val="en-US" w:eastAsia="en-US"/>
                </w:rPr>
              </w:pPr>
              <w:r w:rsidRPr="0038652F">
                <w:rPr>
                  <w:rFonts w:asciiTheme="minorHAnsi" w:eastAsiaTheme="minorHAnsi" w:hAnsiTheme="minorHAnsi" w:cstheme="minorBidi"/>
                  <w:color w:val="auto"/>
                  <w:sz w:val="22"/>
                  <w:szCs w:val="22"/>
                  <w:lang w:eastAsia="en-US"/>
                </w:rPr>
                <w:fldChar w:fldCharType="begin"/>
              </w:r>
              <w:r w:rsidRPr="0038652F">
                <w:rPr>
                  <w:rFonts w:asciiTheme="minorHAnsi" w:eastAsiaTheme="minorHAnsi" w:hAnsiTheme="minorHAnsi" w:cstheme="minorBidi"/>
                  <w:color w:val="auto"/>
                  <w:sz w:val="22"/>
                  <w:szCs w:val="22"/>
                  <w:lang w:eastAsia="en-US"/>
                </w:rPr>
                <w:instrText xml:space="preserve"> BIBLIOGRAPHY </w:instrText>
              </w:r>
              <w:r w:rsidRPr="0038652F">
                <w:rPr>
                  <w:rFonts w:asciiTheme="minorHAnsi" w:eastAsiaTheme="minorHAnsi" w:hAnsiTheme="minorHAnsi" w:cstheme="minorBidi"/>
                  <w:color w:val="auto"/>
                  <w:sz w:val="22"/>
                  <w:szCs w:val="22"/>
                  <w:lang w:eastAsia="en-US"/>
                </w:rPr>
                <w:fldChar w:fldCharType="separate"/>
              </w:r>
              <w:r w:rsidRPr="0038652F">
                <w:rPr>
                  <w:rFonts w:asciiTheme="minorHAnsi" w:eastAsiaTheme="minorHAnsi" w:hAnsiTheme="minorHAnsi" w:cstheme="minorBidi"/>
                  <w:noProof/>
                  <w:color w:val="auto"/>
                  <w:sz w:val="22"/>
                  <w:szCs w:val="22"/>
                  <w:lang w:val="en-US" w:eastAsia="en-US"/>
                </w:rPr>
                <w:t xml:space="preserve">ANPR Working Group, 2012. </w:t>
              </w:r>
              <w:r w:rsidRPr="0038652F">
                <w:rPr>
                  <w:rFonts w:asciiTheme="minorHAnsi" w:eastAsiaTheme="minorHAnsi" w:hAnsiTheme="minorHAnsi" w:cstheme="minorBidi"/>
                  <w:i/>
                  <w:iCs/>
                  <w:noProof/>
                  <w:color w:val="auto"/>
                  <w:sz w:val="22"/>
                  <w:szCs w:val="22"/>
                  <w:lang w:val="en-US" w:eastAsia="en-US"/>
                </w:rPr>
                <w:t xml:space="preserve">The police use of Automatic Number Plate Recognition, </w:t>
              </w:r>
              <w:r w:rsidRPr="0038652F">
                <w:rPr>
                  <w:rFonts w:asciiTheme="minorHAnsi" w:eastAsiaTheme="minorHAnsi" w:hAnsiTheme="minorHAnsi" w:cstheme="minorBidi"/>
                  <w:noProof/>
                  <w:color w:val="auto"/>
                  <w:sz w:val="22"/>
                  <w:szCs w:val="22"/>
                  <w:lang w:val="en-US" w:eastAsia="en-US"/>
                </w:rPr>
                <w:t>s.l.: Association of Chief Police Officers.</w:t>
              </w:r>
            </w:p>
            <w:p w14:paraId="1141B1A0" w14:textId="77777777" w:rsidR="003235DB" w:rsidRPr="0038652F" w:rsidRDefault="003235DB" w:rsidP="003235D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College of Policing, 2013. </w:t>
              </w:r>
              <w:r w:rsidRPr="0038652F">
                <w:rPr>
                  <w:rFonts w:asciiTheme="minorHAnsi" w:eastAsiaTheme="minorHAnsi" w:hAnsiTheme="minorHAnsi" w:cstheme="minorBidi"/>
                  <w:i/>
                  <w:iCs/>
                  <w:noProof/>
                  <w:color w:val="auto"/>
                  <w:sz w:val="22"/>
                  <w:szCs w:val="22"/>
                  <w:lang w:val="en-US" w:eastAsia="en-US"/>
                </w:rPr>
                <w:t xml:space="preserve">ANPR. </w:t>
              </w:r>
              <w:r w:rsidRPr="0038652F">
                <w:rPr>
                  <w:rFonts w:asciiTheme="minorHAnsi" w:eastAsiaTheme="minorHAnsi" w:hAnsiTheme="minorHAnsi" w:cstheme="minorBidi"/>
                  <w:noProof/>
                  <w:color w:val="auto"/>
                  <w:sz w:val="22"/>
                  <w:szCs w:val="22"/>
                  <w:lang w:val="en-US" w:eastAsia="en-US"/>
                </w:rPr>
                <w:t xml:space="preserve">[Online] </w:t>
              </w:r>
              <w:r w:rsidRPr="0038652F">
                <w:rPr>
                  <w:rFonts w:asciiTheme="minorHAnsi" w:eastAsiaTheme="minorHAnsi" w:hAnsiTheme="minorHAnsi" w:cstheme="minorBidi"/>
                  <w:noProof/>
                  <w:color w:val="auto"/>
                  <w:sz w:val="22"/>
                  <w:szCs w:val="22"/>
                  <w:lang w:val="en-US" w:eastAsia="en-US"/>
                </w:rPr>
                <w:br/>
                <w:t xml:space="preserve">Available at: </w:t>
              </w:r>
              <w:r w:rsidRPr="0038652F">
                <w:rPr>
                  <w:rFonts w:asciiTheme="minorHAnsi" w:eastAsiaTheme="minorHAnsi" w:hAnsiTheme="minorHAnsi" w:cstheme="minorBidi"/>
                  <w:noProof/>
                  <w:color w:val="auto"/>
                  <w:sz w:val="22"/>
                  <w:szCs w:val="22"/>
                  <w:u w:val="single"/>
                  <w:lang w:val="en-US" w:eastAsia="en-US"/>
                </w:rPr>
                <w:t>https://www.app.college.police.uk/app-content/investigations/investigative-strategies/investigative-strategiesanpr/#anpr-in-investigations</w:t>
              </w:r>
              <w:r w:rsidRPr="0038652F">
                <w:rPr>
                  <w:rFonts w:asciiTheme="minorHAnsi" w:eastAsiaTheme="minorHAnsi" w:hAnsiTheme="minorHAnsi" w:cstheme="minorBidi"/>
                  <w:noProof/>
                  <w:color w:val="auto"/>
                  <w:sz w:val="22"/>
                  <w:szCs w:val="22"/>
                  <w:lang w:val="en-US" w:eastAsia="en-US"/>
                </w:rPr>
                <w:br/>
                <w:t>[Accessed 3 April 2022].</w:t>
              </w:r>
            </w:p>
            <w:p w14:paraId="20480E9C" w14:textId="77777777" w:rsidR="003235DB" w:rsidRPr="0038652F" w:rsidRDefault="003235DB" w:rsidP="003235D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Fell, E. et al., 2019. </w:t>
              </w:r>
              <w:r w:rsidRPr="0038652F">
                <w:rPr>
                  <w:rFonts w:asciiTheme="minorHAnsi" w:eastAsiaTheme="minorHAnsi" w:hAnsiTheme="minorHAnsi" w:cstheme="minorBidi"/>
                  <w:i/>
                  <w:iCs/>
                  <w:noProof/>
                  <w:color w:val="auto"/>
                  <w:sz w:val="22"/>
                  <w:szCs w:val="22"/>
                  <w:lang w:val="en-US" w:eastAsia="en-US"/>
                </w:rPr>
                <w:t xml:space="preserve">Understanding organised crime 2015/16 - Estimating the scale and the social and economic costs, </w:t>
              </w:r>
              <w:r w:rsidRPr="0038652F">
                <w:rPr>
                  <w:rFonts w:asciiTheme="minorHAnsi" w:eastAsiaTheme="minorHAnsi" w:hAnsiTheme="minorHAnsi" w:cstheme="minorBidi"/>
                  <w:noProof/>
                  <w:color w:val="auto"/>
                  <w:sz w:val="22"/>
                  <w:szCs w:val="22"/>
                  <w:lang w:val="en-US" w:eastAsia="en-US"/>
                </w:rPr>
                <w:t>s.l.: Home Office .</w:t>
              </w:r>
            </w:p>
            <w:p w14:paraId="07653517" w14:textId="77777777" w:rsidR="003235DB" w:rsidRPr="0038652F" w:rsidRDefault="003235DB" w:rsidP="003235D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National Crime Agency, 2019. </w:t>
              </w:r>
              <w:r w:rsidRPr="0038652F">
                <w:rPr>
                  <w:rFonts w:asciiTheme="minorHAnsi" w:eastAsiaTheme="minorHAnsi" w:hAnsiTheme="minorHAnsi" w:cstheme="minorBidi"/>
                  <w:i/>
                  <w:iCs/>
                  <w:noProof/>
                  <w:color w:val="auto"/>
                  <w:sz w:val="22"/>
                  <w:szCs w:val="22"/>
                  <w:lang w:val="en-US" w:eastAsia="en-US"/>
                </w:rPr>
                <w:t xml:space="preserve">National Strategic Assessment of Serious and Organised Crime. </w:t>
              </w:r>
              <w:r w:rsidRPr="0038652F">
                <w:rPr>
                  <w:rFonts w:asciiTheme="minorHAnsi" w:eastAsiaTheme="minorHAnsi" w:hAnsiTheme="minorHAnsi" w:cstheme="minorBidi"/>
                  <w:noProof/>
                  <w:color w:val="auto"/>
                  <w:sz w:val="22"/>
                  <w:szCs w:val="22"/>
                  <w:lang w:val="en-US" w:eastAsia="en-US"/>
                </w:rPr>
                <w:t xml:space="preserve">[Online] </w:t>
              </w:r>
              <w:r w:rsidRPr="0038652F">
                <w:rPr>
                  <w:rFonts w:asciiTheme="minorHAnsi" w:eastAsiaTheme="minorHAnsi" w:hAnsiTheme="minorHAnsi" w:cstheme="minorBidi"/>
                  <w:noProof/>
                  <w:color w:val="auto"/>
                  <w:sz w:val="22"/>
                  <w:szCs w:val="22"/>
                  <w:lang w:val="en-US" w:eastAsia="en-US"/>
                </w:rPr>
                <w:br/>
              </w:r>
              <w:r w:rsidRPr="0038652F">
                <w:rPr>
                  <w:rFonts w:asciiTheme="minorHAnsi" w:eastAsiaTheme="minorHAnsi" w:hAnsiTheme="minorHAnsi" w:cstheme="minorBidi"/>
                  <w:noProof/>
                  <w:color w:val="auto"/>
                  <w:sz w:val="22"/>
                  <w:szCs w:val="22"/>
                  <w:lang w:val="en-US" w:eastAsia="en-US"/>
                </w:rPr>
                <w:lastRenderedPageBreak/>
                <w:t xml:space="preserve">Available at: </w:t>
              </w:r>
              <w:r w:rsidRPr="0038652F">
                <w:rPr>
                  <w:rFonts w:asciiTheme="minorHAnsi" w:eastAsiaTheme="minorHAnsi" w:hAnsiTheme="minorHAnsi" w:cstheme="minorBidi"/>
                  <w:noProof/>
                  <w:color w:val="auto"/>
                  <w:sz w:val="22"/>
                  <w:szCs w:val="22"/>
                  <w:u w:val="single"/>
                  <w:lang w:val="en-US" w:eastAsia="en-US"/>
                </w:rPr>
                <w:t>https://nationalcrimeagency.gov.uk/who-we-are/publications/296-national-strategic-assessment-of-serious-organised-crime-2019/file</w:t>
              </w:r>
              <w:r w:rsidRPr="0038652F">
                <w:rPr>
                  <w:rFonts w:asciiTheme="minorHAnsi" w:eastAsiaTheme="minorHAnsi" w:hAnsiTheme="minorHAnsi" w:cstheme="minorBidi"/>
                  <w:noProof/>
                  <w:color w:val="auto"/>
                  <w:sz w:val="22"/>
                  <w:szCs w:val="22"/>
                  <w:lang w:val="en-US" w:eastAsia="en-US"/>
                </w:rPr>
                <w:br/>
                <w:t>[Accessed 21 May 2022].</w:t>
              </w:r>
            </w:p>
            <w:p w14:paraId="50B27298" w14:textId="77777777" w:rsidR="003235DB" w:rsidRPr="0038652F" w:rsidRDefault="003235DB" w:rsidP="003235D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National Crime Agency, 2020. </w:t>
              </w:r>
              <w:r w:rsidRPr="0038652F">
                <w:rPr>
                  <w:rFonts w:asciiTheme="minorHAnsi" w:eastAsiaTheme="minorHAnsi" w:hAnsiTheme="minorHAnsi" w:cstheme="minorBidi"/>
                  <w:i/>
                  <w:iCs/>
                  <w:noProof/>
                  <w:color w:val="auto"/>
                  <w:sz w:val="22"/>
                  <w:szCs w:val="22"/>
                  <w:lang w:val="en-US" w:eastAsia="en-US"/>
                </w:rPr>
                <w:t xml:space="preserve">National Strategic Assessment of Serious and Organised Crime. </w:t>
              </w:r>
              <w:r w:rsidRPr="0038652F">
                <w:rPr>
                  <w:rFonts w:asciiTheme="minorHAnsi" w:eastAsiaTheme="minorHAnsi" w:hAnsiTheme="minorHAnsi" w:cstheme="minorBidi"/>
                  <w:noProof/>
                  <w:color w:val="auto"/>
                  <w:sz w:val="22"/>
                  <w:szCs w:val="22"/>
                  <w:lang w:val="en-US" w:eastAsia="en-US"/>
                </w:rPr>
                <w:t xml:space="preserve">[Online] </w:t>
              </w:r>
              <w:r w:rsidRPr="0038652F">
                <w:rPr>
                  <w:rFonts w:asciiTheme="minorHAnsi" w:eastAsiaTheme="minorHAnsi" w:hAnsiTheme="minorHAnsi" w:cstheme="minorBidi"/>
                  <w:noProof/>
                  <w:color w:val="auto"/>
                  <w:sz w:val="22"/>
                  <w:szCs w:val="22"/>
                  <w:lang w:val="en-US" w:eastAsia="en-US"/>
                </w:rPr>
                <w:br/>
                <w:t xml:space="preserve">Available at: </w:t>
              </w:r>
              <w:r w:rsidRPr="0038652F">
                <w:rPr>
                  <w:rFonts w:asciiTheme="minorHAnsi" w:eastAsiaTheme="minorHAnsi" w:hAnsiTheme="minorHAnsi" w:cstheme="minorBidi"/>
                  <w:noProof/>
                  <w:color w:val="auto"/>
                  <w:sz w:val="22"/>
                  <w:szCs w:val="22"/>
                  <w:u w:val="single"/>
                  <w:lang w:val="en-US" w:eastAsia="en-US"/>
                </w:rPr>
                <w:t>https://www.nationalcrimeagency.gov.uk/news/nsa2020</w:t>
              </w:r>
              <w:r w:rsidRPr="0038652F">
                <w:rPr>
                  <w:rFonts w:asciiTheme="minorHAnsi" w:eastAsiaTheme="minorHAnsi" w:hAnsiTheme="minorHAnsi" w:cstheme="minorBidi"/>
                  <w:noProof/>
                  <w:color w:val="auto"/>
                  <w:sz w:val="22"/>
                  <w:szCs w:val="22"/>
                  <w:lang w:val="en-US" w:eastAsia="en-US"/>
                </w:rPr>
                <w:br/>
                <w:t>[Accessed 30 January 2022].</w:t>
              </w:r>
            </w:p>
            <w:p w14:paraId="68E316BF" w14:textId="77777777" w:rsidR="003235DB" w:rsidRPr="0038652F" w:rsidRDefault="003235DB" w:rsidP="003235D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National Police Chiefs' Council, n.d. </w:t>
              </w:r>
              <w:r w:rsidRPr="0038652F">
                <w:rPr>
                  <w:rFonts w:asciiTheme="minorHAnsi" w:eastAsiaTheme="minorHAnsi" w:hAnsiTheme="minorHAnsi" w:cstheme="minorBidi"/>
                  <w:i/>
                  <w:iCs/>
                  <w:noProof/>
                  <w:color w:val="auto"/>
                  <w:sz w:val="22"/>
                  <w:szCs w:val="22"/>
                  <w:lang w:val="en-US" w:eastAsia="en-US"/>
                </w:rPr>
                <w:t xml:space="preserve">Automatic Number Plate Recognition (ANPR). </w:t>
              </w:r>
              <w:r w:rsidRPr="0038652F">
                <w:rPr>
                  <w:rFonts w:asciiTheme="minorHAnsi" w:eastAsiaTheme="minorHAnsi" w:hAnsiTheme="minorHAnsi" w:cstheme="minorBidi"/>
                  <w:noProof/>
                  <w:color w:val="auto"/>
                  <w:sz w:val="22"/>
                  <w:szCs w:val="22"/>
                  <w:lang w:val="en-US" w:eastAsia="en-US"/>
                </w:rPr>
                <w:t xml:space="preserve">[Online] </w:t>
              </w:r>
              <w:r w:rsidRPr="0038652F">
                <w:rPr>
                  <w:rFonts w:asciiTheme="minorHAnsi" w:eastAsiaTheme="minorHAnsi" w:hAnsiTheme="minorHAnsi" w:cstheme="minorBidi"/>
                  <w:noProof/>
                  <w:color w:val="auto"/>
                  <w:sz w:val="22"/>
                  <w:szCs w:val="22"/>
                  <w:lang w:val="en-US" w:eastAsia="en-US"/>
                </w:rPr>
                <w:br/>
                <w:t xml:space="preserve">Available at: </w:t>
              </w:r>
              <w:r w:rsidRPr="0038652F">
                <w:rPr>
                  <w:rFonts w:asciiTheme="minorHAnsi" w:eastAsiaTheme="minorHAnsi" w:hAnsiTheme="minorHAnsi" w:cstheme="minorBidi"/>
                  <w:noProof/>
                  <w:color w:val="auto"/>
                  <w:sz w:val="22"/>
                  <w:szCs w:val="22"/>
                  <w:u w:val="single"/>
                  <w:lang w:val="en-US" w:eastAsia="en-US"/>
                </w:rPr>
                <w:t>https://www.npcc.police.uk/FreedomofInformation/ANPR.aspx</w:t>
              </w:r>
              <w:r w:rsidRPr="0038652F">
                <w:rPr>
                  <w:rFonts w:asciiTheme="minorHAnsi" w:eastAsiaTheme="minorHAnsi" w:hAnsiTheme="minorHAnsi" w:cstheme="minorBidi"/>
                  <w:noProof/>
                  <w:color w:val="auto"/>
                  <w:sz w:val="22"/>
                  <w:szCs w:val="22"/>
                  <w:lang w:val="en-US" w:eastAsia="en-US"/>
                </w:rPr>
                <w:br/>
                <w:t>[Accessed 22 May 2022].</w:t>
              </w:r>
            </w:p>
            <w:p w14:paraId="6AEC7BF2" w14:textId="77777777" w:rsidR="003235DB" w:rsidRPr="0038652F" w:rsidRDefault="003235DB" w:rsidP="003235D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Office for National Statistics, 2021. </w:t>
              </w:r>
              <w:r w:rsidRPr="0038652F">
                <w:rPr>
                  <w:rFonts w:asciiTheme="minorHAnsi" w:eastAsiaTheme="minorHAnsi" w:hAnsiTheme="minorHAnsi" w:cstheme="minorBidi"/>
                  <w:i/>
                  <w:iCs/>
                  <w:noProof/>
                  <w:color w:val="auto"/>
                  <w:sz w:val="22"/>
                  <w:szCs w:val="22"/>
                  <w:lang w:val="en-US" w:eastAsia="en-US"/>
                </w:rPr>
                <w:t xml:space="preserve">Deaths related to drug poisoning in England and Wales: 2020 registrations, </w:t>
              </w:r>
              <w:r w:rsidRPr="0038652F">
                <w:rPr>
                  <w:rFonts w:asciiTheme="minorHAnsi" w:eastAsiaTheme="minorHAnsi" w:hAnsiTheme="minorHAnsi" w:cstheme="minorBidi"/>
                  <w:noProof/>
                  <w:color w:val="auto"/>
                  <w:sz w:val="22"/>
                  <w:szCs w:val="22"/>
                  <w:lang w:val="en-US" w:eastAsia="en-US"/>
                </w:rPr>
                <w:t>s.l.: s.n.</w:t>
              </w:r>
            </w:p>
            <w:p w14:paraId="0D5BD599" w14:textId="77777777" w:rsidR="003235DB" w:rsidRPr="0038652F" w:rsidRDefault="003235DB" w:rsidP="003235D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Soitron, n.d. </w:t>
              </w:r>
              <w:r w:rsidRPr="0038652F">
                <w:rPr>
                  <w:rFonts w:asciiTheme="minorHAnsi" w:eastAsiaTheme="minorHAnsi" w:hAnsiTheme="minorHAnsi" w:cstheme="minorBidi"/>
                  <w:i/>
                  <w:iCs/>
                  <w:noProof/>
                  <w:color w:val="auto"/>
                  <w:sz w:val="22"/>
                  <w:szCs w:val="22"/>
                  <w:lang w:val="en-US" w:eastAsia="en-US"/>
                </w:rPr>
                <w:t xml:space="preserve">Mobile ANPR. </w:t>
              </w:r>
              <w:r w:rsidRPr="0038652F">
                <w:rPr>
                  <w:rFonts w:asciiTheme="minorHAnsi" w:eastAsiaTheme="minorHAnsi" w:hAnsiTheme="minorHAnsi" w:cstheme="minorBidi"/>
                  <w:noProof/>
                  <w:color w:val="auto"/>
                  <w:sz w:val="22"/>
                  <w:szCs w:val="22"/>
                  <w:lang w:val="en-US" w:eastAsia="en-US"/>
                </w:rPr>
                <w:t xml:space="preserve">[Online] </w:t>
              </w:r>
              <w:r w:rsidRPr="0038652F">
                <w:rPr>
                  <w:rFonts w:asciiTheme="minorHAnsi" w:eastAsiaTheme="minorHAnsi" w:hAnsiTheme="minorHAnsi" w:cstheme="minorBidi"/>
                  <w:noProof/>
                  <w:color w:val="auto"/>
                  <w:sz w:val="22"/>
                  <w:szCs w:val="22"/>
                  <w:lang w:val="en-US" w:eastAsia="en-US"/>
                </w:rPr>
                <w:br/>
                <w:t xml:space="preserve">Available at: </w:t>
              </w:r>
              <w:r w:rsidRPr="0038652F">
                <w:rPr>
                  <w:rFonts w:asciiTheme="minorHAnsi" w:eastAsiaTheme="minorHAnsi" w:hAnsiTheme="minorHAnsi" w:cstheme="minorBidi"/>
                  <w:noProof/>
                  <w:color w:val="auto"/>
                  <w:sz w:val="22"/>
                  <w:szCs w:val="22"/>
                  <w:u w:val="single"/>
                  <w:lang w:val="en-US" w:eastAsia="en-US"/>
                </w:rPr>
                <w:t>https://www.mosysolutions.com/product/mobile-anpr/</w:t>
              </w:r>
              <w:r w:rsidRPr="0038652F">
                <w:rPr>
                  <w:rFonts w:asciiTheme="minorHAnsi" w:eastAsiaTheme="minorHAnsi" w:hAnsiTheme="minorHAnsi" w:cstheme="minorBidi"/>
                  <w:noProof/>
                  <w:color w:val="auto"/>
                  <w:sz w:val="22"/>
                  <w:szCs w:val="22"/>
                  <w:lang w:val="en-US" w:eastAsia="en-US"/>
                </w:rPr>
                <w:br/>
                <w:t>[Accessed 22 May 2022].</w:t>
              </w:r>
            </w:p>
            <w:p w14:paraId="171E0A9A" w14:textId="77777777" w:rsidR="003235DB" w:rsidRPr="0038652F" w:rsidRDefault="003235DB" w:rsidP="003235D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38652F">
                <w:rPr>
                  <w:rFonts w:asciiTheme="minorHAnsi" w:eastAsiaTheme="minorHAnsi" w:hAnsiTheme="minorHAnsi" w:cstheme="minorBidi"/>
                  <w:noProof/>
                  <w:color w:val="auto"/>
                  <w:sz w:val="22"/>
                  <w:szCs w:val="22"/>
                  <w:lang w:val="en-US" w:eastAsia="en-US"/>
                </w:rPr>
                <w:t xml:space="preserve">The Crown Prosecution Service, n.d. </w:t>
              </w:r>
              <w:r w:rsidRPr="0038652F">
                <w:rPr>
                  <w:rFonts w:asciiTheme="minorHAnsi" w:eastAsiaTheme="minorHAnsi" w:hAnsiTheme="minorHAnsi" w:cstheme="minorBidi"/>
                  <w:i/>
                  <w:iCs/>
                  <w:noProof/>
                  <w:color w:val="auto"/>
                  <w:sz w:val="22"/>
                  <w:szCs w:val="22"/>
                  <w:lang w:val="en-US" w:eastAsia="en-US"/>
                </w:rPr>
                <w:t xml:space="preserve">Fraud and economic crime. </w:t>
              </w:r>
              <w:r w:rsidRPr="0038652F">
                <w:rPr>
                  <w:rFonts w:asciiTheme="minorHAnsi" w:eastAsiaTheme="minorHAnsi" w:hAnsiTheme="minorHAnsi" w:cstheme="minorBidi"/>
                  <w:noProof/>
                  <w:color w:val="auto"/>
                  <w:sz w:val="22"/>
                  <w:szCs w:val="22"/>
                  <w:lang w:val="en-US" w:eastAsia="en-US"/>
                </w:rPr>
                <w:t xml:space="preserve">[Online] </w:t>
              </w:r>
              <w:r w:rsidRPr="0038652F">
                <w:rPr>
                  <w:rFonts w:asciiTheme="minorHAnsi" w:eastAsiaTheme="minorHAnsi" w:hAnsiTheme="minorHAnsi" w:cstheme="minorBidi"/>
                  <w:noProof/>
                  <w:color w:val="auto"/>
                  <w:sz w:val="22"/>
                  <w:szCs w:val="22"/>
                  <w:lang w:val="en-US" w:eastAsia="en-US"/>
                </w:rPr>
                <w:br/>
                <w:t xml:space="preserve">Available at: </w:t>
              </w:r>
              <w:r w:rsidRPr="0038652F">
                <w:rPr>
                  <w:rFonts w:asciiTheme="minorHAnsi" w:eastAsiaTheme="minorHAnsi" w:hAnsiTheme="minorHAnsi" w:cstheme="minorBidi"/>
                  <w:noProof/>
                  <w:color w:val="auto"/>
                  <w:sz w:val="22"/>
                  <w:szCs w:val="22"/>
                  <w:u w:val="single"/>
                  <w:lang w:val="en-US" w:eastAsia="en-US"/>
                </w:rPr>
                <w:t>https://www.cps.gov.uk/crime-info/fraud-and-economic-crime</w:t>
              </w:r>
              <w:r w:rsidRPr="0038652F">
                <w:rPr>
                  <w:rFonts w:asciiTheme="minorHAnsi" w:eastAsiaTheme="minorHAnsi" w:hAnsiTheme="minorHAnsi" w:cstheme="minorBidi"/>
                  <w:noProof/>
                  <w:color w:val="auto"/>
                  <w:sz w:val="22"/>
                  <w:szCs w:val="22"/>
                  <w:lang w:val="en-US" w:eastAsia="en-US"/>
                </w:rPr>
                <w:br/>
                <w:t>[Accessed 23 May 2022].</w:t>
              </w:r>
            </w:p>
            <w:p w14:paraId="76897C60" w14:textId="77777777" w:rsidR="003235DB" w:rsidRPr="0038652F" w:rsidRDefault="003235DB" w:rsidP="003235D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8652F">
                <w:rPr>
                  <w:rFonts w:asciiTheme="minorHAnsi" w:eastAsiaTheme="minorHAnsi" w:hAnsiTheme="minorHAnsi" w:cstheme="minorBidi"/>
                  <w:b/>
                  <w:bCs/>
                  <w:noProof/>
                  <w:color w:val="auto"/>
                  <w:sz w:val="22"/>
                  <w:szCs w:val="22"/>
                  <w:lang w:eastAsia="en-US"/>
                </w:rPr>
                <w:fldChar w:fldCharType="end"/>
              </w:r>
            </w:p>
          </w:sdtContent>
        </w:sdt>
      </w:sdtContent>
    </w:sdt>
    <w:p w14:paraId="0979611A" w14:textId="77777777" w:rsidR="003235DB" w:rsidRDefault="003235DB" w:rsidP="00F90EFA"/>
    <w:p w14:paraId="25046447" w14:textId="77777777" w:rsidR="003235DB" w:rsidRPr="00F90EFA" w:rsidRDefault="003235DB" w:rsidP="00F90EFA"/>
    <w:sectPr w:rsidR="003235DB" w:rsidRPr="00F90EF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7CBF92" w14:textId="77777777" w:rsidR="0021135D" w:rsidRDefault="0021135D">
      <w:r>
        <w:separator/>
      </w:r>
    </w:p>
  </w:endnote>
  <w:endnote w:type="continuationSeparator" w:id="0">
    <w:p w14:paraId="5B1AD556" w14:textId="77777777" w:rsidR="0021135D" w:rsidRDefault="002113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049FD" w14:textId="77777777" w:rsidR="0021135D" w:rsidRDefault="0021135D">
      <w:r>
        <w:separator/>
      </w:r>
    </w:p>
  </w:footnote>
  <w:footnote w:type="continuationSeparator" w:id="0">
    <w:p w14:paraId="0A412D35" w14:textId="77777777" w:rsidR="0021135D" w:rsidRDefault="002113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45B869E3"/>
    <w:multiLevelType w:val="hybridMultilevel"/>
    <w:tmpl w:val="03FC3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91367498">
    <w:abstractNumId w:val="2"/>
  </w:num>
  <w:num w:numId="2" w16cid:durableId="394280354">
    <w:abstractNumId w:val="1"/>
  </w:num>
  <w:num w:numId="3" w16cid:durableId="1088968643">
    <w:abstractNumId w:val="0"/>
  </w:num>
  <w:num w:numId="4" w16cid:durableId="395208129">
    <w:abstractNumId w:val="4"/>
  </w:num>
  <w:num w:numId="5" w16cid:durableId="1296256731">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1812"/>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D21DA"/>
    <w:rsid w:val="000E26B0"/>
    <w:rsid w:val="000F1599"/>
    <w:rsid w:val="000F1769"/>
    <w:rsid w:val="000F5D5F"/>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35D"/>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667C"/>
    <w:rsid w:val="002E7017"/>
    <w:rsid w:val="002F4F6E"/>
    <w:rsid w:val="003015C3"/>
    <w:rsid w:val="0030698D"/>
    <w:rsid w:val="0031350A"/>
    <w:rsid w:val="00316815"/>
    <w:rsid w:val="003168CA"/>
    <w:rsid w:val="00321255"/>
    <w:rsid w:val="0032230D"/>
    <w:rsid w:val="00322A0B"/>
    <w:rsid w:val="003235D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8652F"/>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33EB"/>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298"/>
    <w:rsid w:val="005C6CE5"/>
    <w:rsid w:val="005D3F07"/>
    <w:rsid w:val="005D583E"/>
    <w:rsid w:val="005E13EA"/>
    <w:rsid w:val="005E53BD"/>
    <w:rsid w:val="005F63E0"/>
    <w:rsid w:val="00605FA2"/>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8A1"/>
    <w:rsid w:val="006E795F"/>
    <w:rsid w:val="006EBD1E"/>
    <w:rsid w:val="00700249"/>
    <w:rsid w:val="0070604C"/>
    <w:rsid w:val="007069CD"/>
    <w:rsid w:val="007110E6"/>
    <w:rsid w:val="00711A70"/>
    <w:rsid w:val="00712E6F"/>
    <w:rsid w:val="00712E90"/>
    <w:rsid w:val="00713B7E"/>
    <w:rsid w:val="007204AE"/>
    <w:rsid w:val="00725D0A"/>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27AEC"/>
    <w:rsid w:val="008308AE"/>
    <w:rsid w:val="0083166E"/>
    <w:rsid w:val="00831DC3"/>
    <w:rsid w:val="008322C7"/>
    <w:rsid w:val="00834F1D"/>
    <w:rsid w:val="008357DA"/>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03FE"/>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E0473"/>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538E9"/>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0EFA"/>
    <w:rsid w:val="00F927A1"/>
    <w:rsid w:val="00F92E4D"/>
    <w:rsid w:val="00FA3764"/>
    <w:rsid w:val="00FA56ED"/>
    <w:rsid w:val="00FB0F60"/>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Hou21</b:Tag>
    <b:SourceType>InternetSite</b:SourceType>
    <b:Guid>{96CBE27C-8333-463F-B706-F8E69F0E4E0A}</b:Guid>
    <b:Author>
      <b:Author>
        <b:Corporate>Houston Chronicle</b:Corporate>
      </b:Author>
    </b:Author>
    <b:Title>How Police Use Teamwork</b:Title>
    <b:Year>2021</b:Year>
    <b:YearAccessed>2022</b:YearAccessed>
    <b:MonthAccessed>May</b:MonthAccessed>
    <b:DayAccessed>15</b:DayAccessed>
    <b:URL>https://work.chron.com/police-use-teamwork-15370.html</b:URL>
    <b:RefOrder>1</b:RefOrder>
  </b:Source>
  <b:Source>
    <b:Tag>Ind21</b:Tag>
    <b:SourceType>InternetSite</b:SourceType>
    <b:Guid>{F4D8C3B4-4BCB-4404-9CD7-CB73561D07F5}</b:Guid>
    <b:Author>
      <b:Author>
        <b:Corporate>Indeed Editorial Team</b:Corporate>
      </b:Author>
    </b:Author>
    <b:Title>What are Team Effectiveness Models for Workplaces?</b:Title>
    <b:Year>2021</b:Year>
    <b:Month>November </b:Month>
    <b:Day>2</b:Day>
    <b:YearAccessed>2022</b:YearAccessed>
    <b:MonthAccessed>May</b:MonthAccessed>
    <b:DayAccessed>13</b:DayAccessed>
    <b:URL>https://ca.indeed.com/career-advice/career-development/team-effectiveness-models</b:URL>
    <b:RefOrder>2</b:RefOrder>
  </b:Source>
  <b:Source>
    <b:Tag>deB21</b:Tag>
    <b:SourceType>InternetSite</b:SourceType>
    <b:Guid>{30FB278B-E4B8-4296-94BF-4A86DF6175E4}</b:Guid>
    <b:Title>4 Team Effectiveness Models To Understand Your Team Better</b:Title>
    <b:Year>2021</b:Year>
    <b:YearAccessed>2022</b:YearAccessed>
    <b:MonthAccessed>May</b:MonthAccessed>
    <b:DayAccessed>14</b:DayAccessed>
    <b:URL>https://blog.trello.com/team-effectiveness-models#:~:text=%E2%80%9CTeam%20effectiveness%20models%20are%20simple,the%20best%20from%20each%20other.</b:URL>
    <b:Author>
      <b:Author>
        <b:NameList>
          <b:Person>
            <b:Last>deBara</b:Last>
            <b:First>Deanna</b:First>
          </b:Person>
        </b:NameList>
      </b:Author>
    </b:Author>
    <b:RefOrder>3</b:RefOrder>
  </b:Source>
  <b:Source>
    <b:Tag>Udo21</b:Tag>
    <b:SourceType>InternetSite</b:SourceType>
    <b:Guid>{7EC84169-EBDC-46BE-BE1E-59EB4243D43D}</b:Guid>
    <b:Author>
      <b:Author>
        <b:NameList>
          <b:Person>
            <b:Last>Udoagwu</b:Last>
            <b:First>Kelechi</b:First>
          </b:Person>
        </b:NameList>
      </b:Author>
    </b:Author>
    <b:Title>6 Different Team Effectiveness Models to Understand Your Team Better</b:Title>
    <b:Year>2021</b:Year>
    <b:YearAccessed>2022</b:YearAccessed>
    <b:MonthAccessed>May</b:MonthAccessed>
    <b:DayAccessed>14</b:DayAccessed>
    <b:URL>https://www.wrike.com/blog/6-different-team-effectiveness-models/</b:URL>
    <b:RefOrder>4</b:RefOrder>
  </b:Source>
  <b:Source>
    <b:Tag>Kor16</b:Tag>
    <b:SourceType>DocumentFromInternetSite</b:SourceType>
    <b:Guid>{31B785CE-0CC8-4A4F-AED6-5BE6E90ED623}</b:Guid>
    <b:Author>
      <b:Author>
        <b:Corporate>Korn Ferry Institute</b:Corporate>
      </b:Author>
    </b:Author>
    <b:Title>Driving team effectiveness</b:Title>
    <b:Year>2016</b:Year>
    <b:YearAccessed>2022</b:YearAccessed>
    <b:MonthAccessed>May</b:MonthAccessed>
    <b:DayAccessed>14</b:DayAccessed>
    <b:URL>https://www.kornferry.com/content/dam/kornferry/docs/pdfs/driving-team-effectiveness.pdf</b:URL>
    <b:RefOrder>5</b:RefOrder>
  </b:Source>
  <b:Source>
    <b:Tag>Col21</b:Tag>
    <b:SourceType>DocumentFromInternetSite</b:SourceType>
    <b:Guid>{DE8A76DE-DDB0-40D8-A5C8-22AFF193E439}</b:Guid>
    <b:Title>Recognising and responding to vulnerability-related risks</b:Title>
    <b:Year>2021</b:Year>
    <b:YearAccessed>2022</b:YearAccessed>
    <b:MonthAccessed>May</b:MonthAccessed>
    <b:DayAccessed>16</b:DayAccessed>
    <b:URL>https://assets.college.police.uk/s3fs-public/2021-11/Recognising-responding-vulnerability-related-risks-guidelines.pdf</b:URL>
    <b:Author>
      <b:Author>
        <b:Corporate>College of Policing</b:Corporate>
      </b:Author>
    </b:Author>
    <b:RefOrder>1</b:RefOrder>
  </b:Source>
  <b:Source>
    <b:Tag>Sal22</b:Tag>
    <b:SourceType>InternetSite</b:SourceType>
    <b:Guid>{DE54EF19-4AA8-443A-83FB-33BCB14FFCAF}</b:Guid>
    <b:Title>8 Muslim Dating Rules and Traditions</b:Title>
    <b:Author>
      <b:Author>
        <b:Corporate>Salams</b:Corporate>
      </b:Author>
    </b:Author>
    <b:YearAccessed>2022</b:YearAccessed>
    <b:MonthAccessed>May</b:MonthAccessed>
    <b:DayAccessed>16</b:DayAccessed>
    <b:URL>https://www.salams.app/post/muslim-dating-rules</b:URL>
    <b:RefOrder>2</b:RefOrder>
  </b:Source>
  <b:Source>
    <b:Tag>Ind11</b:Tag>
    <b:SourceType>DocumentFromInternetSite</b:SourceType>
    <b:Guid>{1737C7F2-4983-4FA4-B454-22AD95075238}</b:Guid>
    <b:Author>
      <b:Author>
        <b:Corporate>Independent Office for Police Conduct</b:Corporate>
      </b:Author>
    </b:Author>
    <b:Title>Risk in police decision-making and accountability in operational policing</b:Title>
    <b:Year>2011</b:Year>
    <b:YearAccessed>2022</b:YearAccessed>
    <b:MonthAccessed>May</b:MonthAccessed>
    <b:DayAccessed>16</b:DayAccessed>
    <b:URL>https://policeconduct.gov.uk/sites/default/files/Documents/Who-we-are/Our-Policies/position_statement_on_risk_in_police_decision_making_2018.pdf</b:URL>
    <b:Month>June</b:Month>
    <b:RefOrder>3</b:RefOrder>
  </b:Source>
  <b:Source>
    <b:Tag>Col22</b:Tag>
    <b:SourceType>InternetSite</b:SourceType>
    <b:Guid>{950314E1-19FF-4B7B-8297-C59DEAAA6928}</b:Guid>
    <b:Author>
      <b:Author>
        <b:Corporate>College of Policing</b:Corporate>
      </b:Author>
    </b:Author>
    <b:Title>Risk - Authorised Professional Practice</b:Title>
    <b:YearAccessed>2022</b:YearAccessed>
    <b:MonthAccessed>May</b:MonthAccessed>
    <b:DayAccessed>16</b:DayAccessed>
    <b:URL>https://www.college.police.uk/app/risk#:~:text=The%20media%20and%20public%20tend,in%20case%20things%20go%20wrong.</b:URL>
    <b:RefOrder>4</b:RefOrder>
  </b:Source>
  <b:Source>
    <b:Tag>Bla19</b:Tag>
    <b:SourceType>JournalArticle</b:SourceType>
    <b:Guid>{A22CCA31-2AF2-4A79-816D-9FBD4CBE5B53}</b:Guid>
    <b:Title>Precautionary policing and dispositives of risk in a police force control room in domestic abuse incidents: an ethnography of call handlers, dispatchers and response officers</b:Title>
    <b:Year>2019</b:Year>
    <b:Author>
      <b:Author>
        <b:NameList>
          <b:Person>
            <b:Last>Black</b:Last>
            <b:First>Alex</b:First>
          </b:Person>
          <b:Person>
            <b:Last>Lumsden</b:Last>
            <b:First>Karen</b:First>
          </b:Person>
        </b:NameList>
      </b:Author>
    </b:Author>
    <b:JournalName>Policing and Society</b:JournalName>
    <b:Pages>65-80</b:Pages>
    <b:Volume>XXX</b:Volume>
    <b:Issue>1</b:Issue>
    <b:RefOrder>5</b:RefOrder>
  </b:Source>
  <b:Source>
    <b:Tag>The21</b:Tag>
    <b:SourceType>InternetSite</b:SourceType>
    <b:Guid>{837EE754-BEA0-4717-8650-7353C50AE6AE}</b:Guid>
    <b:Author>
      <b:Author>
        <b:Corporate>The Crown Prosecution Service</b:Corporate>
      </b:Author>
    </b:Author>
    <b:Title>Bail</b:Title>
    <b:Year>2021</b:Year>
    <b:YearAccessed>2022</b:YearAccessed>
    <b:MonthAccessed>May</b:MonthAccessed>
    <b:DayAccessed>16</b:DayAccessed>
    <b:URL>https://www.cps.gov.uk/legal-guidance/bail#:~:text=When%20bail%20is%20granted%20conditions,or%20for%20his%20own%20protection.</b:URL>
    <b:RefOrder>6</b:RefOrder>
  </b:Source>
  <b:Source>
    <b:Tag>Gri07</b:Tag>
    <b:SourceType>BookSection</b:SourceType>
    <b:Guid>{3A78EBF5-EC55-4FD7-B39A-761293F01199}</b:Guid>
    <b:Title>The Organisational Culture of the Police</b:Title>
    <b:Year>2007</b:Year>
    <b:Author>
      <b:Author>
        <b:NameList>
          <b:Person>
            <b:Last>Grieve</b:Last>
            <b:First>John</b:First>
          </b:Person>
          <b:Person>
            <b:Last>Harfield</b:Last>
            <b:First>Clive</b:First>
          </b:Person>
          <b:Person>
            <b:Last>MacVean</b:Last>
            <b:First>Allyson</b:First>
          </b:Person>
        </b:NameList>
      </b:Author>
    </b:Author>
    <b:City>London</b:City>
    <b:Publisher>Sage Publications Ltd</b:Publisher>
    <b:BookTitle>Policing</b:BookTitle>
    <b:Pages>116-120</b:Pages>
    <b:RefOrder>1</b:RefOrder>
  </b:Source>
  <b:Source>
    <b:Tag>Sch16</b:Tag>
    <b:SourceType>BookSection</b:SourceType>
    <b:Guid>{AB15B742-8771-428E-A93E-F6034A236240}</b:Guid>
    <b:Author>
      <b:Author>
        <b:NameList>
          <b:Person>
            <b:Last>Schein</b:Last>
            <b:First>Edgar</b:First>
            <b:Middle>H</b:Middle>
          </b:Person>
          <b:Person>
            <b:Last>Schein</b:Last>
            <b:First>Peter</b:First>
            <b:Middle>A</b:Middle>
          </b:Person>
        </b:NameList>
      </b:Author>
    </b:Author>
    <b:BookTitle>Organizational Culture and Leadership</b:BookTitle>
    <b:Year>2016</b:Year>
    <b:Pages>17</b:Pages>
    <b:City>Hoboken, New Jersey</b:City>
    <b:Publisher>John Wiley &amp; Sons, Incorporated</b:Publisher>
    <b:RefOrder>2</b:RefOrder>
  </b:Source>
  <b:Source>
    <b:Tag>Lim95</b:Tag>
    <b:SourceType>JournalArticle</b:SourceType>
    <b:Guid>{C4A8123A-F933-4C98-ADCD-F7EBCEEF3746}</b:Guid>
    <b:Title>Examining the organizational culture and organizational performance link</b:Title>
    <b:Year>1995</b:Year>
    <b:Pages>16-21</b:Pages>
    <b:Author>
      <b:Author>
        <b:NameList>
          <b:Person>
            <b:Last>Lim</b:Last>
            <b:First>Bernard</b:First>
          </b:Person>
        </b:NameList>
      </b:Author>
    </b:Author>
    <b:JournalName>Leadership &amp; Organization Development Journal</b:JournalName>
    <b:Volume>XVI</b:Volume>
    <b:Issue>5</b:Issue>
    <b:RefOrder>3</b:RefOrder>
  </b:Source>
  <b:Source>
    <b:Tag>Dan21</b:Tag>
    <b:SourceType>Report</b:SourceType>
    <b:Guid>{F61724F2-A9E7-44B9-B209-3DA475091E60}</b:Guid>
    <b:Title>The Report of the Daniel Morgan Independent Panel</b:Title>
    <b:Year>2021</b:Year>
    <b:Author>
      <b:Author>
        <b:Corporate>Daniel Morgan Independent Panel </b:Corporate>
      </b:Author>
    </b:Author>
    <b:RefOrder>4</b:RefOrder>
  </b:Source>
  <b:Source>
    <b:Tag>Sir99</b:Tag>
    <b:SourceType>Report</b:SourceType>
    <b:Guid>{54FD24B6-671E-4340-A574-F50012C65D40}</b:Guid>
    <b:Title>The Stephen Lawrence Inquiry</b:Title>
    <b:Year>1999</b:Year>
    <b:Author>
      <b:Author>
        <b:NameList>
          <b:Person>
            <b:Last>MacPherson</b:Last>
            <b:First>Sir</b:First>
            <b:Middle>William</b:Middle>
          </b:Person>
        </b:NameList>
      </b:Author>
    </b:Author>
    <b:RefOrder>5</b:RefOrder>
  </b:Source>
  <b:Source>
    <b:Tag>Hou22</b:Tag>
    <b:SourceType>DocumentFromInternetSite</b:SourceType>
    <b:Guid>{608988E2-C892-4AB2-AA27-273F73A0CDB9}</b:Guid>
    <b:Title>Reports of misogyny and sexual harassment in the Metropolitan police</b:Title>
    <b:Year>2022</b:Year>
    <b:Author>
      <b:Author>
        <b:Corporate>House of Commons</b:Corporate>
      </b:Author>
    </b:Author>
    <b:Month>March</b:Month>
    <b:Day>1</b:Day>
    <b:YearAccessed>2022</b:YearAccessed>
    <b:MonthAccessed>May</b:MonthAccessed>
    <b:DayAccessed>25</b:DayAccessed>
    <b:URL>https://researchbriefings.files.parliament.uk/documents/CDP-2022-0046/CDP-2022-0046.pdf</b:URL>
    <b:RefOrder>6</b:RefOrder>
  </b:Source>
  <b:Source>
    <b:Tag>Jeh95</b:Tag>
    <b:SourceType>JournalArticle</b:SourceType>
    <b:Guid>{18BCD47C-3786-4A05-872E-0E48BD00B6D2}</b:Guid>
    <b:Author>
      <b:Author>
        <b:NameList>
          <b:Person>
            <b:Last>Jehn</b:Last>
            <b:First>Karen</b:First>
            <b:Middle>A</b:Middle>
          </b:Person>
        </b:NameList>
      </b:Author>
    </b:Author>
    <b:Title>A multimethod examination of the benefits and detriments of intragroup conflict</b:Title>
    <b:JournalName>Administrative Science Quarterly</b:JournalName>
    <b:Year>1995</b:Year>
    <b:Pages>256-282</b:Pages>
    <b:Volume>40</b:Volume>
    <b:Issue>2</b:Issue>
    <b:RefOrder>7</b:RefOrder>
  </b:Source>
  <b:Source>
    <b:Tag>Met17</b:Tag>
    <b:SourceType>JournalArticle</b:SourceType>
    <b:Guid>{929BB8DF-ADD5-4B72-8AFA-01E5F6793214}</b:Guid>
    <b:Title>Shifting the blame: towards a self-reforming police service in England and Wales</b:Title>
    <b:Year>2017</b:Year>
    <b:Author>
      <b:Author>
        <b:Corporate>Metcalfe, Tim</b:Corporate>
      </b:Author>
    </b:Author>
    <b:JournalName>International Journal of Emergency Services</b:JournalName>
    <b:Pages>153-165</b:Pages>
    <b:Volume>6</b:Volume>
    <b:Issue>3</b:Issue>
    <b:RefOrder>8</b:RefOrder>
  </b:Source>
  <b:Source>
    <b:Tag>Wes14</b:Tag>
    <b:SourceType>InternetSite</b:SourceType>
    <b:Guid>{C0804764-C435-4DA0-A732-222B9E0AD9B9}</b:Guid>
    <b:Title>Blame culture: Police officers are “too fearful of making mistakes”</b:Title>
    <b:Year>2014</b:Year>
    <b:YearAccessed>2022</b:YearAccessed>
    <b:MonthAccessed>May</b:MonthAccessed>
    <b:DayAccessed>25</b:DayAccessed>
    <b:URL>https://wypf.polfed.org/2014/09/12/blame-culture-police-officers-are-too-fearful-of-making-mistakes/</b:URL>
    <b:Author>
      <b:Author>
        <b:Corporate>West Yorkshire Police Federation</b:Corporate>
      </b:Author>
    </b:Author>
    <b:RefOrder>9</b:RefOrder>
  </b:Source>
  <b:Source>
    <b:Tag>Hou16</b:Tag>
    <b:SourceType>DocumentFromInternetSite</b:SourceType>
    <b:Guid>{A66EBFE0-1B27-455A-9015-2725918F4B52}</b:Guid>
    <b:Title>Policing and Crime Bill</b:Title>
    <b:Year>2016</b:Year>
    <b:Author>
      <b:Author>
        <b:Corporate>House of Commons</b:Corporate>
      </b:Author>
    </b:Author>
    <b:Month>March</b:Month>
    <b:YearAccessed>25</b:YearAccessed>
    <b:MonthAccessed>May</b:MonthAccessed>
    <b:DayAccessed>2022</b:DayAccessed>
    <b:URL>https://publications.parliament.uk/pa/cm201516/cmpublic/policingandcrime/160315/am/160315s01.pdf</b:URL>
    <b:RefOrder>10</b:RefOrder>
  </b:Source>
  <b:Source>
    <b:Tag>Nat16</b:Tag>
    <b:SourceType>DocumentFromInternetSite</b:SourceType>
    <b:Guid>{A6563863-C824-4ED1-927B-E7B1FB3EB6AD}</b:Guid>
    <b:Author>
      <b:Author>
        <b:Corporate>National Police Chiefs’ Council and Association of Police and Crime Commissioners</b:Corporate>
      </b:Author>
    </b:Author>
    <b:Title>Policing Vision 2025</b:Title>
    <b:Year>2016</b:Year>
    <b:YearAccessed>2022</b:YearAccessed>
    <b:MonthAccessed>May</b:MonthAccessed>
    <b:DayAccessed>26</b:DayAccessed>
    <b:URL>https://www.npcc.police.uk/documents/Policing%20Vision.pdf</b:URL>
    <b:RefOrder>11</b:RefOrder>
  </b:Source>
  <b:Source>
    <b:Tag>The18</b:Tag>
    <b:SourceType>DocumentFromInternetSite</b:SourceType>
    <b:Guid>{967A0E47-2832-4528-AA5B-C98FD55EBEBE}</b:Guid>
    <b:Author>
      <b:Author>
        <b:Corporate>The Police Foundation</b:Corporate>
      </b:Author>
    </b:Author>
    <b:Title>How do we move from a blame culture to a learning culture in policing?</b:Title>
    <b:Year>2018</b:Year>
    <b:YearAccessed>2022</b:YearAccessed>
    <b:MonthAccessed>May</b:MonthAccessed>
    <b:DayAccessed>25</b:DayAccessed>
    <b:URL>https://www.police-foundation.org.uk/2017/wp-content/uploads/2018/07/from_blame_to_learning_policy_dinner.pdf</b:URL>
    <b:Month>June</b:Month>
    <b:RefOrder>12</b:RefOrder>
  </b:Source>
  <b:Source>
    <b:Tag>Hom14</b:Tag>
    <b:SourceType>DocumentFromInternetSite</b:SourceType>
    <b:Guid>{162BD759-A7CE-4902-A210-7C8A6F755218}</b:Guid>
    <b:Author>
      <b:Author>
        <b:Corporate>Home Office</b:Corporate>
      </b:Author>
    </b:Author>
    <b:Title>Improving police integrity: reforming the police complaints and disciplinary systems</b:Title>
    <b:Year>2014</b:Year>
    <b:Month>December</b:Month>
    <b:YearAccessed>2022</b:YearAccessed>
    <b:MonthAccessed>May </b:MonthAccessed>
    <b:DayAccessed>25</b:DayAccessed>
    <b:URL>https://assets.publishing.service.gov.uk/government/uploads/system/uploads/attachment_data/file/385896/45363_Cm_8976_Accessible.pdf</b:URL>
    <b:RefOrder>13</b:RefOrder>
  </b:Source>
  <b:Source>
    <b:Tag>Col221</b:Tag>
    <b:SourceType>InternetSite</b:SourceType>
    <b:Guid>{FDC52663-F299-4F1A-85C0-5D0AD163BC9D}</b:Guid>
    <b:Title>sus laws</b:Title>
    <b:Author>
      <b:Author>
        <b:Corporate>Collins English Dictionary</b:Corporate>
      </b:Author>
    </b:Author>
    <b:YearAccessed>2022</b:YearAccessed>
    <b:MonthAccessed>May</b:MonthAccessed>
    <b:DayAccessed>25</b:DayAccessed>
    <b:URL>https://www.collinsdictionary.com/dictionary/english/sus-laws</b:URL>
    <b:RefOrder>14</b:RefOrder>
  </b:Source>
  <b:Source>
    <b:Tag>Hal99</b:Tag>
    <b:SourceType>JournalArticle</b:SourceType>
    <b:Guid>{05C849B5-9B27-48D3-831E-BB041E70D47A}</b:Guid>
    <b:Title>From Scarman to Stephen Lawrence</b:Title>
    <b:Year>1999</b:Year>
    <b:Author>
      <b:Author>
        <b:NameList>
          <b:Person>
            <b:Last>Hall</b:Last>
            <b:First>Stuart</b:First>
          </b:Person>
        </b:NameList>
      </b:Author>
    </b:Author>
    <b:JournalName>History Workshop Journal</b:JournalName>
    <b:Pages>187-197</b:Pages>
    <b:Issue>48</b:Issue>
    <b:RefOrder>15</b:RefOrder>
  </b:Source>
  <b:Source>
    <b:Tag>Nat191</b:Tag>
    <b:SourceType>DocumentFromInternetSite</b:SourceType>
    <b:Guid>{08036DEF-034B-465D-949D-BD60F4D8B554}</b:Guid>
    <b:Title>National Strategic Assessment of Serious and Organised Crime</b:Title>
    <b:Year>2019</b:Year>
    <b:YearAccessed>2022</b:YearAccessed>
    <b:MonthAccessed>May</b:MonthAccessed>
    <b:DayAccessed>21</b:DayAccessed>
    <b:URL>https://nationalcrimeagency.gov.uk/who-we-are/publications/296-national-strategic-assessment-of-serious-organised-crime-2019/file</b:URL>
    <b:Author>
      <b:Author>
        <b:Corporate>National Crime Agency</b:Corporate>
      </b:Author>
    </b:Author>
    <b:RefOrder>1</b:RefOrder>
  </b:Source>
  <b:Source>
    <b:Tag>Nat224</b:Tag>
    <b:SourceType>InternetSite</b:SourceType>
    <b:Guid>{C621114C-D385-4DAD-A693-6D9203053213}</b:Guid>
    <b:Title>Automatic Number Plate Recognition (ANPR)</b:Title>
    <b:YearAccessed>2022</b:YearAccessed>
    <b:MonthAccessed>May</b:MonthAccessed>
    <b:DayAccessed>22</b:DayAccessed>
    <b:URL>https://www.npcc.police.uk/FreedomofInformation/ANPR.aspx</b:URL>
    <b:Author>
      <b:Author>
        <b:Corporate>National Police Chiefs' Council</b:Corporate>
      </b:Author>
    </b:Author>
    <b:RefOrder>2</b:RefOrder>
  </b:Source>
  <b:Source>
    <b:Tag>ANP12</b:Tag>
    <b:SourceType>Report</b:SourceType>
    <b:Guid>{459FF01F-0B6E-46A2-B3E9-585E6E134BDE}</b:Guid>
    <b:Title>The police use of Automatic Number Plate Recognition</b:Title>
    <b:Year>2012</b:Year>
    <b:Author>
      <b:Author>
        <b:Corporate>ANPR Working Group</b:Corporate>
      </b:Author>
    </b:Author>
    <b:Publisher>Association of Chief Police Officers</b:Publisher>
    <b:RefOrder>3</b:RefOrder>
  </b:Source>
  <b:Source>
    <b:Tag>Soi22</b:Tag>
    <b:SourceType>InternetSite</b:SourceType>
    <b:Guid>{49AAF41F-E0BB-4BE5-A053-36E952E5B08C}</b:Guid>
    <b:Author>
      <b:Author>
        <b:Corporate>Soitron</b:Corporate>
      </b:Author>
    </b:Author>
    <b:Title>Mobile ANPR</b:Title>
    <b:YearAccessed>2022</b:YearAccessed>
    <b:MonthAccessed>May</b:MonthAccessed>
    <b:DayAccessed>22</b:DayAccessed>
    <b:URL>https://www.mosysolutions.com/product/mobile-anpr/</b:URL>
    <b:RefOrder>4</b:RefOrder>
  </b:Source>
  <b:Source>
    <b:Tag>Col134</b:Tag>
    <b:SourceType>InternetSite</b:SourceType>
    <b:Guid>{E31D0402-83AA-4755-86DE-268B54E5A361}</b:Guid>
    <b:Title>ANPR</b:Title>
    <b:Year>2013</b:Year>
    <b:Author>
      <b:Author>
        <b:Corporate>College of Policing</b:Corporate>
      </b:Author>
    </b:Author>
    <b:YearAccessed>2022</b:YearAccessed>
    <b:MonthAccessed>April</b:MonthAccessed>
    <b:DayAccessed>3</b:DayAccessed>
    <b:URL>https://www.app.college.police.uk/app-content/investigations/investigative-strategies/investigative-strategiesanpr/#anpr-in-investigations</b:URL>
    <b:RefOrder>5</b:RefOrder>
  </b:Source>
  <b:Source>
    <b:Tag>Nat20</b:Tag>
    <b:SourceType>DocumentFromInternetSite</b:SourceType>
    <b:Guid>{5798E6AF-690A-4BE4-B14C-7E15241D926A}</b:Guid>
    <b:Author>
      <b:Author>
        <b:Corporate>National Crime Agency</b:Corporate>
      </b:Author>
    </b:Author>
    <b:Title>National Strategic Assessment of Serious and Organised Crime</b:Title>
    <b:Year>2020</b:Year>
    <b:YearAccessed>2022</b:YearAccessed>
    <b:MonthAccessed>January</b:MonthAccessed>
    <b:DayAccessed>30</b:DayAccessed>
    <b:URL>https://www.nationalcrimeagency.gov.uk/news/nsa2020</b:URL>
    <b:RefOrder>6</b:RefOrder>
  </b:Source>
  <b:Source>
    <b:Tag>Fel19</b:Tag>
    <b:SourceType>Report</b:SourceType>
    <b:Guid>{5B4669EE-A9AF-4633-9744-8F9B1B1C9512}</b:Guid>
    <b:Author>
      <b:Author>
        <b:NameList>
          <b:Person>
            <b:Last>Fell</b:Last>
            <b:First>Emily</b:First>
          </b:Person>
          <b:Person>
            <b:Last>James</b:Last>
            <b:First>Owen</b:First>
          </b:Person>
          <b:Person>
            <b:Last>Dienes</b:Last>
            <b:First>Harry</b:First>
          </b:Person>
          <b:Person>
            <b:Last>Shah</b:Last>
            <b:First>Neil</b:First>
          </b:Person>
          <b:Person>
            <b:Last>Grimshaw</b:Last>
            <b:First>James</b:First>
          </b:Person>
        </b:NameList>
      </b:Author>
    </b:Author>
    <b:Title>Understanding organised crime 2015/16 - Estimating the scale and the social and economic costs</b:Title>
    <b:Year>2019</b:Year>
    <b:Publisher>Home Office </b:Publisher>
    <b:RefOrder>7</b:RefOrder>
  </b:Source>
  <b:Source>
    <b:Tag>Off21</b:Tag>
    <b:SourceType>Report</b:SourceType>
    <b:Guid>{8449B52A-A777-41BF-8651-5A230242FCF3}</b:Guid>
    <b:Title>Deaths related to drug poisoning in England and Wales: 2020 registrations</b:Title>
    <b:Year>2021</b:Year>
    <b:Author>
      <b:Author>
        <b:Corporate>Office for National Statistics</b:Corporate>
      </b:Author>
    </b:Author>
    <b:RefOrder>8</b:RefOrder>
  </b:Source>
  <b:Source>
    <b:Tag>The221</b:Tag>
    <b:SourceType>InternetSite</b:SourceType>
    <b:Guid>{B1BA2F46-88C1-4ECE-AF41-11B07ABD7590}</b:Guid>
    <b:Author>
      <b:Author>
        <b:Corporate>The Crown Prosecution Service</b:Corporate>
      </b:Author>
    </b:Author>
    <b:Title>Fraud and economic crime</b:Title>
    <b:YearAccessed>2022</b:YearAccessed>
    <b:MonthAccessed>May</b:MonthAccessed>
    <b:DayAccessed>23</b:DayAccessed>
    <b:URL>https://www.cps.gov.uk/crime-info/fraud-and-economic-crime</b:URL>
    <b:RefOrder>9</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708C64E-8A5E-4BE6-A4A7-8FF65E2B71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25</Pages>
  <Words>8620</Words>
  <Characters>49136</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Victoria Allen</cp:lastModifiedBy>
  <cp:revision>9</cp:revision>
  <cp:lastPrinted>2022-04-25T11:48:00Z</cp:lastPrinted>
  <dcterms:created xsi:type="dcterms:W3CDTF">2022-05-26T01:55:00Z</dcterms:created>
  <dcterms:modified xsi:type="dcterms:W3CDTF">2022-05-26T02:07:00Z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