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05312" w14:textId="394A4365" w:rsidR="00C26841" w:rsidRPr="00C95C10" w:rsidRDefault="00F30D41" w:rsidP="00C26841">
      <w:pPr>
        <w:rPr>
          <w:rFonts w:cstheme="minorHAnsi"/>
        </w:rPr>
      </w:pPr>
      <w:bookmarkStart w:id="0" w:name="_GoBack"/>
      <w:bookmarkEnd w:id="0"/>
      <w:r w:rsidRPr="00C95C10">
        <w:rPr>
          <w:rFonts w:cstheme="minorHAnsi"/>
        </w:rPr>
        <w:t xml:space="preserve">Tintern </w:t>
      </w:r>
      <w:r w:rsidR="00C26841" w:rsidRPr="00C95C10">
        <w:rPr>
          <w:rFonts w:cstheme="minorHAnsi"/>
        </w:rPr>
        <w:t>A</w:t>
      </w:r>
      <w:r w:rsidRPr="00C95C10">
        <w:rPr>
          <w:rFonts w:cstheme="minorHAnsi"/>
        </w:rPr>
        <w:t>bbey</w:t>
      </w:r>
      <w:r w:rsidR="00A9629E" w:rsidRPr="00C95C10">
        <w:rPr>
          <w:rFonts w:cstheme="minorHAnsi"/>
        </w:rPr>
        <w:t xml:space="preserve"> is</w:t>
      </w:r>
      <w:r w:rsidRPr="00C95C10">
        <w:rPr>
          <w:rFonts w:cstheme="minorHAnsi"/>
        </w:rPr>
        <w:t xml:space="preserve"> a Cistercian abbey </w:t>
      </w:r>
      <w:r w:rsidR="0058354B" w:rsidRPr="00C95C10">
        <w:rPr>
          <w:rFonts w:cstheme="minorHAnsi"/>
        </w:rPr>
        <w:t>initially founded 1131,</w:t>
      </w:r>
      <w:r w:rsidR="00816616" w:rsidRPr="00C95C10">
        <w:rPr>
          <w:rFonts w:cstheme="minorHAnsi"/>
        </w:rPr>
        <w:t xml:space="preserve"> by Walter de Clare, “the grandson of Walter </w:t>
      </w:r>
      <w:proofErr w:type="spellStart"/>
      <w:r w:rsidR="00816616" w:rsidRPr="00C95C10">
        <w:rPr>
          <w:rFonts w:cstheme="minorHAnsi"/>
        </w:rPr>
        <w:t>Fitzosbert</w:t>
      </w:r>
      <w:proofErr w:type="spellEnd"/>
      <w:r w:rsidR="00816616" w:rsidRPr="00C95C10">
        <w:rPr>
          <w:rFonts w:cstheme="minorHAnsi"/>
        </w:rPr>
        <w:t xml:space="preserve">, Earl of </w:t>
      </w:r>
      <w:proofErr w:type="spellStart"/>
      <w:r w:rsidR="00816616" w:rsidRPr="00C95C10">
        <w:rPr>
          <w:rFonts w:cstheme="minorHAnsi"/>
        </w:rPr>
        <w:t>Ew</w:t>
      </w:r>
      <w:proofErr w:type="spellEnd"/>
      <w:r w:rsidR="00816616" w:rsidRPr="00C95C10">
        <w:rPr>
          <w:rFonts w:cstheme="minorHAnsi"/>
        </w:rPr>
        <w:t>”</w:t>
      </w:r>
      <w:r w:rsidR="00C26841" w:rsidRPr="00C95C10">
        <w:rPr>
          <w:rStyle w:val="FootnoteReference"/>
          <w:rFonts w:cstheme="minorHAnsi"/>
        </w:rPr>
        <w:footnoteReference w:id="1"/>
      </w:r>
      <w:r w:rsidR="00816616" w:rsidRPr="00C95C10">
        <w:rPr>
          <w:rFonts w:cstheme="minorHAnsi"/>
        </w:rPr>
        <w:t xml:space="preserve"> gifted the land by the Conqueror of </w:t>
      </w:r>
      <w:r w:rsidR="00C26841" w:rsidRPr="00C95C10">
        <w:rPr>
          <w:rFonts w:cstheme="minorHAnsi"/>
        </w:rPr>
        <w:t>Wales</w:t>
      </w:r>
      <w:r w:rsidR="00816616" w:rsidRPr="00C95C10">
        <w:rPr>
          <w:rFonts w:cstheme="minorHAnsi"/>
        </w:rPr>
        <w:t>.</w:t>
      </w:r>
      <w:r w:rsidR="005C5952" w:rsidRPr="00C95C10">
        <w:rPr>
          <w:rFonts w:cstheme="minorHAnsi"/>
        </w:rPr>
        <w:t xml:space="preserve"> With some believed descendants of renown being latter buried at Tintern abbey, such as “Richard de Clare or </w:t>
      </w:r>
      <w:proofErr w:type="spellStart"/>
      <w:r w:rsidR="005C5952" w:rsidRPr="00C95C10">
        <w:rPr>
          <w:rFonts w:cstheme="minorHAnsi"/>
        </w:rPr>
        <w:t>Stronbow</w:t>
      </w:r>
      <w:proofErr w:type="spellEnd"/>
      <w:r w:rsidR="005C5952" w:rsidRPr="00C95C10">
        <w:rPr>
          <w:rFonts w:cstheme="minorHAnsi"/>
        </w:rPr>
        <w:t>, Known to history as the conqueror of Ireland in the reign of Henry II”</w:t>
      </w:r>
      <w:r w:rsidR="005C5952" w:rsidRPr="00C95C10">
        <w:rPr>
          <w:rStyle w:val="FootnoteReference"/>
          <w:rFonts w:cstheme="minorHAnsi"/>
        </w:rPr>
        <w:footnoteReference w:id="2"/>
      </w:r>
      <w:r w:rsidR="00C26841" w:rsidRPr="00C95C10">
        <w:rPr>
          <w:rFonts w:cstheme="minorHAnsi"/>
        </w:rPr>
        <w:t xml:space="preserve">. While the passage of time isn’t kind, Tintern Abbey </w:t>
      </w:r>
      <w:r w:rsidR="0004442B" w:rsidRPr="00C95C10">
        <w:rPr>
          <w:rFonts w:cstheme="minorHAnsi"/>
        </w:rPr>
        <w:t xml:space="preserve">while not like the </w:t>
      </w:r>
      <w:r w:rsidR="0004442B" w:rsidRPr="00C95C10">
        <w:rPr>
          <w:rFonts w:cstheme="minorHAnsi"/>
          <w:bCs/>
          <w:color w:val="000000"/>
        </w:rPr>
        <w:t xml:space="preserve">great Cistercian abbey churches at Fountains and </w:t>
      </w:r>
      <w:proofErr w:type="spellStart"/>
      <w:r w:rsidR="0004442B" w:rsidRPr="00C95C10">
        <w:rPr>
          <w:rFonts w:cstheme="minorHAnsi"/>
          <w:bCs/>
          <w:color w:val="000000"/>
        </w:rPr>
        <w:t>Rievaulx</w:t>
      </w:r>
      <w:proofErr w:type="spellEnd"/>
      <w:r w:rsidR="0004442B" w:rsidRPr="00C95C10">
        <w:rPr>
          <w:rFonts w:cstheme="minorHAnsi"/>
          <w:bCs/>
          <w:color w:val="000000"/>
        </w:rPr>
        <w:t>, its completeness makes it impressive.</w:t>
      </w:r>
      <w:r w:rsidR="0004442B" w:rsidRPr="00C95C10">
        <w:rPr>
          <w:rFonts w:cstheme="minorHAnsi"/>
          <w:b/>
          <w:bCs/>
          <w:color w:val="000000"/>
        </w:rPr>
        <w:t xml:space="preserve"> </w:t>
      </w:r>
      <w:r w:rsidR="00C26841" w:rsidRPr="00C95C10">
        <w:rPr>
          <w:rFonts w:cstheme="minorHAnsi"/>
        </w:rPr>
        <w:t>Tintern in her ruined glory is “typical of all that is beautiful and picturesque in the ruined abbeys of England.”</w:t>
      </w:r>
      <w:r w:rsidR="00C26841" w:rsidRPr="00C95C10">
        <w:rPr>
          <w:rStyle w:val="FootnoteReference"/>
          <w:rFonts w:cstheme="minorHAnsi"/>
        </w:rPr>
        <w:footnoteReference w:id="3"/>
      </w:r>
      <w:r w:rsidR="007940DC" w:rsidRPr="00C95C10">
        <w:rPr>
          <w:rFonts w:cstheme="minorHAnsi"/>
        </w:rPr>
        <w:t xml:space="preserve"> </w:t>
      </w:r>
    </w:p>
    <w:p w14:paraId="7260D3C2" w14:textId="6A8B6965" w:rsidR="00C95C10" w:rsidRDefault="00C95C10" w:rsidP="00F30D41">
      <w:pPr>
        <w:pStyle w:val="NormalWeb"/>
        <w:spacing w:before="0" w:beforeAutospacing="0" w:after="0" w:afterAutospacing="0"/>
        <w:jc w:val="both"/>
        <w:rPr>
          <w:rFonts w:asciiTheme="minorHAnsi" w:hAnsiTheme="minorHAnsi" w:cstheme="minorHAnsi"/>
          <w:sz w:val="22"/>
          <w:szCs w:val="22"/>
        </w:rPr>
      </w:pPr>
      <w:r w:rsidRPr="00C95C10">
        <w:rPr>
          <w:rFonts w:asciiTheme="minorHAnsi" w:hAnsiTheme="minorHAnsi" w:cstheme="minorHAnsi"/>
          <w:noProof/>
          <w:sz w:val="22"/>
          <w:szCs w:val="22"/>
        </w:rPr>
        <w:drawing>
          <wp:anchor distT="0" distB="0" distL="114300" distR="114300" simplePos="0" relativeHeight="251659264" behindDoc="1" locked="0" layoutInCell="1" allowOverlap="1" wp14:anchorId="1186A47C" wp14:editId="54B83B9A">
            <wp:simplePos x="0" y="0"/>
            <wp:positionH relativeFrom="column">
              <wp:posOffset>-295275</wp:posOffset>
            </wp:positionH>
            <wp:positionV relativeFrom="paragraph">
              <wp:posOffset>902970</wp:posOffset>
            </wp:positionV>
            <wp:extent cx="2876550" cy="3655695"/>
            <wp:effectExtent l="152400" t="152400" r="361950" b="363855"/>
            <wp:wrapTight wrapText="bothSides">
              <wp:wrapPolygon edited="0">
                <wp:start x="572" y="-900"/>
                <wp:lineTo x="-1144" y="-675"/>
                <wp:lineTo x="-1144" y="22061"/>
                <wp:lineTo x="-572" y="22737"/>
                <wp:lineTo x="1287" y="23412"/>
                <wp:lineTo x="1430" y="23637"/>
                <wp:lineTo x="21600" y="23637"/>
                <wp:lineTo x="21743" y="23412"/>
                <wp:lineTo x="23603" y="22737"/>
                <wp:lineTo x="24175" y="20936"/>
                <wp:lineTo x="24175" y="1126"/>
                <wp:lineTo x="22458" y="-563"/>
                <wp:lineTo x="22315" y="-900"/>
                <wp:lineTo x="572" y="-900"/>
              </wp:wrapPolygon>
            </wp:wrapTight>
            <wp:docPr id="7" name="Picture 7" descr="http://www.petitciteaux.com/vca/12th_files/droppedIm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petitciteaux.com/vca/12th_files/droppedImage_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6550" cy="36556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D50823" w:rsidRPr="00C95C10">
        <w:rPr>
          <w:rFonts w:asciiTheme="minorHAnsi" w:hAnsiTheme="minorHAnsi" w:cstheme="minorHAnsi"/>
          <w:sz w:val="22"/>
          <w:szCs w:val="22"/>
        </w:rPr>
        <w:t xml:space="preserve">What is important about </w:t>
      </w:r>
      <w:r w:rsidR="00F92673" w:rsidRPr="00C95C10">
        <w:rPr>
          <w:rFonts w:asciiTheme="minorHAnsi" w:hAnsiTheme="minorHAnsi" w:cstheme="minorHAnsi"/>
          <w:sz w:val="22"/>
          <w:szCs w:val="22"/>
        </w:rPr>
        <w:t xml:space="preserve">the De Clare family and their connections to Tintern Abbey is that, through numerous campaigns in Ireland, the De Clare family established another Tintern Abbey in the </w:t>
      </w:r>
      <w:r w:rsidR="00B410CF">
        <w:rPr>
          <w:rFonts w:asciiTheme="minorHAnsi" w:hAnsiTheme="minorHAnsi" w:cstheme="minorHAnsi"/>
          <w:sz w:val="22"/>
          <w:szCs w:val="22"/>
        </w:rPr>
        <w:t>C</w:t>
      </w:r>
      <w:r w:rsidR="00F92673" w:rsidRPr="00C95C10">
        <w:rPr>
          <w:rFonts w:asciiTheme="minorHAnsi" w:hAnsiTheme="minorHAnsi" w:cstheme="minorHAnsi"/>
          <w:sz w:val="22"/>
          <w:szCs w:val="22"/>
        </w:rPr>
        <w:t>ounty Wexford.</w:t>
      </w:r>
      <w:r w:rsidR="00917F82" w:rsidRPr="00C95C10">
        <w:rPr>
          <w:rStyle w:val="FootnoteReference"/>
          <w:rFonts w:asciiTheme="minorHAnsi" w:hAnsiTheme="minorHAnsi" w:cstheme="minorHAnsi"/>
          <w:sz w:val="22"/>
          <w:szCs w:val="22"/>
        </w:rPr>
        <w:footnoteReference w:id="4"/>
      </w:r>
      <w:r w:rsidR="00F92673" w:rsidRPr="00C95C10">
        <w:rPr>
          <w:rFonts w:asciiTheme="minorHAnsi" w:hAnsiTheme="minorHAnsi" w:cstheme="minorHAnsi"/>
          <w:sz w:val="22"/>
          <w:szCs w:val="22"/>
        </w:rPr>
        <w:t xml:space="preserve"> With monks coming from its motherhouse in wales to colonise its Irish sister, a distinction of “Tintern Major” for the motherhouse in wales, and “Tintern de </w:t>
      </w:r>
      <w:proofErr w:type="spellStart"/>
      <w:r w:rsidR="00F92673" w:rsidRPr="00C95C10">
        <w:rPr>
          <w:rFonts w:asciiTheme="minorHAnsi" w:hAnsiTheme="minorHAnsi" w:cstheme="minorHAnsi"/>
          <w:sz w:val="22"/>
          <w:szCs w:val="22"/>
        </w:rPr>
        <w:t>Voto</w:t>
      </w:r>
      <w:proofErr w:type="spellEnd"/>
      <w:r w:rsidR="00F92673" w:rsidRPr="00C95C10">
        <w:rPr>
          <w:rFonts w:asciiTheme="minorHAnsi" w:hAnsiTheme="minorHAnsi" w:cstheme="minorHAnsi"/>
          <w:sz w:val="22"/>
          <w:szCs w:val="22"/>
        </w:rPr>
        <w:t>” meaning</w:t>
      </w:r>
      <w:r w:rsidR="00917F82" w:rsidRPr="00C95C10">
        <w:rPr>
          <w:rFonts w:asciiTheme="minorHAnsi" w:hAnsiTheme="minorHAnsi" w:cstheme="minorHAnsi"/>
          <w:sz w:val="22"/>
          <w:szCs w:val="22"/>
        </w:rPr>
        <w:t xml:space="preserve"> “Tintern of the</w:t>
      </w:r>
      <w:r w:rsidR="00F70115" w:rsidRPr="00C95C10">
        <w:rPr>
          <w:rFonts w:asciiTheme="minorHAnsi" w:hAnsiTheme="minorHAnsi" w:cstheme="minorHAnsi"/>
          <w:sz w:val="22"/>
          <w:szCs w:val="22"/>
        </w:rPr>
        <w:t xml:space="preserve"> </w:t>
      </w:r>
      <w:r w:rsidR="00917F82" w:rsidRPr="00C95C10">
        <w:rPr>
          <w:rFonts w:asciiTheme="minorHAnsi" w:hAnsiTheme="minorHAnsi" w:cstheme="minorHAnsi"/>
          <w:sz w:val="22"/>
          <w:szCs w:val="22"/>
        </w:rPr>
        <w:t xml:space="preserve">Vow”, </w:t>
      </w:r>
      <w:r w:rsidR="004D161F">
        <w:rPr>
          <w:rFonts w:asciiTheme="minorHAnsi" w:hAnsiTheme="minorHAnsi" w:cstheme="minorHAnsi"/>
          <w:sz w:val="22"/>
          <w:szCs w:val="22"/>
        </w:rPr>
        <w:t>concerning</w:t>
      </w:r>
      <w:r w:rsidR="00917F82" w:rsidRPr="00C95C10">
        <w:rPr>
          <w:rFonts w:asciiTheme="minorHAnsi" w:hAnsiTheme="minorHAnsi" w:cstheme="minorHAnsi"/>
          <w:sz w:val="22"/>
          <w:szCs w:val="22"/>
        </w:rPr>
        <w:t xml:space="preserve"> Marshall’s</w:t>
      </w:r>
      <w:r w:rsidR="00917F82" w:rsidRPr="00C95C10">
        <w:rPr>
          <w:rStyle w:val="FootnoteReference"/>
          <w:rFonts w:asciiTheme="minorHAnsi" w:hAnsiTheme="minorHAnsi" w:cstheme="minorHAnsi"/>
          <w:sz w:val="22"/>
          <w:szCs w:val="22"/>
        </w:rPr>
        <w:footnoteReference w:id="5"/>
      </w:r>
      <w:r w:rsidR="00917F82" w:rsidRPr="00C95C10">
        <w:rPr>
          <w:rFonts w:asciiTheme="minorHAnsi" w:hAnsiTheme="minorHAnsi" w:cstheme="minorHAnsi"/>
          <w:sz w:val="22"/>
          <w:szCs w:val="22"/>
        </w:rPr>
        <w:t xml:space="preserve"> vow “to build an abbey wherever his boat came ashore.”</w:t>
      </w:r>
      <w:r w:rsidR="00917F82" w:rsidRPr="00C95C10">
        <w:rPr>
          <w:rStyle w:val="FootnoteReference"/>
          <w:rFonts w:asciiTheme="minorHAnsi" w:hAnsiTheme="minorHAnsi" w:cstheme="minorHAnsi"/>
          <w:sz w:val="22"/>
          <w:szCs w:val="22"/>
        </w:rPr>
        <w:footnoteReference w:id="6"/>
      </w:r>
      <w:r w:rsidR="004D161F">
        <w:rPr>
          <w:rFonts w:asciiTheme="minorHAnsi" w:hAnsiTheme="minorHAnsi" w:cstheme="minorHAnsi"/>
          <w:sz w:val="22"/>
          <w:szCs w:val="22"/>
        </w:rPr>
        <w:t xml:space="preserve"> The whole tree and dated can be seen in</w:t>
      </w:r>
      <w:r w:rsidR="00F70115" w:rsidRPr="00C95C10">
        <w:rPr>
          <w:rFonts w:asciiTheme="minorHAnsi" w:hAnsiTheme="minorHAnsi" w:cstheme="minorHAnsi"/>
          <w:sz w:val="22"/>
          <w:szCs w:val="22"/>
        </w:rPr>
        <w:t xml:space="preserve"> </w:t>
      </w:r>
      <w:r w:rsidR="004D161F">
        <w:rPr>
          <w:rFonts w:asciiTheme="minorHAnsi" w:hAnsiTheme="minorHAnsi" w:cstheme="minorHAnsi"/>
          <w:sz w:val="22"/>
          <w:szCs w:val="22"/>
        </w:rPr>
        <w:t>this</w:t>
      </w:r>
      <w:r>
        <w:rPr>
          <w:rFonts w:asciiTheme="minorHAnsi" w:hAnsiTheme="minorHAnsi" w:cstheme="minorHAnsi"/>
          <w:sz w:val="22"/>
          <w:szCs w:val="22"/>
        </w:rPr>
        <w:t xml:space="preserve"> </w:t>
      </w:r>
      <w:r w:rsidR="00842091" w:rsidRPr="00C95C10">
        <w:rPr>
          <w:rFonts w:asciiTheme="minorHAnsi" w:hAnsiTheme="minorHAnsi" w:cstheme="minorHAnsi"/>
          <w:sz w:val="22"/>
          <w:szCs w:val="22"/>
        </w:rPr>
        <w:t xml:space="preserve">family tree, from </w:t>
      </w:r>
      <w:proofErr w:type="spellStart"/>
      <w:r w:rsidR="00842091" w:rsidRPr="00C95C10">
        <w:rPr>
          <w:rFonts w:asciiTheme="minorHAnsi" w:hAnsiTheme="minorHAnsi" w:cstheme="minorHAnsi"/>
          <w:sz w:val="22"/>
          <w:szCs w:val="22"/>
        </w:rPr>
        <w:t>L’Aumone</w:t>
      </w:r>
      <w:proofErr w:type="spellEnd"/>
      <w:r w:rsidR="00842091" w:rsidRPr="00C95C10">
        <w:rPr>
          <w:rFonts w:asciiTheme="minorHAnsi" w:hAnsiTheme="minorHAnsi" w:cstheme="minorHAnsi"/>
          <w:sz w:val="22"/>
          <w:szCs w:val="22"/>
        </w:rPr>
        <w:t xml:space="preserve"> </w:t>
      </w:r>
      <w:proofErr w:type="spellStart"/>
      <w:r w:rsidR="00842091" w:rsidRPr="00C95C10">
        <w:rPr>
          <w:rFonts w:asciiTheme="minorHAnsi" w:hAnsiTheme="minorHAnsi" w:cstheme="minorHAnsi"/>
          <w:sz w:val="22"/>
          <w:szCs w:val="22"/>
        </w:rPr>
        <w:t>ou</w:t>
      </w:r>
      <w:proofErr w:type="spellEnd"/>
      <w:r w:rsidR="00842091" w:rsidRPr="00C95C10">
        <w:rPr>
          <w:rFonts w:asciiTheme="minorHAnsi" w:hAnsiTheme="minorHAnsi" w:cstheme="minorHAnsi"/>
          <w:sz w:val="22"/>
          <w:szCs w:val="22"/>
        </w:rPr>
        <w:t xml:space="preserve"> Petit Citeaux</w:t>
      </w:r>
      <w:r w:rsidR="004D161F">
        <w:rPr>
          <w:rFonts w:asciiTheme="minorHAnsi" w:hAnsiTheme="minorHAnsi" w:cstheme="minorHAnsi"/>
          <w:sz w:val="22"/>
          <w:szCs w:val="22"/>
        </w:rPr>
        <w:t xml:space="preserve"> 1121</w:t>
      </w:r>
      <w:r w:rsidR="00842091" w:rsidRPr="00C95C10">
        <w:rPr>
          <w:rFonts w:asciiTheme="minorHAnsi" w:hAnsiTheme="minorHAnsi" w:cstheme="minorHAnsi"/>
          <w:sz w:val="22"/>
          <w:szCs w:val="22"/>
        </w:rPr>
        <w:t xml:space="preserve"> to Tintern </w:t>
      </w:r>
      <w:r w:rsidR="004D161F">
        <w:rPr>
          <w:rFonts w:asciiTheme="minorHAnsi" w:hAnsiTheme="minorHAnsi" w:cstheme="minorHAnsi"/>
          <w:sz w:val="22"/>
          <w:szCs w:val="22"/>
        </w:rPr>
        <w:t>P</w:t>
      </w:r>
      <w:r w:rsidR="00842091" w:rsidRPr="00C95C10">
        <w:rPr>
          <w:rFonts w:asciiTheme="minorHAnsi" w:hAnsiTheme="minorHAnsi" w:cstheme="minorHAnsi"/>
          <w:sz w:val="22"/>
          <w:szCs w:val="22"/>
        </w:rPr>
        <w:t xml:space="preserve">arva </w:t>
      </w:r>
      <w:proofErr w:type="spellStart"/>
      <w:r w:rsidR="00842091" w:rsidRPr="00C95C10">
        <w:rPr>
          <w:rFonts w:asciiTheme="minorHAnsi" w:hAnsiTheme="minorHAnsi" w:cstheme="minorHAnsi"/>
          <w:sz w:val="22"/>
          <w:szCs w:val="22"/>
        </w:rPr>
        <w:t>s.minor</w:t>
      </w:r>
      <w:proofErr w:type="spellEnd"/>
      <w:r w:rsidR="00842091" w:rsidRPr="00C95C10">
        <w:rPr>
          <w:rFonts w:asciiTheme="minorHAnsi" w:hAnsiTheme="minorHAnsi" w:cstheme="minorHAnsi"/>
          <w:sz w:val="22"/>
          <w:szCs w:val="22"/>
        </w:rPr>
        <w:t xml:space="preserve"> 120</w:t>
      </w:r>
      <w:r>
        <w:rPr>
          <w:rFonts w:asciiTheme="minorHAnsi" w:hAnsiTheme="minorHAnsi" w:cstheme="minorHAnsi"/>
          <w:sz w:val="22"/>
          <w:szCs w:val="22"/>
        </w:rPr>
        <w:t>.</w:t>
      </w:r>
    </w:p>
    <w:p w14:paraId="58BB26C7" w14:textId="77777777" w:rsidR="00C95C10" w:rsidRDefault="00C95C10" w:rsidP="00F30D41">
      <w:pPr>
        <w:pStyle w:val="NormalWeb"/>
        <w:spacing w:before="0" w:beforeAutospacing="0" w:after="0" w:afterAutospacing="0"/>
        <w:jc w:val="both"/>
        <w:rPr>
          <w:rFonts w:asciiTheme="minorHAnsi" w:hAnsiTheme="minorHAnsi" w:cstheme="minorHAnsi"/>
          <w:noProof/>
          <w:sz w:val="22"/>
          <w:szCs w:val="22"/>
        </w:rPr>
      </w:pPr>
    </w:p>
    <w:p w14:paraId="0135A3B7"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15A21463"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1F5B460A"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49A5C86E"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3ECC2879"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7092E2FC"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7341D3F7"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6CD3498A"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57391282"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51D56629"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2A229405"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7C7BDB99"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6053D12E"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54139592"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447259C3"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45E38F0D"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523DB1FB" w14:textId="77777777" w:rsidR="00C95C10" w:rsidRDefault="00C95C10" w:rsidP="00F30D41">
      <w:pPr>
        <w:pStyle w:val="NormalWeb"/>
        <w:spacing w:before="0" w:beforeAutospacing="0" w:after="0" w:afterAutospacing="0"/>
        <w:jc w:val="both"/>
        <w:rPr>
          <w:rFonts w:asciiTheme="minorHAnsi" w:hAnsiTheme="minorHAnsi" w:cstheme="minorHAnsi"/>
          <w:sz w:val="22"/>
          <w:szCs w:val="22"/>
        </w:rPr>
      </w:pPr>
    </w:p>
    <w:p w14:paraId="55989A4A" w14:textId="133A7E3B" w:rsidR="00F70115" w:rsidRPr="004D161F" w:rsidRDefault="00F70115" w:rsidP="00F30D41">
      <w:pPr>
        <w:pStyle w:val="NormalWeb"/>
        <w:spacing w:before="0" w:beforeAutospacing="0" w:after="0" w:afterAutospacing="0"/>
        <w:jc w:val="both"/>
        <w:rPr>
          <w:rFonts w:asciiTheme="minorHAnsi" w:hAnsiTheme="minorHAnsi" w:cstheme="minorHAnsi"/>
          <w:sz w:val="22"/>
          <w:szCs w:val="22"/>
        </w:rPr>
      </w:pPr>
      <w:r w:rsidRPr="004D161F">
        <w:rPr>
          <w:rFonts w:asciiTheme="minorHAnsi" w:hAnsiTheme="minorHAnsi" w:cstheme="minorHAnsi"/>
          <w:sz w:val="22"/>
          <w:szCs w:val="22"/>
        </w:rPr>
        <w:t>Tintern Abbey Family Tree</w:t>
      </w:r>
      <w:r w:rsidRPr="004D161F">
        <w:rPr>
          <w:rStyle w:val="FootnoteReference"/>
          <w:rFonts w:asciiTheme="minorHAnsi" w:hAnsiTheme="minorHAnsi" w:cstheme="minorHAnsi"/>
          <w:sz w:val="22"/>
          <w:szCs w:val="22"/>
        </w:rPr>
        <w:footnoteReference w:id="7"/>
      </w:r>
      <w:r w:rsidR="004D161F" w:rsidRPr="004D161F">
        <w:rPr>
          <w:rFonts w:asciiTheme="minorHAnsi" w:hAnsiTheme="minorHAnsi" w:cstheme="minorHAnsi"/>
          <w:sz w:val="22"/>
          <w:szCs w:val="22"/>
        </w:rPr>
        <w:t>.</w:t>
      </w:r>
    </w:p>
    <w:p w14:paraId="79743FF0" w14:textId="3F5E6255" w:rsidR="00F70115" w:rsidRPr="00C95C10" w:rsidRDefault="00F70115" w:rsidP="00F30D41">
      <w:pPr>
        <w:pStyle w:val="NormalWeb"/>
        <w:spacing w:before="0" w:beforeAutospacing="0" w:after="0" w:afterAutospacing="0"/>
        <w:jc w:val="both"/>
        <w:rPr>
          <w:rFonts w:asciiTheme="minorHAnsi" w:hAnsiTheme="minorHAnsi" w:cstheme="minorHAnsi"/>
          <w:sz w:val="22"/>
          <w:szCs w:val="22"/>
        </w:rPr>
      </w:pPr>
    </w:p>
    <w:p w14:paraId="20CE9CDE" w14:textId="38BAE160" w:rsidR="003212C3" w:rsidRPr="00C95C10" w:rsidRDefault="003212C3" w:rsidP="00F30D41">
      <w:pPr>
        <w:pStyle w:val="NormalWeb"/>
        <w:spacing w:before="0" w:beforeAutospacing="0" w:after="0" w:afterAutospacing="0"/>
        <w:jc w:val="both"/>
        <w:rPr>
          <w:rFonts w:asciiTheme="minorHAnsi" w:hAnsiTheme="minorHAnsi" w:cstheme="minorHAnsi"/>
          <w:sz w:val="22"/>
          <w:szCs w:val="22"/>
        </w:rPr>
      </w:pPr>
      <w:r w:rsidRPr="00C95C10">
        <w:rPr>
          <w:rFonts w:asciiTheme="minorHAnsi" w:hAnsiTheme="minorHAnsi" w:cstheme="minorHAnsi"/>
          <w:sz w:val="22"/>
          <w:szCs w:val="22"/>
        </w:rPr>
        <w:lastRenderedPageBreak/>
        <w:t xml:space="preserve">Tintern was built upon a flat landscape, encircled by wooded hills breached by the river </w:t>
      </w:r>
      <w:r w:rsidR="00725425" w:rsidRPr="00C95C10">
        <w:rPr>
          <w:rFonts w:asciiTheme="minorHAnsi" w:hAnsiTheme="minorHAnsi" w:cstheme="minorHAnsi"/>
          <w:sz w:val="22"/>
          <w:szCs w:val="22"/>
        </w:rPr>
        <w:t>W</w:t>
      </w:r>
      <w:r w:rsidRPr="00C95C10">
        <w:rPr>
          <w:rFonts w:asciiTheme="minorHAnsi" w:hAnsiTheme="minorHAnsi" w:cstheme="minorHAnsi"/>
          <w:sz w:val="22"/>
          <w:szCs w:val="22"/>
        </w:rPr>
        <w:t>ye</w:t>
      </w:r>
      <w:r w:rsidR="00725425" w:rsidRPr="00C95C10">
        <w:rPr>
          <w:rFonts w:asciiTheme="minorHAnsi" w:hAnsiTheme="minorHAnsi" w:cstheme="minorHAnsi"/>
          <w:sz w:val="22"/>
          <w:szCs w:val="22"/>
        </w:rPr>
        <w:t xml:space="preserve"> allowing an easily accessible water supply</w:t>
      </w:r>
      <w:r w:rsidRPr="00C95C10">
        <w:rPr>
          <w:rFonts w:asciiTheme="minorHAnsi" w:hAnsiTheme="minorHAnsi" w:cstheme="minorHAnsi"/>
          <w:sz w:val="22"/>
          <w:szCs w:val="22"/>
        </w:rPr>
        <w:t xml:space="preserve"> on the welsh bank</w:t>
      </w:r>
      <w:r w:rsidR="00725425" w:rsidRPr="00C95C10">
        <w:rPr>
          <w:rFonts w:asciiTheme="minorHAnsi" w:hAnsiTheme="minorHAnsi" w:cstheme="minorHAnsi"/>
          <w:sz w:val="22"/>
          <w:szCs w:val="22"/>
        </w:rPr>
        <w:t>.</w:t>
      </w:r>
      <w:r w:rsidRPr="00C95C10">
        <w:rPr>
          <w:rFonts w:asciiTheme="minorHAnsi" w:hAnsiTheme="minorHAnsi" w:cstheme="minorHAnsi"/>
          <w:sz w:val="22"/>
          <w:szCs w:val="22"/>
        </w:rPr>
        <w:t xml:space="preserve"> </w:t>
      </w:r>
      <w:r w:rsidR="00725425" w:rsidRPr="00C95C10">
        <w:rPr>
          <w:rFonts w:asciiTheme="minorHAnsi" w:hAnsiTheme="minorHAnsi" w:cstheme="minorHAnsi"/>
          <w:sz w:val="22"/>
          <w:szCs w:val="22"/>
        </w:rPr>
        <w:t>L</w:t>
      </w:r>
      <w:r w:rsidRPr="00C95C10">
        <w:rPr>
          <w:rFonts w:asciiTheme="minorHAnsi" w:hAnsiTheme="minorHAnsi" w:cstheme="minorHAnsi"/>
          <w:sz w:val="22"/>
          <w:szCs w:val="22"/>
        </w:rPr>
        <w:t xml:space="preserve">ocated on the border </w:t>
      </w:r>
      <w:r w:rsidR="00E3692D" w:rsidRPr="00C95C10">
        <w:rPr>
          <w:rFonts w:asciiTheme="minorHAnsi" w:hAnsiTheme="minorHAnsi" w:cstheme="minorHAnsi"/>
          <w:sz w:val="22"/>
          <w:szCs w:val="22"/>
        </w:rPr>
        <w:t>with England, becoming a known location to traverse for the romantics</w:t>
      </w:r>
      <w:r w:rsidRPr="00C95C10">
        <w:rPr>
          <w:rFonts w:asciiTheme="minorHAnsi" w:hAnsiTheme="minorHAnsi" w:cstheme="minorHAnsi"/>
          <w:sz w:val="22"/>
          <w:szCs w:val="22"/>
        </w:rPr>
        <w:t>.</w:t>
      </w:r>
      <w:r w:rsidR="00815454" w:rsidRPr="00C95C10">
        <w:rPr>
          <w:rFonts w:asciiTheme="minorHAnsi" w:hAnsiTheme="minorHAnsi" w:cstheme="minorHAnsi"/>
          <w:sz w:val="22"/>
          <w:szCs w:val="22"/>
        </w:rPr>
        <w:t xml:space="preserve"> Metaphorically isolated, being a respite away from any turbulent welsh monasteries that were stricken hard by welsh uprisings</w:t>
      </w:r>
      <w:r w:rsidR="00815454" w:rsidRPr="00C95C10">
        <w:rPr>
          <w:rStyle w:val="FootnoteReference"/>
          <w:rFonts w:asciiTheme="minorHAnsi" w:hAnsiTheme="minorHAnsi" w:cstheme="minorHAnsi"/>
          <w:sz w:val="22"/>
          <w:szCs w:val="22"/>
        </w:rPr>
        <w:footnoteReference w:id="8"/>
      </w:r>
      <w:r w:rsidR="00815454" w:rsidRPr="00C95C10">
        <w:rPr>
          <w:rFonts w:asciiTheme="minorHAnsi" w:hAnsiTheme="minorHAnsi" w:cstheme="minorHAnsi"/>
          <w:sz w:val="22"/>
          <w:szCs w:val="22"/>
        </w:rPr>
        <w:t xml:space="preserve"> and English tyranny, being a “desert” of their creation</w:t>
      </w:r>
      <w:r w:rsidR="00213662" w:rsidRPr="00C95C10">
        <w:rPr>
          <w:rFonts w:asciiTheme="minorHAnsi" w:hAnsiTheme="minorHAnsi" w:cstheme="minorHAnsi"/>
          <w:sz w:val="22"/>
          <w:szCs w:val="22"/>
        </w:rPr>
        <w:t>, for the Cistercians “chose solitary places, and practised an exceedingly rigorous discipline”.</w:t>
      </w:r>
      <w:r w:rsidR="00213662" w:rsidRPr="00C95C10">
        <w:rPr>
          <w:rStyle w:val="FootnoteReference"/>
          <w:rFonts w:asciiTheme="minorHAnsi" w:hAnsiTheme="minorHAnsi" w:cstheme="minorHAnsi"/>
          <w:sz w:val="22"/>
          <w:szCs w:val="22"/>
        </w:rPr>
        <w:footnoteReference w:id="9"/>
      </w:r>
      <w:r w:rsidR="00815454" w:rsidRPr="00C95C10">
        <w:rPr>
          <w:rFonts w:asciiTheme="minorHAnsi" w:hAnsiTheme="minorHAnsi" w:cstheme="minorHAnsi"/>
          <w:sz w:val="22"/>
          <w:szCs w:val="22"/>
        </w:rPr>
        <w:t xml:space="preserve"> </w:t>
      </w:r>
      <w:r w:rsidRPr="00C95C10">
        <w:rPr>
          <w:rFonts w:asciiTheme="minorHAnsi" w:hAnsiTheme="minorHAnsi" w:cstheme="minorHAnsi"/>
          <w:sz w:val="22"/>
          <w:szCs w:val="22"/>
        </w:rPr>
        <w:t xml:space="preserve">The first Cistercian foundation in Wales, and second </w:t>
      </w:r>
      <w:r w:rsidR="00E3692D" w:rsidRPr="00C95C10">
        <w:rPr>
          <w:rFonts w:asciiTheme="minorHAnsi" w:hAnsiTheme="minorHAnsi" w:cstheme="minorHAnsi"/>
          <w:sz w:val="22"/>
          <w:szCs w:val="22"/>
        </w:rPr>
        <w:t>in all of Britain after Waverly.</w:t>
      </w:r>
      <w:r w:rsidRPr="00C95C10">
        <w:rPr>
          <w:rFonts w:asciiTheme="minorHAnsi" w:hAnsiTheme="minorHAnsi" w:cstheme="minorHAnsi"/>
          <w:sz w:val="22"/>
          <w:szCs w:val="22"/>
        </w:rPr>
        <w:t xml:space="preserve"> </w:t>
      </w:r>
      <w:r w:rsidR="00725425" w:rsidRPr="00C95C10">
        <w:rPr>
          <w:rFonts w:asciiTheme="minorHAnsi" w:hAnsiTheme="minorHAnsi" w:cstheme="minorHAnsi"/>
          <w:sz w:val="22"/>
          <w:szCs w:val="22"/>
        </w:rPr>
        <w:t xml:space="preserve">The land was not abandoned and for the 400 years of Tintern they were supported by local farmsteads, breaching </w:t>
      </w:r>
      <w:r w:rsidR="0004442B" w:rsidRPr="00C95C10">
        <w:rPr>
          <w:rFonts w:asciiTheme="minorHAnsi" w:hAnsiTheme="minorHAnsi" w:cstheme="minorHAnsi"/>
          <w:sz w:val="22"/>
          <w:szCs w:val="22"/>
        </w:rPr>
        <w:t>‘</w:t>
      </w:r>
      <w:proofErr w:type="spellStart"/>
      <w:r w:rsidR="0004442B" w:rsidRPr="00C95C10">
        <w:rPr>
          <w:rFonts w:asciiTheme="minorHAnsi" w:hAnsiTheme="minorHAnsi" w:cstheme="minorHAnsi"/>
          <w:sz w:val="22"/>
          <w:szCs w:val="22"/>
        </w:rPr>
        <w:t>Laborare</w:t>
      </w:r>
      <w:proofErr w:type="spellEnd"/>
      <w:r w:rsidR="0004442B" w:rsidRPr="00C95C10">
        <w:rPr>
          <w:rFonts w:asciiTheme="minorHAnsi" w:hAnsiTheme="minorHAnsi" w:cstheme="minorHAnsi"/>
          <w:sz w:val="22"/>
          <w:szCs w:val="22"/>
        </w:rPr>
        <w:t xml:space="preserve"> </w:t>
      </w:r>
      <w:proofErr w:type="spellStart"/>
      <w:r w:rsidR="0004442B" w:rsidRPr="00C95C10">
        <w:rPr>
          <w:rFonts w:asciiTheme="minorHAnsi" w:hAnsiTheme="minorHAnsi" w:cstheme="minorHAnsi"/>
          <w:sz w:val="22"/>
          <w:szCs w:val="22"/>
        </w:rPr>
        <w:t>est</w:t>
      </w:r>
      <w:proofErr w:type="spellEnd"/>
      <w:r w:rsidR="0004442B" w:rsidRPr="00C95C10">
        <w:rPr>
          <w:rFonts w:asciiTheme="minorHAnsi" w:hAnsiTheme="minorHAnsi" w:cstheme="minorHAnsi"/>
          <w:sz w:val="22"/>
          <w:szCs w:val="22"/>
        </w:rPr>
        <w:t xml:space="preserve"> </w:t>
      </w:r>
      <w:proofErr w:type="spellStart"/>
      <w:r w:rsidR="0004442B" w:rsidRPr="00C95C10">
        <w:rPr>
          <w:rFonts w:asciiTheme="minorHAnsi" w:hAnsiTheme="minorHAnsi" w:cstheme="minorHAnsi"/>
          <w:sz w:val="22"/>
          <w:szCs w:val="22"/>
        </w:rPr>
        <w:t>orare</w:t>
      </w:r>
      <w:proofErr w:type="spellEnd"/>
      <w:r w:rsidR="0004442B" w:rsidRPr="00C95C10">
        <w:rPr>
          <w:rFonts w:asciiTheme="minorHAnsi" w:hAnsiTheme="minorHAnsi" w:cstheme="minorHAnsi"/>
          <w:sz w:val="22"/>
          <w:szCs w:val="22"/>
        </w:rPr>
        <w:t>’ – ‘To work is to pray’)</w:t>
      </w:r>
      <w:r w:rsidR="00213662" w:rsidRPr="00C95C10">
        <w:rPr>
          <w:rFonts w:asciiTheme="minorHAnsi" w:hAnsiTheme="minorHAnsi" w:cstheme="minorHAnsi"/>
          <w:sz w:val="22"/>
          <w:szCs w:val="22"/>
        </w:rPr>
        <w:t>.</w:t>
      </w:r>
    </w:p>
    <w:p w14:paraId="27E722AE" w14:textId="77777777" w:rsidR="003212C3" w:rsidRPr="000E10C4" w:rsidRDefault="003212C3" w:rsidP="00F30D41">
      <w:pPr>
        <w:pStyle w:val="NormalWeb"/>
        <w:spacing w:before="0" w:beforeAutospacing="0" w:after="0" w:afterAutospacing="0"/>
        <w:jc w:val="both"/>
        <w:rPr>
          <w:rFonts w:asciiTheme="minorHAnsi" w:hAnsiTheme="minorHAnsi" w:cstheme="minorHAnsi"/>
          <w:sz w:val="22"/>
          <w:szCs w:val="22"/>
        </w:rPr>
      </w:pPr>
    </w:p>
    <w:p w14:paraId="267FB527" w14:textId="1F7D1C53" w:rsidR="0012457B" w:rsidRPr="00C95C10" w:rsidRDefault="0012457B" w:rsidP="006F1417">
      <w:pPr>
        <w:pStyle w:val="NormalWeb"/>
        <w:spacing w:before="0" w:beforeAutospacing="0" w:after="0" w:afterAutospacing="0"/>
        <w:jc w:val="both"/>
        <w:rPr>
          <w:rFonts w:asciiTheme="minorHAnsi" w:hAnsiTheme="minorHAnsi" w:cstheme="minorHAnsi"/>
          <w:bCs/>
          <w:sz w:val="22"/>
          <w:szCs w:val="22"/>
          <w:shd w:val="clear" w:color="auto" w:fill="FFFFFF"/>
        </w:rPr>
      </w:pPr>
      <w:r w:rsidRPr="000E10C4">
        <w:rPr>
          <w:rFonts w:asciiTheme="minorHAnsi" w:hAnsiTheme="minorHAnsi" w:cstheme="minorHAnsi"/>
          <w:sz w:val="22"/>
          <w:szCs w:val="22"/>
        </w:rPr>
        <w:t xml:space="preserve">Tintern was the daughter of </w:t>
      </w:r>
      <w:proofErr w:type="spellStart"/>
      <w:r w:rsidRPr="000E10C4">
        <w:rPr>
          <w:rFonts w:asciiTheme="minorHAnsi" w:hAnsiTheme="minorHAnsi" w:cstheme="minorHAnsi"/>
          <w:bCs/>
          <w:sz w:val="22"/>
          <w:szCs w:val="22"/>
          <w:shd w:val="clear" w:color="auto" w:fill="FFFFFF"/>
        </w:rPr>
        <w:t>L'Aumône</w:t>
      </w:r>
      <w:proofErr w:type="spellEnd"/>
      <w:r w:rsidRPr="000E10C4">
        <w:rPr>
          <w:rFonts w:asciiTheme="minorHAnsi" w:hAnsiTheme="minorHAnsi" w:cstheme="minorHAnsi"/>
          <w:bCs/>
          <w:sz w:val="22"/>
          <w:szCs w:val="22"/>
          <w:shd w:val="clear" w:color="auto" w:fill="FFFFFF"/>
        </w:rPr>
        <w:t xml:space="preserve"> Abbey, originating from France</w:t>
      </w:r>
      <w:r w:rsidR="006F1417" w:rsidRPr="000E10C4">
        <w:rPr>
          <w:rFonts w:asciiTheme="minorHAnsi" w:hAnsiTheme="minorHAnsi" w:cstheme="minorHAnsi"/>
          <w:bCs/>
          <w:sz w:val="22"/>
          <w:szCs w:val="22"/>
          <w:shd w:val="clear" w:color="auto" w:fill="FFFFFF"/>
        </w:rPr>
        <w:t xml:space="preserve"> a descendant of the </w:t>
      </w:r>
      <w:r w:rsidR="006F1417" w:rsidRPr="000E10C4">
        <w:rPr>
          <w:rFonts w:asciiTheme="minorHAnsi" w:hAnsiTheme="minorHAnsi" w:cstheme="minorHAnsi"/>
          <w:sz w:val="22"/>
          <w:szCs w:val="22"/>
          <w:shd w:val="clear" w:color="auto" w:fill="FFFFFF"/>
        </w:rPr>
        <w:t>Citeaux order, which can be see</w:t>
      </w:r>
      <w:r w:rsidR="00AC20B9" w:rsidRPr="000E10C4">
        <w:rPr>
          <w:rFonts w:asciiTheme="minorHAnsi" w:hAnsiTheme="minorHAnsi" w:cstheme="minorHAnsi"/>
          <w:sz w:val="22"/>
          <w:szCs w:val="22"/>
          <w:shd w:val="clear" w:color="auto" w:fill="FFFFFF"/>
        </w:rPr>
        <w:t>n in the map belo</w:t>
      </w:r>
      <w:r w:rsidR="00F70115" w:rsidRPr="000E10C4">
        <w:rPr>
          <w:rFonts w:asciiTheme="minorHAnsi" w:hAnsiTheme="minorHAnsi" w:cstheme="minorHAnsi"/>
          <w:sz w:val="22"/>
          <w:szCs w:val="22"/>
          <w:shd w:val="clear" w:color="auto" w:fill="FFFFFF"/>
        </w:rPr>
        <w:t>w</w:t>
      </w:r>
      <w:r w:rsidR="00F70115" w:rsidRPr="000E10C4">
        <w:rPr>
          <w:rFonts w:asciiTheme="minorHAnsi" w:hAnsiTheme="minorHAnsi" w:cstheme="minorHAnsi"/>
          <w:bCs/>
          <w:sz w:val="22"/>
          <w:szCs w:val="22"/>
          <w:shd w:val="clear" w:color="auto" w:fill="FFFFFF"/>
        </w:rPr>
        <w:t>.</w:t>
      </w:r>
      <w:r w:rsidRPr="000E10C4">
        <w:rPr>
          <w:rFonts w:asciiTheme="minorHAnsi" w:hAnsiTheme="minorHAnsi" w:cstheme="minorHAnsi"/>
          <w:bCs/>
          <w:sz w:val="22"/>
          <w:szCs w:val="22"/>
          <w:shd w:val="clear" w:color="auto" w:fill="FFFFFF"/>
        </w:rPr>
        <w:t xml:space="preserve"> </w:t>
      </w:r>
      <w:r w:rsidRPr="00C95C10">
        <w:rPr>
          <w:rFonts w:asciiTheme="minorHAnsi" w:hAnsiTheme="minorHAnsi" w:cstheme="minorHAnsi"/>
          <w:sz w:val="22"/>
          <w:szCs w:val="22"/>
        </w:rPr>
        <w:t xml:space="preserve">The monks who colonised Tintern came from the “abbey of </w:t>
      </w:r>
      <w:proofErr w:type="spellStart"/>
      <w:r w:rsidRPr="00C95C10">
        <w:rPr>
          <w:rFonts w:asciiTheme="minorHAnsi" w:hAnsiTheme="minorHAnsi" w:cstheme="minorHAnsi"/>
          <w:sz w:val="22"/>
          <w:szCs w:val="22"/>
        </w:rPr>
        <w:t>Aumone</w:t>
      </w:r>
      <w:proofErr w:type="spellEnd"/>
      <w:r w:rsidRPr="00C95C10">
        <w:rPr>
          <w:rFonts w:asciiTheme="minorHAnsi" w:hAnsiTheme="minorHAnsi" w:cstheme="minorHAnsi"/>
          <w:sz w:val="22"/>
          <w:szCs w:val="22"/>
        </w:rPr>
        <w:t xml:space="preserve">, in the </w:t>
      </w:r>
      <w:r w:rsidR="006F1417" w:rsidRPr="00C95C10">
        <w:rPr>
          <w:rFonts w:asciiTheme="minorHAnsi" w:hAnsiTheme="minorHAnsi" w:cstheme="minorHAnsi"/>
          <w:sz w:val="22"/>
          <w:szCs w:val="22"/>
        </w:rPr>
        <w:t>diocese</w:t>
      </w:r>
      <w:r w:rsidRPr="00C95C10">
        <w:rPr>
          <w:rFonts w:asciiTheme="minorHAnsi" w:hAnsiTheme="minorHAnsi" w:cstheme="minorHAnsi"/>
          <w:sz w:val="22"/>
          <w:szCs w:val="22"/>
        </w:rPr>
        <w:t xml:space="preserve"> of Chartres.”</w:t>
      </w:r>
      <w:r w:rsidR="004631F7" w:rsidRPr="00C95C10">
        <w:rPr>
          <w:rFonts w:asciiTheme="minorHAnsi" w:hAnsiTheme="minorHAnsi" w:cstheme="minorHAnsi"/>
          <w:sz w:val="22"/>
          <w:szCs w:val="22"/>
        </w:rPr>
        <w:t xml:space="preserve"> </w:t>
      </w:r>
      <w:r w:rsidRPr="00C95C10">
        <w:rPr>
          <w:rFonts w:asciiTheme="minorHAnsi" w:hAnsiTheme="minorHAnsi" w:cstheme="minorHAnsi"/>
          <w:sz w:val="22"/>
          <w:szCs w:val="22"/>
        </w:rPr>
        <w:t xml:space="preserve"> With the successful growth of the abbey established only 10 years prior, allowing the populating of Tintern</w:t>
      </w:r>
      <w:r w:rsidR="004631F7" w:rsidRPr="00C95C10">
        <w:rPr>
          <w:rFonts w:asciiTheme="minorHAnsi" w:hAnsiTheme="minorHAnsi" w:cstheme="minorHAnsi"/>
          <w:sz w:val="22"/>
          <w:szCs w:val="22"/>
        </w:rPr>
        <w:t>, who were happy to live in the early wooden construction</w:t>
      </w:r>
      <w:r w:rsidR="00E3692D" w:rsidRPr="00C95C10">
        <w:rPr>
          <w:rFonts w:asciiTheme="minorHAnsi" w:hAnsiTheme="minorHAnsi" w:cstheme="minorHAnsi"/>
          <w:sz w:val="22"/>
          <w:szCs w:val="22"/>
        </w:rPr>
        <w:t>s</w:t>
      </w:r>
      <w:r w:rsidR="004631F7" w:rsidRPr="00C95C10">
        <w:rPr>
          <w:rFonts w:asciiTheme="minorHAnsi" w:hAnsiTheme="minorHAnsi" w:cstheme="minorHAnsi"/>
          <w:sz w:val="22"/>
          <w:szCs w:val="22"/>
        </w:rPr>
        <w:t xml:space="preserve"> </w:t>
      </w:r>
      <w:r w:rsidR="00E3692D" w:rsidRPr="00C95C10">
        <w:rPr>
          <w:rFonts w:asciiTheme="minorHAnsi" w:hAnsiTheme="minorHAnsi" w:cstheme="minorHAnsi"/>
          <w:sz w:val="22"/>
          <w:szCs w:val="22"/>
        </w:rPr>
        <w:t xml:space="preserve">at </w:t>
      </w:r>
      <w:r w:rsidR="000E10C4" w:rsidRPr="00C95C10">
        <w:rPr>
          <w:rFonts w:asciiTheme="minorHAnsi" w:hAnsiTheme="minorHAnsi" w:cstheme="minorHAnsi"/>
          <w:sz w:val="22"/>
          <w:szCs w:val="22"/>
        </w:rPr>
        <w:t>Tintern</w:t>
      </w:r>
      <w:r w:rsidRPr="00C95C10">
        <w:rPr>
          <w:rFonts w:asciiTheme="minorHAnsi" w:hAnsiTheme="minorHAnsi" w:cstheme="minorHAnsi"/>
          <w:sz w:val="22"/>
          <w:szCs w:val="22"/>
        </w:rPr>
        <w:t>. A clear example of the rapid growth of the “Cistercian movement in the first half-century of its existence”</w:t>
      </w:r>
      <w:r w:rsidRPr="00C95C10">
        <w:rPr>
          <w:rStyle w:val="FootnoteReference"/>
          <w:rFonts w:asciiTheme="minorHAnsi" w:hAnsiTheme="minorHAnsi" w:cstheme="minorHAnsi"/>
          <w:sz w:val="22"/>
          <w:szCs w:val="22"/>
        </w:rPr>
        <w:footnoteReference w:id="10"/>
      </w:r>
      <w:r w:rsidRPr="00C95C10">
        <w:rPr>
          <w:rFonts w:asciiTheme="minorHAnsi" w:hAnsiTheme="minorHAnsi" w:cstheme="minorHAnsi"/>
          <w:sz w:val="22"/>
          <w:szCs w:val="22"/>
        </w:rPr>
        <w:t xml:space="preserve"> </w:t>
      </w:r>
      <w:r w:rsidR="000E10C4">
        <w:rPr>
          <w:rFonts w:asciiTheme="minorHAnsi" w:hAnsiTheme="minorHAnsi" w:cstheme="minorHAnsi"/>
          <w:sz w:val="22"/>
          <w:szCs w:val="22"/>
        </w:rPr>
        <w:t>Which was</w:t>
      </w:r>
      <w:r w:rsidRPr="00C95C10">
        <w:rPr>
          <w:rFonts w:asciiTheme="minorHAnsi" w:hAnsiTheme="minorHAnsi" w:cstheme="minorHAnsi"/>
          <w:sz w:val="22"/>
          <w:szCs w:val="22"/>
        </w:rPr>
        <w:t xml:space="preserve"> </w:t>
      </w:r>
      <w:r w:rsidR="000E10C4">
        <w:rPr>
          <w:rFonts w:asciiTheme="minorHAnsi" w:hAnsiTheme="minorHAnsi" w:cstheme="minorHAnsi"/>
          <w:sz w:val="22"/>
          <w:szCs w:val="22"/>
        </w:rPr>
        <w:t>an issue and addressed at the</w:t>
      </w:r>
      <w:r w:rsidRPr="00C95C10">
        <w:rPr>
          <w:rFonts w:asciiTheme="minorHAnsi" w:hAnsiTheme="minorHAnsi" w:cstheme="minorHAnsi"/>
          <w:sz w:val="22"/>
          <w:szCs w:val="22"/>
        </w:rPr>
        <w:t xml:space="preserve"> General Chapter of the Order. Tintern’s first Abbot was a reformed robber, renowned for his “</w:t>
      </w:r>
      <w:r w:rsidRPr="00C95C10">
        <w:rPr>
          <w:rFonts w:asciiTheme="minorHAnsi" w:hAnsiTheme="minorHAnsi" w:cstheme="minorHAnsi"/>
          <w:sz w:val="22"/>
          <w:szCs w:val="22"/>
          <w:shd w:val="clear" w:color="auto" w:fill="FFFFFF"/>
        </w:rPr>
        <w:t>profusion of tears at the altar</w:t>
      </w:r>
      <w:r w:rsidRPr="00C95C10">
        <w:rPr>
          <w:rFonts w:asciiTheme="minorHAnsi" w:hAnsiTheme="minorHAnsi" w:cstheme="minorHAnsi"/>
          <w:color w:val="330000"/>
          <w:sz w:val="22"/>
          <w:szCs w:val="22"/>
          <w:shd w:val="clear" w:color="auto" w:fill="FFFFFF"/>
        </w:rPr>
        <w:t>.</w:t>
      </w:r>
      <w:r w:rsidRPr="00C95C10">
        <w:rPr>
          <w:rFonts w:asciiTheme="minorHAnsi" w:hAnsiTheme="minorHAnsi" w:cstheme="minorHAnsi"/>
          <w:sz w:val="22"/>
          <w:szCs w:val="22"/>
        </w:rPr>
        <w:t>”</w:t>
      </w:r>
      <w:r w:rsidRPr="00C95C10">
        <w:rPr>
          <w:rStyle w:val="FootnoteReference"/>
          <w:rFonts w:asciiTheme="minorHAnsi" w:hAnsiTheme="minorHAnsi" w:cstheme="minorHAnsi"/>
          <w:sz w:val="22"/>
          <w:szCs w:val="22"/>
        </w:rPr>
        <w:footnoteReference w:id="11"/>
      </w:r>
      <w:r w:rsidR="007940DC" w:rsidRPr="00C95C10">
        <w:rPr>
          <w:rFonts w:asciiTheme="minorHAnsi" w:hAnsiTheme="minorHAnsi" w:cstheme="minorHAnsi"/>
          <w:sz w:val="22"/>
          <w:szCs w:val="22"/>
        </w:rPr>
        <w:t xml:space="preserve"> </w:t>
      </w:r>
    </w:p>
    <w:p w14:paraId="75EEACF4" w14:textId="5C529C75" w:rsidR="00AC20B9" w:rsidRPr="00C95C10" w:rsidRDefault="00AC20B9" w:rsidP="005C5952">
      <w:pPr>
        <w:pStyle w:val="NormalWeb"/>
        <w:spacing w:before="0" w:beforeAutospacing="0" w:after="0" w:afterAutospacing="0"/>
        <w:jc w:val="both"/>
        <w:rPr>
          <w:rFonts w:asciiTheme="minorHAnsi" w:hAnsiTheme="minorHAnsi" w:cstheme="minorHAnsi"/>
          <w:sz w:val="22"/>
          <w:szCs w:val="22"/>
        </w:rPr>
      </w:pPr>
      <w:r w:rsidRPr="00C95C10">
        <w:rPr>
          <w:rFonts w:asciiTheme="minorHAnsi" w:hAnsiTheme="minorHAnsi" w:cstheme="minorHAnsi"/>
          <w:noProof/>
          <w:sz w:val="22"/>
          <w:szCs w:val="22"/>
        </w:rPr>
        <w:drawing>
          <wp:anchor distT="0" distB="0" distL="114300" distR="114300" simplePos="0" relativeHeight="251660288" behindDoc="0" locked="0" layoutInCell="1" allowOverlap="1" wp14:anchorId="42908E2C" wp14:editId="5BCDD931">
            <wp:simplePos x="0" y="0"/>
            <wp:positionH relativeFrom="column">
              <wp:posOffset>0</wp:posOffset>
            </wp:positionH>
            <wp:positionV relativeFrom="paragraph">
              <wp:posOffset>-3175</wp:posOffset>
            </wp:positionV>
            <wp:extent cx="2464904" cy="3352285"/>
            <wp:effectExtent l="0" t="0" r="0" b="635"/>
            <wp:wrapSquare wrapText="bothSides"/>
            <wp:docPr id="5" name="Picture 5" descr="http://www.petitciteaux.com/vca/12th_files/droppedImage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etitciteaux.com/vca/12th_files/droppedImage_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4904" cy="3352285"/>
                    </a:xfrm>
                    <a:prstGeom prst="rect">
                      <a:avLst/>
                    </a:prstGeom>
                    <a:noFill/>
                    <a:ln>
                      <a:noFill/>
                    </a:ln>
                  </pic:spPr>
                </pic:pic>
              </a:graphicData>
            </a:graphic>
          </wp:anchor>
        </w:drawing>
      </w:r>
      <w:r w:rsidR="00F70115" w:rsidRPr="00C95C10">
        <w:rPr>
          <w:rFonts w:asciiTheme="minorHAnsi" w:hAnsiTheme="minorHAnsi" w:cstheme="minorHAnsi"/>
          <w:i/>
          <w:iCs/>
          <w:color w:val="212600"/>
          <w:sz w:val="22"/>
          <w:szCs w:val="22"/>
          <w:shd w:val="clear" w:color="auto" w:fill="FFFFFF"/>
        </w:rPr>
        <w:t xml:space="preserve"> </w:t>
      </w:r>
    </w:p>
    <w:p w14:paraId="6789BCBF" w14:textId="77777777" w:rsidR="00C95C10" w:rsidRDefault="00C95C10" w:rsidP="00214D66">
      <w:pPr>
        <w:rPr>
          <w:rFonts w:cstheme="minorHAnsi"/>
        </w:rPr>
      </w:pPr>
    </w:p>
    <w:p w14:paraId="61C21716" w14:textId="77777777" w:rsidR="00C95C10" w:rsidRDefault="00C95C10" w:rsidP="00214D66">
      <w:pPr>
        <w:rPr>
          <w:rFonts w:cstheme="minorHAnsi"/>
        </w:rPr>
      </w:pPr>
    </w:p>
    <w:p w14:paraId="0D5700FE" w14:textId="77777777" w:rsidR="00C95C10" w:rsidRDefault="00C95C10" w:rsidP="00214D66">
      <w:pPr>
        <w:rPr>
          <w:rFonts w:cstheme="minorHAnsi"/>
        </w:rPr>
      </w:pPr>
    </w:p>
    <w:p w14:paraId="380403A2" w14:textId="77777777" w:rsidR="00C95C10" w:rsidRDefault="00C95C10" w:rsidP="00214D66">
      <w:pPr>
        <w:rPr>
          <w:rFonts w:cstheme="minorHAnsi"/>
        </w:rPr>
      </w:pPr>
    </w:p>
    <w:p w14:paraId="267CAD19" w14:textId="77777777" w:rsidR="00C95C10" w:rsidRDefault="00C95C10" w:rsidP="00214D66">
      <w:pPr>
        <w:rPr>
          <w:rFonts w:cstheme="minorHAnsi"/>
        </w:rPr>
      </w:pPr>
    </w:p>
    <w:p w14:paraId="3B985119" w14:textId="77777777" w:rsidR="00C95C10" w:rsidRDefault="00C95C10" w:rsidP="00214D66">
      <w:pPr>
        <w:rPr>
          <w:rFonts w:cstheme="minorHAnsi"/>
        </w:rPr>
      </w:pPr>
    </w:p>
    <w:p w14:paraId="152EB4C5" w14:textId="77777777" w:rsidR="00C95C10" w:rsidRDefault="00C95C10" w:rsidP="00214D66">
      <w:pPr>
        <w:rPr>
          <w:rFonts w:cstheme="minorHAnsi"/>
        </w:rPr>
      </w:pPr>
    </w:p>
    <w:p w14:paraId="2841EB76" w14:textId="77777777" w:rsidR="00C95C10" w:rsidRDefault="00C95C10" w:rsidP="00214D66">
      <w:pPr>
        <w:rPr>
          <w:rFonts w:cstheme="minorHAnsi"/>
        </w:rPr>
      </w:pPr>
    </w:p>
    <w:p w14:paraId="0AE5DF07" w14:textId="77777777" w:rsidR="00C95C10" w:rsidRDefault="00C95C10" w:rsidP="00C95C10">
      <w:pPr>
        <w:pStyle w:val="NormalWeb"/>
        <w:spacing w:before="0" w:beforeAutospacing="0" w:after="0" w:afterAutospacing="0"/>
        <w:jc w:val="both"/>
        <w:rPr>
          <w:rFonts w:asciiTheme="minorHAnsi" w:hAnsiTheme="minorHAnsi" w:cstheme="minorHAnsi"/>
          <w:i/>
          <w:iCs/>
          <w:color w:val="212600"/>
          <w:sz w:val="22"/>
          <w:szCs w:val="22"/>
          <w:shd w:val="clear" w:color="auto" w:fill="FFFFFF"/>
        </w:rPr>
      </w:pPr>
    </w:p>
    <w:p w14:paraId="20AB1178" w14:textId="77777777" w:rsidR="00C95C10" w:rsidRPr="004D161F" w:rsidRDefault="00C95C10" w:rsidP="00C95C10">
      <w:pPr>
        <w:pStyle w:val="NormalWeb"/>
        <w:spacing w:before="0" w:beforeAutospacing="0" w:after="0" w:afterAutospacing="0"/>
        <w:jc w:val="both"/>
        <w:rPr>
          <w:rFonts w:asciiTheme="minorHAnsi" w:hAnsiTheme="minorHAnsi" w:cstheme="minorHAnsi"/>
          <w:i/>
          <w:iCs/>
          <w:sz w:val="22"/>
          <w:szCs w:val="22"/>
          <w:shd w:val="clear" w:color="auto" w:fill="FFFFFF"/>
        </w:rPr>
      </w:pPr>
    </w:p>
    <w:p w14:paraId="2908B6CB" w14:textId="77777777" w:rsidR="00C95C10" w:rsidRPr="004D161F" w:rsidRDefault="00C95C10" w:rsidP="00C95C10">
      <w:pPr>
        <w:pStyle w:val="NormalWeb"/>
        <w:spacing w:before="0" w:beforeAutospacing="0" w:after="0" w:afterAutospacing="0"/>
        <w:jc w:val="both"/>
        <w:rPr>
          <w:rFonts w:asciiTheme="minorHAnsi" w:hAnsiTheme="minorHAnsi" w:cstheme="minorHAnsi"/>
          <w:i/>
          <w:iCs/>
          <w:sz w:val="22"/>
          <w:szCs w:val="22"/>
          <w:shd w:val="clear" w:color="auto" w:fill="FFFFFF"/>
        </w:rPr>
      </w:pPr>
    </w:p>
    <w:p w14:paraId="68491A67" w14:textId="6DE4F2A7" w:rsidR="00C95C10" w:rsidRPr="004D161F" w:rsidRDefault="00C95C10" w:rsidP="00C95C10">
      <w:pPr>
        <w:pStyle w:val="NormalWeb"/>
        <w:spacing w:before="0" w:beforeAutospacing="0" w:after="0" w:afterAutospacing="0"/>
        <w:jc w:val="both"/>
        <w:rPr>
          <w:rFonts w:asciiTheme="minorHAnsi" w:hAnsiTheme="minorHAnsi" w:cstheme="minorHAnsi"/>
          <w:sz w:val="22"/>
          <w:szCs w:val="22"/>
        </w:rPr>
      </w:pPr>
      <w:r w:rsidRPr="004D161F">
        <w:rPr>
          <w:rFonts w:asciiTheme="minorHAnsi" w:hAnsiTheme="minorHAnsi" w:cstheme="minorHAnsi"/>
          <w:i/>
          <w:iCs/>
          <w:sz w:val="22"/>
          <w:szCs w:val="22"/>
          <w:shd w:val="clear" w:color="auto" w:fill="FFFFFF"/>
        </w:rPr>
        <w:t>Map of locations of Cistercian abbeys in Britain, Berry and England from Little Citeaux</w:t>
      </w:r>
      <w:r w:rsidRPr="004D161F">
        <w:rPr>
          <w:rStyle w:val="FootnoteReference"/>
          <w:rFonts w:asciiTheme="minorHAnsi" w:hAnsiTheme="minorHAnsi" w:cstheme="minorHAnsi"/>
          <w:sz w:val="22"/>
          <w:szCs w:val="22"/>
        </w:rPr>
        <w:footnoteReference w:id="12"/>
      </w:r>
      <w:r w:rsidR="004D161F" w:rsidRPr="004D161F">
        <w:rPr>
          <w:rFonts w:asciiTheme="minorHAnsi" w:hAnsiTheme="minorHAnsi" w:cstheme="minorHAnsi"/>
          <w:i/>
          <w:iCs/>
          <w:sz w:val="22"/>
          <w:szCs w:val="22"/>
          <w:shd w:val="clear" w:color="auto" w:fill="FFFFFF"/>
        </w:rPr>
        <w:t>.</w:t>
      </w:r>
    </w:p>
    <w:p w14:paraId="5786E2D1" w14:textId="77777777" w:rsidR="00C95C10" w:rsidRPr="00C95C10" w:rsidRDefault="00C95C10" w:rsidP="00C95C10">
      <w:pPr>
        <w:pStyle w:val="NormalWeb"/>
        <w:spacing w:before="0" w:beforeAutospacing="0" w:after="0" w:afterAutospacing="0"/>
        <w:jc w:val="both"/>
        <w:rPr>
          <w:rFonts w:asciiTheme="minorHAnsi" w:hAnsiTheme="minorHAnsi" w:cstheme="minorHAnsi"/>
          <w:sz w:val="22"/>
          <w:szCs w:val="22"/>
        </w:rPr>
      </w:pPr>
    </w:p>
    <w:p w14:paraId="15124612" w14:textId="77777777" w:rsidR="00C95C10" w:rsidRDefault="00C95C10" w:rsidP="00214D66">
      <w:pPr>
        <w:rPr>
          <w:rFonts w:cstheme="minorHAnsi"/>
        </w:rPr>
      </w:pPr>
    </w:p>
    <w:p w14:paraId="7F2348D7" w14:textId="77777777" w:rsidR="00C95C10" w:rsidRDefault="00C95C10" w:rsidP="00214D66">
      <w:pPr>
        <w:rPr>
          <w:rFonts w:cstheme="minorHAnsi"/>
        </w:rPr>
      </w:pPr>
    </w:p>
    <w:p w14:paraId="5BCA1C27" w14:textId="77777777" w:rsidR="00C95C10" w:rsidRDefault="00C95C10" w:rsidP="00214D66">
      <w:pPr>
        <w:rPr>
          <w:rFonts w:cstheme="minorHAnsi"/>
        </w:rPr>
      </w:pPr>
    </w:p>
    <w:p w14:paraId="51A6B0F0" w14:textId="5FCDBFF0" w:rsidR="005C5952" w:rsidRPr="00C95C10" w:rsidRDefault="005C5952" w:rsidP="00214D66">
      <w:pPr>
        <w:rPr>
          <w:rFonts w:cstheme="minorHAnsi"/>
        </w:rPr>
      </w:pPr>
      <w:r w:rsidRPr="00C95C10">
        <w:rPr>
          <w:rFonts w:cstheme="minorHAnsi"/>
        </w:rPr>
        <w:t xml:space="preserve">The interior and exterior art style of Tintern abbey is transitional due to the long </w:t>
      </w:r>
      <w:r w:rsidR="00C26841" w:rsidRPr="00C95C10">
        <w:rPr>
          <w:rFonts w:cstheme="minorHAnsi"/>
        </w:rPr>
        <w:t xml:space="preserve">period necessary for the construction of an abbey from 1131 to its completion in 1287, a total of 156 years later, with it being almost completely rebuilt during the thirteenth century by Roger </w:t>
      </w:r>
      <w:proofErr w:type="spellStart"/>
      <w:r w:rsidR="00C26841" w:rsidRPr="00C95C10">
        <w:rPr>
          <w:rFonts w:cstheme="minorHAnsi"/>
        </w:rPr>
        <w:t>Bigod</w:t>
      </w:r>
      <w:proofErr w:type="spellEnd"/>
      <w:r w:rsidR="00EE7D14" w:rsidRPr="00C95C10">
        <w:rPr>
          <w:rFonts w:cstheme="minorHAnsi"/>
        </w:rPr>
        <w:t xml:space="preserve"> All of this can be seen in the ground plan, demonstrating the expansion of the order in terms of physical structure</w:t>
      </w:r>
      <w:r w:rsidR="00214D66" w:rsidRPr="00C95C10">
        <w:rPr>
          <w:rFonts w:cstheme="minorHAnsi"/>
        </w:rPr>
        <w:t xml:space="preserve"> over the centuries</w:t>
      </w:r>
      <w:r w:rsidR="00C26841" w:rsidRPr="00C95C10">
        <w:rPr>
          <w:rFonts w:cstheme="minorHAnsi"/>
        </w:rPr>
        <w:t xml:space="preserve">. </w:t>
      </w:r>
      <w:r w:rsidR="00EE7D14" w:rsidRPr="00C95C10">
        <w:rPr>
          <w:rFonts w:cstheme="minorHAnsi"/>
        </w:rPr>
        <w:t xml:space="preserve">In the </w:t>
      </w:r>
      <w:r w:rsidR="008F1AE1">
        <w:rPr>
          <w:rFonts w:cstheme="minorHAnsi"/>
        </w:rPr>
        <w:t>ground-</w:t>
      </w:r>
      <w:r w:rsidR="00EE7D14" w:rsidRPr="00C95C10">
        <w:rPr>
          <w:rFonts w:cstheme="minorHAnsi"/>
        </w:rPr>
        <w:t xml:space="preserve">plan we see the usage of excess wealth for the betterment of the sick and infirm, this being the construction of an additional kitchen, necessary because of their need for meat </w:t>
      </w:r>
      <w:r w:rsidR="00214D66" w:rsidRPr="00C95C10">
        <w:rPr>
          <w:rFonts w:cstheme="minorHAnsi"/>
        </w:rPr>
        <w:t>which</w:t>
      </w:r>
      <w:r w:rsidR="00EE7D14" w:rsidRPr="00C95C10">
        <w:rPr>
          <w:rFonts w:cstheme="minorHAnsi"/>
        </w:rPr>
        <w:t xml:space="preserve"> is prohibited under the monk’s Rule. </w:t>
      </w:r>
      <w:r w:rsidR="00C26841" w:rsidRPr="00C95C10">
        <w:rPr>
          <w:rFonts w:cstheme="minorHAnsi"/>
        </w:rPr>
        <w:t>Her ruins today still have on the “east end a great two light window 64 feet high</w:t>
      </w:r>
      <w:r w:rsidR="00EE7D14" w:rsidRPr="00C95C10">
        <w:rPr>
          <w:rFonts w:cstheme="minorHAnsi"/>
        </w:rPr>
        <w:t>”</w:t>
      </w:r>
      <w:r w:rsidR="00214D66" w:rsidRPr="00C95C10">
        <w:rPr>
          <w:rFonts w:cstheme="minorHAnsi"/>
        </w:rPr>
        <w:t>, with modern scholars wondering at the beautiful glass that would’ve stood within, another breach of the Rule</w:t>
      </w:r>
      <w:r w:rsidR="00A9629E" w:rsidRPr="00C95C10">
        <w:rPr>
          <w:rFonts w:cstheme="minorHAnsi"/>
        </w:rPr>
        <w:t>.</w:t>
      </w:r>
      <w:r w:rsidR="00214D66" w:rsidRPr="00C95C10">
        <w:rPr>
          <w:rFonts w:cstheme="minorHAnsi"/>
        </w:rPr>
        <w:t xml:space="preserve"> </w:t>
      </w:r>
      <w:r w:rsidR="00A9629E" w:rsidRPr="00C95C10">
        <w:rPr>
          <w:rFonts w:cstheme="minorHAnsi"/>
        </w:rPr>
        <w:t>Also,</w:t>
      </w:r>
      <w:r w:rsidR="00214D66" w:rsidRPr="00C95C10">
        <w:rPr>
          <w:rFonts w:cstheme="minorHAnsi"/>
        </w:rPr>
        <w:t xml:space="preserve"> for </w:t>
      </w:r>
      <w:proofErr w:type="spellStart"/>
      <w:r w:rsidR="00214D66" w:rsidRPr="00C95C10">
        <w:rPr>
          <w:rFonts w:cstheme="minorHAnsi"/>
        </w:rPr>
        <w:t>Gilpin</w:t>
      </w:r>
      <w:proofErr w:type="spellEnd"/>
      <w:r w:rsidR="00214D66" w:rsidRPr="00C95C10">
        <w:rPr>
          <w:rFonts w:cstheme="minorHAnsi"/>
        </w:rPr>
        <w:t xml:space="preserve"> the “window, with its one tall mullion ramifying at the top and leaving the large open spaces beneath to admit the distant landscape, is one chief feature of Tintern” continuing with the </w:t>
      </w:r>
      <w:r w:rsidR="004D161F" w:rsidRPr="00C95C10">
        <w:rPr>
          <w:rFonts w:cstheme="minorHAnsi"/>
        </w:rPr>
        <w:t>renowned</w:t>
      </w:r>
      <w:r w:rsidR="00214D66" w:rsidRPr="00C95C10">
        <w:rPr>
          <w:rFonts w:cstheme="minorHAnsi"/>
        </w:rPr>
        <w:t xml:space="preserve"> message that Tintern was the personification of beauty. What is different about Tintern the layout, the church is to the south, with example of Fountains Abbey being how </w:t>
      </w:r>
      <w:r w:rsidR="004D161F">
        <w:rPr>
          <w:rFonts w:cstheme="minorHAnsi"/>
        </w:rPr>
        <w:t>an abbey is intended to be structured</w:t>
      </w:r>
      <w:r w:rsidR="00214D66" w:rsidRPr="00C95C10">
        <w:rPr>
          <w:rFonts w:cstheme="minorHAnsi"/>
        </w:rPr>
        <w:t>, with a reason for Tintern being different linked to the location of the river Wye</w:t>
      </w:r>
      <w:r w:rsidR="004D161F">
        <w:rPr>
          <w:rFonts w:cstheme="minorHAnsi"/>
        </w:rPr>
        <w:t>, easier drainage</w:t>
      </w:r>
      <w:r w:rsidR="00214D66" w:rsidRPr="00C95C10">
        <w:rPr>
          <w:rFonts w:cstheme="minorHAnsi"/>
        </w:rPr>
        <w:t xml:space="preserve"> and the increasing lax nature of the Cistercian monks when it came to tradition, which grew with Tintern with the Abbot constructing personal quarters larger than necessary.</w:t>
      </w:r>
      <w:r w:rsidR="00726411" w:rsidRPr="00C95C10">
        <w:rPr>
          <w:rFonts w:cstheme="minorHAnsi"/>
        </w:rPr>
        <w:t xml:space="preserve"> T</w:t>
      </w:r>
      <w:r w:rsidR="00A226FF" w:rsidRPr="00C95C10">
        <w:rPr>
          <w:rFonts w:cstheme="minorHAnsi"/>
        </w:rPr>
        <w:t>he divergence of the Cistercian simplicity of design</w:t>
      </w:r>
      <w:r w:rsidR="00726411" w:rsidRPr="00C95C10">
        <w:rPr>
          <w:rFonts w:cstheme="minorHAnsi"/>
        </w:rPr>
        <w:t xml:space="preserve"> was initially present, Tintern Abbey original was the perfect personification of a Cistercian </w:t>
      </w:r>
      <w:r w:rsidR="008F1AE1">
        <w:rPr>
          <w:rFonts w:cstheme="minorHAnsi"/>
        </w:rPr>
        <w:t>order</w:t>
      </w:r>
      <w:r w:rsidR="004D161F">
        <w:rPr>
          <w:rFonts w:cstheme="minorHAnsi"/>
        </w:rPr>
        <w:t>.</w:t>
      </w:r>
      <w:r w:rsidR="00726411" w:rsidRPr="00C95C10">
        <w:rPr>
          <w:rFonts w:cstheme="minorHAnsi"/>
        </w:rPr>
        <w:t xml:space="preserve"> </w:t>
      </w:r>
      <w:r w:rsidR="004D161F">
        <w:rPr>
          <w:rFonts w:cstheme="minorHAnsi"/>
        </w:rPr>
        <w:t>H</w:t>
      </w:r>
      <w:r w:rsidR="00726411" w:rsidRPr="00C95C10">
        <w:rPr>
          <w:rFonts w:cstheme="minorHAnsi"/>
        </w:rPr>
        <w:t>owever</w:t>
      </w:r>
      <w:r w:rsidR="004D161F">
        <w:rPr>
          <w:rFonts w:cstheme="minorHAnsi"/>
        </w:rPr>
        <w:t>,</w:t>
      </w:r>
      <w:r w:rsidR="00726411" w:rsidRPr="00C95C10">
        <w:rPr>
          <w:rFonts w:cstheme="minorHAnsi"/>
        </w:rPr>
        <w:t xml:space="preserve"> the ruins which remain today are from the thirteenth century and encapsulates the more gothic style growing rampant within the monastic orders.</w:t>
      </w:r>
      <w:r w:rsidR="00A226FF" w:rsidRPr="00C95C10">
        <w:rPr>
          <w:rFonts w:cstheme="minorHAnsi"/>
        </w:rPr>
        <w:t xml:space="preserve"> Tintern was decorated with coloured glass</w:t>
      </w:r>
      <w:r w:rsidR="0004442B" w:rsidRPr="00C95C10">
        <w:rPr>
          <w:rFonts w:cstheme="minorHAnsi"/>
        </w:rPr>
        <w:t xml:space="preserve">, with the coat of arms of </w:t>
      </w:r>
      <w:r w:rsidR="0004442B" w:rsidRPr="00C95C10">
        <w:rPr>
          <w:rFonts w:cstheme="minorHAnsi"/>
          <w:bCs/>
          <w:color w:val="000000"/>
        </w:rPr>
        <w:t xml:space="preserve">Roger </w:t>
      </w:r>
      <w:proofErr w:type="spellStart"/>
      <w:r w:rsidR="0004442B" w:rsidRPr="00C95C10">
        <w:rPr>
          <w:rFonts w:cstheme="minorHAnsi"/>
          <w:bCs/>
          <w:color w:val="000000"/>
        </w:rPr>
        <w:t>Bigod</w:t>
      </w:r>
      <w:proofErr w:type="spellEnd"/>
      <w:r w:rsidR="0004442B" w:rsidRPr="00C95C10">
        <w:rPr>
          <w:rFonts w:cstheme="minorHAnsi"/>
          <w:bCs/>
          <w:color w:val="000000"/>
        </w:rPr>
        <w:t xml:space="preserve"> III</w:t>
      </w:r>
      <w:r w:rsidR="00A226FF" w:rsidRPr="00C95C10">
        <w:rPr>
          <w:rFonts w:cstheme="minorHAnsi"/>
        </w:rPr>
        <w:t xml:space="preserve"> </w:t>
      </w:r>
      <w:r w:rsidR="0004442B" w:rsidRPr="00C95C10">
        <w:rPr>
          <w:rFonts w:cstheme="minorHAnsi"/>
        </w:rPr>
        <w:t>painted into the glass in response to his work to rebuild the church</w:t>
      </w:r>
      <w:r w:rsidR="00C95C10" w:rsidRPr="00C95C10">
        <w:rPr>
          <w:rFonts w:cstheme="minorHAnsi"/>
        </w:rPr>
        <w:t>, with “</w:t>
      </w:r>
      <w:r w:rsidR="00C95C10" w:rsidRPr="008F1AE1">
        <w:t>Tiny fragments of medieval stained glass clinging to some of the window frames”</w:t>
      </w:r>
      <w:r w:rsidR="00C95C10" w:rsidRPr="00C95C10">
        <w:rPr>
          <w:rFonts w:cstheme="minorHAnsi"/>
        </w:rPr>
        <w:t xml:space="preserve"> of the ruins today</w:t>
      </w:r>
      <w:r w:rsidR="00C95C10" w:rsidRPr="00C95C10">
        <w:rPr>
          <w:rStyle w:val="FootnoteReference"/>
          <w:rFonts w:cstheme="minorHAnsi"/>
        </w:rPr>
        <w:footnoteReference w:id="13"/>
      </w:r>
      <w:r w:rsidR="00C95C10" w:rsidRPr="00C95C10">
        <w:rPr>
          <w:rFonts w:cstheme="minorHAnsi"/>
        </w:rPr>
        <w:t>.</w:t>
      </w:r>
      <w:r w:rsidR="000E10C4">
        <w:rPr>
          <w:rFonts w:cstheme="minorHAnsi"/>
        </w:rPr>
        <w:t xml:space="preserve"> Being more akin to that of the Cluniac and following what St Bernard saw as wrong.</w:t>
      </w:r>
      <w:r w:rsidR="000E10C4">
        <w:rPr>
          <w:rStyle w:val="FootnoteReference"/>
          <w:rFonts w:cstheme="minorHAnsi"/>
        </w:rPr>
        <w:footnoteReference w:id="14"/>
      </w:r>
    </w:p>
    <w:p w14:paraId="3A041429" w14:textId="3633630F" w:rsidR="00A335FB" w:rsidRPr="00C95C10" w:rsidRDefault="0058354B" w:rsidP="00A335FB">
      <w:pPr>
        <w:pStyle w:val="NormalWeb"/>
        <w:spacing w:before="0" w:beforeAutospacing="0" w:after="0" w:afterAutospacing="0"/>
        <w:jc w:val="both"/>
        <w:rPr>
          <w:rFonts w:asciiTheme="minorHAnsi" w:hAnsiTheme="minorHAnsi" w:cstheme="minorHAnsi"/>
          <w:sz w:val="22"/>
          <w:szCs w:val="22"/>
        </w:rPr>
      </w:pPr>
      <w:r w:rsidRPr="00C95C10">
        <w:rPr>
          <w:rFonts w:asciiTheme="minorHAnsi" w:hAnsiTheme="minorHAnsi" w:cstheme="minorHAnsi"/>
          <w:sz w:val="22"/>
          <w:szCs w:val="22"/>
        </w:rPr>
        <w:t xml:space="preserve">  </w:t>
      </w:r>
      <w:r w:rsidRPr="00C95C10">
        <w:rPr>
          <w:rFonts w:asciiTheme="minorHAnsi" w:hAnsiTheme="minorHAnsi" w:cstheme="minorHAnsi"/>
          <w:sz w:val="22"/>
          <w:szCs w:val="22"/>
        </w:rPr>
        <w:tab/>
      </w:r>
    </w:p>
    <w:p w14:paraId="4986315A" w14:textId="76D545B8" w:rsidR="00A335FB" w:rsidRPr="00C95C10" w:rsidRDefault="00A335FB" w:rsidP="00A335FB">
      <w:pPr>
        <w:pStyle w:val="NormalWeb"/>
        <w:spacing w:before="0" w:beforeAutospacing="0" w:after="0" w:afterAutospacing="0"/>
        <w:jc w:val="both"/>
        <w:rPr>
          <w:rFonts w:asciiTheme="minorHAnsi" w:hAnsiTheme="minorHAnsi" w:cstheme="minorHAnsi"/>
          <w:sz w:val="22"/>
          <w:szCs w:val="22"/>
        </w:rPr>
      </w:pPr>
      <w:r w:rsidRPr="00C95C10">
        <w:rPr>
          <w:rFonts w:asciiTheme="minorHAnsi" w:hAnsiTheme="minorHAnsi" w:cstheme="minorHAnsi"/>
          <w:sz w:val="22"/>
          <w:szCs w:val="22"/>
        </w:rPr>
        <w:t xml:space="preserve">To conclude, Tintern Abbey remains </w:t>
      </w:r>
      <w:r w:rsidR="0012457B" w:rsidRPr="00C95C10">
        <w:rPr>
          <w:rFonts w:asciiTheme="minorHAnsi" w:hAnsiTheme="minorHAnsi" w:cstheme="minorHAnsi"/>
          <w:sz w:val="22"/>
          <w:szCs w:val="22"/>
        </w:rPr>
        <w:t>in</w:t>
      </w:r>
      <w:r w:rsidRPr="00C95C10">
        <w:rPr>
          <w:rFonts w:asciiTheme="minorHAnsi" w:hAnsiTheme="minorHAnsi" w:cstheme="minorHAnsi"/>
          <w:sz w:val="22"/>
          <w:szCs w:val="22"/>
        </w:rPr>
        <w:t xml:space="preserve"> astonishing condition with the majority of her walls and interior intact, while roofless her beauty and wonder retained her former glory</w:t>
      </w:r>
      <w:r w:rsidR="009867C6" w:rsidRPr="00C95C10">
        <w:rPr>
          <w:rFonts w:asciiTheme="minorHAnsi" w:hAnsiTheme="minorHAnsi" w:cstheme="minorHAnsi"/>
          <w:sz w:val="22"/>
          <w:szCs w:val="22"/>
        </w:rPr>
        <w:t xml:space="preserve"> and of how it clashes with nature,</w:t>
      </w:r>
      <w:r w:rsidRPr="00C95C10">
        <w:rPr>
          <w:rFonts w:asciiTheme="minorHAnsi" w:hAnsiTheme="minorHAnsi" w:cstheme="minorHAnsi"/>
          <w:sz w:val="22"/>
          <w:szCs w:val="22"/>
        </w:rPr>
        <w:t xml:space="preserve"> clearly evident as she became the centre point of a famous poet by William Wordsworth called</w:t>
      </w:r>
      <w:r w:rsidR="009867C6" w:rsidRPr="00C95C10">
        <w:rPr>
          <w:rFonts w:asciiTheme="minorHAnsi" w:hAnsiTheme="minorHAnsi" w:cstheme="minorHAnsi"/>
          <w:color w:val="000000"/>
          <w:sz w:val="22"/>
          <w:szCs w:val="22"/>
          <w:shd w:val="clear" w:color="auto" w:fill="FFFFFF"/>
        </w:rPr>
        <w:t xml:space="preserve"> </w:t>
      </w:r>
      <w:r w:rsidR="009867C6" w:rsidRPr="00C95C10">
        <w:rPr>
          <w:rFonts w:asciiTheme="minorHAnsi" w:hAnsiTheme="minorHAnsi" w:cstheme="minorHAnsi"/>
          <w:i/>
          <w:color w:val="000000"/>
          <w:sz w:val="22"/>
          <w:szCs w:val="22"/>
          <w:shd w:val="clear" w:color="auto" w:fill="FFFFFF"/>
        </w:rPr>
        <w:t>Lines Composed a Few Miles Above Tintern Abbey, on Revisiting the Banks of the Wye During a Tour, July 13th, 1798</w:t>
      </w:r>
      <w:r w:rsidR="009867C6" w:rsidRPr="00C95C10">
        <w:rPr>
          <w:rFonts w:asciiTheme="minorHAnsi" w:hAnsiTheme="minorHAnsi" w:cstheme="minorHAnsi"/>
          <w:sz w:val="22"/>
          <w:szCs w:val="22"/>
          <w:shd w:val="clear" w:color="auto" w:fill="FFFFFF"/>
        </w:rPr>
        <w:t>. O</w:t>
      </w:r>
      <w:r w:rsidRPr="00C95C10">
        <w:rPr>
          <w:rFonts w:asciiTheme="minorHAnsi" w:hAnsiTheme="minorHAnsi" w:cstheme="minorHAnsi"/>
          <w:sz w:val="22"/>
          <w:szCs w:val="22"/>
          <w:shd w:val="clear" w:color="auto" w:fill="FFFFFF"/>
        </w:rPr>
        <w:t xml:space="preserve">ften just referred </w:t>
      </w:r>
      <w:r w:rsidR="004D161F">
        <w:rPr>
          <w:rFonts w:asciiTheme="minorHAnsi" w:hAnsiTheme="minorHAnsi" w:cstheme="minorHAnsi"/>
          <w:sz w:val="22"/>
          <w:szCs w:val="22"/>
          <w:shd w:val="clear" w:color="auto" w:fill="FFFFFF"/>
        </w:rPr>
        <w:t xml:space="preserve">to </w:t>
      </w:r>
      <w:r w:rsidRPr="00C95C10">
        <w:rPr>
          <w:rFonts w:asciiTheme="minorHAnsi" w:hAnsiTheme="minorHAnsi" w:cstheme="minorHAnsi"/>
          <w:sz w:val="22"/>
          <w:szCs w:val="22"/>
          <w:shd w:val="clear" w:color="auto" w:fill="FFFFFF"/>
        </w:rPr>
        <w:t xml:space="preserve">as </w:t>
      </w:r>
      <w:r w:rsidRPr="00C95C10">
        <w:rPr>
          <w:rFonts w:asciiTheme="minorHAnsi" w:hAnsiTheme="minorHAnsi" w:cstheme="minorHAnsi"/>
          <w:i/>
          <w:sz w:val="22"/>
          <w:szCs w:val="22"/>
          <w:shd w:val="clear" w:color="auto" w:fill="FFFFFF"/>
        </w:rPr>
        <w:t>Tintern Abbey</w:t>
      </w:r>
      <w:r w:rsidRPr="00C95C10">
        <w:rPr>
          <w:rFonts w:asciiTheme="minorHAnsi" w:hAnsiTheme="minorHAnsi" w:cstheme="minorHAnsi"/>
          <w:sz w:val="22"/>
          <w:szCs w:val="22"/>
          <w:shd w:val="clear" w:color="auto" w:fill="FFFFFF"/>
        </w:rPr>
        <w:t>.</w:t>
      </w:r>
      <w:r w:rsidR="009867C6" w:rsidRPr="00C95C10">
        <w:rPr>
          <w:rStyle w:val="FootnoteReference"/>
          <w:rFonts w:asciiTheme="minorHAnsi" w:hAnsiTheme="minorHAnsi" w:cstheme="minorHAnsi"/>
          <w:sz w:val="22"/>
          <w:szCs w:val="22"/>
          <w:shd w:val="clear" w:color="auto" w:fill="FFFFFF"/>
        </w:rPr>
        <w:footnoteReference w:id="15"/>
      </w:r>
      <w:r w:rsidR="0012457B" w:rsidRPr="00C95C10">
        <w:rPr>
          <w:rFonts w:asciiTheme="minorHAnsi" w:hAnsiTheme="minorHAnsi" w:cstheme="minorHAnsi"/>
          <w:sz w:val="22"/>
          <w:szCs w:val="22"/>
          <w:shd w:val="clear" w:color="auto" w:fill="FFFFFF"/>
        </w:rPr>
        <w:t xml:space="preserve"> </w:t>
      </w:r>
      <w:r w:rsidR="00A226FF" w:rsidRPr="00C95C10">
        <w:rPr>
          <w:rFonts w:asciiTheme="minorHAnsi" w:hAnsiTheme="minorHAnsi" w:cstheme="minorHAnsi"/>
          <w:sz w:val="22"/>
          <w:szCs w:val="22"/>
          <w:shd w:val="clear" w:color="auto" w:fill="FFFFFF"/>
        </w:rPr>
        <w:t>While monks did find beauty in the simplistic life, the beauty in terms of location and architecture cannot be called anything but beautiful, being a location for romantics both medieval and modern and being the inspiration of Joseph</w:t>
      </w:r>
      <w:r w:rsidR="00A226FF" w:rsidRPr="00C95C10">
        <w:rPr>
          <w:rFonts w:asciiTheme="minorHAnsi" w:hAnsiTheme="minorHAnsi" w:cstheme="minorHAnsi"/>
          <w:sz w:val="22"/>
          <w:szCs w:val="22"/>
        </w:rPr>
        <w:t xml:space="preserve"> </w:t>
      </w:r>
      <w:proofErr w:type="spellStart"/>
      <w:r w:rsidR="00A226FF" w:rsidRPr="00C95C10">
        <w:rPr>
          <w:rFonts w:asciiTheme="minorHAnsi" w:hAnsiTheme="minorHAnsi" w:cstheme="minorHAnsi"/>
          <w:sz w:val="22"/>
          <w:szCs w:val="22"/>
        </w:rPr>
        <w:t>Mallord</w:t>
      </w:r>
      <w:proofErr w:type="spellEnd"/>
      <w:r w:rsidR="00A226FF" w:rsidRPr="00C95C10">
        <w:rPr>
          <w:rFonts w:asciiTheme="minorHAnsi" w:hAnsiTheme="minorHAnsi" w:cstheme="minorHAnsi"/>
          <w:sz w:val="22"/>
          <w:szCs w:val="22"/>
        </w:rPr>
        <w:t xml:space="preserve"> William Turner</w:t>
      </w:r>
      <w:r w:rsidR="00A226FF" w:rsidRPr="00C95C10">
        <w:rPr>
          <w:rStyle w:val="FootnoteReference"/>
          <w:rFonts w:asciiTheme="minorHAnsi" w:hAnsiTheme="minorHAnsi" w:cstheme="minorHAnsi"/>
          <w:sz w:val="22"/>
          <w:szCs w:val="22"/>
        </w:rPr>
        <w:footnoteReference w:id="16"/>
      </w:r>
      <w:r w:rsidR="00C95C10" w:rsidRPr="00C95C10">
        <w:rPr>
          <w:rFonts w:asciiTheme="minorHAnsi" w:hAnsiTheme="minorHAnsi" w:cstheme="minorHAnsi"/>
          <w:sz w:val="22"/>
          <w:szCs w:val="22"/>
        </w:rPr>
        <w:t>.</w:t>
      </w:r>
    </w:p>
    <w:p w14:paraId="3C202CFA" w14:textId="77777777" w:rsidR="00A335FB" w:rsidRDefault="00A335FB" w:rsidP="00A335FB">
      <w:pPr>
        <w:pStyle w:val="NormalWeb"/>
        <w:spacing w:before="0" w:beforeAutospacing="0" w:after="0" w:afterAutospacing="0"/>
        <w:jc w:val="both"/>
        <w:rPr>
          <w:rFonts w:asciiTheme="minorHAnsi" w:hAnsiTheme="minorHAnsi" w:cstheme="minorHAnsi"/>
          <w:sz w:val="22"/>
          <w:szCs w:val="22"/>
        </w:rPr>
      </w:pPr>
    </w:p>
    <w:p w14:paraId="4ABB91B5" w14:textId="5C9300F4" w:rsidR="00F70115" w:rsidRDefault="00F70115" w:rsidP="00F30D41">
      <w:pPr>
        <w:rPr>
          <w:rFonts w:cstheme="minorHAnsi"/>
        </w:rPr>
      </w:pPr>
    </w:p>
    <w:p w14:paraId="0E988468" w14:textId="77777777" w:rsidR="00E24C2F" w:rsidRDefault="00E24C2F" w:rsidP="00F30D41">
      <w:pPr>
        <w:rPr>
          <w:rFonts w:cstheme="minorHAnsi"/>
          <w:b/>
          <w:u w:val="single"/>
        </w:rPr>
      </w:pPr>
    </w:p>
    <w:p w14:paraId="3D298A34" w14:textId="502829E5" w:rsidR="00F30D41" w:rsidRDefault="00F30D41" w:rsidP="00F30D41">
      <w:pPr>
        <w:rPr>
          <w:rFonts w:cstheme="minorHAnsi"/>
          <w:b/>
          <w:u w:val="single"/>
        </w:rPr>
      </w:pPr>
      <w:r w:rsidRPr="00C26841">
        <w:rPr>
          <w:rFonts w:cstheme="minorHAnsi"/>
          <w:b/>
          <w:u w:val="single"/>
        </w:rPr>
        <w:t>Bibliography</w:t>
      </w:r>
    </w:p>
    <w:p w14:paraId="2FDC0AA3" w14:textId="2C3F1814" w:rsidR="00725425" w:rsidRDefault="00725425" w:rsidP="00F30D41">
      <w:pPr>
        <w:rPr>
          <w:rFonts w:cstheme="minorHAnsi"/>
          <w:b/>
          <w:u w:val="single"/>
        </w:rPr>
      </w:pPr>
      <w:r>
        <w:rPr>
          <w:rFonts w:cstheme="minorHAnsi"/>
          <w:b/>
          <w:u w:val="single"/>
        </w:rPr>
        <w:t xml:space="preserve">Primary </w:t>
      </w:r>
    </w:p>
    <w:p w14:paraId="0B8B8D23" w14:textId="3C6F41C2" w:rsidR="00E24C2F" w:rsidRPr="00B96CB7" w:rsidRDefault="00B96CB7" w:rsidP="00F30D41">
      <w:pPr>
        <w:rPr>
          <w:rFonts w:cstheme="minorHAnsi"/>
        </w:rPr>
      </w:pPr>
      <w:r>
        <w:rPr>
          <w:rFonts w:cstheme="minorHAnsi"/>
        </w:rPr>
        <w:t>Ber</w:t>
      </w:r>
      <w:r w:rsidR="004D161F">
        <w:rPr>
          <w:rFonts w:cstheme="minorHAnsi"/>
        </w:rPr>
        <w:t>n</w:t>
      </w:r>
      <w:r>
        <w:rPr>
          <w:rFonts w:cstheme="minorHAnsi"/>
        </w:rPr>
        <w:t>ard of Clairvaux, “</w:t>
      </w:r>
      <w:r w:rsidR="00E24C2F" w:rsidRPr="00B96CB7">
        <w:rPr>
          <w:rFonts w:cstheme="minorHAnsi"/>
          <w:i/>
        </w:rPr>
        <w:t>Apologia</w:t>
      </w:r>
      <w:r>
        <w:rPr>
          <w:rFonts w:cstheme="minorHAnsi"/>
        </w:rPr>
        <w:t xml:space="preserve">”, Cistercian Sourcebook, (Lampeter: </w:t>
      </w:r>
      <w:proofErr w:type="spellStart"/>
      <w:r>
        <w:rPr>
          <w:rFonts w:cstheme="minorHAnsi"/>
        </w:rPr>
        <w:t>Uwtsd</w:t>
      </w:r>
      <w:proofErr w:type="spellEnd"/>
      <w:r>
        <w:rPr>
          <w:rFonts w:cstheme="minorHAnsi"/>
        </w:rPr>
        <w:t xml:space="preserve">, 2020) </w:t>
      </w:r>
    </w:p>
    <w:p w14:paraId="7CEE1819" w14:textId="7C4B90B3" w:rsidR="00725425" w:rsidRPr="00725425" w:rsidRDefault="00725425" w:rsidP="00F30D41">
      <w:pPr>
        <w:rPr>
          <w:rFonts w:cs="Arial"/>
          <w:b/>
          <w:color w:val="000000"/>
          <w:u w:val="single"/>
          <w:shd w:val="clear" w:color="auto" w:fill="FFFFFF"/>
        </w:rPr>
      </w:pPr>
      <w:r w:rsidRPr="00725425">
        <w:rPr>
          <w:rFonts w:cs="Arial"/>
          <w:b/>
          <w:color w:val="000000"/>
          <w:u w:val="single"/>
          <w:shd w:val="clear" w:color="auto" w:fill="FFFFFF"/>
        </w:rPr>
        <w:t>Secondary</w:t>
      </w:r>
    </w:p>
    <w:p w14:paraId="7A63D951" w14:textId="77777777" w:rsidR="000E10C4" w:rsidRPr="000E10C4" w:rsidRDefault="000E10C4" w:rsidP="00E24C2F">
      <w:pPr>
        <w:rPr>
          <w:rFonts w:cstheme="minorHAnsi"/>
          <w:i/>
        </w:rPr>
      </w:pPr>
      <w:r w:rsidRPr="000E10C4">
        <w:rPr>
          <w:rFonts w:cstheme="minorHAnsi"/>
        </w:rPr>
        <w:t xml:space="preserve">Abbot Gasquet, </w:t>
      </w:r>
      <w:r w:rsidRPr="000E10C4">
        <w:rPr>
          <w:rFonts w:cstheme="minorHAnsi"/>
          <w:i/>
        </w:rPr>
        <w:t xml:space="preserve">The Greater Abbeys of England, (London: </w:t>
      </w:r>
      <w:proofErr w:type="spellStart"/>
      <w:r w:rsidRPr="000E10C4">
        <w:rPr>
          <w:rFonts w:cstheme="minorHAnsi"/>
          <w:i/>
        </w:rPr>
        <w:t>Chatto</w:t>
      </w:r>
      <w:proofErr w:type="spellEnd"/>
      <w:r w:rsidRPr="000E10C4">
        <w:rPr>
          <w:rFonts w:cstheme="minorHAnsi"/>
          <w:i/>
        </w:rPr>
        <w:t xml:space="preserve"> and Windus,1908)</w:t>
      </w:r>
    </w:p>
    <w:p w14:paraId="6394DFC0" w14:textId="77777777" w:rsidR="000E10C4" w:rsidRPr="000E10C4" w:rsidRDefault="000E10C4" w:rsidP="00601880">
      <w:pPr>
        <w:rPr>
          <w:rFonts w:cstheme="minorHAnsi"/>
          <w:shd w:val="clear" w:color="auto" w:fill="FFFFFF"/>
        </w:rPr>
      </w:pPr>
      <w:r w:rsidRPr="000E10C4">
        <w:rPr>
          <w:rFonts w:cstheme="minorHAnsi"/>
          <w:shd w:val="clear" w:color="auto" w:fill="FFFFFF"/>
        </w:rPr>
        <w:t>BLASHILL Thomas, ‘TINTERN ABBEY’. </w:t>
      </w:r>
      <w:proofErr w:type="spellStart"/>
      <w:r w:rsidRPr="000E10C4">
        <w:rPr>
          <w:rFonts w:cstheme="minorHAnsi"/>
          <w:i/>
          <w:iCs/>
          <w:shd w:val="clear" w:color="auto" w:fill="FFFFFF"/>
        </w:rPr>
        <w:t>Archaeologia</w:t>
      </w:r>
      <w:proofErr w:type="spellEnd"/>
      <w:r w:rsidRPr="000E10C4">
        <w:rPr>
          <w:rFonts w:cstheme="minorHAnsi"/>
          <w:i/>
          <w:iCs/>
          <w:shd w:val="clear" w:color="auto" w:fill="FFFFFF"/>
        </w:rPr>
        <w:t xml:space="preserve"> </w:t>
      </w:r>
      <w:proofErr w:type="spellStart"/>
      <w:r w:rsidRPr="000E10C4">
        <w:rPr>
          <w:rFonts w:cstheme="minorHAnsi"/>
          <w:i/>
          <w:iCs/>
          <w:shd w:val="clear" w:color="auto" w:fill="FFFFFF"/>
        </w:rPr>
        <w:t>cambrensis</w:t>
      </w:r>
      <w:proofErr w:type="spellEnd"/>
      <w:r w:rsidRPr="000E10C4">
        <w:rPr>
          <w:rFonts w:cstheme="minorHAnsi"/>
          <w:i/>
          <w:iCs/>
          <w:shd w:val="clear" w:color="auto" w:fill="FFFFFF"/>
        </w:rPr>
        <w:t>, </w:t>
      </w:r>
      <w:r w:rsidRPr="000E10C4">
        <w:rPr>
          <w:rFonts w:cstheme="minorHAnsi"/>
          <w:bCs/>
          <w:shd w:val="clear" w:color="auto" w:fill="FFFFFF"/>
        </w:rPr>
        <w:t>3</w:t>
      </w:r>
      <w:r w:rsidRPr="000E10C4">
        <w:rPr>
          <w:rFonts w:cstheme="minorHAnsi"/>
          <w:shd w:val="clear" w:color="auto" w:fill="FFFFFF"/>
        </w:rPr>
        <w:t>(12), (1886) 241-252.</w:t>
      </w:r>
    </w:p>
    <w:p w14:paraId="6158B52B" w14:textId="77777777" w:rsidR="000E10C4" w:rsidRPr="000E10C4" w:rsidRDefault="000E10C4" w:rsidP="006F1417">
      <w:pPr>
        <w:rPr>
          <w:rFonts w:cstheme="minorHAnsi"/>
          <w:shd w:val="clear" w:color="auto" w:fill="FFFFFF"/>
        </w:rPr>
      </w:pPr>
      <w:r w:rsidRPr="000E10C4">
        <w:rPr>
          <w:rFonts w:cstheme="minorHAnsi"/>
          <w:shd w:val="clear" w:color="auto" w:fill="FFFFFF"/>
        </w:rPr>
        <w:t xml:space="preserve">Greenwood Margaret, </w:t>
      </w:r>
      <w:r w:rsidRPr="000E10C4">
        <w:rPr>
          <w:rFonts w:cstheme="minorHAnsi"/>
          <w:i/>
          <w:shd w:val="clear" w:color="auto" w:fill="FFFFFF"/>
        </w:rPr>
        <w:t xml:space="preserve">Connolly Mark, The Rough Guide to Ireland, (London: </w:t>
      </w:r>
      <w:r w:rsidRPr="000E10C4">
        <w:rPr>
          <w:rFonts w:cstheme="minorHAnsi"/>
          <w:color w:val="000000"/>
          <w:shd w:val="clear" w:color="auto" w:fill="FFFFFF"/>
        </w:rPr>
        <w:t>Rough Guides, 2003</w:t>
      </w:r>
      <w:r w:rsidRPr="000E10C4">
        <w:rPr>
          <w:rFonts w:cstheme="minorHAnsi"/>
          <w:i/>
          <w:shd w:val="clear" w:color="auto" w:fill="FFFFFF"/>
        </w:rPr>
        <w:t>)</w:t>
      </w:r>
    </w:p>
    <w:p w14:paraId="232B2C75" w14:textId="77777777" w:rsidR="000E10C4" w:rsidRPr="000E10C4" w:rsidRDefault="000E10C4" w:rsidP="00E24C2F">
      <w:pPr>
        <w:rPr>
          <w:rFonts w:eastAsia="Times New Roman" w:cstheme="minorHAnsi"/>
          <w:color w:val="000000"/>
          <w:lang w:eastAsia="en-GB"/>
        </w:rPr>
      </w:pPr>
      <w:r w:rsidRPr="000E10C4">
        <w:rPr>
          <w:rFonts w:cstheme="minorHAnsi"/>
          <w:shd w:val="clear" w:color="auto" w:fill="FFFFFF"/>
        </w:rPr>
        <w:t>Knowles David,</w:t>
      </w:r>
      <w:r w:rsidRPr="000E10C4">
        <w:rPr>
          <w:rFonts w:cstheme="minorHAnsi"/>
        </w:rPr>
        <w:t xml:space="preserve"> </w:t>
      </w:r>
      <w:hyperlink r:id="rId13" w:history="1">
        <w:r w:rsidRPr="000E10C4">
          <w:rPr>
            <w:rStyle w:val="Hyperlink"/>
            <w:rFonts w:cstheme="minorHAnsi"/>
            <w:i/>
            <w:iCs/>
            <w:color w:val="auto"/>
            <w:u w:val="none"/>
            <w:shd w:val="clear" w:color="auto" w:fill="FFFFFF"/>
          </w:rPr>
          <w:t>The Heads of Religious Houses: England and Wales, 1216-1377,</w:t>
        </w:r>
      </w:hyperlink>
      <w:r w:rsidRPr="000E10C4">
        <w:rPr>
          <w:rFonts w:cstheme="minorHAnsi"/>
          <w:shd w:val="clear" w:color="auto" w:fill="FFFFFF"/>
        </w:rPr>
        <w:t xml:space="preserve">, ed. David M. Smith and Vera C. M. London (London: </w:t>
      </w:r>
      <w:r w:rsidRPr="000E10C4">
        <w:rPr>
          <w:rFonts w:eastAsia="Times New Roman" w:cstheme="minorHAnsi"/>
          <w:color w:val="000000"/>
          <w:bdr w:val="none" w:sz="0" w:space="0" w:color="auto" w:frame="1"/>
          <w:lang w:eastAsia="en-GB"/>
        </w:rPr>
        <w:t>Cambridge University Pres</w:t>
      </w:r>
      <w:r w:rsidRPr="000E10C4">
        <w:rPr>
          <w:rFonts w:cstheme="minorHAnsi"/>
          <w:shd w:val="clear" w:color="auto" w:fill="FFFFFF"/>
        </w:rPr>
        <w:t xml:space="preserve"> 2001) </w:t>
      </w:r>
    </w:p>
    <w:p w14:paraId="4A554551" w14:textId="77777777" w:rsidR="000E10C4" w:rsidRPr="000E10C4" w:rsidRDefault="000E10C4" w:rsidP="00601880">
      <w:pPr>
        <w:rPr>
          <w:rFonts w:cstheme="minorHAnsi"/>
        </w:rPr>
      </w:pPr>
      <w:proofErr w:type="spellStart"/>
      <w:r w:rsidRPr="000E10C4">
        <w:rPr>
          <w:rFonts w:cstheme="minorHAnsi"/>
          <w:color w:val="000000"/>
          <w:shd w:val="clear" w:color="auto" w:fill="FFFFFF"/>
        </w:rPr>
        <w:t>Simpkin</w:t>
      </w:r>
      <w:proofErr w:type="spellEnd"/>
      <w:r w:rsidRPr="000E10C4">
        <w:rPr>
          <w:rFonts w:cstheme="minorHAnsi"/>
          <w:color w:val="000000"/>
          <w:shd w:val="clear" w:color="auto" w:fill="FFFFFF"/>
        </w:rPr>
        <w:t xml:space="preserve"> David</w:t>
      </w:r>
      <w:r w:rsidRPr="000E10C4">
        <w:rPr>
          <w:rFonts w:cstheme="minorHAnsi"/>
          <w:i/>
          <w:color w:val="000000"/>
          <w:shd w:val="clear" w:color="auto" w:fill="FFFFFF"/>
        </w:rPr>
        <w:t xml:space="preserve">, The English Aristocracy at War: From the Welsh Wars of Edward I to the Battle of Bannockburn, </w:t>
      </w:r>
      <w:r w:rsidRPr="000E10C4">
        <w:rPr>
          <w:rFonts w:cstheme="minorHAnsi"/>
          <w:color w:val="000000"/>
          <w:shd w:val="clear" w:color="auto" w:fill="FFFFFF"/>
        </w:rPr>
        <w:t>(Suffolk: Boydell Press, 2008).</w:t>
      </w:r>
    </w:p>
    <w:p w14:paraId="445112D6" w14:textId="77777777" w:rsidR="000E10C4" w:rsidRPr="000E10C4" w:rsidRDefault="000E10C4" w:rsidP="00E24C2F">
      <w:pPr>
        <w:rPr>
          <w:rFonts w:cstheme="minorHAnsi"/>
          <w:color w:val="000000"/>
          <w:shd w:val="clear" w:color="auto" w:fill="FFFFFF"/>
        </w:rPr>
      </w:pPr>
      <w:r w:rsidRPr="000E10C4">
        <w:rPr>
          <w:rFonts w:cstheme="minorHAnsi"/>
          <w:i/>
          <w:shd w:val="clear" w:color="auto" w:fill="FFFFFF"/>
        </w:rPr>
        <w:t xml:space="preserve">Wordsworth William, </w:t>
      </w:r>
      <w:r w:rsidRPr="000E10C4">
        <w:rPr>
          <w:rFonts w:cstheme="minorHAnsi"/>
          <w:i/>
          <w:color w:val="000000"/>
          <w:shd w:val="clear" w:color="auto" w:fill="FFFFFF"/>
        </w:rPr>
        <w:t>Lines Composed a Few Miles Above Tintern Abbey, on Revisiting the Banks of the Wye During a Tour, July 13th, 1798</w:t>
      </w:r>
      <w:r w:rsidRPr="000E10C4">
        <w:rPr>
          <w:rFonts w:cstheme="minorHAnsi"/>
          <w:i/>
          <w:shd w:val="clear" w:color="auto" w:fill="FFFFFF"/>
        </w:rPr>
        <w:t xml:space="preserve">, ed. </w:t>
      </w:r>
      <w:hyperlink r:id="rId14" w:history="1">
        <w:r w:rsidRPr="000E10C4">
          <w:rPr>
            <w:rStyle w:val="Hyperlink"/>
            <w:rFonts w:cstheme="minorHAnsi"/>
            <w:color w:val="auto"/>
            <w:u w:val="none"/>
            <w:shd w:val="clear" w:color="auto" w:fill="FFFFFF"/>
          </w:rPr>
          <w:t>Nicolas McDowall</w:t>
        </w:r>
      </w:hyperlink>
      <w:r w:rsidRPr="000E10C4">
        <w:rPr>
          <w:rFonts w:cstheme="minorHAnsi"/>
          <w:i/>
          <w:shd w:val="clear" w:color="auto" w:fill="FFFFFF"/>
        </w:rPr>
        <w:t xml:space="preserve"> (Monmouthshire: </w:t>
      </w:r>
      <w:r w:rsidRPr="000E10C4">
        <w:rPr>
          <w:rFonts w:cstheme="minorHAnsi"/>
          <w:color w:val="000000"/>
          <w:shd w:val="clear" w:color="auto" w:fill="FFFFFF"/>
        </w:rPr>
        <w:t>Old Stile Press, 2002)</w:t>
      </w:r>
    </w:p>
    <w:p w14:paraId="7FE22503" w14:textId="77777777" w:rsidR="004B2CE3" w:rsidRPr="004B2CE3" w:rsidRDefault="004B2CE3" w:rsidP="00F30D41">
      <w:pPr>
        <w:rPr>
          <w:rFonts w:cstheme="minorHAnsi"/>
          <w:shd w:val="clear" w:color="auto" w:fill="FFFFFF"/>
        </w:rPr>
      </w:pPr>
    </w:p>
    <w:p w14:paraId="282903B2" w14:textId="58E56F11" w:rsidR="007940DC" w:rsidRPr="00725425" w:rsidRDefault="00725425" w:rsidP="00601880">
      <w:pPr>
        <w:rPr>
          <w:rFonts w:ascii="Arial" w:hAnsi="Arial" w:cs="Arial"/>
          <w:b/>
          <w:sz w:val="20"/>
          <w:szCs w:val="20"/>
          <w:u w:val="single"/>
        </w:rPr>
      </w:pPr>
      <w:r w:rsidRPr="00725425">
        <w:rPr>
          <w:rFonts w:ascii="Arial" w:hAnsi="Arial" w:cs="Arial"/>
          <w:b/>
          <w:sz w:val="20"/>
          <w:szCs w:val="20"/>
          <w:u w:val="single"/>
        </w:rPr>
        <w:t>Images</w:t>
      </w:r>
    </w:p>
    <w:p w14:paraId="1E0A43E9" w14:textId="1A63F677" w:rsidR="004B2CE3" w:rsidRPr="00725425" w:rsidRDefault="004B2CE3" w:rsidP="00725425">
      <w:r w:rsidRPr="00725425">
        <w:t xml:space="preserve">Andrew Wilton, ‘Tintern Abbey: The Crossing and Chancel, looking towards the East Window 1794 by Joseph </w:t>
      </w:r>
      <w:proofErr w:type="spellStart"/>
      <w:r w:rsidRPr="00725425">
        <w:t>Mallord</w:t>
      </w:r>
      <w:proofErr w:type="spellEnd"/>
      <w:r w:rsidRPr="00725425">
        <w:t xml:space="preserve"> William Turner’, catalogue entry, April 2012</w:t>
      </w:r>
      <w:r w:rsidR="0077745F">
        <w:t xml:space="preserve">, </w:t>
      </w:r>
      <w:r w:rsidRPr="00725425">
        <w:t xml:space="preserve">https://www.tate.org.uk/art/research-publications/jmw-turner/joseph-mallord-william-turner-tintern-abbey-the-crossing-and-chancel-looking-towards-the-r1141174, </w:t>
      </w:r>
      <w:r w:rsidR="00904D18">
        <w:t>[</w:t>
      </w:r>
      <w:r>
        <w:t>A</w:t>
      </w:r>
      <w:r w:rsidRPr="00725425">
        <w:t>ccessed 01 March 2020.</w:t>
      </w:r>
      <w:r w:rsidR="00904D18">
        <w:t>]</w:t>
      </w:r>
    </w:p>
    <w:p w14:paraId="0ADBF7F9" w14:textId="77777777" w:rsidR="004B2CE3" w:rsidRPr="00AC20B9" w:rsidRDefault="004B2CE3" w:rsidP="00725425">
      <w:r w:rsidRPr="006F1417">
        <w:rPr>
          <w:i/>
        </w:rPr>
        <w:t>Founding of the Abbey in the 12th Century</w:t>
      </w:r>
      <w:r>
        <w:rPr>
          <w:i/>
        </w:rPr>
        <w:t xml:space="preserve">, </w:t>
      </w:r>
      <w:r w:rsidRPr="00AC20B9">
        <w:t>[</w:t>
      </w:r>
      <w:r>
        <w:t>Family Tree</w:t>
      </w:r>
      <w:r w:rsidRPr="00AC20B9">
        <w:t>] &lt;</w:t>
      </w:r>
      <w:hyperlink r:id="rId15" w:history="1">
        <w:r w:rsidRPr="00AC20B9">
          <w:rPr>
            <w:rStyle w:val="Hyperlink"/>
          </w:rPr>
          <w:t>http://www.petitciteaux.com/vca/12th.html</w:t>
        </w:r>
      </w:hyperlink>
      <w:r w:rsidRPr="00AC20B9">
        <w:t>&gt; [</w:t>
      </w:r>
      <w:r>
        <w:t>Accessed: 29 February 2020</w:t>
      </w:r>
      <w:r w:rsidRPr="00AC20B9">
        <w:t>]</w:t>
      </w:r>
    </w:p>
    <w:p w14:paraId="33C4B305" w14:textId="77777777" w:rsidR="004B2CE3" w:rsidRDefault="004B2CE3" w:rsidP="00725425">
      <w:r w:rsidRPr="006F1417">
        <w:rPr>
          <w:i/>
        </w:rPr>
        <w:t>Founding of the Abbey in the 12th Century</w:t>
      </w:r>
      <w:r>
        <w:rPr>
          <w:i/>
        </w:rPr>
        <w:t xml:space="preserve">, </w:t>
      </w:r>
      <w:r w:rsidRPr="00AC20B9">
        <w:t>[Map] &lt;</w:t>
      </w:r>
      <w:hyperlink r:id="rId16" w:history="1">
        <w:r w:rsidRPr="00AC20B9">
          <w:rPr>
            <w:rStyle w:val="Hyperlink"/>
          </w:rPr>
          <w:t>http://www.petitciteaux.com/vca/12th.html</w:t>
        </w:r>
      </w:hyperlink>
      <w:r w:rsidRPr="00AC20B9">
        <w:t>&gt; [</w:t>
      </w:r>
      <w:r>
        <w:t>Accessed: 29 February 2020</w:t>
      </w:r>
      <w:r w:rsidRPr="00AC20B9">
        <w:t>]</w:t>
      </w:r>
    </w:p>
    <w:p w14:paraId="4CFAC079" w14:textId="77777777" w:rsidR="004631F7" w:rsidRPr="004631F7" w:rsidRDefault="004631F7" w:rsidP="004631F7">
      <w:pPr>
        <w:rPr>
          <w:rFonts w:ascii="Arial" w:hAnsi="Arial" w:cs="Arial"/>
          <w:sz w:val="20"/>
          <w:szCs w:val="20"/>
        </w:rPr>
      </w:pPr>
    </w:p>
    <w:p w14:paraId="5F0A55E2" w14:textId="050269BE" w:rsidR="004631F7" w:rsidRPr="00C95C10" w:rsidRDefault="00C95C10" w:rsidP="004631F7">
      <w:pPr>
        <w:rPr>
          <w:rFonts w:cstheme="minorHAnsi"/>
          <w:b/>
          <w:u w:val="single"/>
        </w:rPr>
      </w:pPr>
      <w:r w:rsidRPr="00C95C10">
        <w:rPr>
          <w:rFonts w:cstheme="minorHAnsi"/>
          <w:b/>
          <w:u w:val="single"/>
        </w:rPr>
        <w:t>Websites</w:t>
      </w:r>
    </w:p>
    <w:p w14:paraId="489F55B2" w14:textId="30355125" w:rsidR="00C95C10" w:rsidRPr="004631F7" w:rsidRDefault="00C95C10" w:rsidP="004631F7">
      <w:pPr>
        <w:rPr>
          <w:rFonts w:ascii="Arial" w:hAnsi="Arial" w:cs="Arial"/>
          <w:sz w:val="20"/>
          <w:szCs w:val="20"/>
        </w:rPr>
      </w:pPr>
      <w:r w:rsidRPr="00C95C10">
        <w:rPr>
          <w:rFonts w:cstheme="minorHAnsi"/>
          <w:bCs/>
          <w:i/>
          <w:shd w:val="clear" w:color="auto" w:fill="F6FAFF"/>
        </w:rPr>
        <w:t>Tintern Abbey, Monmouthshire</w:t>
      </w:r>
      <w:r>
        <w:t xml:space="preserve">, </w:t>
      </w:r>
      <w:hyperlink r:id="rId17" w:history="1">
        <w:r w:rsidRPr="004D161F">
          <w:rPr>
            <w:rStyle w:val="Hyperlink"/>
            <w:color w:val="auto"/>
          </w:rPr>
          <w:t>https://www.uksouthwest.net/monmouthshire/tintern-abbey/</w:t>
        </w:r>
      </w:hyperlink>
      <w:r w:rsidR="00904D18" w:rsidRPr="004D161F">
        <w:t xml:space="preserve"> </w:t>
      </w:r>
      <w:r w:rsidR="00904D18">
        <w:t xml:space="preserve">[Accessed 01 March 2020] </w:t>
      </w:r>
    </w:p>
    <w:p w14:paraId="0BC5B444" w14:textId="1617B096" w:rsidR="00601880" w:rsidRPr="00601880" w:rsidRDefault="00601880" w:rsidP="00601880">
      <w:pPr>
        <w:rPr>
          <w:rFonts w:ascii="Arial" w:hAnsi="Arial" w:cs="Arial"/>
          <w:sz w:val="20"/>
          <w:szCs w:val="20"/>
        </w:rPr>
      </w:pPr>
    </w:p>
    <w:sectPr w:rsidR="00601880" w:rsidRPr="00601880" w:rsidSect="00C741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77A94" w14:textId="77777777" w:rsidR="0089172E" w:rsidRDefault="0089172E" w:rsidP="00F30D41">
      <w:pPr>
        <w:spacing w:after="0" w:line="240" w:lineRule="auto"/>
      </w:pPr>
      <w:r>
        <w:separator/>
      </w:r>
    </w:p>
  </w:endnote>
  <w:endnote w:type="continuationSeparator" w:id="0">
    <w:p w14:paraId="072EEFDF" w14:textId="77777777" w:rsidR="0089172E" w:rsidRDefault="0089172E" w:rsidP="00F30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8D482" w14:textId="77777777" w:rsidR="0089172E" w:rsidRDefault="0089172E" w:rsidP="00F30D41">
      <w:pPr>
        <w:spacing w:after="0" w:line="240" w:lineRule="auto"/>
      </w:pPr>
      <w:r>
        <w:separator/>
      </w:r>
    </w:p>
  </w:footnote>
  <w:footnote w:type="continuationSeparator" w:id="0">
    <w:p w14:paraId="20584F79" w14:textId="77777777" w:rsidR="0089172E" w:rsidRDefault="0089172E" w:rsidP="00F30D41">
      <w:pPr>
        <w:spacing w:after="0" w:line="240" w:lineRule="auto"/>
      </w:pPr>
      <w:r>
        <w:continuationSeparator/>
      </w:r>
    </w:p>
  </w:footnote>
  <w:footnote w:id="1">
    <w:p w14:paraId="0528F482" w14:textId="72289702" w:rsidR="00C26841" w:rsidRPr="00AC20B9" w:rsidRDefault="00C26841" w:rsidP="00AC20B9">
      <w:pPr>
        <w:rPr>
          <w:rFonts w:cstheme="minorHAnsi"/>
          <w:i/>
        </w:rPr>
      </w:pPr>
      <w:r w:rsidRPr="00AE244C">
        <w:rPr>
          <w:rStyle w:val="FootnoteReference"/>
        </w:rPr>
        <w:footnoteRef/>
      </w:r>
      <w:r w:rsidRPr="00AE244C">
        <w:t xml:space="preserve"> </w:t>
      </w:r>
      <w:r w:rsidR="00AC20B9" w:rsidRPr="00601880">
        <w:rPr>
          <w:rFonts w:cstheme="minorHAnsi"/>
        </w:rPr>
        <w:t xml:space="preserve">Abbot Gasquet, </w:t>
      </w:r>
      <w:r w:rsidR="00AC20B9" w:rsidRPr="00601880">
        <w:rPr>
          <w:rFonts w:cstheme="minorHAnsi"/>
          <w:i/>
        </w:rPr>
        <w:t xml:space="preserve">The Greater Abbeys of England, (London, </w:t>
      </w:r>
      <w:proofErr w:type="spellStart"/>
      <w:r w:rsidR="00AC20B9" w:rsidRPr="00601880">
        <w:rPr>
          <w:rFonts w:cstheme="minorHAnsi"/>
          <w:i/>
        </w:rPr>
        <w:t>Chatto</w:t>
      </w:r>
      <w:proofErr w:type="spellEnd"/>
      <w:r w:rsidR="00AC20B9" w:rsidRPr="00601880">
        <w:rPr>
          <w:rFonts w:cstheme="minorHAnsi"/>
          <w:i/>
        </w:rPr>
        <w:t xml:space="preserve"> and Windus,1908)</w:t>
      </w:r>
      <w:r w:rsidR="00F70115">
        <w:rPr>
          <w:rFonts w:cstheme="minorHAnsi"/>
          <w:i/>
        </w:rPr>
        <w:t xml:space="preserve"> </w:t>
      </w:r>
      <w:r w:rsidR="006F1417">
        <w:t>p</w:t>
      </w:r>
      <w:r w:rsidRPr="00AE244C">
        <w:t>g</w:t>
      </w:r>
      <w:r w:rsidR="006F1417">
        <w:t>.</w:t>
      </w:r>
      <w:r w:rsidRPr="00AE244C">
        <w:t xml:space="preserve"> 190</w:t>
      </w:r>
      <w:r w:rsidR="00AE244C" w:rsidRPr="00AE244C">
        <w:t>.</w:t>
      </w:r>
    </w:p>
  </w:footnote>
  <w:footnote w:id="2">
    <w:p w14:paraId="0F38DC39" w14:textId="4FE3475B" w:rsidR="005C5952" w:rsidRPr="00AE244C" w:rsidRDefault="005C5952">
      <w:pPr>
        <w:pStyle w:val="FootnoteText"/>
        <w:rPr>
          <w:sz w:val="22"/>
          <w:szCs w:val="22"/>
        </w:rPr>
      </w:pPr>
      <w:r w:rsidRPr="00AE244C">
        <w:rPr>
          <w:rStyle w:val="FootnoteReference"/>
          <w:sz w:val="22"/>
          <w:szCs w:val="22"/>
        </w:rPr>
        <w:footnoteRef/>
      </w:r>
      <w:r w:rsidRPr="00AE244C">
        <w:rPr>
          <w:sz w:val="22"/>
          <w:szCs w:val="22"/>
        </w:rPr>
        <w:t xml:space="preserve"> </w:t>
      </w:r>
      <w:r w:rsidR="00AC20B9">
        <w:rPr>
          <w:sz w:val="22"/>
          <w:szCs w:val="22"/>
        </w:rPr>
        <w:t xml:space="preserve">Ibid </w:t>
      </w:r>
      <w:r w:rsidRPr="00AE244C">
        <w:rPr>
          <w:sz w:val="22"/>
          <w:szCs w:val="22"/>
        </w:rPr>
        <w:t>pg. 190</w:t>
      </w:r>
      <w:r w:rsidR="00AE244C" w:rsidRPr="00AE244C">
        <w:rPr>
          <w:sz w:val="22"/>
          <w:szCs w:val="22"/>
        </w:rPr>
        <w:t>.</w:t>
      </w:r>
    </w:p>
  </w:footnote>
  <w:footnote w:id="3">
    <w:p w14:paraId="136524A4" w14:textId="20417B84" w:rsidR="00C26841" w:rsidRPr="00AE244C" w:rsidRDefault="00C26841" w:rsidP="00C26841">
      <w:pPr>
        <w:pStyle w:val="FootnoteText"/>
        <w:rPr>
          <w:sz w:val="22"/>
          <w:szCs w:val="22"/>
        </w:rPr>
      </w:pPr>
      <w:r w:rsidRPr="00AE244C">
        <w:rPr>
          <w:rStyle w:val="FootnoteReference"/>
          <w:sz w:val="22"/>
          <w:szCs w:val="22"/>
        </w:rPr>
        <w:footnoteRef/>
      </w:r>
      <w:r w:rsidRPr="00AE244C">
        <w:rPr>
          <w:sz w:val="22"/>
          <w:szCs w:val="22"/>
        </w:rPr>
        <w:t xml:space="preserve"> </w:t>
      </w:r>
      <w:r w:rsidR="00AC20B9">
        <w:rPr>
          <w:sz w:val="22"/>
          <w:szCs w:val="22"/>
        </w:rPr>
        <w:t xml:space="preserve">Ibid </w:t>
      </w:r>
      <w:r w:rsidRPr="00AE244C">
        <w:rPr>
          <w:sz w:val="22"/>
          <w:szCs w:val="22"/>
        </w:rPr>
        <w:t>pg. 190</w:t>
      </w:r>
      <w:r w:rsidR="00AE244C" w:rsidRPr="00AE244C">
        <w:rPr>
          <w:sz w:val="22"/>
          <w:szCs w:val="22"/>
        </w:rPr>
        <w:t>.</w:t>
      </w:r>
    </w:p>
  </w:footnote>
  <w:footnote w:id="4">
    <w:p w14:paraId="324B5798" w14:textId="5FDA30D4" w:rsidR="00917F82" w:rsidRPr="00AE244C" w:rsidRDefault="00917F82" w:rsidP="00AE244C">
      <w:pPr>
        <w:rPr>
          <w:rFonts w:cs="Arial"/>
          <w:sz w:val="20"/>
          <w:szCs w:val="20"/>
          <w:shd w:val="clear" w:color="auto" w:fill="FFFFFF"/>
        </w:rPr>
      </w:pPr>
      <w:r w:rsidRPr="00AE244C">
        <w:rPr>
          <w:rStyle w:val="FootnoteReference"/>
        </w:rPr>
        <w:footnoteRef/>
      </w:r>
      <w:r w:rsidRPr="00AE244C">
        <w:t xml:space="preserve"> </w:t>
      </w:r>
      <w:r w:rsidR="00AE244C" w:rsidRPr="00AE244C">
        <w:rPr>
          <w:rFonts w:cs="Arial"/>
          <w:shd w:val="clear" w:color="auto" w:fill="FFFFFF"/>
        </w:rPr>
        <w:t>Margaret Greenwood, Mark Connolly</w:t>
      </w:r>
      <w:r w:rsidR="00AE244C" w:rsidRPr="00AE244C">
        <w:rPr>
          <w:rFonts w:cs="Arial"/>
          <w:i/>
          <w:shd w:val="clear" w:color="auto" w:fill="FFFFFF"/>
        </w:rPr>
        <w:t xml:space="preserve">, The Rough Guide to Ireland, </w:t>
      </w:r>
      <w:r w:rsidR="00AE244C" w:rsidRPr="00AE244C">
        <w:rPr>
          <w:rFonts w:cstheme="minorHAnsi"/>
          <w:i/>
          <w:shd w:val="clear" w:color="auto" w:fill="FFFFFF"/>
        </w:rPr>
        <w:t xml:space="preserve">(London, </w:t>
      </w:r>
      <w:r w:rsidR="00AE244C" w:rsidRPr="00AE244C">
        <w:rPr>
          <w:rFonts w:cstheme="minorHAnsi"/>
          <w:color w:val="000000"/>
          <w:shd w:val="clear" w:color="auto" w:fill="FFFFFF"/>
        </w:rPr>
        <w:t>Rough Guides, 2003</w:t>
      </w:r>
      <w:r w:rsidR="00AE244C" w:rsidRPr="00AE244C">
        <w:rPr>
          <w:rFonts w:cstheme="minorHAnsi"/>
          <w:i/>
          <w:shd w:val="clear" w:color="auto" w:fill="FFFFFF"/>
        </w:rPr>
        <w:t xml:space="preserve">) </w:t>
      </w:r>
      <w:r w:rsidRPr="00AE244C">
        <w:t>pg. 270</w:t>
      </w:r>
      <w:r w:rsidR="00AE244C" w:rsidRPr="00AE244C">
        <w:t>.</w:t>
      </w:r>
    </w:p>
  </w:footnote>
  <w:footnote w:id="5">
    <w:p w14:paraId="5F9CD66B" w14:textId="5B5D3800" w:rsidR="00917F82" w:rsidRPr="00AE244C" w:rsidRDefault="00917F82">
      <w:pPr>
        <w:pStyle w:val="FootnoteText"/>
        <w:rPr>
          <w:sz w:val="22"/>
          <w:szCs w:val="22"/>
        </w:rPr>
      </w:pPr>
      <w:r w:rsidRPr="00AE244C">
        <w:rPr>
          <w:rStyle w:val="FootnoteReference"/>
          <w:sz w:val="22"/>
          <w:szCs w:val="22"/>
        </w:rPr>
        <w:footnoteRef/>
      </w:r>
      <w:r w:rsidRPr="00AE244C">
        <w:rPr>
          <w:sz w:val="22"/>
          <w:szCs w:val="22"/>
        </w:rPr>
        <w:t xml:space="preserve"> William Marshall was the Earl of Pembroke during the construction of Tintern, both Ireland and Wales. </w:t>
      </w:r>
    </w:p>
  </w:footnote>
  <w:footnote w:id="6">
    <w:p w14:paraId="04EA32E3" w14:textId="4267F803" w:rsidR="00917F82" w:rsidRPr="00AE244C" w:rsidRDefault="00917F82" w:rsidP="00AE244C">
      <w:pPr>
        <w:rPr>
          <w:rFonts w:cs="Arial"/>
          <w:shd w:val="clear" w:color="auto" w:fill="FFFFFF"/>
        </w:rPr>
      </w:pPr>
      <w:r w:rsidRPr="00AE244C">
        <w:rPr>
          <w:rStyle w:val="FootnoteReference"/>
        </w:rPr>
        <w:footnoteRef/>
      </w:r>
      <w:r w:rsidRPr="00AE244C">
        <w:t xml:space="preserve"> </w:t>
      </w:r>
      <w:r w:rsidR="00AE244C" w:rsidRPr="00AE244C">
        <w:rPr>
          <w:rFonts w:cs="Arial"/>
          <w:shd w:val="clear" w:color="auto" w:fill="FFFFFF"/>
        </w:rPr>
        <w:t>Greenwood and Connolly</w:t>
      </w:r>
      <w:r w:rsidR="00AE244C" w:rsidRPr="00AE244C">
        <w:rPr>
          <w:rFonts w:cs="Arial"/>
          <w:i/>
          <w:shd w:val="clear" w:color="auto" w:fill="FFFFFF"/>
        </w:rPr>
        <w:t xml:space="preserve">, The Rough Guide to Ireland, </w:t>
      </w:r>
      <w:r w:rsidRPr="00AE244C">
        <w:t>pg. 270</w:t>
      </w:r>
      <w:r w:rsidR="00AE244C" w:rsidRPr="00AE244C">
        <w:t>.</w:t>
      </w:r>
    </w:p>
  </w:footnote>
  <w:footnote w:id="7">
    <w:p w14:paraId="2F87029B" w14:textId="7AAC13BB" w:rsidR="00F70115" w:rsidRDefault="00F70115" w:rsidP="00F70115">
      <w:r>
        <w:rPr>
          <w:rStyle w:val="FootnoteReference"/>
        </w:rPr>
        <w:footnoteRef/>
      </w:r>
      <w:r>
        <w:t xml:space="preserve"> </w:t>
      </w:r>
      <w:r w:rsidRPr="006F1417">
        <w:rPr>
          <w:i/>
        </w:rPr>
        <w:t>Founding of the Abbey in the 12th Century</w:t>
      </w:r>
      <w:r>
        <w:rPr>
          <w:i/>
        </w:rPr>
        <w:t xml:space="preserve">, </w:t>
      </w:r>
      <w:r w:rsidRPr="00AC20B9">
        <w:t>[</w:t>
      </w:r>
      <w:r>
        <w:t>Family Tree</w:t>
      </w:r>
      <w:r w:rsidRPr="00AC20B9">
        <w:t>] &lt;</w:t>
      </w:r>
      <w:hyperlink r:id="rId1" w:history="1">
        <w:r w:rsidRPr="00AC20B9">
          <w:rPr>
            <w:rStyle w:val="Hyperlink"/>
          </w:rPr>
          <w:t>http://www.petitciteaux.com/vca/12th.html</w:t>
        </w:r>
      </w:hyperlink>
      <w:r w:rsidRPr="00AC20B9">
        <w:t>&gt; [</w:t>
      </w:r>
      <w:r>
        <w:t>Accessed: 29 February 2020</w:t>
      </w:r>
      <w:r w:rsidRPr="00AC20B9">
        <w:t>]</w:t>
      </w:r>
    </w:p>
  </w:footnote>
  <w:footnote w:id="8">
    <w:p w14:paraId="459131A3" w14:textId="23628868" w:rsidR="00815454" w:rsidRPr="004B2CE3" w:rsidRDefault="00815454" w:rsidP="004B2CE3">
      <w:pPr>
        <w:rPr>
          <w:rFonts w:cstheme="minorHAnsi"/>
        </w:rPr>
      </w:pPr>
      <w:r>
        <w:rPr>
          <w:rStyle w:val="FootnoteReference"/>
        </w:rPr>
        <w:footnoteRef/>
      </w:r>
      <w:r>
        <w:t xml:space="preserve"> </w:t>
      </w:r>
      <w:r w:rsidR="004B2CE3" w:rsidRPr="004B2CE3">
        <w:rPr>
          <w:rFonts w:ascii="Arial" w:hAnsi="Arial" w:cs="Arial"/>
          <w:color w:val="000000"/>
          <w:sz w:val="20"/>
          <w:szCs w:val="20"/>
          <w:shd w:val="clear" w:color="auto" w:fill="FFFFFF"/>
        </w:rPr>
        <w:t xml:space="preserve">David </w:t>
      </w:r>
      <w:proofErr w:type="spellStart"/>
      <w:r w:rsidR="004B2CE3" w:rsidRPr="004B2CE3">
        <w:rPr>
          <w:rFonts w:ascii="Arial" w:hAnsi="Arial" w:cs="Arial"/>
          <w:color w:val="000000"/>
          <w:sz w:val="20"/>
          <w:szCs w:val="20"/>
          <w:shd w:val="clear" w:color="auto" w:fill="FFFFFF"/>
        </w:rPr>
        <w:t>Simpkin</w:t>
      </w:r>
      <w:proofErr w:type="spellEnd"/>
      <w:r w:rsidR="004B2CE3">
        <w:rPr>
          <w:rFonts w:ascii="Arial" w:hAnsi="Arial" w:cs="Arial"/>
          <w:i/>
          <w:color w:val="000000"/>
          <w:sz w:val="20"/>
          <w:szCs w:val="20"/>
          <w:shd w:val="clear" w:color="auto" w:fill="FFFFFF"/>
        </w:rPr>
        <w:t>,</w:t>
      </w:r>
      <w:r w:rsidR="004B2CE3" w:rsidRPr="004B2CE3">
        <w:rPr>
          <w:rFonts w:ascii="Arial" w:hAnsi="Arial" w:cs="Arial"/>
          <w:i/>
          <w:color w:val="000000"/>
          <w:sz w:val="20"/>
          <w:szCs w:val="20"/>
          <w:shd w:val="clear" w:color="auto" w:fill="FFFFFF"/>
        </w:rPr>
        <w:t xml:space="preserve"> The English Aristocracy at War: From the Welsh Wars of Edward I to the Battle of Bannockburn</w:t>
      </w:r>
      <w:r w:rsidR="004B2CE3">
        <w:rPr>
          <w:rFonts w:ascii="Arial" w:hAnsi="Arial" w:cs="Arial"/>
          <w:i/>
          <w:color w:val="000000"/>
          <w:sz w:val="20"/>
          <w:szCs w:val="20"/>
          <w:shd w:val="clear" w:color="auto" w:fill="FFFFFF"/>
        </w:rPr>
        <w:t xml:space="preserve">, </w:t>
      </w:r>
      <w:r w:rsidR="004B2CE3" w:rsidRPr="004B2CE3">
        <w:rPr>
          <w:rFonts w:ascii="Arial" w:hAnsi="Arial" w:cs="Arial"/>
          <w:color w:val="000000"/>
          <w:sz w:val="20"/>
          <w:szCs w:val="20"/>
          <w:shd w:val="clear" w:color="auto" w:fill="FFFFFF"/>
        </w:rPr>
        <w:t>(</w:t>
      </w:r>
      <w:r w:rsidR="004B2CE3">
        <w:rPr>
          <w:rFonts w:ascii="Arial" w:hAnsi="Arial" w:cs="Arial"/>
          <w:color w:val="000000"/>
          <w:shd w:val="clear" w:color="auto" w:fill="FFFFFF"/>
        </w:rPr>
        <w:t xml:space="preserve">Suffolk, </w:t>
      </w:r>
      <w:r w:rsidR="004B2CE3">
        <w:rPr>
          <w:rFonts w:ascii="Arial" w:hAnsi="Arial" w:cs="Arial"/>
          <w:color w:val="000000"/>
          <w:sz w:val="20"/>
          <w:szCs w:val="20"/>
          <w:shd w:val="clear" w:color="auto" w:fill="FFFFFF"/>
        </w:rPr>
        <w:t>Boydell Press, 2008).</w:t>
      </w:r>
    </w:p>
  </w:footnote>
  <w:footnote w:id="9">
    <w:p w14:paraId="0C0442A3" w14:textId="706D5A4E" w:rsidR="00213662" w:rsidRPr="00213662" w:rsidRDefault="00213662" w:rsidP="00213662">
      <w:pPr>
        <w:rPr>
          <w:rFonts w:cstheme="minorHAnsi"/>
        </w:rPr>
      </w:pPr>
      <w:r>
        <w:rPr>
          <w:rStyle w:val="FootnoteReference"/>
        </w:rPr>
        <w:footnoteRef/>
      </w:r>
      <w:r>
        <w:t xml:space="preserve"> </w:t>
      </w:r>
      <w:r w:rsidRPr="00213662">
        <w:rPr>
          <w:rFonts w:cstheme="minorHAnsi"/>
          <w:shd w:val="clear" w:color="auto" w:fill="FFFFFF"/>
        </w:rPr>
        <w:t>BLASHILL T</w:t>
      </w:r>
      <w:r>
        <w:rPr>
          <w:rFonts w:cstheme="minorHAnsi"/>
          <w:shd w:val="clear" w:color="auto" w:fill="FFFFFF"/>
        </w:rPr>
        <w:t>homas, ‘</w:t>
      </w:r>
      <w:r w:rsidRPr="00213662">
        <w:rPr>
          <w:rFonts w:cstheme="minorHAnsi"/>
          <w:shd w:val="clear" w:color="auto" w:fill="FFFFFF"/>
        </w:rPr>
        <w:t>TINTERN ABBEY</w:t>
      </w:r>
      <w:r>
        <w:rPr>
          <w:rFonts w:cstheme="minorHAnsi"/>
          <w:shd w:val="clear" w:color="auto" w:fill="FFFFFF"/>
        </w:rPr>
        <w:t>’</w:t>
      </w:r>
      <w:r w:rsidRPr="00213662">
        <w:rPr>
          <w:rFonts w:cstheme="minorHAnsi"/>
          <w:shd w:val="clear" w:color="auto" w:fill="FFFFFF"/>
        </w:rPr>
        <w:t>. </w:t>
      </w:r>
      <w:proofErr w:type="spellStart"/>
      <w:r w:rsidRPr="00213662">
        <w:rPr>
          <w:rFonts w:cstheme="minorHAnsi"/>
          <w:i/>
          <w:iCs/>
          <w:shd w:val="clear" w:color="auto" w:fill="FFFFFF"/>
        </w:rPr>
        <w:t>Archaeologia</w:t>
      </w:r>
      <w:proofErr w:type="spellEnd"/>
      <w:r w:rsidRPr="00213662">
        <w:rPr>
          <w:rFonts w:cstheme="minorHAnsi"/>
          <w:i/>
          <w:iCs/>
          <w:shd w:val="clear" w:color="auto" w:fill="FFFFFF"/>
        </w:rPr>
        <w:t xml:space="preserve"> </w:t>
      </w:r>
      <w:proofErr w:type="spellStart"/>
      <w:r w:rsidRPr="00213662">
        <w:rPr>
          <w:rFonts w:cstheme="minorHAnsi"/>
          <w:i/>
          <w:iCs/>
          <w:shd w:val="clear" w:color="auto" w:fill="FFFFFF"/>
        </w:rPr>
        <w:t>cambrensis</w:t>
      </w:r>
      <w:proofErr w:type="spellEnd"/>
      <w:r w:rsidRPr="00213662">
        <w:rPr>
          <w:rFonts w:cstheme="minorHAnsi"/>
          <w:i/>
          <w:iCs/>
          <w:shd w:val="clear" w:color="auto" w:fill="FFFFFF"/>
        </w:rPr>
        <w:t>, </w:t>
      </w:r>
      <w:r w:rsidRPr="00213662">
        <w:rPr>
          <w:rFonts w:cstheme="minorHAnsi"/>
          <w:bCs/>
          <w:shd w:val="clear" w:color="auto" w:fill="FFFFFF"/>
        </w:rPr>
        <w:t>3</w:t>
      </w:r>
      <w:r w:rsidRPr="00213662">
        <w:rPr>
          <w:rFonts w:cstheme="minorHAnsi"/>
          <w:shd w:val="clear" w:color="auto" w:fill="FFFFFF"/>
        </w:rPr>
        <w:t xml:space="preserve">(12), </w:t>
      </w:r>
      <w:r>
        <w:rPr>
          <w:rFonts w:cstheme="minorHAnsi"/>
          <w:shd w:val="clear" w:color="auto" w:fill="FFFFFF"/>
        </w:rPr>
        <w:t>(</w:t>
      </w:r>
      <w:r w:rsidRPr="00213662">
        <w:rPr>
          <w:rFonts w:cstheme="minorHAnsi"/>
          <w:shd w:val="clear" w:color="auto" w:fill="FFFFFF"/>
        </w:rPr>
        <w:t>1886</w:t>
      </w:r>
      <w:r>
        <w:rPr>
          <w:rFonts w:cstheme="minorHAnsi"/>
          <w:shd w:val="clear" w:color="auto" w:fill="FFFFFF"/>
        </w:rPr>
        <w:t>) 241-252.</w:t>
      </w:r>
    </w:p>
  </w:footnote>
  <w:footnote w:id="10">
    <w:p w14:paraId="2C22EB0D" w14:textId="5A5719FD" w:rsidR="0012457B" w:rsidRPr="00AC20B9" w:rsidRDefault="0012457B" w:rsidP="00AC20B9">
      <w:pPr>
        <w:rPr>
          <w:rFonts w:cstheme="minorHAnsi"/>
          <w:i/>
        </w:rPr>
      </w:pPr>
      <w:r w:rsidRPr="00AC20B9">
        <w:rPr>
          <w:rStyle w:val="FootnoteReference"/>
        </w:rPr>
        <w:footnoteRef/>
      </w:r>
      <w:r w:rsidRPr="00AC20B9">
        <w:t xml:space="preserve"> </w:t>
      </w:r>
      <w:r w:rsidR="00AC20B9" w:rsidRPr="00601880">
        <w:rPr>
          <w:rFonts w:cstheme="minorHAnsi"/>
        </w:rPr>
        <w:t xml:space="preserve">Abbot Gasquet, </w:t>
      </w:r>
      <w:r w:rsidR="00AC20B9" w:rsidRPr="00601880">
        <w:rPr>
          <w:rFonts w:cstheme="minorHAnsi"/>
          <w:i/>
        </w:rPr>
        <w:t xml:space="preserve">The Greater Abbeys of England, </w:t>
      </w:r>
      <w:r w:rsidRPr="00AC20B9">
        <w:t>pg. 191</w:t>
      </w:r>
      <w:r w:rsidR="00AC20B9">
        <w:t>.</w:t>
      </w:r>
    </w:p>
  </w:footnote>
  <w:footnote w:id="11">
    <w:p w14:paraId="52A00B44" w14:textId="77777777" w:rsidR="0012457B" w:rsidRPr="00AC20B9" w:rsidRDefault="0012457B" w:rsidP="0012457B">
      <w:pPr>
        <w:pStyle w:val="FootnoteText"/>
        <w:rPr>
          <w:sz w:val="22"/>
          <w:szCs w:val="22"/>
        </w:rPr>
      </w:pPr>
      <w:r w:rsidRPr="00AC20B9">
        <w:rPr>
          <w:rStyle w:val="FootnoteReference"/>
          <w:sz w:val="22"/>
          <w:szCs w:val="22"/>
        </w:rPr>
        <w:footnoteRef/>
      </w:r>
      <w:r w:rsidRPr="00AC20B9">
        <w:rPr>
          <w:sz w:val="22"/>
          <w:szCs w:val="22"/>
        </w:rPr>
        <w:t xml:space="preserve"> </w:t>
      </w:r>
      <w:hyperlink r:id="rId2" w:history="1">
        <w:r w:rsidRPr="00AC20B9">
          <w:rPr>
            <w:rStyle w:val="Hyperlink"/>
            <w:rFonts w:cs="Arial"/>
            <w:i/>
            <w:iCs/>
            <w:color w:val="auto"/>
            <w:sz w:val="22"/>
            <w:szCs w:val="22"/>
            <w:u w:val="none"/>
            <w:shd w:val="clear" w:color="auto" w:fill="FFFFFF"/>
          </w:rPr>
          <w:t>The Heads of Religious Houses in England and Wales, I, 940-1216</w:t>
        </w:r>
      </w:hyperlink>
      <w:r w:rsidRPr="00AC20B9">
        <w:rPr>
          <w:rFonts w:cs="Arial"/>
          <w:sz w:val="22"/>
          <w:szCs w:val="22"/>
          <w:shd w:val="clear" w:color="auto" w:fill="FFFFFF"/>
        </w:rPr>
        <w:t>, ed. D. Knowles, C. Brooke and V. London (London, 1972; 2001) </w:t>
      </w:r>
      <w:r w:rsidRPr="00AC20B9">
        <w:rPr>
          <w:rFonts w:cs="Arial"/>
          <w:bCs/>
          <w:sz w:val="22"/>
          <w:szCs w:val="22"/>
          <w:shd w:val="clear" w:color="auto" w:fill="FFFFFF"/>
        </w:rPr>
        <w:t>pg. 145.</w:t>
      </w:r>
    </w:p>
  </w:footnote>
  <w:footnote w:id="12">
    <w:p w14:paraId="6CB8605D" w14:textId="77777777" w:rsidR="00C95C10" w:rsidRDefault="00C95C10" w:rsidP="00C95C10">
      <w:r>
        <w:rPr>
          <w:rStyle w:val="FootnoteReference"/>
        </w:rPr>
        <w:footnoteRef/>
      </w:r>
      <w:r>
        <w:t xml:space="preserve"> </w:t>
      </w:r>
      <w:r w:rsidRPr="006F1417">
        <w:rPr>
          <w:i/>
        </w:rPr>
        <w:t>Founding of the Abbey in the 12th Century</w:t>
      </w:r>
      <w:r>
        <w:rPr>
          <w:i/>
        </w:rPr>
        <w:t xml:space="preserve">, </w:t>
      </w:r>
      <w:r w:rsidRPr="00AC20B9">
        <w:t>[Map] &lt;</w:t>
      </w:r>
      <w:hyperlink r:id="rId3" w:history="1">
        <w:r w:rsidRPr="00AC20B9">
          <w:rPr>
            <w:rStyle w:val="Hyperlink"/>
          </w:rPr>
          <w:t>http://www.petitciteaux.com/vca/12th.html</w:t>
        </w:r>
      </w:hyperlink>
      <w:r w:rsidRPr="00AC20B9">
        <w:t>&gt; [</w:t>
      </w:r>
      <w:r>
        <w:t>Accessed: 29 February 2020</w:t>
      </w:r>
      <w:r w:rsidRPr="00AC20B9">
        <w:t>]</w:t>
      </w:r>
    </w:p>
  </w:footnote>
  <w:footnote w:id="13">
    <w:p w14:paraId="7CEE61E9" w14:textId="67DDCFC9" w:rsidR="00C95C10" w:rsidRPr="00E24C2F" w:rsidRDefault="00C95C10" w:rsidP="00E24C2F">
      <w:pPr>
        <w:rPr>
          <w:rFonts w:ascii="Arial" w:hAnsi="Arial" w:cs="Arial"/>
          <w:sz w:val="20"/>
          <w:szCs w:val="20"/>
        </w:rPr>
      </w:pPr>
      <w:r>
        <w:rPr>
          <w:rStyle w:val="FootnoteReference"/>
        </w:rPr>
        <w:footnoteRef/>
      </w:r>
      <w:r>
        <w:t xml:space="preserve"> </w:t>
      </w:r>
      <w:r w:rsidR="00E24C2F" w:rsidRPr="00C95C10">
        <w:rPr>
          <w:rFonts w:cstheme="minorHAnsi"/>
          <w:bCs/>
          <w:i/>
          <w:shd w:val="clear" w:color="auto" w:fill="F6FAFF"/>
        </w:rPr>
        <w:t>Tintern Abbey, Monmouthshire</w:t>
      </w:r>
      <w:r w:rsidR="00E24C2F">
        <w:t xml:space="preserve">, </w:t>
      </w:r>
      <w:hyperlink r:id="rId4" w:history="1">
        <w:r w:rsidR="00E24C2F" w:rsidRPr="00C743EB">
          <w:rPr>
            <w:rStyle w:val="Hyperlink"/>
          </w:rPr>
          <w:t>https://www.uksouthwest.net/monmouthshire/tintern-abbey/</w:t>
        </w:r>
      </w:hyperlink>
      <w:r w:rsidR="00E24C2F">
        <w:t xml:space="preserve"> [Accessed 01 March 2020] </w:t>
      </w:r>
    </w:p>
  </w:footnote>
  <w:footnote w:id="14">
    <w:p w14:paraId="578AD2EA" w14:textId="75E70F96" w:rsidR="000E10C4" w:rsidRPr="000E10C4" w:rsidRDefault="000E10C4" w:rsidP="000E10C4">
      <w:pPr>
        <w:rPr>
          <w:rFonts w:cstheme="minorHAnsi"/>
        </w:rPr>
      </w:pPr>
      <w:r>
        <w:rPr>
          <w:rStyle w:val="FootnoteReference"/>
        </w:rPr>
        <w:footnoteRef/>
      </w:r>
      <w:r>
        <w:t xml:space="preserve"> </w:t>
      </w:r>
      <w:proofErr w:type="spellStart"/>
      <w:r>
        <w:rPr>
          <w:rFonts w:cstheme="minorHAnsi"/>
        </w:rPr>
        <w:t>Berbard</w:t>
      </w:r>
      <w:proofErr w:type="spellEnd"/>
      <w:r>
        <w:rPr>
          <w:rFonts w:cstheme="minorHAnsi"/>
        </w:rPr>
        <w:t xml:space="preserve"> of Clairvaux, “</w:t>
      </w:r>
      <w:r w:rsidRPr="00B96CB7">
        <w:rPr>
          <w:rFonts w:cstheme="minorHAnsi"/>
          <w:i/>
        </w:rPr>
        <w:t>Apologia</w:t>
      </w:r>
      <w:r>
        <w:rPr>
          <w:rFonts w:cstheme="minorHAnsi"/>
        </w:rPr>
        <w:t xml:space="preserve">”, Cistercian Sourcebook, (Lampeter: </w:t>
      </w:r>
      <w:proofErr w:type="spellStart"/>
      <w:r>
        <w:rPr>
          <w:rFonts w:cstheme="minorHAnsi"/>
        </w:rPr>
        <w:t>Uwtsd</w:t>
      </w:r>
      <w:proofErr w:type="spellEnd"/>
      <w:r>
        <w:rPr>
          <w:rFonts w:cstheme="minorHAnsi"/>
        </w:rPr>
        <w:t>, 2020) pg. 60</w:t>
      </w:r>
    </w:p>
  </w:footnote>
  <w:footnote w:id="15">
    <w:p w14:paraId="04C666C4" w14:textId="3CDD399E" w:rsidR="009867C6" w:rsidRPr="00A226FF" w:rsidRDefault="009867C6" w:rsidP="00A226FF">
      <w:pPr>
        <w:rPr>
          <w:rFonts w:ascii="Arial" w:hAnsi="Arial" w:cs="Arial"/>
          <w:color w:val="000000"/>
          <w:shd w:val="clear" w:color="auto" w:fill="FFFFFF"/>
        </w:rPr>
      </w:pPr>
      <w:r w:rsidRPr="00AC20B9">
        <w:rPr>
          <w:rStyle w:val="FootnoteReference"/>
        </w:rPr>
        <w:footnoteRef/>
      </w:r>
      <w:r w:rsidRPr="00AC20B9">
        <w:t xml:space="preserve"> </w:t>
      </w:r>
      <w:r w:rsidR="00601880" w:rsidRPr="00AC20B9">
        <w:rPr>
          <w:rFonts w:cstheme="minorHAnsi"/>
          <w:i/>
          <w:shd w:val="clear" w:color="auto" w:fill="FFFFFF"/>
        </w:rPr>
        <w:t xml:space="preserve">Wordsworth William, </w:t>
      </w:r>
      <w:r w:rsidR="00601880" w:rsidRPr="00AC20B9">
        <w:rPr>
          <w:rFonts w:cstheme="minorHAnsi"/>
          <w:i/>
          <w:color w:val="000000"/>
          <w:shd w:val="clear" w:color="auto" w:fill="FFFFFF"/>
        </w:rPr>
        <w:t>Lines Composed a Few Miles Above Tintern Abbey, on Revisiting the Banks of the Wye During a Tour, July 13th, 1798</w:t>
      </w:r>
      <w:r w:rsidR="00601880" w:rsidRPr="00AC20B9">
        <w:rPr>
          <w:rFonts w:cstheme="minorHAnsi"/>
          <w:i/>
          <w:shd w:val="clear" w:color="auto" w:fill="FFFFFF"/>
        </w:rPr>
        <w:t xml:space="preserve">, ed. </w:t>
      </w:r>
      <w:hyperlink r:id="rId5" w:history="1">
        <w:r w:rsidR="00601880" w:rsidRPr="00AC20B9">
          <w:rPr>
            <w:rStyle w:val="Hyperlink"/>
            <w:rFonts w:cstheme="minorHAnsi"/>
            <w:color w:val="auto"/>
            <w:u w:val="none"/>
            <w:shd w:val="clear" w:color="auto" w:fill="FFFFFF"/>
          </w:rPr>
          <w:t>Nicolas McDowall</w:t>
        </w:r>
      </w:hyperlink>
      <w:r w:rsidR="00601880" w:rsidRPr="00AC20B9">
        <w:rPr>
          <w:rFonts w:cstheme="minorHAnsi"/>
          <w:i/>
          <w:shd w:val="clear" w:color="auto" w:fill="FFFFFF"/>
        </w:rPr>
        <w:t xml:space="preserve"> (UK, </w:t>
      </w:r>
      <w:r w:rsidR="00601880" w:rsidRPr="00AC20B9">
        <w:rPr>
          <w:rFonts w:cs="Arial"/>
          <w:color w:val="000000"/>
          <w:shd w:val="clear" w:color="auto" w:fill="FFFFFF"/>
        </w:rPr>
        <w:t>Old Stile Press, 2002)</w:t>
      </w:r>
    </w:p>
  </w:footnote>
  <w:footnote w:id="16">
    <w:p w14:paraId="1EEE73CD" w14:textId="188EC9D9" w:rsidR="00A226FF" w:rsidRPr="00725425" w:rsidRDefault="00A226FF" w:rsidP="00A226FF">
      <w:r>
        <w:rPr>
          <w:rStyle w:val="FootnoteReference"/>
        </w:rPr>
        <w:footnoteRef/>
      </w:r>
      <w:r>
        <w:t xml:space="preserve"> </w:t>
      </w:r>
      <w:r w:rsidRPr="00725425">
        <w:t xml:space="preserve">Andrew Wilton, ‘Tintern Abbey: The Crossing and Chancel, Looking towards the East Window 1794 by Joseph </w:t>
      </w:r>
      <w:proofErr w:type="spellStart"/>
      <w:r w:rsidRPr="00725425">
        <w:t>Mallord</w:t>
      </w:r>
      <w:proofErr w:type="spellEnd"/>
      <w:r w:rsidRPr="00725425">
        <w:t xml:space="preserve"> William Turner’, catalogue entry, April 2012,</w:t>
      </w:r>
      <w:r w:rsidR="0077745F">
        <w:t xml:space="preserve"> </w:t>
      </w:r>
      <w:r w:rsidRPr="00725425">
        <w:t xml:space="preserve">https://www.tate.org.uk/art/research-publications/jmw-turner/joseph-mallord-william-turner-tintern-abbey-the-crossing-and-chancel-looking-towards-the-r1141174, </w:t>
      </w:r>
      <w:r>
        <w:t>(A</w:t>
      </w:r>
      <w:r w:rsidRPr="00725425">
        <w:t>ccessed 01 March 2020.</w:t>
      </w:r>
      <w:r>
        <w:t>)</w:t>
      </w:r>
    </w:p>
    <w:p w14:paraId="1FED6714" w14:textId="758E5E9D" w:rsidR="00A226FF" w:rsidRDefault="00A226F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5A332A"/>
    <w:multiLevelType w:val="hybridMultilevel"/>
    <w:tmpl w:val="457E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FD664D"/>
    <w:multiLevelType w:val="hybridMultilevel"/>
    <w:tmpl w:val="687E01D8"/>
    <w:lvl w:ilvl="0" w:tplc="E3DC165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1MzczA5IGhgbmpko6SsGpxcWZ+XkgBYa1AND4inwsAAAA"/>
  </w:docVars>
  <w:rsids>
    <w:rsidRoot w:val="00F30D41"/>
    <w:rsid w:val="0004442B"/>
    <w:rsid w:val="000E10C4"/>
    <w:rsid w:val="0012457B"/>
    <w:rsid w:val="00213662"/>
    <w:rsid w:val="00214D66"/>
    <w:rsid w:val="003212C3"/>
    <w:rsid w:val="004631F7"/>
    <w:rsid w:val="004B2CE3"/>
    <w:rsid w:val="004D161F"/>
    <w:rsid w:val="0058354B"/>
    <w:rsid w:val="005C5952"/>
    <w:rsid w:val="00601880"/>
    <w:rsid w:val="006F1417"/>
    <w:rsid w:val="00706F9D"/>
    <w:rsid w:val="00725425"/>
    <w:rsid w:val="00726411"/>
    <w:rsid w:val="0077745F"/>
    <w:rsid w:val="007940DC"/>
    <w:rsid w:val="00815454"/>
    <w:rsid w:val="00816616"/>
    <w:rsid w:val="00842091"/>
    <w:rsid w:val="00863768"/>
    <w:rsid w:val="0089172E"/>
    <w:rsid w:val="008F1AE1"/>
    <w:rsid w:val="008F54C5"/>
    <w:rsid w:val="00904D18"/>
    <w:rsid w:val="00917F82"/>
    <w:rsid w:val="009867C6"/>
    <w:rsid w:val="00A226FF"/>
    <w:rsid w:val="00A335FB"/>
    <w:rsid w:val="00A9629E"/>
    <w:rsid w:val="00AC20B9"/>
    <w:rsid w:val="00AE244C"/>
    <w:rsid w:val="00B410CF"/>
    <w:rsid w:val="00B80B1B"/>
    <w:rsid w:val="00B96CB7"/>
    <w:rsid w:val="00C26841"/>
    <w:rsid w:val="00C95C10"/>
    <w:rsid w:val="00D50823"/>
    <w:rsid w:val="00DB7C04"/>
    <w:rsid w:val="00E24C2F"/>
    <w:rsid w:val="00E3692D"/>
    <w:rsid w:val="00EE7D14"/>
    <w:rsid w:val="00F30D41"/>
    <w:rsid w:val="00F62E62"/>
    <w:rsid w:val="00F70115"/>
    <w:rsid w:val="00F92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CC943"/>
  <w15:chartTrackingRefBased/>
  <w15:docId w15:val="{A6374008-4CFF-4DC6-B211-5B9E24B43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17F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AE24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30D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0D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D41"/>
  </w:style>
  <w:style w:type="paragraph" w:styleId="Footer">
    <w:name w:val="footer"/>
    <w:basedOn w:val="Normal"/>
    <w:link w:val="FooterChar"/>
    <w:uiPriority w:val="99"/>
    <w:unhideWhenUsed/>
    <w:rsid w:val="00F30D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D41"/>
  </w:style>
  <w:style w:type="paragraph" w:styleId="FootnoteText">
    <w:name w:val="footnote text"/>
    <w:basedOn w:val="Normal"/>
    <w:link w:val="FootnoteTextChar"/>
    <w:uiPriority w:val="99"/>
    <w:semiHidden/>
    <w:unhideWhenUsed/>
    <w:rsid w:val="00F30D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0D41"/>
    <w:rPr>
      <w:sz w:val="20"/>
      <w:szCs w:val="20"/>
    </w:rPr>
  </w:style>
  <w:style w:type="character" w:styleId="FootnoteReference">
    <w:name w:val="footnote reference"/>
    <w:basedOn w:val="DefaultParagraphFont"/>
    <w:uiPriority w:val="99"/>
    <w:semiHidden/>
    <w:unhideWhenUsed/>
    <w:rsid w:val="00F30D41"/>
    <w:rPr>
      <w:vertAlign w:val="superscript"/>
    </w:rPr>
  </w:style>
  <w:style w:type="character" w:styleId="Hyperlink">
    <w:name w:val="Hyperlink"/>
    <w:basedOn w:val="DefaultParagraphFont"/>
    <w:uiPriority w:val="99"/>
    <w:unhideWhenUsed/>
    <w:rsid w:val="009867C6"/>
    <w:rPr>
      <w:color w:val="0000FF"/>
      <w:u w:val="single"/>
    </w:rPr>
  </w:style>
  <w:style w:type="character" w:customStyle="1" w:styleId="Heading1Char">
    <w:name w:val="Heading 1 Char"/>
    <w:basedOn w:val="DefaultParagraphFont"/>
    <w:link w:val="Heading1"/>
    <w:uiPriority w:val="9"/>
    <w:rsid w:val="00917F82"/>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917F82"/>
  </w:style>
  <w:style w:type="character" w:customStyle="1" w:styleId="Heading3Char">
    <w:name w:val="Heading 3 Char"/>
    <w:basedOn w:val="DefaultParagraphFont"/>
    <w:link w:val="Heading3"/>
    <w:uiPriority w:val="9"/>
    <w:rsid w:val="00AE244C"/>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42091"/>
    <w:rPr>
      <w:color w:val="605E5C"/>
      <w:shd w:val="clear" w:color="auto" w:fill="E1DFDD"/>
    </w:rPr>
  </w:style>
  <w:style w:type="paragraph" w:styleId="ListParagraph">
    <w:name w:val="List Paragraph"/>
    <w:basedOn w:val="Normal"/>
    <w:uiPriority w:val="34"/>
    <w:qFormat/>
    <w:rsid w:val="00842091"/>
    <w:pPr>
      <w:ind w:left="720"/>
      <w:contextualSpacing/>
    </w:pPr>
  </w:style>
  <w:style w:type="character" w:customStyle="1" w:styleId="Title1">
    <w:name w:val="Title1"/>
    <w:basedOn w:val="DefaultParagraphFont"/>
    <w:rsid w:val="00725425"/>
  </w:style>
  <w:style w:type="character" w:customStyle="1" w:styleId="datetext">
    <w:name w:val="datetext"/>
    <w:basedOn w:val="DefaultParagraphFont"/>
    <w:rsid w:val="00725425"/>
  </w:style>
  <w:style w:type="character" w:styleId="Emphasis">
    <w:name w:val="Emphasis"/>
    <w:basedOn w:val="DefaultParagraphFont"/>
    <w:uiPriority w:val="20"/>
    <w:qFormat/>
    <w:rsid w:val="00725425"/>
    <w:rPr>
      <w:i/>
      <w:iCs/>
    </w:rPr>
  </w:style>
  <w:style w:type="character" w:styleId="FollowedHyperlink">
    <w:name w:val="FollowedHyperlink"/>
    <w:basedOn w:val="DefaultParagraphFont"/>
    <w:uiPriority w:val="99"/>
    <w:semiHidden/>
    <w:unhideWhenUsed/>
    <w:rsid w:val="00904D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649427">
      <w:bodyDiv w:val="1"/>
      <w:marLeft w:val="0"/>
      <w:marRight w:val="0"/>
      <w:marTop w:val="0"/>
      <w:marBottom w:val="0"/>
      <w:divBdr>
        <w:top w:val="none" w:sz="0" w:space="0" w:color="auto"/>
        <w:left w:val="none" w:sz="0" w:space="0" w:color="auto"/>
        <w:bottom w:val="none" w:sz="0" w:space="0" w:color="auto"/>
        <w:right w:val="none" w:sz="0" w:space="0" w:color="auto"/>
      </w:divBdr>
    </w:div>
    <w:div w:id="830870541">
      <w:bodyDiv w:val="1"/>
      <w:marLeft w:val="0"/>
      <w:marRight w:val="0"/>
      <w:marTop w:val="0"/>
      <w:marBottom w:val="0"/>
      <w:divBdr>
        <w:top w:val="none" w:sz="0" w:space="0" w:color="auto"/>
        <w:left w:val="none" w:sz="0" w:space="0" w:color="auto"/>
        <w:bottom w:val="none" w:sz="0" w:space="0" w:color="auto"/>
        <w:right w:val="none" w:sz="0" w:space="0" w:color="auto"/>
      </w:divBdr>
    </w:div>
    <w:div w:id="193620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onasticwales.org/source/28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uksouthwest.net/monmouthshire/tintern-abbey/" TargetMode="External"/><Relationship Id="rId2" Type="http://schemas.openxmlformats.org/officeDocument/2006/relationships/customXml" Target="../customXml/item2.xml"/><Relationship Id="rId16" Type="http://schemas.openxmlformats.org/officeDocument/2006/relationships/hyperlink" Target="http://www.petitciteaux.com/vca/12th.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petitciteaux.com/vca/12th.html"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search?tbo=p&amp;tbm=bks&amp;q=inauthor:%22Nicolas+McDowall%22&amp;source=gbs_metadata_r&amp;cad=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etitciteaux.com/vca/12th.html" TargetMode="External"/><Relationship Id="rId2" Type="http://schemas.openxmlformats.org/officeDocument/2006/relationships/hyperlink" Target="http://www.monasticwales.org/source/283" TargetMode="External"/><Relationship Id="rId1" Type="http://schemas.openxmlformats.org/officeDocument/2006/relationships/hyperlink" Target="http://www.petitciteaux.com/vca/12th.html" TargetMode="External"/><Relationship Id="rId5" Type="http://schemas.openxmlformats.org/officeDocument/2006/relationships/hyperlink" Target="https://www.google.co.uk/search?tbo=p&amp;tbm=bks&amp;q=inauthor:%22Nicolas+McDowall%22&amp;source=gbs_metadata_r&amp;cad=3" TargetMode="External"/><Relationship Id="rId4" Type="http://schemas.openxmlformats.org/officeDocument/2006/relationships/hyperlink" Target="https://www.uksouthwest.net/monmouthshire/tintern-abb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98762-6C7D-47DB-BB6A-4E75BD6E27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4857A7-936A-4E2F-BDF7-D24393815184}">
  <ds:schemaRefs>
    <ds:schemaRef ds:uri="http://schemas.microsoft.com/sharepoint/v3/contenttype/forms"/>
  </ds:schemaRefs>
</ds:datastoreItem>
</file>

<file path=customXml/itemProps3.xml><?xml version="1.0" encoding="utf-8"?>
<ds:datastoreItem xmlns:ds="http://schemas.openxmlformats.org/officeDocument/2006/customXml" ds:itemID="{7E896E18-E846-44C6-95D9-EE839D353D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E13731-81CF-4DC2-A96D-85B0FDD9C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1157</Words>
  <Characters>6596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 (1701130)</dc:creator>
  <cp:keywords/>
  <dc:description/>
  <cp:lastModifiedBy>Gemma Beynon</cp:lastModifiedBy>
  <cp:revision>2</cp:revision>
  <dcterms:created xsi:type="dcterms:W3CDTF">2020-03-01T20:22:00Z</dcterms:created>
  <dcterms:modified xsi:type="dcterms:W3CDTF">2020-03-01T20:22:00Z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