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C8F22" w14:textId="02DFB014" w:rsidR="00CB4759" w:rsidRDefault="00CB4759" w:rsidP="00CB4759">
      <w:pPr>
        <w:pStyle w:val="NoSpacing"/>
        <w:jc w:val="center"/>
        <w:rPr>
          <w:color w:val="4472C4" w:themeColor="accent1"/>
          <w:sz w:val="44"/>
          <w:szCs w:val="44"/>
          <w:lang w:val="en-GB"/>
        </w:rPr>
      </w:pPr>
      <w:r w:rsidRPr="001630C2">
        <w:rPr>
          <w:noProof/>
          <w:color w:val="4472C4" w:themeColor="accent1"/>
          <w:lang w:val="en-GB" w:eastAsia="en-GB"/>
        </w:rPr>
        <w:drawing>
          <wp:inline distT="0" distB="0" distL="0" distR="0" wp14:anchorId="276B4EF3" wp14:editId="5AC07660">
            <wp:extent cx="3611210" cy="1377950"/>
            <wp:effectExtent l="0" t="0" r="889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1210" cy="1377950"/>
                    </a:xfrm>
                    <a:prstGeom prst="rect">
                      <a:avLst/>
                    </a:prstGeom>
                    <a:noFill/>
                  </pic:spPr>
                </pic:pic>
              </a:graphicData>
            </a:graphic>
          </wp:inline>
        </w:drawing>
      </w:r>
    </w:p>
    <w:p w14:paraId="0F10C3E5" w14:textId="03228A35" w:rsidR="00CB4759" w:rsidRPr="005E029D" w:rsidRDefault="005E029D" w:rsidP="00CB4759">
      <w:pPr>
        <w:pStyle w:val="NoSpacing"/>
        <w:spacing w:before="1540" w:after="240"/>
        <w:jc w:val="center"/>
        <w:rPr>
          <w:color w:val="4472C4" w:themeColor="accent1"/>
          <w:sz w:val="44"/>
          <w:szCs w:val="44"/>
        </w:rPr>
      </w:pPr>
      <w:r w:rsidRPr="005E029D">
        <w:rPr>
          <w:rFonts w:ascii="Arial" w:hAnsi="Arial" w:cs="Arial"/>
          <w:b/>
          <w:bCs/>
          <w:sz w:val="32"/>
          <w:szCs w:val="32"/>
          <w:u w:val="single"/>
        </w:rPr>
        <w:t>Harmony: Theory and Practice (HPCA7032)</w:t>
      </w:r>
    </w:p>
    <w:p w14:paraId="52D44308" w14:textId="77777777" w:rsidR="00CB4759" w:rsidRDefault="00CB4759" w:rsidP="00CB4759">
      <w:pPr>
        <w:jc w:val="center"/>
        <w:rPr>
          <w:rFonts w:asciiTheme="majorHAnsi" w:eastAsiaTheme="majorEastAsia" w:hAnsiTheme="majorHAnsi" w:cstheme="majorBidi"/>
          <w:b/>
          <w:bCs/>
          <w:color w:val="2F5496" w:themeColor="accent1" w:themeShade="BF"/>
          <w:sz w:val="40"/>
          <w:szCs w:val="40"/>
          <w:lang w:val="en-US"/>
        </w:rPr>
      </w:pPr>
      <w:bookmarkStart w:id="0" w:name="_Hlk513141051"/>
    </w:p>
    <w:p w14:paraId="1137E855" w14:textId="6FE96F9F" w:rsidR="00CB4759" w:rsidRPr="007F108E" w:rsidRDefault="00CB4759" w:rsidP="00CB4759">
      <w:pPr>
        <w:jc w:val="center"/>
        <w:rPr>
          <w:rFonts w:asciiTheme="majorHAnsi" w:eastAsiaTheme="majorEastAsia" w:hAnsiTheme="majorHAnsi" w:cstheme="majorBidi"/>
          <w:b/>
          <w:bCs/>
          <w:color w:val="2F5496" w:themeColor="accent1" w:themeShade="BF"/>
          <w:sz w:val="40"/>
          <w:szCs w:val="40"/>
          <w:lang w:val="en-US"/>
        </w:rPr>
      </w:pPr>
      <w:r w:rsidRPr="007F108E">
        <w:rPr>
          <w:rFonts w:asciiTheme="majorHAnsi" w:eastAsiaTheme="majorEastAsia" w:hAnsiTheme="majorHAnsi" w:cstheme="majorBidi"/>
          <w:b/>
          <w:bCs/>
          <w:color w:val="2F5496" w:themeColor="accent1" w:themeShade="BF"/>
          <w:sz w:val="40"/>
          <w:szCs w:val="40"/>
          <w:lang w:val="en-US"/>
        </w:rPr>
        <w:t>Assignment-0</w:t>
      </w:r>
      <w:r w:rsidR="005E029D">
        <w:rPr>
          <w:rFonts w:asciiTheme="majorHAnsi" w:eastAsiaTheme="majorEastAsia" w:hAnsiTheme="majorHAnsi" w:cstheme="majorBidi"/>
          <w:b/>
          <w:bCs/>
          <w:color w:val="2F5496" w:themeColor="accent1" w:themeShade="BF"/>
          <w:sz w:val="40"/>
          <w:szCs w:val="40"/>
          <w:lang w:val="en-US"/>
        </w:rPr>
        <w:t>1</w:t>
      </w:r>
      <w:r w:rsidRPr="007F108E">
        <w:rPr>
          <w:rFonts w:asciiTheme="majorHAnsi" w:eastAsiaTheme="majorEastAsia" w:hAnsiTheme="majorHAnsi" w:cstheme="majorBidi"/>
          <w:b/>
          <w:bCs/>
          <w:color w:val="2F5496" w:themeColor="accent1" w:themeShade="BF"/>
          <w:sz w:val="40"/>
          <w:szCs w:val="40"/>
          <w:lang w:val="en-US"/>
        </w:rPr>
        <w:t>:</w:t>
      </w:r>
    </w:p>
    <w:bookmarkEnd w:id="0"/>
    <w:p w14:paraId="28D8CAF0" w14:textId="5D8544B2" w:rsidR="00CB4759" w:rsidRPr="007F108E" w:rsidRDefault="00945DD8" w:rsidP="00CB4759">
      <w:pPr>
        <w:jc w:val="center"/>
        <w:rPr>
          <w:rFonts w:cstheme="minorHAnsi"/>
          <w:b/>
          <w:bCs/>
          <w:sz w:val="40"/>
          <w:szCs w:val="40"/>
        </w:rPr>
      </w:pPr>
      <w:r w:rsidRPr="00945DD8">
        <w:rPr>
          <w:rFonts w:asciiTheme="majorHAnsi" w:eastAsiaTheme="majorEastAsia" w:hAnsiTheme="majorHAnsi" w:cstheme="majorBidi"/>
          <w:b/>
          <w:bCs/>
          <w:color w:val="2F5496" w:themeColor="accent1" w:themeShade="BF"/>
          <w:sz w:val="40"/>
          <w:szCs w:val="40"/>
          <w:lang w:val="en-GB"/>
        </w:rPr>
        <w:t>A Critical Comparison of Two Secondary Sources</w:t>
      </w:r>
    </w:p>
    <w:p w14:paraId="0F341036" w14:textId="5C3D6D01" w:rsidR="00CB4759" w:rsidRPr="00CB4759" w:rsidRDefault="00CB4759" w:rsidP="00CB4759">
      <w:pPr>
        <w:ind w:left="720" w:firstLine="720"/>
        <w:rPr>
          <w:rStyle w:val="Heading1Char"/>
          <w:b/>
          <w:bCs/>
          <w:lang w:val="en-GB"/>
        </w:rPr>
      </w:pPr>
      <w:r w:rsidRPr="001630C2">
        <w:rPr>
          <w:noProof/>
          <w:color w:val="4472C4" w:themeColor="accent1"/>
          <w:lang w:val="en-GB" w:eastAsia="en-GB"/>
        </w:rPr>
        <mc:AlternateContent>
          <mc:Choice Requires="wps">
            <w:drawing>
              <wp:anchor distT="0" distB="0" distL="114300" distR="114300" simplePos="0" relativeHeight="251659264" behindDoc="0" locked="0" layoutInCell="1" allowOverlap="1" wp14:anchorId="248A2043" wp14:editId="4628D2AD">
                <wp:simplePos x="0" y="0"/>
                <wp:positionH relativeFrom="margin">
                  <wp:posOffset>-297180</wp:posOffset>
                </wp:positionH>
                <wp:positionV relativeFrom="page">
                  <wp:posOffset>5009769</wp:posOffset>
                </wp:positionV>
                <wp:extent cx="5996940" cy="557530"/>
                <wp:effectExtent l="152400" t="127000" r="149860" b="198755"/>
                <wp:wrapNone/>
                <wp:docPr id="142" name="Text Box 142"/>
                <wp:cNvGraphicFramePr/>
                <a:graphic xmlns:a="http://schemas.openxmlformats.org/drawingml/2006/main">
                  <a:graphicData uri="http://schemas.microsoft.com/office/word/2010/wordprocessingShape">
                    <wps:wsp>
                      <wps:cNvSpPr txBox="1"/>
                      <wps:spPr>
                        <a:xfrm>
                          <a:off x="0" y="0"/>
                          <a:ext cx="5996940" cy="557530"/>
                        </a:xfrm>
                        <a:prstGeom prst="rect">
                          <a:avLst/>
                        </a:prstGeom>
                        <a:solidFill>
                          <a:schemeClr val="bg1"/>
                        </a:solidFill>
                        <a:ln w="6350">
                          <a:noFill/>
                        </a:ln>
                        <a:effectLst>
                          <a:glow rad="127000">
                            <a:schemeClr val="bg1"/>
                          </a:glow>
                          <a:outerShdw blurRad="50800" dist="50800" dir="5400000" algn="ctr" rotWithShape="0">
                            <a:schemeClr val="bg1"/>
                          </a:outerShdw>
                        </a:effectLst>
                      </wps:spPr>
                      <wps:style>
                        <a:lnRef idx="0">
                          <a:schemeClr val="accent1"/>
                        </a:lnRef>
                        <a:fillRef idx="0">
                          <a:schemeClr val="accent1"/>
                        </a:fillRef>
                        <a:effectRef idx="0">
                          <a:schemeClr val="accent1"/>
                        </a:effectRef>
                        <a:fontRef idx="minor">
                          <a:schemeClr val="dk1"/>
                        </a:fontRef>
                      </wps:style>
                      <wps:txbx>
                        <w:txbxContent>
                          <w:p w14:paraId="149684B1" w14:textId="28BCF73F" w:rsidR="00CB4759" w:rsidRPr="00CB4759" w:rsidRDefault="005E029D" w:rsidP="00CB4759">
                            <w:pPr>
                              <w:pStyle w:val="NoSpacing"/>
                              <w:spacing w:after="40"/>
                              <w:ind w:left="720"/>
                              <w:jc w:val="center"/>
                              <w:rPr>
                                <w:bCs/>
                                <w:caps/>
                                <w:color w:val="4472C4" w:themeColor="accent1"/>
                                <w:sz w:val="36"/>
                                <w:szCs w:val="36"/>
                              </w:rPr>
                            </w:pPr>
                            <w:r>
                              <w:rPr>
                                <w:bCs/>
                                <w:caps/>
                                <w:color w:val="4472C4" w:themeColor="accent1"/>
                                <w:sz w:val="36"/>
                                <w:szCs w:val="36"/>
                              </w:rPr>
                              <w:t>17</w:t>
                            </w:r>
                            <w:r w:rsidR="00CB4759" w:rsidRPr="00CB4759">
                              <w:rPr>
                                <w:bCs/>
                                <w:caps/>
                                <w:color w:val="4472C4" w:themeColor="accent1"/>
                                <w:sz w:val="36"/>
                                <w:szCs w:val="36"/>
                              </w:rPr>
                              <w:t>.</w:t>
                            </w:r>
                            <w:r w:rsidR="00207F82">
                              <w:rPr>
                                <w:bCs/>
                                <w:caps/>
                                <w:color w:val="4472C4" w:themeColor="accent1"/>
                                <w:sz w:val="36"/>
                                <w:szCs w:val="36"/>
                              </w:rPr>
                              <w:t>0</w:t>
                            </w:r>
                            <w:r>
                              <w:rPr>
                                <w:bCs/>
                                <w:caps/>
                                <w:color w:val="4472C4" w:themeColor="accent1"/>
                                <w:sz w:val="36"/>
                                <w:szCs w:val="36"/>
                              </w:rPr>
                              <w:t>3</w:t>
                            </w:r>
                            <w:r w:rsidR="00CB4759" w:rsidRPr="00CB4759">
                              <w:rPr>
                                <w:bCs/>
                                <w:caps/>
                                <w:color w:val="4472C4" w:themeColor="accent1"/>
                                <w:sz w:val="36"/>
                                <w:szCs w:val="36"/>
                              </w:rPr>
                              <w:t>.202</w:t>
                            </w:r>
                            <w:r w:rsidR="00207F82">
                              <w:rPr>
                                <w:bCs/>
                                <w:caps/>
                                <w:color w:val="4472C4" w:themeColor="accent1"/>
                                <w:sz w:val="36"/>
                                <w:szCs w:val="36"/>
                              </w:rPr>
                              <w:t>4</w:t>
                            </w:r>
                          </w:p>
                          <w:p w14:paraId="126AA6FC" w14:textId="424DA8DC" w:rsidR="00CB4759" w:rsidRPr="00CB4759" w:rsidRDefault="00CB4759" w:rsidP="00CB4759">
                            <w:pPr>
                              <w:pStyle w:val="NoSpacing"/>
                              <w:jc w:val="center"/>
                              <w:rPr>
                                <w:bCs/>
                                <w:color w:val="4472C4" w:themeColor="accent1"/>
                              </w:rPr>
                            </w:pPr>
                            <w:r w:rsidRPr="00CB4759">
                              <w:rPr>
                                <w:bCs/>
                                <w:color w:val="4472C4" w:themeColor="accent1"/>
                              </w:rPr>
                              <w:t xml:space="preserve">      </w:t>
                            </w:r>
                            <w:r w:rsidR="00A11002">
                              <w:rPr>
                                <w:bCs/>
                                <w:color w:val="4472C4" w:themeColor="accent1"/>
                              </w:rPr>
                              <w:t xml:space="preserve">   </w:t>
                            </w:r>
                            <w:r w:rsidRPr="00CB4759">
                              <w:rPr>
                                <w:bCs/>
                                <w:color w:val="4472C4" w:themeColor="accent1"/>
                              </w:rPr>
                              <w:t xml:space="preserve">    </w:t>
                            </w:r>
                            <w:r w:rsidRPr="00CB4759">
                              <w:rPr>
                                <w:bCs/>
                                <w:color w:val="4472C4" w:themeColor="accent1"/>
                                <w:sz w:val="24"/>
                                <w:szCs w:val="24"/>
                              </w:rPr>
                              <w:t xml:space="preserve">Word Count: </w:t>
                            </w:r>
                            <w:r w:rsidR="005E029D">
                              <w:rPr>
                                <w:bCs/>
                                <w:color w:val="4472C4" w:themeColor="accent1"/>
                                <w:sz w:val="24"/>
                                <w:szCs w:val="24"/>
                              </w:rPr>
                              <w:t>2</w:t>
                            </w:r>
                            <w:r w:rsidRPr="00CB4759">
                              <w:rPr>
                                <w:bCs/>
                                <w:color w:val="4472C4" w:themeColor="accent1"/>
                                <w:sz w:val="24"/>
                                <w:szCs w:val="24"/>
                              </w:rPr>
                              <w:t>.</w:t>
                            </w:r>
                            <w:r w:rsidR="005E029D">
                              <w:rPr>
                                <w:bCs/>
                                <w:color w:val="4472C4" w:themeColor="accent1"/>
                                <w:sz w:val="24"/>
                                <w:szCs w:val="24"/>
                              </w:rPr>
                              <w:t>500</w:t>
                            </w:r>
                            <w:r w:rsidR="005A6422">
                              <w:rPr>
                                <w:bCs/>
                                <w:color w:val="4472C4" w:themeColor="accent1"/>
                                <w:sz w:val="24"/>
                                <w:szCs w:val="24"/>
                              </w:rPr>
                              <w:t xml:space="preserve"> </w:t>
                            </w:r>
                            <w:r w:rsidR="00600B2A">
                              <w:rPr>
                                <w:bCs/>
                                <w:color w:val="4472C4" w:themeColor="accent1"/>
                                <w:sz w:val="24"/>
                                <w:szCs w:val="24"/>
                              </w:rPr>
                              <w:t>25</w:t>
                            </w:r>
                            <w:r w:rsidR="00E42C7E">
                              <w:rPr>
                                <w:bCs/>
                                <w:color w:val="4472C4" w:themeColor="accent1"/>
                                <w:sz w:val="24"/>
                                <w:szCs w:val="24"/>
                              </w:rPr>
                              <w:t>80</w:t>
                            </w:r>
                            <w:sdt>
                              <w:sdtPr>
                                <w:rPr>
                                  <w:bCs/>
                                  <w:color w:val="4472C4"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Pr="00CB4759">
                                  <w:rPr>
                                    <w:bCs/>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248A2043" id="_x0000_t202" coordsize="21600,21600" o:spt="202" path="m,l,21600r21600,l21600,xe">
                <v:stroke joinstyle="miter"/>
                <v:path gradientshapeok="t" o:connecttype="rect"/>
              </v:shapetype>
              <v:shape id="Text Box 142" o:spid="_x0000_s1026" type="#_x0000_t202" style="position:absolute;left:0;text-align:left;margin-left:-23.4pt;margin-top:394.45pt;width:472.2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" fillcolor="white [3212]" stroked="f" strokeweight=".5pt">
                <v:shadow on="t" color="white [3212]" offset="0,4pt"/>
                <v:textbox style="mso-fit-shape-to-text:t" inset="0,0,0,0">
                  <w:txbxContent>
                    <w:p w14:paraId="149684B1" w14:textId="28BCF73F" w:rsidR="00CB4759" w:rsidRPr="00CB4759" w:rsidRDefault="005E029D" w:rsidP="00CB4759">
                      <w:pPr>
                        <w:pStyle w:val="NoSpacing"/>
                        <w:spacing w:after="40"/>
                        <w:ind w:left="720"/>
                        <w:jc w:val="center"/>
                        <w:rPr>
                          <w:bCs/>
                          <w:caps/>
                          <w:color w:val="4472C4" w:themeColor="accent1"/>
                          <w:sz w:val="36"/>
                          <w:szCs w:val="36"/>
                        </w:rPr>
                      </w:pPr>
                      <w:r>
                        <w:rPr>
                          <w:bCs/>
                          <w:caps/>
                          <w:color w:val="4472C4" w:themeColor="accent1"/>
                          <w:sz w:val="36"/>
                          <w:szCs w:val="36"/>
                        </w:rPr>
                        <w:t>17</w:t>
                      </w:r>
                      <w:r w:rsidR="00CB4759" w:rsidRPr="00CB4759">
                        <w:rPr>
                          <w:bCs/>
                          <w:caps/>
                          <w:color w:val="4472C4" w:themeColor="accent1"/>
                          <w:sz w:val="36"/>
                          <w:szCs w:val="36"/>
                        </w:rPr>
                        <w:t>.</w:t>
                      </w:r>
                      <w:r w:rsidR="00207F82">
                        <w:rPr>
                          <w:bCs/>
                          <w:caps/>
                          <w:color w:val="4472C4" w:themeColor="accent1"/>
                          <w:sz w:val="36"/>
                          <w:szCs w:val="36"/>
                        </w:rPr>
                        <w:t>0</w:t>
                      </w:r>
                      <w:r>
                        <w:rPr>
                          <w:bCs/>
                          <w:caps/>
                          <w:color w:val="4472C4" w:themeColor="accent1"/>
                          <w:sz w:val="36"/>
                          <w:szCs w:val="36"/>
                        </w:rPr>
                        <w:t>3</w:t>
                      </w:r>
                      <w:r w:rsidR="00CB4759" w:rsidRPr="00CB4759">
                        <w:rPr>
                          <w:bCs/>
                          <w:caps/>
                          <w:color w:val="4472C4" w:themeColor="accent1"/>
                          <w:sz w:val="36"/>
                          <w:szCs w:val="36"/>
                        </w:rPr>
                        <w:t>.202</w:t>
                      </w:r>
                      <w:r w:rsidR="00207F82">
                        <w:rPr>
                          <w:bCs/>
                          <w:caps/>
                          <w:color w:val="4472C4" w:themeColor="accent1"/>
                          <w:sz w:val="36"/>
                          <w:szCs w:val="36"/>
                        </w:rPr>
                        <w:t>4</w:t>
                      </w:r>
                    </w:p>
                    <w:p w14:paraId="126AA6FC" w14:textId="424DA8DC" w:rsidR="00CB4759" w:rsidRPr="00CB4759" w:rsidRDefault="00CB4759" w:rsidP="00CB4759">
                      <w:pPr>
                        <w:pStyle w:val="NoSpacing"/>
                        <w:jc w:val="center"/>
                        <w:rPr>
                          <w:bCs/>
                          <w:color w:val="4472C4" w:themeColor="accent1"/>
                        </w:rPr>
                      </w:pPr>
                      <w:r w:rsidRPr="00CB4759">
                        <w:rPr>
                          <w:bCs/>
                          <w:color w:val="4472C4" w:themeColor="accent1"/>
                        </w:rPr>
                        <w:t xml:space="preserve">      </w:t>
                      </w:r>
                      <w:r w:rsidR="00A11002">
                        <w:rPr>
                          <w:bCs/>
                          <w:color w:val="4472C4" w:themeColor="accent1"/>
                        </w:rPr>
                        <w:t xml:space="preserve">   </w:t>
                      </w:r>
                      <w:r w:rsidRPr="00CB4759">
                        <w:rPr>
                          <w:bCs/>
                          <w:color w:val="4472C4" w:themeColor="accent1"/>
                        </w:rPr>
                        <w:t xml:space="preserve">    </w:t>
                      </w:r>
                      <w:r w:rsidRPr="00CB4759">
                        <w:rPr>
                          <w:bCs/>
                          <w:color w:val="4472C4" w:themeColor="accent1"/>
                          <w:sz w:val="24"/>
                          <w:szCs w:val="24"/>
                        </w:rPr>
                        <w:t xml:space="preserve">Word Count: </w:t>
                      </w:r>
                      <w:r w:rsidR="005E029D">
                        <w:rPr>
                          <w:bCs/>
                          <w:color w:val="4472C4" w:themeColor="accent1"/>
                          <w:sz w:val="24"/>
                          <w:szCs w:val="24"/>
                        </w:rPr>
                        <w:t>2</w:t>
                      </w:r>
                      <w:r w:rsidRPr="00CB4759">
                        <w:rPr>
                          <w:bCs/>
                          <w:color w:val="4472C4" w:themeColor="accent1"/>
                          <w:sz w:val="24"/>
                          <w:szCs w:val="24"/>
                        </w:rPr>
                        <w:t>.</w:t>
                      </w:r>
                      <w:r w:rsidR="005E029D">
                        <w:rPr>
                          <w:bCs/>
                          <w:color w:val="4472C4" w:themeColor="accent1"/>
                          <w:sz w:val="24"/>
                          <w:szCs w:val="24"/>
                        </w:rPr>
                        <w:t>500</w:t>
                      </w:r>
                      <w:r w:rsidR="005A6422">
                        <w:rPr>
                          <w:bCs/>
                          <w:color w:val="4472C4" w:themeColor="accent1"/>
                          <w:sz w:val="24"/>
                          <w:szCs w:val="24"/>
                        </w:rPr>
                        <w:t xml:space="preserve"> </w:t>
                      </w:r>
                      <w:r w:rsidR="00600B2A">
                        <w:rPr>
                          <w:bCs/>
                          <w:color w:val="4472C4" w:themeColor="accent1"/>
                          <w:sz w:val="24"/>
                          <w:szCs w:val="24"/>
                        </w:rPr>
                        <w:t>25</w:t>
                      </w:r>
                      <w:r w:rsidR="00E42C7E">
                        <w:rPr>
                          <w:bCs/>
                          <w:color w:val="4472C4" w:themeColor="accent1"/>
                          <w:sz w:val="24"/>
                          <w:szCs w:val="24"/>
                        </w:rPr>
                        <w:t>80</w:t>
                      </w:r>
                      <w:sdt>
                        <w:sdtPr>
                          <w:rPr>
                            <w:bCs/>
                            <w:color w:val="4472C4"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Pr="00CB4759">
                            <w:rPr>
                              <w:bCs/>
                              <w:color w:val="4472C4" w:themeColor="accent1"/>
                            </w:rPr>
                            <w:t xml:space="preserve">     </w:t>
                          </w:r>
                        </w:sdtContent>
                      </w:sdt>
                    </w:p>
                  </w:txbxContent>
                </v:textbox>
                <w10:wrap anchorx="margin" anchory="page"/>
              </v:shape>
            </w:pict>
          </mc:Fallback>
        </mc:AlternateContent>
      </w:r>
      <w:r w:rsidRPr="00023C3B">
        <w:rPr>
          <w:rFonts w:cstheme="minorHAnsi"/>
          <w:b/>
          <w:bCs/>
        </w:rPr>
        <w:t xml:space="preserve">   </w:t>
      </w:r>
    </w:p>
    <w:p w14:paraId="5B5E9FAA" w14:textId="19FB6424" w:rsidR="00CB4759" w:rsidRDefault="00CB4759" w:rsidP="00CB4759">
      <w:pPr>
        <w:rPr>
          <w:rStyle w:val="Heading1Char"/>
        </w:rPr>
      </w:pPr>
    </w:p>
    <w:p w14:paraId="58201180" w14:textId="760BE18D" w:rsidR="00CB4759" w:rsidRDefault="00CB4759" w:rsidP="00CB4759">
      <w:pPr>
        <w:rPr>
          <w:rStyle w:val="Heading1Char"/>
        </w:rPr>
      </w:pPr>
    </w:p>
    <w:p w14:paraId="614C460C" w14:textId="2CF9800A" w:rsidR="00CB4759" w:rsidRDefault="00CB4759" w:rsidP="00CB4759">
      <w:pPr>
        <w:rPr>
          <w:rStyle w:val="Heading1Char"/>
        </w:rPr>
      </w:pPr>
    </w:p>
    <w:p w14:paraId="13EB08E4" w14:textId="77777777" w:rsidR="005E029D" w:rsidRDefault="005E029D" w:rsidP="00CB4759">
      <w:pPr>
        <w:rPr>
          <w:rStyle w:val="Heading1Char"/>
        </w:rPr>
      </w:pPr>
    </w:p>
    <w:p w14:paraId="0C4AE6CE" w14:textId="30B89AE6" w:rsidR="00CB4759" w:rsidRDefault="00CB4759" w:rsidP="00CB4759">
      <w:pPr>
        <w:rPr>
          <w:rStyle w:val="Heading1Char"/>
        </w:rPr>
      </w:pPr>
    </w:p>
    <w:p w14:paraId="1224E1C1" w14:textId="77777777" w:rsidR="00CB4759" w:rsidRDefault="00CB4759" w:rsidP="00CB4759">
      <w:pPr>
        <w:rPr>
          <w:rStyle w:val="Heading1Char"/>
        </w:rPr>
      </w:pPr>
    </w:p>
    <w:p w14:paraId="0115C5B3" w14:textId="77777777" w:rsidR="00CB4759" w:rsidRDefault="00CB4759" w:rsidP="00CB4759">
      <w:pPr>
        <w:rPr>
          <w:rStyle w:val="Heading1Char"/>
        </w:rPr>
      </w:pPr>
    </w:p>
    <w:p w14:paraId="30851B84" w14:textId="77777777" w:rsidR="00CB4759" w:rsidRDefault="00CB4759" w:rsidP="00CB4759">
      <w:pPr>
        <w:rPr>
          <w:rStyle w:val="Heading1Char"/>
        </w:rPr>
      </w:pPr>
    </w:p>
    <w:p w14:paraId="7D7D7702" w14:textId="77777777" w:rsidR="00CB4759" w:rsidRDefault="00CB4759" w:rsidP="00CB4759">
      <w:pPr>
        <w:rPr>
          <w:rStyle w:val="Heading1Char"/>
        </w:rPr>
      </w:pPr>
    </w:p>
    <w:p w14:paraId="26D7F498" w14:textId="77777777" w:rsidR="00CB4759" w:rsidRDefault="00CB4759" w:rsidP="00CB4759">
      <w:pPr>
        <w:rPr>
          <w:rStyle w:val="Heading1Char"/>
        </w:rPr>
      </w:pPr>
    </w:p>
    <w:p w14:paraId="3A5170DD" w14:textId="77777777" w:rsidR="00CB4759" w:rsidRDefault="00CB4759" w:rsidP="00CB4759">
      <w:pPr>
        <w:rPr>
          <w:rStyle w:val="Heading1Char"/>
        </w:rPr>
      </w:pPr>
    </w:p>
    <w:p w14:paraId="488E95C7" w14:textId="77777777" w:rsidR="00CB4759" w:rsidRDefault="00CB4759" w:rsidP="00CB4759">
      <w:pPr>
        <w:rPr>
          <w:rStyle w:val="Heading1Char"/>
        </w:rPr>
      </w:pPr>
    </w:p>
    <w:p w14:paraId="369E1C8F" w14:textId="77777777" w:rsidR="00CB4759" w:rsidRDefault="00CB4759" w:rsidP="00CB4759">
      <w:pPr>
        <w:rPr>
          <w:rStyle w:val="Heading1Char"/>
        </w:rPr>
      </w:pPr>
    </w:p>
    <w:p w14:paraId="0BC57768" w14:textId="77777777" w:rsidR="00CB4759" w:rsidRDefault="00CB4759" w:rsidP="00CB4759">
      <w:pPr>
        <w:rPr>
          <w:rStyle w:val="Heading1Char"/>
        </w:rPr>
      </w:pPr>
    </w:p>
    <w:p w14:paraId="514B82AF" w14:textId="77777777" w:rsidR="00CB4759" w:rsidRDefault="00CB4759" w:rsidP="00CB4759">
      <w:pPr>
        <w:rPr>
          <w:rStyle w:val="Heading1Char"/>
        </w:rPr>
      </w:pPr>
    </w:p>
    <w:p w14:paraId="58E15042" w14:textId="77777777" w:rsidR="00CB4759" w:rsidRPr="001630C2" w:rsidRDefault="00CB4759" w:rsidP="00CB4759">
      <w:pPr>
        <w:jc w:val="both"/>
        <w:rPr>
          <w:rFonts w:cs="Arial"/>
          <w:b/>
          <w:color w:val="000000" w:themeColor="text1"/>
          <w:sz w:val="28"/>
          <w:szCs w:val="28"/>
        </w:rPr>
      </w:pPr>
      <w:r w:rsidRPr="001630C2">
        <w:rPr>
          <w:rFonts w:cs="Arial"/>
          <w:b/>
          <w:color w:val="000000" w:themeColor="text1"/>
          <w:sz w:val="28"/>
          <w:szCs w:val="28"/>
        </w:rPr>
        <w:t xml:space="preserve">By: Markus Schlotbohm                          </w:t>
      </w:r>
    </w:p>
    <w:p w14:paraId="56D0E844" w14:textId="77777777" w:rsidR="00CB4759" w:rsidRPr="001630C2" w:rsidRDefault="00CB4759" w:rsidP="00CB4759">
      <w:pPr>
        <w:jc w:val="both"/>
        <w:rPr>
          <w:rFonts w:cs="Arial"/>
          <w:b/>
          <w:color w:val="000000" w:themeColor="text1"/>
          <w:sz w:val="28"/>
          <w:szCs w:val="28"/>
        </w:rPr>
      </w:pPr>
      <w:r w:rsidRPr="001630C2">
        <w:rPr>
          <w:rFonts w:cs="Arial"/>
          <w:b/>
          <w:color w:val="000000" w:themeColor="text1"/>
          <w:sz w:val="28"/>
          <w:szCs w:val="28"/>
        </w:rPr>
        <w:t>Student Nr. 1603888</w:t>
      </w:r>
    </w:p>
    <w:p w14:paraId="146CA5B7" w14:textId="77777777" w:rsidR="0051423E" w:rsidRDefault="0051423E"/>
    <w:p w14:paraId="490CE6B3" w14:textId="77777777" w:rsidR="0051423E" w:rsidRDefault="0051423E"/>
    <w:p w14:paraId="36A91CFF" w14:textId="77777777" w:rsidR="0051423E" w:rsidRDefault="0051423E" w:rsidP="0051423E"/>
    <w:p w14:paraId="411F3A28" w14:textId="77777777" w:rsidR="0068305C" w:rsidRDefault="0051423E" w:rsidP="00DB6C46">
      <w:pPr>
        <w:pStyle w:val="Heading1"/>
        <w:spacing w:line="360" w:lineRule="auto"/>
        <w:jc w:val="both"/>
      </w:pPr>
      <w:r>
        <w:lastRenderedPageBreak/>
        <w:t>Introduction</w:t>
      </w:r>
      <w:r w:rsidR="0068305C" w:rsidRPr="0068305C">
        <w:t xml:space="preserve"> </w:t>
      </w:r>
    </w:p>
    <w:p w14:paraId="27FDA0D6" w14:textId="74615D8C" w:rsidR="00B000B1" w:rsidRDefault="00B000B1" w:rsidP="00F45813">
      <w:pPr>
        <w:spacing w:line="360" w:lineRule="auto"/>
        <w:jc w:val="both"/>
      </w:pPr>
      <w:r>
        <w:t xml:space="preserve">This essay compares and contrasts Jack </w:t>
      </w:r>
      <w:r w:rsidR="008A59C8">
        <w:t>Hunters'</w:t>
      </w:r>
      <w:r>
        <w:t xml:space="preserve"> article on </w:t>
      </w:r>
      <w:r w:rsidR="00A11B1A">
        <w:t>‘</w:t>
      </w:r>
      <w:r>
        <w:t>Harmony and Ecology</w:t>
      </w:r>
      <w:r w:rsidR="00A11B1A">
        <w:t>’</w:t>
      </w:r>
      <w:r w:rsidR="008A59C8">
        <w:t>,</w:t>
      </w:r>
      <w:r>
        <w:t xml:space="preserve"> published in the book </w:t>
      </w:r>
      <w:r w:rsidR="00A11B1A">
        <w:t>‘</w:t>
      </w:r>
      <w:r>
        <w:t>THE HARMONY DEBATES</w:t>
      </w:r>
      <w:r w:rsidR="00A11B1A">
        <w:t>’</w:t>
      </w:r>
      <w:r>
        <w:t xml:space="preserve"> edited by Nicholas Campion and published by the Sophia Centre Press in 2020</w:t>
      </w:r>
      <w:r w:rsidR="0051764F">
        <w:t xml:space="preserve"> (Hunter, 2020)</w:t>
      </w:r>
      <w:r>
        <w:t xml:space="preserve">, with Tim </w:t>
      </w:r>
      <w:r w:rsidR="008A59C8">
        <w:t>Lomas's</w:t>
      </w:r>
      <w:r>
        <w:t xml:space="preserve"> paper on </w:t>
      </w:r>
      <w:r w:rsidR="00A11B1A">
        <w:t>‘</w:t>
      </w:r>
      <w:r>
        <w:t>Life balance and harmony: Wellbeings golden thread</w:t>
      </w:r>
      <w:r w:rsidR="00A11B1A">
        <w:t>’</w:t>
      </w:r>
      <w:r>
        <w:t>, published in the International Journal of Wellbeing from 2021</w:t>
      </w:r>
      <w:r w:rsidR="0051764F">
        <w:t xml:space="preserve"> (Lomas, 2021)</w:t>
      </w:r>
      <w:r>
        <w:t>.</w:t>
      </w:r>
    </w:p>
    <w:p w14:paraId="480FFD92" w14:textId="77777777" w:rsidR="00B000B1" w:rsidRDefault="00B000B1" w:rsidP="00B000B1"/>
    <w:p w14:paraId="7CDD6225" w14:textId="1FB8CC78" w:rsidR="0068305C" w:rsidRDefault="0068305C" w:rsidP="00DB6C46">
      <w:pPr>
        <w:pStyle w:val="Heading1"/>
        <w:spacing w:line="360" w:lineRule="auto"/>
        <w:jc w:val="both"/>
      </w:pPr>
      <w:r>
        <w:t>Context</w:t>
      </w:r>
      <w:r w:rsidRPr="0068305C">
        <w:t xml:space="preserve"> </w:t>
      </w:r>
    </w:p>
    <w:p w14:paraId="3FE580EE" w14:textId="3E3BE65F" w:rsidR="00E9425C" w:rsidRDefault="00E9425C" w:rsidP="00A20FE4">
      <w:pPr>
        <w:spacing w:line="360" w:lineRule="auto"/>
        <w:jc w:val="both"/>
      </w:pPr>
      <w:r w:rsidRPr="00E9425C">
        <w:t xml:space="preserve">The </w:t>
      </w:r>
      <w:r>
        <w:t>first paper</w:t>
      </w:r>
      <w:r w:rsidR="00E42C7E">
        <w:t>,</w:t>
      </w:r>
      <w:r>
        <w:t xml:space="preserve"> by Hunter</w:t>
      </w:r>
      <w:r w:rsidR="00E42C7E">
        <w:t>,</w:t>
      </w:r>
      <w:r>
        <w:t xml:space="preserve"> </w:t>
      </w:r>
      <w:r w:rsidRPr="00E9425C">
        <w:t>discusses the concept of harmony in nature, drawing on philosophical and ecological perspectives. The context is the growing concern about human impact on the environment and the need to live in harmony with nature.</w:t>
      </w:r>
      <w:r w:rsidR="00A20FE4">
        <w:t xml:space="preserve"> Hunter explores in his paper </w:t>
      </w:r>
      <w:r w:rsidR="00A11B1A">
        <w:t>‘</w:t>
      </w:r>
      <w:r w:rsidR="00A20FE4" w:rsidRPr="00A20FE4">
        <w:t>what observations of ecological systems can tell us about the nature of harmony, and related ideas such as ‘balance’ and ‘equilibrium’.</w:t>
      </w:r>
      <w:r w:rsidR="00A11B1A">
        <w:t>’</w:t>
      </w:r>
      <w:r w:rsidR="00A20FE4">
        <w:t xml:space="preserve"> (Hunter, 2020, </w:t>
      </w:r>
      <w:r w:rsidR="001719CC">
        <w:t>p.</w:t>
      </w:r>
      <w:r w:rsidR="00A20FE4">
        <w:t xml:space="preserve"> 81).  </w:t>
      </w:r>
    </w:p>
    <w:p w14:paraId="252A4D9F" w14:textId="718629CF" w:rsidR="00AF2C3E" w:rsidRDefault="00AF2C3E" w:rsidP="00A20FE4">
      <w:pPr>
        <w:spacing w:line="360" w:lineRule="auto"/>
        <w:jc w:val="both"/>
      </w:pPr>
      <w:r>
        <w:t xml:space="preserve">The intended readership can be seen as a broader academic and the general public based on the final remarks made </w:t>
      </w:r>
      <w:r w:rsidR="00A11B1A">
        <w:t>‘</w:t>
      </w:r>
      <w:r>
        <w:t xml:space="preserve"> to truly alter our collective behaviour….to construct a new worldview based upon objective scientific observations of the natural world will not work – we need to go a step further </w:t>
      </w:r>
      <w:r w:rsidR="00A11B1A">
        <w:t>‘</w:t>
      </w:r>
      <w:r>
        <w:t xml:space="preserve"> (Hunter, 2020 p</w:t>
      </w:r>
      <w:r w:rsidR="00BA4315">
        <w:t>.</w:t>
      </w:r>
      <w:r>
        <w:t xml:space="preserve"> </w:t>
      </w:r>
      <w:r w:rsidR="00BA4315">
        <w:t>90</w:t>
      </w:r>
      <w:r>
        <w:t xml:space="preserve">). That closing remark can be seen as a warning for academics and as </w:t>
      </w:r>
      <w:r w:rsidR="002F2954">
        <w:t>a</w:t>
      </w:r>
      <w:r>
        <w:t xml:space="preserve"> </w:t>
      </w:r>
      <w:r w:rsidR="009604D0">
        <w:rPr>
          <w:lang w:val="en-GB"/>
        </w:rPr>
        <w:t>request</w:t>
      </w:r>
      <w:r>
        <w:t xml:space="preserve"> to the general public to act and no longer debate only on an academic level.</w:t>
      </w:r>
    </w:p>
    <w:p w14:paraId="3461619C" w14:textId="52B4BB8F" w:rsidR="00A84223" w:rsidRDefault="00A84223" w:rsidP="00A20FE4">
      <w:pPr>
        <w:spacing w:line="360" w:lineRule="auto"/>
        <w:jc w:val="both"/>
      </w:pPr>
      <w:r>
        <w:t xml:space="preserve">The author, </w:t>
      </w:r>
      <w:r w:rsidRPr="00A84223">
        <w:t>Jack Hunter</w:t>
      </w:r>
      <w:r w:rsidR="00F45813">
        <w:t>,</w:t>
      </w:r>
      <w:r w:rsidRPr="00A84223">
        <w:t xml:space="preserve"> is an anthropologist and scholar of religion, </w:t>
      </w:r>
      <w:r w:rsidR="00F45813">
        <w:t>specialising</w:t>
      </w:r>
      <w:r w:rsidRPr="00A84223">
        <w:t xml:space="preserve"> in the study of modern Western esotericism and ecology. His background in these fields informs his approach to harmony and ecology</w:t>
      </w:r>
      <w:r>
        <w:t xml:space="preserve">. </w:t>
      </w:r>
      <w:r w:rsidRPr="00A84223">
        <w:t xml:space="preserve">He lives in the hills of Mid-Wales with his family. He is an Honorary Research Fellow with the Alister Hardy Religious Experience Research Centre, University of Wales Trinity Saint David and a Research Fellow with the Parapsychology Foundation, New </w:t>
      </w:r>
      <w:r w:rsidR="006B34FB">
        <w:t>York</w:t>
      </w:r>
      <w:r>
        <w:t xml:space="preserve"> (</w:t>
      </w:r>
      <w:r w:rsidR="001653A1">
        <w:t>Hunter, 2019</w:t>
      </w:r>
      <w:r>
        <w:t>)</w:t>
      </w:r>
      <w:r w:rsidR="001653A1">
        <w:t>.</w:t>
      </w:r>
    </w:p>
    <w:p w14:paraId="4994948F" w14:textId="02165ADE" w:rsidR="00E9425C" w:rsidRDefault="001653A1" w:rsidP="001653A1">
      <w:pPr>
        <w:spacing w:line="360" w:lineRule="auto"/>
        <w:jc w:val="both"/>
      </w:pPr>
      <w:r>
        <w:t>The second paper</w:t>
      </w:r>
      <w:r w:rsidR="002F2954">
        <w:t>,</w:t>
      </w:r>
      <w:r>
        <w:t xml:space="preserve"> </w:t>
      </w:r>
      <w:r w:rsidR="00A11B1A">
        <w:t>‘</w:t>
      </w:r>
      <w:r>
        <w:t>Life balance and harmony: Wellbeing’s golden thread</w:t>
      </w:r>
      <w:r w:rsidR="00A11B1A">
        <w:t>’</w:t>
      </w:r>
      <w:r>
        <w:t xml:space="preserve"> by Lomas </w:t>
      </w:r>
      <w:r w:rsidR="00F54CBD">
        <w:t xml:space="preserve">, published in 2021 in the </w:t>
      </w:r>
      <w:r w:rsidR="00F45813">
        <w:t>I</w:t>
      </w:r>
      <w:r w:rsidR="00F54CBD">
        <w:t xml:space="preserve">nternational </w:t>
      </w:r>
      <w:r w:rsidR="00F45813">
        <w:t>J</w:t>
      </w:r>
      <w:r w:rsidR="00F54CBD">
        <w:t>ournal of well</w:t>
      </w:r>
      <w:r w:rsidR="00F45813">
        <w:t>-</w:t>
      </w:r>
      <w:r w:rsidR="00F54CBD">
        <w:t xml:space="preserve">being (Lomas, 2021), </w:t>
      </w:r>
      <w:r>
        <w:t>explores the concepts of balance and harmony (B/H) in the context of well-being, focusing on their role as core principles. The author argues that B/H have been underappreciated in psychology and academia despite their significance in Eastern cultures and their appearance in various areas of psychological literature</w:t>
      </w:r>
      <w:r w:rsidR="002F2954">
        <w:t xml:space="preserve"> (Lomas, 2021, p 50)</w:t>
      </w:r>
      <w:r>
        <w:t xml:space="preserve">. Tim Lomas explores the importance of balance and harmony in psychology and well-being. He argues that these concepts are foundational to human functioning and offers </w:t>
      </w:r>
      <w:r>
        <w:lastRenderedPageBreak/>
        <w:t>a narrative review of relevant literature, organising it into four categories: affect, cognition, behavior, and self-other relations</w:t>
      </w:r>
      <w:r w:rsidR="002F2954">
        <w:t xml:space="preserve"> (p 53)</w:t>
      </w:r>
      <w:r>
        <w:t>. Lomas suggests that balance and harmony are defining principles of wellbeing and proposes an overarching definition of wellbeing as the dynamic attainment of optimal balance and harmony in all aspects of life.</w:t>
      </w:r>
    </w:p>
    <w:p w14:paraId="4D589A23" w14:textId="7216D374" w:rsidR="00FB4350" w:rsidRDefault="00FB4350" w:rsidP="001653A1">
      <w:pPr>
        <w:spacing w:line="360" w:lineRule="auto"/>
        <w:jc w:val="both"/>
      </w:pPr>
      <w:r w:rsidRPr="00FB4350">
        <w:t>The author</w:t>
      </w:r>
      <w:r>
        <w:t>, Tim Lomas, is</w:t>
      </w:r>
      <w:r w:rsidRPr="00FB4350">
        <w:t xml:space="preserve"> a researcher in the field of </w:t>
      </w:r>
      <w:r w:rsidR="00BC4035">
        <w:t>well-being who focuses</w:t>
      </w:r>
      <w:r w:rsidRPr="00FB4350">
        <w:t xml:space="preserve"> on cross-cultural perspectives. He is affiliated with Wellbeing for Planet Earth, a Japan-based research foundation.</w:t>
      </w:r>
    </w:p>
    <w:p w14:paraId="3563064C" w14:textId="2350A545" w:rsidR="00F54CBD" w:rsidRPr="006B34FB" w:rsidRDefault="00BC4035" w:rsidP="001653A1">
      <w:pPr>
        <w:spacing w:line="360" w:lineRule="auto"/>
        <w:jc w:val="both"/>
        <w:rPr>
          <w:lang w:val="en-GB"/>
        </w:rPr>
      </w:pPr>
      <w:r>
        <w:t xml:space="preserve">The intended readership is </w:t>
      </w:r>
      <w:r w:rsidR="002F2954">
        <w:t xml:space="preserve">mainly </w:t>
      </w:r>
      <w:r>
        <w:t xml:space="preserve">academic, which becomes </w:t>
      </w:r>
      <w:r w:rsidR="00AD58D4">
        <w:t xml:space="preserve">apparent when Lomas asks for further research: </w:t>
      </w:r>
      <w:r w:rsidR="00A11B1A">
        <w:t>‘</w:t>
      </w:r>
      <w:r w:rsidR="00AD58D4">
        <w:t>…these merit further research of whether there are aspects of life where B/H are not relevant…</w:t>
      </w:r>
      <w:r w:rsidR="00A11B1A">
        <w:t>’</w:t>
      </w:r>
      <w:r w:rsidR="00AD58D4">
        <w:t xml:space="preserve"> (Lomas, 2021, </w:t>
      </w:r>
      <w:r w:rsidR="002F2954">
        <w:t>p.</w:t>
      </w:r>
      <w:r w:rsidR="00AD58D4">
        <w:t xml:space="preserve"> 61</w:t>
      </w:r>
      <w:r>
        <w:t>).</w:t>
      </w:r>
      <w:r w:rsidR="006B34FB">
        <w:rPr>
          <w:lang w:val="en-GB"/>
        </w:rPr>
        <w:t xml:space="preserve"> </w:t>
      </w:r>
    </w:p>
    <w:p w14:paraId="707C9165" w14:textId="77777777" w:rsidR="00E9425C" w:rsidRDefault="00E9425C" w:rsidP="0068305C"/>
    <w:p w14:paraId="47C7528E" w14:textId="14FEAD45" w:rsidR="00421E43" w:rsidRDefault="000278F3" w:rsidP="00421E43">
      <w:pPr>
        <w:pStyle w:val="Heading1"/>
        <w:spacing w:line="360" w:lineRule="auto"/>
        <w:jc w:val="both"/>
      </w:pPr>
      <w:r>
        <w:t>Analysis</w:t>
      </w:r>
      <w:r w:rsidR="00753C12">
        <w:t>/</w:t>
      </w:r>
      <w:r w:rsidR="00E42C7E">
        <w:t>Discussion</w:t>
      </w:r>
      <w:r w:rsidR="00421E43" w:rsidRPr="0068305C">
        <w:t xml:space="preserve"> </w:t>
      </w:r>
      <w:r w:rsidR="00421E43">
        <w:t>of both papers</w:t>
      </w:r>
    </w:p>
    <w:p w14:paraId="7DCB9EA8" w14:textId="77777777" w:rsidR="00421E43" w:rsidRDefault="00421E43" w:rsidP="00421E43">
      <w:pPr>
        <w:spacing w:line="360" w:lineRule="auto"/>
        <w:jc w:val="both"/>
      </w:pPr>
      <w:r>
        <w:t>The paper by Hunter deals with the concept of harmony in both philosophical and ecological terms. It argues that these perspectives are complementary rather than contradictory.</w:t>
      </w:r>
    </w:p>
    <w:p w14:paraId="0792999B" w14:textId="77777777" w:rsidR="00421E43" w:rsidRDefault="00421E43" w:rsidP="00421E43">
      <w:pPr>
        <w:spacing w:line="360" w:lineRule="auto"/>
        <w:jc w:val="both"/>
      </w:pPr>
      <w:r>
        <w:t>The paper adopts a holistic and interconnected view of nature, drawing on both Eastern and Western philosophical traditions. It argues that this view is essential for understanding the concept of harmony in nature. The paper uses a wide range of sources, including philosophical texts, ecological studies, and examples from the natural world. It is well-referenced and provides ample evidence to support its arguments.</w:t>
      </w:r>
    </w:p>
    <w:p w14:paraId="1E1B8B7A" w14:textId="21482CC0" w:rsidR="00421E43" w:rsidRDefault="00421E43" w:rsidP="00421E43">
      <w:pPr>
        <w:spacing w:line="360" w:lineRule="auto"/>
        <w:jc w:val="both"/>
      </w:pPr>
      <w:r>
        <w:t>Jack Hunter is an anthropologist and scholar of religion, specialising in the study of modern Western esotericism and ecology (</w:t>
      </w:r>
      <w:r w:rsidR="00030EE7">
        <w:t>Aleftrust, 2023</w:t>
      </w:r>
      <w:r>
        <w:t>). His background in these fields informs his approach to the topic of harmony and ecology.</w:t>
      </w:r>
    </w:p>
    <w:p w14:paraId="21C29BB1" w14:textId="77777777" w:rsidR="00421E43" w:rsidRDefault="00421E43" w:rsidP="00421E43">
      <w:pPr>
        <w:spacing w:line="360" w:lineRule="auto"/>
        <w:jc w:val="both"/>
      </w:pPr>
      <w:r>
        <w:t>The paper is well-referenced, with sources cited in a clear and consistent manner. The references are relevant and add depth to the discussion.</w:t>
      </w:r>
    </w:p>
    <w:p w14:paraId="235B2F4C" w14:textId="77996534" w:rsidR="005E4556" w:rsidRDefault="00421E43" w:rsidP="00421E43">
      <w:pPr>
        <w:spacing w:line="360" w:lineRule="auto"/>
        <w:jc w:val="both"/>
      </w:pPr>
      <w:r>
        <w:t>The paper uses a variety of evidence to support its arguments, including philosophical texts, ecological studies, and examples from the natural world. The evidence is well-presented and adds depth to the discussion.</w:t>
      </w:r>
    </w:p>
    <w:p w14:paraId="1B95BC29" w14:textId="26DD76EC" w:rsidR="007714E0" w:rsidRDefault="007714E0" w:rsidP="007714E0">
      <w:pPr>
        <w:spacing w:line="360" w:lineRule="auto"/>
        <w:jc w:val="both"/>
      </w:pPr>
      <w:r>
        <w:t xml:space="preserve">A notable section is the inclusion of Holmgren's twelve principles within his permaculture and harmony chapter, stating that the twelve principles sit within a tripartite permaculture ethic of earth care, people care and fair share. Those values can also be seen as derived from the triple bottom line explained by the Harvard Business School in 2020 (Miller, 2020), where the </w:t>
      </w:r>
      <w:r>
        <w:rPr>
          <w:lang w:val="en-GB"/>
        </w:rPr>
        <w:t xml:space="preserve">focus on the </w:t>
      </w:r>
      <w:r>
        <w:t xml:space="preserve">3 P’s (People-, Planet-, Profit orientation) are </w:t>
      </w:r>
      <w:r>
        <w:rPr>
          <w:lang w:val="en-GB"/>
        </w:rPr>
        <w:t xml:space="preserve">outlined as </w:t>
      </w:r>
      <w:r>
        <w:t xml:space="preserve">necessary for any sustainable </w:t>
      </w:r>
      <w:r>
        <w:lastRenderedPageBreak/>
        <w:t>organisation.</w:t>
      </w:r>
      <w:r>
        <w:t xml:space="preserve"> That aspect can </w:t>
      </w:r>
      <w:r w:rsidR="00304222">
        <w:t>also be</w:t>
      </w:r>
      <w:r>
        <w:t xml:space="preserve"> found in the Economy of Love explained by Cadman (Cadman, </w:t>
      </w:r>
      <w:r w:rsidR="0049658B">
        <w:t>2020</w:t>
      </w:r>
      <w:r>
        <w:t xml:space="preserve">), where he argued, </w:t>
      </w:r>
      <w:r w:rsidR="00A11B1A">
        <w:t>‘</w:t>
      </w:r>
      <w:r>
        <w:t>such economy relates to principles of compassion and a care of others, whether they are between the environment, the society and the economy</w:t>
      </w:r>
      <w:r w:rsidR="00A11B1A">
        <w:t>’</w:t>
      </w:r>
      <w:r>
        <w:t xml:space="preserve"> (p 17).</w:t>
      </w:r>
    </w:p>
    <w:p w14:paraId="181BA519" w14:textId="77777777" w:rsidR="003E2395" w:rsidRPr="00E9425C" w:rsidRDefault="003E2395" w:rsidP="003E2395">
      <w:pPr>
        <w:spacing w:line="360" w:lineRule="auto"/>
        <w:jc w:val="both"/>
      </w:pPr>
      <w:r>
        <w:t>The first paper, by Hunter, concludes that the concept of harmony in nature is complex and multifaceted, requiring a holistic and interconnected view of the natural world. It argues that this view is essential for addressing the environmental challenges of our time.</w:t>
      </w:r>
    </w:p>
    <w:p w14:paraId="2C4BB6BE" w14:textId="7567A84C" w:rsidR="005E4556" w:rsidRDefault="00172A53" w:rsidP="00421E43">
      <w:pPr>
        <w:spacing w:line="360" w:lineRule="auto"/>
        <w:jc w:val="both"/>
      </w:pPr>
      <w:r>
        <w:t>Hunter's conclusion is</w:t>
      </w:r>
      <w:r w:rsidR="005E4556" w:rsidRPr="005E4556">
        <w:t xml:space="preserve"> convincing in its argument that the harmony observed in nature differs from the tidy, rational harmony found in human constructs like geometry or music. It draws upon philosophical perspectives from Hume and contemporary insights from Sheldrake to suggest that natural laws may be more like dynamic habits rather than fixed, eternal laws. The idea that harmony in nature is dynamic rather than static aligns with observations of ecological systems and the need for a more holistic approach, as advocated by Naess. The call for eco-wisdom alongside eco-science to address the challenges faced by the planet adds depth to the conclusion, suggesting that a myth of harmony, even if oversimplified, may be necessary to drive collective </w:t>
      </w:r>
      <w:r>
        <w:t>behavioural</w:t>
      </w:r>
      <w:r w:rsidR="005E4556" w:rsidRPr="005E4556">
        <w:t xml:space="preserve"> change. Overall, it presents a nuanced perspective on the concept of harmony in nature and its implications for our understanding and stewardship of the environment.</w:t>
      </w:r>
    </w:p>
    <w:p w14:paraId="5CEA8A99" w14:textId="55535943" w:rsidR="00421E43" w:rsidRDefault="00421E43" w:rsidP="00421E43">
      <w:pPr>
        <w:spacing w:line="360" w:lineRule="auto"/>
        <w:jc w:val="both"/>
      </w:pPr>
      <w:r>
        <w:t xml:space="preserve">The paper's greatest strength is its interdisciplinary approach, </w:t>
      </w:r>
      <w:r w:rsidR="00172A53">
        <w:t>which draws on</w:t>
      </w:r>
      <w:r>
        <w:t xml:space="preserve"> philosophical and ecological perspectives to explore the concept of harmony in nature. This approach provides a nuanced and complex view of the topic.</w:t>
      </w:r>
    </w:p>
    <w:p w14:paraId="2CD3F63C" w14:textId="34810011" w:rsidR="00421E43" w:rsidRDefault="00F7037D" w:rsidP="00421E43">
      <w:pPr>
        <w:spacing w:line="360" w:lineRule="auto"/>
        <w:jc w:val="both"/>
      </w:pPr>
      <w:r>
        <w:t>One of the</w:t>
      </w:r>
      <w:r w:rsidR="00421E43">
        <w:t xml:space="preserve"> paper's greatest </w:t>
      </w:r>
      <w:r w:rsidR="00172A53">
        <w:t>weaknesses</w:t>
      </w:r>
      <w:r w:rsidR="00421E43">
        <w:t xml:space="preserve"> is its limited discussion of practical applications. While the paper provides a strong theoretical framework for understanding harmony in nature, it does not provide concrete examples of how this framework can be applied in practice.</w:t>
      </w:r>
    </w:p>
    <w:p w14:paraId="2BDF88D1" w14:textId="77777777" w:rsidR="001719CC" w:rsidRDefault="00F7037D" w:rsidP="00421E43">
      <w:pPr>
        <w:spacing w:line="360" w:lineRule="auto"/>
        <w:jc w:val="both"/>
      </w:pPr>
      <w:r>
        <w:t xml:space="preserve">Another weakness can be seen in </w:t>
      </w:r>
      <w:r w:rsidR="00DA6C70">
        <w:t>the dictatory tone of the author, pushing the reader to a Western thinking philosophy</w:t>
      </w:r>
      <w:r>
        <w:t xml:space="preserve"> of life </w:t>
      </w:r>
      <w:r w:rsidR="00A11B1A">
        <w:t>‘</w:t>
      </w:r>
      <w:r w:rsidR="0064163E">
        <w:t>…we need to go a step further</w:t>
      </w:r>
      <w:r>
        <w:t xml:space="preserve"> </w:t>
      </w:r>
      <w:r w:rsidR="00A11B1A">
        <w:t>‘</w:t>
      </w:r>
      <w:r w:rsidR="00EF2196">
        <w:rPr>
          <w:lang w:val="en-GB"/>
        </w:rPr>
        <w:t xml:space="preserve"> (</w:t>
      </w:r>
      <w:r w:rsidR="00304222">
        <w:rPr>
          <w:lang w:val="en-GB"/>
        </w:rPr>
        <w:t>p 90</w:t>
      </w:r>
      <w:r w:rsidR="00EF2196">
        <w:rPr>
          <w:lang w:val="en-GB"/>
        </w:rPr>
        <w:t>)</w:t>
      </w:r>
      <w:r>
        <w:t xml:space="preserve">. That </w:t>
      </w:r>
      <w:r w:rsidR="0064163E">
        <w:t xml:space="preserve">tone </w:t>
      </w:r>
      <w:r>
        <w:t xml:space="preserve">can </w:t>
      </w:r>
      <w:r w:rsidR="00DA6C70">
        <w:t>also be</w:t>
      </w:r>
      <w:r>
        <w:t xml:space="preserve"> seen in the </w:t>
      </w:r>
      <w:r w:rsidR="000F2EFC">
        <w:t xml:space="preserve">recent </w:t>
      </w:r>
      <w:r>
        <w:t xml:space="preserve">political </w:t>
      </w:r>
      <w:r w:rsidR="00A0417C">
        <w:t>agenda</w:t>
      </w:r>
      <w:r>
        <w:t xml:space="preserve"> of </w:t>
      </w:r>
      <w:r w:rsidR="006A00F3">
        <w:t xml:space="preserve">some </w:t>
      </w:r>
      <w:r>
        <w:t>country governments</w:t>
      </w:r>
      <w:r w:rsidR="006A00F3">
        <w:t xml:space="preserve">, wanting to enforce a top-down approach in relation to changes in people's environmental behaviour (ZDF, 2023). </w:t>
      </w:r>
      <w:r>
        <w:t xml:space="preserve">One </w:t>
      </w:r>
      <w:r w:rsidR="00DA6C70">
        <w:t xml:space="preserve">related </w:t>
      </w:r>
      <w:r>
        <w:t xml:space="preserve">example can be found in the German </w:t>
      </w:r>
      <w:r w:rsidR="00B13D4D">
        <w:t>Green Party</w:t>
      </w:r>
      <w:r w:rsidR="005E153F">
        <w:t xml:space="preserve"> in government, wanting to force the </w:t>
      </w:r>
      <w:r w:rsidR="00172A53">
        <w:t>German</w:t>
      </w:r>
      <w:r w:rsidR="005E153F">
        <w:t xml:space="preserve"> people </w:t>
      </w:r>
      <w:r w:rsidR="00172A53">
        <w:t>to act by, e.g. the replacement of heating systems</w:t>
      </w:r>
      <w:r w:rsidR="00EF2196">
        <w:rPr>
          <w:lang w:val="en-GB"/>
        </w:rPr>
        <w:t xml:space="preserve"> to become more </w:t>
      </w:r>
      <w:r w:rsidR="00A0417C">
        <w:rPr>
          <w:lang w:val="en-GB"/>
        </w:rPr>
        <w:t>energy-friendly</w:t>
      </w:r>
      <w:r w:rsidR="00EF2196">
        <w:rPr>
          <w:lang w:val="en-GB"/>
        </w:rPr>
        <w:t xml:space="preserve"> citizens</w:t>
      </w:r>
      <w:r w:rsidR="00172A53">
        <w:t>, which many people can not afford, leading to lesser approval rates and even increasing popularity in far-right opposition parties like the AFD (</w:t>
      </w:r>
      <w:r w:rsidR="00A0417C">
        <w:t>Alternative</w:t>
      </w:r>
      <w:r w:rsidR="00172A53">
        <w:t xml:space="preserve"> für Deutschland</w:t>
      </w:r>
      <w:r w:rsidR="005E153F">
        <w:t xml:space="preserve">). </w:t>
      </w:r>
    </w:p>
    <w:p w14:paraId="60D48C0E" w14:textId="160729E9" w:rsidR="00F7037D" w:rsidRDefault="00A0417C" w:rsidP="00421E43">
      <w:pPr>
        <w:spacing w:line="360" w:lineRule="auto"/>
        <w:jc w:val="both"/>
      </w:pPr>
      <w:r>
        <w:t>(Heidorn, 2023)</w:t>
      </w:r>
      <w:r w:rsidR="005E153F">
        <w:t xml:space="preserve">. </w:t>
      </w:r>
      <w:r w:rsidR="00F7037D">
        <w:t xml:space="preserve"> </w:t>
      </w:r>
    </w:p>
    <w:p w14:paraId="1A008DEC" w14:textId="1CC7BD7B" w:rsidR="00E9425C" w:rsidRDefault="00421E43" w:rsidP="000F2EFC">
      <w:pPr>
        <w:spacing w:line="360" w:lineRule="auto"/>
        <w:jc w:val="both"/>
      </w:pPr>
      <w:r>
        <w:lastRenderedPageBreak/>
        <w:t xml:space="preserve">Overall, </w:t>
      </w:r>
      <w:r w:rsidR="00625663">
        <w:t xml:space="preserve">the paper </w:t>
      </w:r>
      <w:r w:rsidR="00A11B1A">
        <w:t>‘</w:t>
      </w:r>
      <w:r>
        <w:t>Harmony and Ecology</w:t>
      </w:r>
      <w:r w:rsidR="00A11B1A">
        <w:t>’</w:t>
      </w:r>
      <w:r>
        <w:t xml:space="preserve"> is a well-written and well-researched paper that </w:t>
      </w:r>
      <w:r w:rsidR="00172A53">
        <w:t>thoughtfully and nuancedly explores</w:t>
      </w:r>
      <w:r>
        <w:t xml:space="preserve"> the concept of harmony in nature. Its interdisciplinary approach is a strength, and its well-referenced arguments are supported by a variety of evidence. However, the paper could benefit from a greater focus on </w:t>
      </w:r>
      <w:r w:rsidR="000F2EFC">
        <w:t xml:space="preserve">realistic, </w:t>
      </w:r>
      <w:r>
        <w:t>practical applications</w:t>
      </w:r>
      <w:r w:rsidR="000F2EFC">
        <w:t>.</w:t>
      </w:r>
    </w:p>
    <w:p w14:paraId="2D5763F7" w14:textId="77777777" w:rsidR="00F25F04" w:rsidRDefault="00F25F04" w:rsidP="00A031CB">
      <w:pPr>
        <w:spacing w:line="360" w:lineRule="auto"/>
        <w:jc w:val="both"/>
      </w:pPr>
    </w:p>
    <w:p w14:paraId="6BDEF1C1" w14:textId="47649B52" w:rsidR="00C60F09" w:rsidRDefault="00A031CB" w:rsidP="00A031CB">
      <w:pPr>
        <w:spacing w:line="360" w:lineRule="auto"/>
        <w:jc w:val="both"/>
        <w:rPr>
          <w:shd w:val="clear" w:color="auto" w:fill="FFFFFF"/>
        </w:rPr>
      </w:pPr>
      <w:r>
        <w:t>The second paper</w:t>
      </w:r>
      <w:r w:rsidR="004B7C31">
        <w:t>,</w:t>
      </w:r>
      <w:r>
        <w:t xml:space="preserve"> by Lomas</w:t>
      </w:r>
      <w:r w:rsidR="00C25F5F">
        <w:t xml:space="preserve"> (Lomas 2021)</w:t>
      </w:r>
      <w:r w:rsidR="004B7C31">
        <w:t>,</w:t>
      </w:r>
      <w:r>
        <w:t xml:space="preserve"> </w:t>
      </w:r>
      <w:r>
        <w:rPr>
          <w:shd w:val="clear" w:color="auto" w:fill="FFFFFF"/>
        </w:rPr>
        <w:t xml:space="preserve">discusses the underappreciation of the significance of balance and harmony for wellbeing within the field of psychology. Despite being discussed in contexts such as work-life balance, the literature on these concepts is fragmented and scattered, with limited efforts to consolidate diverse perspectives or </w:t>
      </w:r>
      <w:r w:rsidR="00803B5F">
        <w:rPr>
          <w:shd w:val="clear" w:color="auto" w:fill="FFFFFF"/>
        </w:rPr>
        <w:t>emphasise</w:t>
      </w:r>
      <w:r>
        <w:rPr>
          <w:shd w:val="clear" w:color="auto" w:fill="FFFFFF"/>
        </w:rPr>
        <w:t xml:space="preserve"> their foundational importance across human functioning. The paper aims to address this gap by conducting a narrative review of relevant literature, </w:t>
      </w:r>
      <w:r w:rsidR="00F33A34">
        <w:rPr>
          <w:shd w:val="clear" w:color="auto" w:fill="FFFFFF"/>
        </w:rPr>
        <w:t>categorising</w:t>
      </w:r>
      <w:r>
        <w:rPr>
          <w:shd w:val="clear" w:color="auto" w:fill="FFFFFF"/>
        </w:rPr>
        <w:t xml:space="preserve"> it into four main areas: affect, cognition, </w:t>
      </w:r>
      <w:r w:rsidR="00803B5F">
        <w:rPr>
          <w:shd w:val="clear" w:color="auto" w:fill="FFFFFF"/>
        </w:rPr>
        <w:t>behaviour</w:t>
      </w:r>
      <w:r>
        <w:rPr>
          <w:shd w:val="clear" w:color="auto" w:fill="FFFFFF"/>
        </w:rPr>
        <w:t>, and self-other relations. Throughout these categories, balance and harmony are portrayed not only as relevant to wellbeing but as fundamental principles, akin to a 'golden thread' running through its various dimensions, albeit with complexity and interconnectedness. Based on this analysis, the paper proposes a comprehensive definition of wellbeing as the dynamic achievement of optimal balance and harmony in any, preferably all, areas of life, serving as a starting point for further exploration of these themes.</w:t>
      </w:r>
    </w:p>
    <w:p w14:paraId="40400056" w14:textId="679D8C81" w:rsidR="00B13D4D" w:rsidRDefault="00B13D4D" w:rsidP="00A031CB">
      <w:pPr>
        <w:spacing w:line="360" w:lineRule="auto"/>
        <w:jc w:val="both"/>
        <w:rPr>
          <w:shd w:val="clear" w:color="auto" w:fill="FFFFFF"/>
        </w:rPr>
      </w:pPr>
      <w:r>
        <w:rPr>
          <w:shd w:val="clear" w:color="auto" w:fill="FFFFFF"/>
        </w:rPr>
        <w:t xml:space="preserve">In terms of one of </w:t>
      </w:r>
      <w:r w:rsidR="00983DA6">
        <w:rPr>
          <w:shd w:val="clear" w:color="auto" w:fill="FFFFFF"/>
        </w:rPr>
        <w:t>Loma's</w:t>
      </w:r>
      <w:r>
        <w:rPr>
          <w:shd w:val="clear" w:color="auto" w:fill="FFFFFF"/>
        </w:rPr>
        <w:t xml:space="preserve"> defined dynamics</w:t>
      </w:r>
      <w:r w:rsidR="009125E6">
        <w:rPr>
          <w:shd w:val="clear" w:color="auto" w:fill="FFFFFF"/>
        </w:rPr>
        <w:t xml:space="preserve">, </w:t>
      </w:r>
      <w:r w:rsidR="00A11B1A">
        <w:rPr>
          <w:shd w:val="clear" w:color="auto" w:fill="FFFFFF"/>
        </w:rPr>
        <w:t>‘</w:t>
      </w:r>
      <w:r w:rsidR="009125E6">
        <w:rPr>
          <w:shd w:val="clear" w:color="auto" w:fill="FFFFFF"/>
        </w:rPr>
        <w:t>Behavioural</w:t>
      </w:r>
      <w:r w:rsidR="00A11B1A">
        <w:rPr>
          <w:shd w:val="clear" w:color="auto" w:fill="FFFFFF"/>
        </w:rPr>
        <w:t>’</w:t>
      </w:r>
      <w:r w:rsidR="009125E6">
        <w:rPr>
          <w:shd w:val="clear" w:color="auto" w:fill="FFFFFF"/>
        </w:rPr>
        <w:t xml:space="preserve">, the study of Snitker (Schumacher, 2009) can </w:t>
      </w:r>
      <w:r w:rsidR="00983DA6">
        <w:rPr>
          <w:shd w:val="clear" w:color="auto" w:fill="FFFFFF"/>
        </w:rPr>
        <w:t>provide</w:t>
      </w:r>
      <w:r w:rsidR="009125E6">
        <w:rPr>
          <w:shd w:val="clear" w:color="auto" w:fill="FFFFFF"/>
        </w:rPr>
        <w:t xml:space="preserve"> additional insights</w:t>
      </w:r>
      <w:r>
        <w:rPr>
          <w:shd w:val="clear" w:color="auto" w:fill="FFFFFF"/>
        </w:rPr>
        <w:t xml:space="preserve">. </w:t>
      </w:r>
      <w:r w:rsidR="009125E6">
        <w:rPr>
          <w:shd w:val="clear" w:color="auto" w:fill="FFFFFF"/>
        </w:rPr>
        <w:t>The</w:t>
      </w:r>
      <w:r>
        <w:rPr>
          <w:shd w:val="clear" w:color="auto" w:fill="FFFFFF"/>
        </w:rPr>
        <w:t xml:space="preserve"> impact of cultures a person lives in defines how he strives to maintain social harmony. Compared to Lomas</w:t>
      </w:r>
      <w:r w:rsidR="009125E6">
        <w:rPr>
          <w:shd w:val="clear" w:color="auto" w:fill="FFFFFF"/>
        </w:rPr>
        <w:t>’s</w:t>
      </w:r>
      <w:r>
        <w:rPr>
          <w:shd w:val="clear" w:color="auto" w:fill="FFFFFF"/>
        </w:rPr>
        <w:t xml:space="preserve"> focus</w:t>
      </w:r>
      <w:r w:rsidR="009125E6">
        <w:rPr>
          <w:shd w:val="clear" w:color="auto" w:fill="FFFFFF"/>
        </w:rPr>
        <w:t>,</w:t>
      </w:r>
      <w:r>
        <w:rPr>
          <w:shd w:val="clear" w:color="auto" w:fill="FFFFFF"/>
        </w:rPr>
        <w:t xml:space="preserve"> </w:t>
      </w:r>
      <w:r w:rsidR="00C63B14">
        <w:rPr>
          <w:shd w:val="clear" w:color="auto" w:fill="FFFFFF"/>
        </w:rPr>
        <w:t>particul</w:t>
      </w:r>
      <w:r w:rsidR="009125E6">
        <w:rPr>
          <w:shd w:val="clear" w:color="auto" w:fill="FFFFFF"/>
        </w:rPr>
        <w:t>arly</w:t>
      </w:r>
      <w:r w:rsidR="00C63B14">
        <w:rPr>
          <w:shd w:val="clear" w:color="auto" w:fill="FFFFFF"/>
        </w:rPr>
        <w:t xml:space="preserve"> </w:t>
      </w:r>
      <w:r w:rsidR="009125E6">
        <w:rPr>
          <w:shd w:val="clear" w:color="auto" w:fill="FFFFFF"/>
        </w:rPr>
        <w:t xml:space="preserve">on </w:t>
      </w:r>
      <w:r w:rsidR="00C63B14">
        <w:rPr>
          <w:shd w:val="clear" w:color="auto" w:fill="FFFFFF"/>
        </w:rPr>
        <w:t xml:space="preserve">the USA (p 50), Snitker outlines that </w:t>
      </w:r>
      <w:r w:rsidR="00C63B14" w:rsidRPr="00C63B14">
        <w:rPr>
          <w:shd w:val="clear" w:color="auto" w:fill="FFFFFF"/>
        </w:rPr>
        <w:t>In Asian countries, being socioemotional relational orientation cultures, respondents may be influenced more by the perception of the evaluators.</w:t>
      </w:r>
    </w:p>
    <w:p w14:paraId="3ECA34CD" w14:textId="731CB002" w:rsidR="00A10D39" w:rsidRDefault="00A10D39" w:rsidP="00A031CB">
      <w:pPr>
        <w:spacing w:line="360" w:lineRule="auto"/>
        <w:jc w:val="both"/>
        <w:rPr>
          <w:shd w:val="clear" w:color="auto" w:fill="FFFFFF"/>
        </w:rPr>
      </w:pPr>
      <w:r>
        <w:rPr>
          <w:shd w:val="clear" w:color="auto" w:fill="FFFFFF"/>
        </w:rPr>
        <w:t xml:space="preserve">In the same dynamic, Lomas mentioned a </w:t>
      </w:r>
      <w:r w:rsidR="00AB0E9A">
        <w:rPr>
          <w:shd w:val="clear" w:color="auto" w:fill="FFFFFF"/>
        </w:rPr>
        <w:t>behavioural</w:t>
      </w:r>
      <w:r>
        <w:rPr>
          <w:shd w:val="clear" w:color="auto" w:fill="FFFFFF"/>
        </w:rPr>
        <w:t xml:space="preserve"> area termed lifestyle. In that subject, he named studies </w:t>
      </w:r>
      <w:r w:rsidR="00AB0E9A">
        <w:rPr>
          <w:shd w:val="clear" w:color="auto" w:fill="FFFFFF"/>
        </w:rPr>
        <w:t>of</w:t>
      </w:r>
      <w:r>
        <w:rPr>
          <w:shd w:val="clear" w:color="auto" w:fill="FFFFFF"/>
        </w:rPr>
        <w:t xml:space="preserve"> work-life balance</w:t>
      </w:r>
      <w:r w:rsidR="00614526">
        <w:rPr>
          <w:shd w:val="clear" w:color="auto" w:fill="FFFFFF"/>
        </w:rPr>
        <w:t xml:space="preserve"> and </w:t>
      </w:r>
      <w:r w:rsidR="009F281F">
        <w:rPr>
          <w:shd w:val="clear" w:color="auto" w:fill="FFFFFF"/>
        </w:rPr>
        <w:t xml:space="preserve">listed a study by Dimou et al. (2016), who found </w:t>
      </w:r>
      <w:r w:rsidR="00A11B1A">
        <w:rPr>
          <w:shd w:val="clear" w:color="auto" w:fill="FFFFFF"/>
        </w:rPr>
        <w:t>‘</w:t>
      </w:r>
      <w:r w:rsidR="009F281F">
        <w:rPr>
          <w:shd w:val="clear" w:color="auto" w:fill="FFFFFF"/>
        </w:rPr>
        <w:t>that poor work-life balance is the most commonly reported factor for burnout</w:t>
      </w:r>
      <w:r w:rsidR="00A11B1A">
        <w:rPr>
          <w:shd w:val="clear" w:color="auto" w:fill="FFFFFF"/>
        </w:rPr>
        <w:t>’</w:t>
      </w:r>
      <w:r w:rsidR="009F281F">
        <w:rPr>
          <w:shd w:val="clear" w:color="auto" w:fill="FFFFFF"/>
        </w:rPr>
        <w:t xml:space="preserve"> (</w:t>
      </w:r>
      <w:r w:rsidR="003645E3">
        <w:rPr>
          <w:shd w:val="clear" w:color="auto" w:fill="FFFFFF"/>
        </w:rPr>
        <w:t>p.</w:t>
      </w:r>
      <w:r w:rsidR="009F281F">
        <w:rPr>
          <w:shd w:val="clear" w:color="auto" w:fill="FFFFFF"/>
        </w:rPr>
        <w:t xml:space="preserve"> 58). Another quantitative study, more recent</w:t>
      </w:r>
      <w:r w:rsidR="00CA0650">
        <w:rPr>
          <w:shd w:val="clear" w:color="auto" w:fill="FFFFFF"/>
        </w:rPr>
        <w:t>,</w:t>
      </w:r>
      <w:r w:rsidR="009F281F">
        <w:rPr>
          <w:shd w:val="clear" w:color="auto" w:fill="FFFFFF"/>
        </w:rPr>
        <w:t xml:space="preserve"> by Stanley, confirmed</w:t>
      </w:r>
      <w:r w:rsidR="005E63CC">
        <w:rPr>
          <w:shd w:val="clear" w:color="auto" w:fill="FFFFFF"/>
        </w:rPr>
        <w:t xml:space="preserve"> that </w:t>
      </w:r>
      <w:r w:rsidR="009F281F">
        <w:rPr>
          <w:shd w:val="clear" w:color="auto" w:fill="FFFFFF"/>
        </w:rPr>
        <w:t>result, analysing stress in social workers (Stanley, 2023).</w:t>
      </w:r>
    </w:p>
    <w:p w14:paraId="36623422" w14:textId="6E9F6774" w:rsidR="005212EE" w:rsidRDefault="005212EE" w:rsidP="00A031CB">
      <w:pPr>
        <w:spacing w:line="360" w:lineRule="auto"/>
        <w:jc w:val="both"/>
      </w:pPr>
      <w:r>
        <w:t xml:space="preserve">Lomas also uses the word </w:t>
      </w:r>
      <w:r w:rsidR="00A11B1A">
        <w:t>‘</w:t>
      </w:r>
      <w:r w:rsidRPr="005743AE">
        <w:t>ecosystem</w:t>
      </w:r>
      <w:r w:rsidR="00A11B1A">
        <w:t>’</w:t>
      </w:r>
      <w:r w:rsidR="003645E3">
        <w:t xml:space="preserve"> and, therefore, overlaps with Hunter's paper,</w:t>
      </w:r>
      <w:r>
        <w:t xml:space="preserve"> </w:t>
      </w:r>
      <w:r>
        <w:rPr>
          <w:lang w:val="en-GB"/>
        </w:rPr>
        <w:t>which</w:t>
      </w:r>
      <w:r>
        <w:t xml:space="preserve"> describes an ecosystem as a </w:t>
      </w:r>
      <w:r w:rsidR="00A11B1A">
        <w:t>‘</w:t>
      </w:r>
      <w:r>
        <w:t>complex system of interactions between living organisms</w:t>
      </w:r>
      <w:r w:rsidR="00A11B1A">
        <w:t>’</w:t>
      </w:r>
      <w:r>
        <w:t xml:space="preserve"> (Hunter 2020, p</w:t>
      </w:r>
      <w:r w:rsidR="00080F18">
        <w:t xml:space="preserve">. </w:t>
      </w:r>
      <w:r>
        <w:t>82)</w:t>
      </w:r>
      <w:r w:rsidRPr="005743AE">
        <w:t xml:space="preserve">. Lomas </w:t>
      </w:r>
      <w:r w:rsidR="00080F18">
        <w:t>focuses</w:t>
      </w:r>
      <w:r>
        <w:rPr>
          <w:lang w:val="en-GB"/>
        </w:rPr>
        <w:t xml:space="preserve"> on a specific aspect as he </w:t>
      </w:r>
      <w:r w:rsidR="00A11B1A">
        <w:t>‘</w:t>
      </w:r>
      <w:r w:rsidRPr="005743AE">
        <w:t>put society in the context of the ecosystem</w:t>
      </w:r>
      <w:r w:rsidR="00A11B1A">
        <w:t>’</w:t>
      </w:r>
      <w:r w:rsidRPr="005743AE">
        <w:t xml:space="preserve"> (Lomas, 2021, p</w:t>
      </w:r>
      <w:r w:rsidR="00080F18">
        <w:t>.</w:t>
      </w:r>
      <w:r w:rsidRPr="005743AE">
        <w:t xml:space="preserve"> 60). He discusses the shift from focusing solely on societal harmony to </w:t>
      </w:r>
      <w:r>
        <w:t>emphasising</w:t>
      </w:r>
      <w:r w:rsidRPr="005743AE">
        <w:t xml:space="preserve"> the importance of harmony between society and the natural world. </w:t>
      </w:r>
      <w:r>
        <w:rPr>
          <w:lang w:val="en-GB"/>
        </w:rPr>
        <w:t>Lomas</w:t>
      </w:r>
      <w:r w:rsidRPr="005743AE">
        <w:t xml:space="preserve"> notes </w:t>
      </w:r>
      <w:r w:rsidRPr="005743AE">
        <w:lastRenderedPageBreak/>
        <w:t xml:space="preserve">cultural differences in the valuation of this harmony, with less </w:t>
      </w:r>
      <w:r>
        <w:t>industrialised</w:t>
      </w:r>
      <w:r w:rsidRPr="005743AE">
        <w:t xml:space="preserve"> and indigenous cultures often </w:t>
      </w:r>
      <w:r>
        <w:t>prioritising</w:t>
      </w:r>
      <w:r w:rsidRPr="005743AE">
        <w:t xml:space="preserve"> a balanced relationship between human needs and the natural environment. In contrast, more </w:t>
      </w:r>
      <w:r>
        <w:t>industrialised</w:t>
      </w:r>
      <w:r w:rsidRPr="005743AE">
        <w:t xml:space="preserve"> societies, particularly in the West, tend to view nature primarily as a resource to be exploited. However, with increasing awareness of the climate crisis, environmental concerns have gained prominence globally, leading to a recognition that societal progress must be balanced with the Earth's capacity to sustain it</w:t>
      </w:r>
      <w:r w:rsidR="00D569B3">
        <w:t>. That aspect was also outlined by Abbass (Abbass, 2022).</w:t>
      </w:r>
    </w:p>
    <w:p w14:paraId="43F0D7E0" w14:textId="2A91ACAF" w:rsidR="00C60F09" w:rsidRDefault="00C60F09" w:rsidP="00C60F09">
      <w:pPr>
        <w:spacing w:line="360" w:lineRule="auto"/>
        <w:jc w:val="both"/>
      </w:pPr>
      <w:r>
        <w:t>The conclusion of Lomas</w:t>
      </w:r>
      <w:r w:rsidR="00CA0650">
        <w:t xml:space="preserve"> </w:t>
      </w:r>
      <w:r>
        <w:t xml:space="preserve">is convincing in its argument that balance and harmony (B/H) are fundamental to wellbeing and should be considered as a central aspect of psychological research and practice. It effectively </w:t>
      </w:r>
      <w:r w:rsidR="00803B5F">
        <w:t>synthesises</w:t>
      </w:r>
      <w:r>
        <w:t xml:space="preserve"> various perspectives from </w:t>
      </w:r>
      <w:r w:rsidR="00803B5F">
        <w:t xml:space="preserve">the </w:t>
      </w:r>
      <w:r>
        <w:t xml:space="preserve">psychological literature, highlighting the underappreciation of B/H in Western psychology, potentially due to cultural biases. By </w:t>
      </w:r>
      <w:r w:rsidR="00803B5F">
        <w:t>categorising</w:t>
      </w:r>
      <w:r>
        <w:t xml:space="preserve"> B/H into affective, cognitive, </w:t>
      </w:r>
      <w:r w:rsidR="00803B5F">
        <w:t>behavioural</w:t>
      </w:r>
      <w:r>
        <w:t>, and self-other dimensions, the conclusion demonstrates the pervasive influence of B/H across different aspects of human experience.</w:t>
      </w:r>
    </w:p>
    <w:p w14:paraId="0BCACE9B" w14:textId="7E7CE87F" w:rsidR="00C60F09" w:rsidRDefault="00C60F09" w:rsidP="00C60F09">
      <w:pPr>
        <w:spacing w:line="360" w:lineRule="auto"/>
        <w:jc w:val="both"/>
      </w:pPr>
      <w:r>
        <w:t xml:space="preserve">The conclusion also </w:t>
      </w:r>
      <w:r w:rsidR="009C7BBB">
        <w:t>strongly advocates</w:t>
      </w:r>
      <w:r>
        <w:t xml:space="preserve"> the centrality of B/H to wellbeing by arguing that almost all aspects of wellbeing can be understood and evaluated through the lens of balance and harmony. The inclusion of examples and references to existing research further strengthens this argument.</w:t>
      </w:r>
      <w:r w:rsidR="00844FAA">
        <w:t xml:space="preserve"> </w:t>
      </w:r>
      <w:r>
        <w:t xml:space="preserve">Moreover, the conclusion extends beyond theoretical considerations to discuss practical implications, such as the inclusion of B/H-related items in global surveys of </w:t>
      </w:r>
      <w:r w:rsidR="00076BD0">
        <w:t>well-being</w:t>
      </w:r>
      <w:r>
        <w:t>. This application-oriented approach enhances the relevance and significance of the paper's findings.</w:t>
      </w:r>
    </w:p>
    <w:p w14:paraId="265FB9FC" w14:textId="20AFCEDD" w:rsidR="001A7D89" w:rsidRDefault="00C60F09" w:rsidP="00C60F09">
      <w:pPr>
        <w:spacing w:line="360" w:lineRule="auto"/>
        <w:jc w:val="both"/>
      </w:pPr>
      <w:r>
        <w:t xml:space="preserve">Overall, the conclusion effectively </w:t>
      </w:r>
      <w:r w:rsidR="00943B29">
        <w:t>summarises</w:t>
      </w:r>
      <w:r>
        <w:t xml:space="preserve"> the paper's main arguments, underscores the importance of B/H to </w:t>
      </w:r>
      <w:r w:rsidR="00076BD0">
        <w:t>well-being</w:t>
      </w:r>
      <w:r>
        <w:t>, and highlights avenues for future research, making a valuable contribution to the discourse on this topic</w:t>
      </w:r>
      <w:r w:rsidR="00B9764D">
        <w:t>.</w:t>
      </w:r>
    </w:p>
    <w:p w14:paraId="7645EB75" w14:textId="2185F723" w:rsidR="00FB0B49" w:rsidRDefault="00FB0B49" w:rsidP="00FB0B49">
      <w:pPr>
        <w:spacing w:line="360" w:lineRule="auto"/>
        <w:jc w:val="both"/>
      </w:pPr>
      <w:r w:rsidRPr="00FB0B49">
        <w:t xml:space="preserve">The paper </w:t>
      </w:r>
      <w:r w:rsidR="00803B5F">
        <w:t>is</w:t>
      </w:r>
      <w:r w:rsidRPr="00FB0B49">
        <w:t xml:space="preserve"> well-structured, presenting a clear argument for the importance of B/H in wellbeing. The author </w:t>
      </w:r>
      <w:r w:rsidR="00E514B9">
        <w:t>discusses</w:t>
      </w:r>
      <w:r w:rsidRPr="00FB0B49">
        <w:t xml:space="preserve"> various concepts related to B/H, such as work-life balance, happiness, and cross-cultural perspectives, and draw</w:t>
      </w:r>
      <w:r w:rsidR="00803B5F">
        <w:t>s</w:t>
      </w:r>
      <w:r w:rsidRPr="00FB0B49">
        <w:t xml:space="preserve"> connections between them. </w:t>
      </w:r>
      <w:r w:rsidR="00803B5F">
        <w:t>He</w:t>
      </w:r>
      <w:r w:rsidRPr="00FB0B49">
        <w:t xml:space="preserve"> also address</w:t>
      </w:r>
      <w:r w:rsidR="00803B5F">
        <w:t>es</w:t>
      </w:r>
      <w:r w:rsidRPr="00FB0B49">
        <w:t xml:space="preserve"> the Western-centric nature of psychology and the potential influence of this bias on the underappreciation of B/H.</w:t>
      </w:r>
    </w:p>
    <w:p w14:paraId="30895E38" w14:textId="7B77BF7B" w:rsidR="00FB0B49" w:rsidRDefault="00FB0B49" w:rsidP="00FB0B49">
      <w:pPr>
        <w:spacing w:line="360" w:lineRule="auto"/>
        <w:jc w:val="both"/>
      </w:pPr>
      <w:r w:rsidRPr="00FB0B49">
        <w:t>The paper take</w:t>
      </w:r>
      <w:r w:rsidR="00803B5F">
        <w:t>s</w:t>
      </w:r>
      <w:r w:rsidRPr="00FB0B49">
        <w:t xml:space="preserve"> a holistic and cross-cultural approach to understanding </w:t>
      </w:r>
      <w:r w:rsidR="00076BD0">
        <w:t>well-being</w:t>
      </w:r>
      <w:r w:rsidRPr="00FB0B49">
        <w:t>, drawing on philosophical traditions from both Eastern and Western cultures. The author use</w:t>
      </w:r>
      <w:r w:rsidR="00803B5F">
        <w:t>s</w:t>
      </w:r>
      <w:r w:rsidRPr="00FB0B49">
        <w:t xml:space="preserve"> a wide range </w:t>
      </w:r>
      <w:r w:rsidRPr="00FB0B49">
        <w:lastRenderedPageBreak/>
        <w:t xml:space="preserve">of sources, including academic articles, books, and reports. </w:t>
      </w:r>
      <w:r w:rsidR="00803B5F">
        <w:t>He</w:t>
      </w:r>
      <w:r w:rsidRPr="00FB0B49">
        <w:t xml:space="preserve"> also incorporate</w:t>
      </w:r>
      <w:r w:rsidR="00803B5F">
        <w:t>s</w:t>
      </w:r>
      <w:r w:rsidRPr="00FB0B49">
        <w:t xml:space="preserve"> findings from various disciplines, such as psychology, sociology, and </w:t>
      </w:r>
      <w:r w:rsidR="00076BD0">
        <w:t xml:space="preserve">also </w:t>
      </w:r>
      <w:r w:rsidRPr="00FB0B49">
        <w:t>philosophy</w:t>
      </w:r>
      <w:r w:rsidR="00AA02B1">
        <w:t xml:space="preserve"> (e.g. </w:t>
      </w:r>
      <w:r w:rsidR="00BA7BC7">
        <w:t>Taoism</w:t>
      </w:r>
      <w:r w:rsidR="00AA02B1">
        <w:t>)</w:t>
      </w:r>
      <w:r w:rsidRPr="00FB0B49">
        <w:t>.</w:t>
      </w:r>
    </w:p>
    <w:p w14:paraId="4C6C4430" w14:textId="46EF6227" w:rsidR="00FB0B49" w:rsidRDefault="00FB0B49" w:rsidP="00FB0B49">
      <w:pPr>
        <w:spacing w:line="360" w:lineRule="auto"/>
        <w:jc w:val="both"/>
      </w:pPr>
      <w:r w:rsidRPr="00FB0B49">
        <w:t>The arguments and evidence presented in the paper are well-referenced, with appropriate citations provided for all sources. The author use</w:t>
      </w:r>
      <w:r w:rsidR="00803B5F">
        <w:t>s</w:t>
      </w:r>
      <w:r w:rsidRPr="00FB0B49">
        <w:t xml:space="preserve"> a combination of empirical research</w:t>
      </w:r>
      <w:r w:rsidR="004160DD">
        <w:t xml:space="preserve"> (e.g. </w:t>
      </w:r>
      <w:r w:rsidR="00A11B1A">
        <w:t>‘</w:t>
      </w:r>
      <w:r w:rsidR="004160DD">
        <w:t>a meta-analysis of 485 studies by Faragher et al. 2005</w:t>
      </w:r>
      <w:r w:rsidR="00A11B1A">
        <w:t>’</w:t>
      </w:r>
      <w:r w:rsidR="004160DD">
        <w:t>)</w:t>
      </w:r>
      <w:r w:rsidRPr="00FB0B49">
        <w:t>, theoretical discussions</w:t>
      </w:r>
      <w:r w:rsidR="00882FA9">
        <w:t xml:space="preserve"> </w:t>
      </w:r>
      <w:r w:rsidR="00882FA9" w:rsidRPr="00882FA9">
        <w:t>based on philosophical and psychological framework</w:t>
      </w:r>
      <w:r w:rsidRPr="00FB0B49">
        <w:t xml:space="preserve">, and case studies to support </w:t>
      </w:r>
      <w:r w:rsidR="00E514B9">
        <w:t>its</w:t>
      </w:r>
      <w:r w:rsidRPr="00FB0B49">
        <w:t xml:space="preserve"> claims.</w:t>
      </w:r>
    </w:p>
    <w:p w14:paraId="43A748CD" w14:textId="642AFAC8" w:rsidR="00FB0B49" w:rsidRDefault="00FB0B49" w:rsidP="00FB0B49">
      <w:pPr>
        <w:spacing w:line="360" w:lineRule="auto"/>
        <w:jc w:val="both"/>
      </w:pPr>
      <w:r>
        <w:t>The paper conclude</w:t>
      </w:r>
      <w:r w:rsidR="00803B5F">
        <w:t>s</w:t>
      </w:r>
      <w:r>
        <w:t xml:space="preserve"> that B/H </w:t>
      </w:r>
      <w:r w:rsidR="00803B5F">
        <w:t>is an essential principle of well-being and deserves</w:t>
      </w:r>
      <w:r>
        <w:t xml:space="preserve"> a more central place in the field. </w:t>
      </w:r>
      <w:r w:rsidR="00803B5F">
        <w:t>He</w:t>
      </w:r>
      <w:r>
        <w:t xml:space="preserve"> offer</w:t>
      </w:r>
      <w:r w:rsidR="00803B5F">
        <w:t>s</w:t>
      </w:r>
      <w:r>
        <w:t xml:space="preserve"> an overarching definition of </w:t>
      </w:r>
      <w:r w:rsidR="00882FA9">
        <w:t>well-being</w:t>
      </w:r>
      <w:r>
        <w:t xml:space="preserve"> as the dynamic attainment of optimal balance and harmony in any and ideally all aspects of life. The conclusions are supported by the evidence presented throughout the papers.</w:t>
      </w:r>
    </w:p>
    <w:p w14:paraId="51F650BE" w14:textId="5A86D2C5" w:rsidR="009C7BBB" w:rsidRDefault="009C7BBB" w:rsidP="009C7BBB">
      <w:pPr>
        <w:spacing w:line="360" w:lineRule="auto"/>
        <w:jc w:val="both"/>
      </w:pPr>
      <w:r w:rsidRPr="00D07212">
        <w:t xml:space="preserve">The </w:t>
      </w:r>
      <w:r w:rsidR="00882FA9">
        <w:t>paper's greatest strength is its comprehensive approach to understanding well-being</w:t>
      </w:r>
      <w:r w:rsidRPr="00D07212">
        <w:t>, which provides a nuanced and holistic perspective on the importance of B/H. A potential weakness is the reliance on a limited number of sources, which may limit the depth and breadth of the analysis</w:t>
      </w:r>
      <w:r>
        <w:t xml:space="preserve"> provided</w:t>
      </w:r>
      <w:r w:rsidRPr="00D07212">
        <w:t>.</w:t>
      </w:r>
      <w:r>
        <w:t xml:space="preserve"> Another weakness the author stated about his four categories </w:t>
      </w:r>
      <w:r w:rsidR="00A11B1A">
        <w:t>‘</w:t>
      </w:r>
      <w:r>
        <w:t>it was not possible to cover each concept in depth</w:t>
      </w:r>
      <w:r w:rsidR="00A11B1A">
        <w:t>’</w:t>
      </w:r>
      <w:r w:rsidR="00E42C7E">
        <w:t xml:space="preserve"> </w:t>
      </w:r>
      <w:r w:rsidR="00882FA9">
        <w:t>(p. 53)</w:t>
      </w:r>
      <w:r>
        <w:t>, inviting further research to be done.</w:t>
      </w:r>
    </w:p>
    <w:p w14:paraId="5D4D2470" w14:textId="77777777" w:rsidR="00E5513C" w:rsidRPr="00606C57" w:rsidRDefault="00E5513C" w:rsidP="00E5513C">
      <w:pPr>
        <w:pStyle w:val="Heading1"/>
        <w:spacing w:line="360" w:lineRule="auto"/>
        <w:jc w:val="both"/>
        <w:rPr>
          <w:lang w:val="en-US"/>
        </w:rPr>
      </w:pPr>
      <w:r w:rsidRPr="00606C57">
        <w:rPr>
          <w:lang w:val="en-US"/>
        </w:rPr>
        <w:t>Conclusion</w:t>
      </w:r>
    </w:p>
    <w:p w14:paraId="400A37A7" w14:textId="0EEAD38C" w:rsidR="00E5513C" w:rsidRDefault="00E5513C" w:rsidP="00E5513C">
      <w:pPr>
        <w:spacing w:line="360" w:lineRule="auto"/>
        <w:jc w:val="both"/>
      </w:pPr>
      <w:r>
        <w:t xml:space="preserve">In conclusion, the comparative analysis of Jack Hunter's article on </w:t>
      </w:r>
      <w:r w:rsidR="00A11B1A">
        <w:t>‘</w:t>
      </w:r>
      <w:r>
        <w:t>Harmony and Ecology</w:t>
      </w:r>
      <w:r w:rsidR="00A11B1A">
        <w:t>’</w:t>
      </w:r>
      <w:r>
        <w:t xml:space="preserve"> and Tim Lomas' paper on </w:t>
      </w:r>
      <w:r w:rsidR="00A11B1A">
        <w:t>‘</w:t>
      </w:r>
      <w:r>
        <w:t>Life balance and harmony: Wellbeing's golden thread</w:t>
      </w:r>
      <w:r w:rsidR="00A11B1A">
        <w:t>’</w:t>
      </w:r>
      <w:r>
        <w:t xml:space="preserve"> reveals intriguing parallels and divergences in their approaches to understanding harmony in different contexts.</w:t>
      </w:r>
    </w:p>
    <w:p w14:paraId="726F8B1C" w14:textId="06CD1CA7" w:rsidR="00E5513C" w:rsidRDefault="00E5513C" w:rsidP="00E5513C">
      <w:pPr>
        <w:spacing w:line="360" w:lineRule="auto"/>
        <w:jc w:val="both"/>
      </w:pPr>
      <w:r>
        <w:t xml:space="preserve">Hunter's work delves deeply into the philosophical and ecological dimensions of harmony, </w:t>
      </w:r>
      <w:r w:rsidR="000635EF">
        <w:t>emphasising</w:t>
      </w:r>
      <w:r>
        <w:t xml:space="preserve"> its interconnectedness with nature and the urgent need for humanity to realign its relationship with the natural world. He underscores the complexity of harmony, advocating for a holistic perspective that transcends conventional Western viewpoints. Hunter's interdisciplinary approach, drawing from anthropology, religious studies, and ecology, enriches his exploration of harmony, making a compelling case for a paradigm shift in how we </w:t>
      </w:r>
      <w:r w:rsidR="000635EF">
        <w:t>conceptualise</w:t>
      </w:r>
      <w:r>
        <w:t xml:space="preserve"> and engage with the environment.</w:t>
      </w:r>
    </w:p>
    <w:p w14:paraId="655E489A" w14:textId="03BBB931" w:rsidR="00E5513C" w:rsidRDefault="00E5513C" w:rsidP="00E5513C">
      <w:pPr>
        <w:spacing w:line="360" w:lineRule="auto"/>
        <w:jc w:val="both"/>
      </w:pPr>
      <w:r>
        <w:t xml:space="preserve">On the other hand, Lomas' paper focuses on the underappreciation of balance and harmony in the realm of psychology and </w:t>
      </w:r>
      <w:r w:rsidR="000635EF">
        <w:t>well-being</w:t>
      </w:r>
      <w:r>
        <w:t xml:space="preserve">. He argues that </w:t>
      </w:r>
      <w:r w:rsidR="000635EF">
        <w:t>these concepts have been marginalised within Western academic discourse despite their fundamental importance</w:t>
      </w:r>
      <w:r>
        <w:t xml:space="preserve">, pointing to cultural biases and a lack of integration across disciplines. Lomas highlights the intrinsic connection </w:t>
      </w:r>
      <w:r>
        <w:lastRenderedPageBreak/>
        <w:t xml:space="preserve">between balance and harmony and overall </w:t>
      </w:r>
      <w:r w:rsidR="000635EF">
        <w:t>well-being</w:t>
      </w:r>
      <w:r>
        <w:t>, advocating for their recognition as core principles in psychological research and practice.</w:t>
      </w:r>
    </w:p>
    <w:p w14:paraId="3C29316B" w14:textId="7AB98ACE" w:rsidR="00E5513C" w:rsidRDefault="00E5513C" w:rsidP="00E5513C">
      <w:pPr>
        <w:spacing w:line="360" w:lineRule="auto"/>
        <w:jc w:val="both"/>
      </w:pPr>
      <w:r>
        <w:t xml:space="preserve">While Hunter's work centers on the broader philosophical implications of harmony, </w:t>
      </w:r>
      <w:r w:rsidR="00AF4AA3">
        <w:t>emphasising</w:t>
      </w:r>
      <w:r>
        <w:t xml:space="preserve"> its relevance to ecological sustainability and collective consciousness, Lomas' paper zooms in on the individual and societal dimensions of balance and harmony, particularly within the context of psychological well</w:t>
      </w:r>
      <w:r w:rsidR="00AF4AA3">
        <w:t>-</w:t>
      </w:r>
      <w:r>
        <w:t>being. Both authors, however, converge on the importance of adopting a more holistic and interconnected approach to understanding harmony, whether in the context of ecological systems or human flourishing.</w:t>
      </w:r>
    </w:p>
    <w:p w14:paraId="706C452B" w14:textId="26490945" w:rsidR="00E5513C" w:rsidRDefault="00E5513C" w:rsidP="00E5513C">
      <w:pPr>
        <w:spacing w:line="360" w:lineRule="auto"/>
        <w:jc w:val="both"/>
      </w:pPr>
      <w:r>
        <w:t xml:space="preserve">Despite their differences in focus and scope, both Hunter and Lomas contribute to a deeper understanding of harmony as a multifaceted concept that transcends disciplinary boundaries. Their works underscore the need for a more nuanced and integrated approach to addressing the pressing challenges facing humanity, from environmental degradation to mental health crises. By </w:t>
      </w:r>
      <w:r w:rsidR="00AF4AA3">
        <w:t>recognising</w:t>
      </w:r>
      <w:r>
        <w:t xml:space="preserve"> the interconnectedness of all living beings and the inherent value of balance and harmony, we may begin to cultivate a more sustainable and harmonious relationship with ourselves, each other, and the natural world.</w:t>
      </w:r>
    </w:p>
    <w:p w14:paraId="15557A76" w14:textId="54B41A25" w:rsidR="00E5513C" w:rsidRDefault="00E5513C" w:rsidP="00E5513C">
      <w:pPr>
        <w:spacing w:line="360" w:lineRule="auto"/>
        <w:jc w:val="both"/>
      </w:pPr>
      <w:r>
        <w:t xml:space="preserve">In conclusion, the comparative analysis of Hunter and Lomas' </w:t>
      </w:r>
      <w:r w:rsidR="00E42C7E">
        <w:t>papers</w:t>
      </w:r>
      <w:r>
        <w:t xml:space="preserve"> illuminates the intricate interplay between harmony, ecology, and </w:t>
      </w:r>
      <w:r w:rsidR="009200F3">
        <w:t>well-being</w:t>
      </w:r>
      <w:r>
        <w:t xml:space="preserve">, offering valuable insights and perspectives for further exploration and action. As </w:t>
      </w:r>
      <w:r w:rsidR="00A87E4A">
        <w:t>people</w:t>
      </w:r>
      <w:r>
        <w:t xml:space="preserve"> navigate an increasingly complex and interconnected world, </w:t>
      </w:r>
      <w:r w:rsidR="00A87E4A">
        <w:t>Hunter and Lomas's</w:t>
      </w:r>
      <w:r>
        <w:t xml:space="preserve"> contributions remind us of the importance of cultivating balance and harmony in all aspects of our lives for the flourishing of individuals, societies, and the planet as a whole.</w:t>
      </w:r>
    </w:p>
    <w:p w14:paraId="78FDF4FD" w14:textId="77777777" w:rsidR="005743AE" w:rsidRDefault="005743AE" w:rsidP="0068305C"/>
    <w:p w14:paraId="13A3E269" w14:textId="77777777" w:rsidR="005743AE" w:rsidRDefault="005743AE" w:rsidP="0068305C"/>
    <w:p w14:paraId="336856B8" w14:textId="77777777" w:rsidR="005743AE" w:rsidRDefault="005743AE" w:rsidP="0068305C"/>
    <w:p w14:paraId="08646072" w14:textId="77777777" w:rsidR="005743AE" w:rsidRDefault="005743AE" w:rsidP="0068305C"/>
    <w:p w14:paraId="34684D18" w14:textId="77777777" w:rsidR="005743AE" w:rsidRDefault="005743AE" w:rsidP="0068305C"/>
    <w:p w14:paraId="78275CC0" w14:textId="77777777" w:rsidR="005743AE" w:rsidRDefault="005743AE" w:rsidP="0068305C"/>
    <w:p w14:paraId="36890E26" w14:textId="77777777" w:rsidR="005743AE" w:rsidRDefault="005743AE" w:rsidP="0068305C"/>
    <w:p w14:paraId="2495A731" w14:textId="77777777" w:rsidR="005743AE" w:rsidRDefault="005743AE" w:rsidP="0068305C"/>
    <w:p w14:paraId="3E6FBE0E" w14:textId="77777777" w:rsidR="005743AE" w:rsidRDefault="005743AE" w:rsidP="0068305C"/>
    <w:p w14:paraId="6C61A6BA" w14:textId="77777777" w:rsidR="005743AE" w:rsidRDefault="005743AE" w:rsidP="0068305C"/>
    <w:p w14:paraId="12BBC919" w14:textId="77777777" w:rsidR="005743AE" w:rsidRDefault="005743AE" w:rsidP="0068305C"/>
    <w:p w14:paraId="32E2E358" w14:textId="77777777" w:rsidR="005743AE" w:rsidRDefault="005743AE" w:rsidP="0068305C"/>
    <w:p w14:paraId="21B2ADE5" w14:textId="77777777" w:rsidR="005743AE" w:rsidRDefault="005743AE" w:rsidP="0068305C"/>
    <w:p w14:paraId="6876B38C" w14:textId="77777777" w:rsidR="005743AE" w:rsidRDefault="005743AE" w:rsidP="0068305C"/>
    <w:p w14:paraId="35DAB34C" w14:textId="77777777" w:rsidR="005743AE" w:rsidRDefault="005743AE" w:rsidP="0068305C"/>
    <w:p w14:paraId="39EC9171" w14:textId="77777777" w:rsidR="005E029D" w:rsidRDefault="005E029D" w:rsidP="00F91DAB">
      <w:pPr>
        <w:rPr>
          <w:lang w:val="en-US"/>
        </w:rPr>
      </w:pPr>
    </w:p>
    <w:p w14:paraId="2EE09B81" w14:textId="77777777" w:rsidR="005E029D" w:rsidRDefault="005E029D" w:rsidP="00F91DAB">
      <w:pPr>
        <w:rPr>
          <w:lang w:val="en-US"/>
        </w:rPr>
      </w:pPr>
    </w:p>
    <w:p w14:paraId="191F5A8F" w14:textId="3970A9D8" w:rsidR="001653A1" w:rsidRPr="00A0417C" w:rsidRDefault="00D91C45" w:rsidP="00A0417C">
      <w:pPr>
        <w:rPr>
          <w:b/>
          <w:bCs/>
          <w:lang w:val="en-US"/>
        </w:rPr>
      </w:pPr>
      <w:r w:rsidRPr="00F91DAB">
        <w:rPr>
          <w:b/>
          <w:bCs/>
          <w:lang w:val="en-US"/>
        </w:rPr>
        <w:t>REFERENCES</w:t>
      </w:r>
    </w:p>
    <w:p w14:paraId="515058F8" w14:textId="684984A6" w:rsidR="001653A1" w:rsidRDefault="001653A1" w:rsidP="00471648">
      <w:pPr>
        <w:jc w:val="both"/>
      </w:pPr>
    </w:p>
    <w:p w14:paraId="2E00544E" w14:textId="3431F41A" w:rsidR="00D569B3" w:rsidRDefault="00D569B3" w:rsidP="00471648">
      <w:pPr>
        <w:jc w:val="both"/>
      </w:pPr>
      <w:r>
        <w:t xml:space="preserve">Abbass, K. (2022). </w:t>
      </w:r>
      <w:r w:rsidR="00374411">
        <w:t xml:space="preserve">Abbass Kashif. </w:t>
      </w:r>
      <w:r w:rsidRPr="00D569B3">
        <w:t>A review of the global climate change impacts, adaptation, and sustainable mitigation measures</w:t>
      </w:r>
      <w:r>
        <w:t xml:space="preserve">. 04.04.2022.  </w:t>
      </w:r>
      <w:r w:rsidRPr="00D569B3">
        <w:t>Environmental Science and Pollution Research (2022) 29:42539–42559</w:t>
      </w:r>
      <w:r>
        <w:t xml:space="preserve">. </w:t>
      </w:r>
    </w:p>
    <w:p w14:paraId="4D361B48" w14:textId="77777777" w:rsidR="00D569B3" w:rsidRDefault="00D569B3" w:rsidP="00471648">
      <w:pPr>
        <w:jc w:val="both"/>
      </w:pPr>
    </w:p>
    <w:p w14:paraId="3CA6C50A" w14:textId="7B882FFA" w:rsidR="0049658B" w:rsidRDefault="00030EE7" w:rsidP="00030EE7">
      <w:r>
        <w:t xml:space="preserve">Aleftrust (2023). Dr. Jack Hunter Biography. Available at: </w:t>
      </w:r>
      <w:hyperlink r:id="rId9" w:history="1">
        <w:r w:rsidRPr="00083965">
          <w:rPr>
            <w:rStyle w:val="Hyperlink"/>
          </w:rPr>
          <w:t>https://www.aleftrust.org/about/team/dr-jack-hunter/</w:t>
        </w:r>
      </w:hyperlink>
      <w:r>
        <w:t xml:space="preserve"> </w:t>
      </w:r>
      <w:r>
        <w:rPr>
          <w:lang w:val="en-US"/>
        </w:rPr>
        <w:t xml:space="preserve">[Accessed </w:t>
      </w:r>
      <w:r>
        <w:rPr>
          <w:lang w:val="en-US"/>
        </w:rPr>
        <w:t>08</w:t>
      </w:r>
      <w:r>
        <w:rPr>
          <w:lang w:val="en-US"/>
        </w:rPr>
        <w:t>.03.24].</w:t>
      </w:r>
    </w:p>
    <w:p w14:paraId="6253C06F" w14:textId="77777777" w:rsidR="00030EE7" w:rsidRDefault="00030EE7" w:rsidP="001653A1">
      <w:pPr>
        <w:jc w:val="both"/>
      </w:pPr>
    </w:p>
    <w:p w14:paraId="2F4B6295" w14:textId="1163318E" w:rsidR="0078330A" w:rsidRDefault="0049658B" w:rsidP="00D0774B">
      <w:r>
        <w:t xml:space="preserve">Cadman, D. (2020). </w:t>
      </w:r>
      <w:r w:rsidR="00AA6317">
        <w:t xml:space="preserve">David Cadman. </w:t>
      </w:r>
      <w:r>
        <w:t xml:space="preserve">The Economy of Love. Available at: </w:t>
      </w:r>
      <w:hyperlink r:id="rId10" w:history="1">
        <w:r w:rsidRPr="00083965">
          <w:rPr>
            <w:rStyle w:val="Hyperlink"/>
          </w:rPr>
          <w:t>https://davidcadmanatwork.com/2020/05/18/an-economy-of-love/</w:t>
        </w:r>
      </w:hyperlink>
      <w:r>
        <w:t xml:space="preserve"> </w:t>
      </w:r>
      <w:r>
        <w:rPr>
          <w:lang w:val="en-US"/>
        </w:rPr>
        <w:t xml:space="preserve">[Accessed </w:t>
      </w:r>
      <w:r>
        <w:rPr>
          <w:lang w:val="en-US"/>
        </w:rPr>
        <w:t>10</w:t>
      </w:r>
      <w:r>
        <w:rPr>
          <w:lang w:val="en-US"/>
        </w:rPr>
        <w:t>.03.24].</w:t>
      </w:r>
    </w:p>
    <w:p w14:paraId="71F412B0" w14:textId="77777777" w:rsidR="00983DA6" w:rsidRDefault="00983DA6" w:rsidP="001653A1">
      <w:pPr>
        <w:jc w:val="both"/>
      </w:pPr>
    </w:p>
    <w:p w14:paraId="6DFC2FAD" w14:textId="42334745" w:rsidR="00983DA6" w:rsidRDefault="00983DA6" w:rsidP="001653A1">
      <w:pPr>
        <w:jc w:val="both"/>
      </w:pPr>
      <w:r>
        <w:t>Dimou, F. M., Eckelbarger, D., &amp; Riall, T. S. (2016). Surgeon burnout: A systematic review. Journal of the</w:t>
      </w:r>
      <w:r>
        <w:t xml:space="preserve"> </w:t>
      </w:r>
      <w:r>
        <w:t xml:space="preserve">American College of Surgeons, 222, </w:t>
      </w:r>
      <w:r>
        <w:t>pp</w:t>
      </w:r>
      <w:r w:rsidR="003645E3">
        <w:t>.</w:t>
      </w:r>
      <w:r>
        <w:t xml:space="preserve"> </w:t>
      </w:r>
      <w:r>
        <w:t>1230–1239.</w:t>
      </w:r>
    </w:p>
    <w:p w14:paraId="1B92379D" w14:textId="77777777" w:rsidR="00991168" w:rsidRDefault="00991168" w:rsidP="001653A1">
      <w:pPr>
        <w:jc w:val="both"/>
      </w:pPr>
    </w:p>
    <w:p w14:paraId="7C221F2B" w14:textId="79F80EA2" w:rsidR="00991168" w:rsidRDefault="00991168" w:rsidP="00991168">
      <w:pPr>
        <w:jc w:val="both"/>
      </w:pPr>
      <w:r>
        <w:t>Faragher, E. B., Cass, M., &amp; Cooper, C. L. (2005). The relationship between job satisfaction and health: A</w:t>
      </w:r>
      <w:r>
        <w:t xml:space="preserve"> </w:t>
      </w:r>
      <w:r>
        <w:t xml:space="preserve">meta-analysis. Occupational and Environmental Medicine, 62(2), </w:t>
      </w:r>
      <w:r>
        <w:t xml:space="preserve">pp. </w:t>
      </w:r>
      <w:r>
        <w:t>105–112.</w:t>
      </w:r>
    </w:p>
    <w:p w14:paraId="573205A1" w14:textId="77777777" w:rsidR="00983DA6" w:rsidRDefault="00983DA6" w:rsidP="001653A1">
      <w:pPr>
        <w:jc w:val="both"/>
      </w:pPr>
    </w:p>
    <w:p w14:paraId="0A9A5935" w14:textId="7EBDECCA" w:rsidR="00A0417C" w:rsidRDefault="00A0417C" w:rsidP="001653A1">
      <w:pPr>
        <w:jc w:val="both"/>
      </w:pPr>
      <w:r>
        <w:t xml:space="preserve">Heidorn, M. (2023). </w:t>
      </w:r>
      <w:r w:rsidRPr="00A0417C">
        <w:t>Habecks Heizdiktat ist ein Wahlkampfgeschenk für die AfD</w:t>
      </w:r>
      <w:r>
        <w:t xml:space="preserve">. 24.03.2023. Available at: </w:t>
      </w:r>
      <w:hyperlink r:id="rId11" w:history="1">
        <w:r w:rsidRPr="00083965">
          <w:rPr>
            <w:rStyle w:val="Hyperlink"/>
          </w:rPr>
          <w:t>https://www.cicero.de/innenpolitik/kritik-am-bundeswirtschaftsminister-habecks-heizdiktat-afd</w:t>
        </w:r>
      </w:hyperlink>
      <w:r>
        <w:t xml:space="preserve"> </w:t>
      </w:r>
      <w:r>
        <w:rPr>
          <w:lang w:val="en-US"/>
        </w:rPr>
        <w:t xml:space="preserve">[Accessed </w:t>
      </w:r>
      <w:r>
        <w:rPr>
          <w:lang w:val="en-US"/>
        </w:rPr>
        <w:t>23</w:t>
      </w:r>
      <w:r>
        <w:rPr>
          <w:lang w:val="en-US"/>
        </w:rPr>
        <w:t>.0</w:t>
      </w:r>
      <w:r>
        <w:rPr>
          <w:lang w:val="en-US"/>
        </w:rPr>
        <w:t>2</w:t>
      </w:r>
      <w:r>
        <w:rPr>
          <w:lang w:val="en-US"/>
        </w:rPr>
        <w:t>.24].</w:t>
      </w:r>
    </w:p>
    <w:p w14:paraId="305287B1" w14:textId="77777777" w:rsidR="00A0417C" w:rsidRDefault="00A0417C" w:rsidP="001653A1">
      <w:pPr>
        <w:jc w:val="both"/>
      </w:pPr>
    </w:p>
    <w:p w14:paraId="399B9458" w14:textId="076498DD" w:rsidR="001653A1" w:rsidRDefault="001653A1" w:rsidP="001653A1">
      <w:pPr>
        <w:jc w:val="both"/>
      </w:pPr>
      <w:r>
        <w:t xml:space="preserve">Hunter, J. (2019). </w:t>
      </w:r>
      <w:r w:rsidR="00A11B1A">
        <w:t xml:space="preserve">Jack, Hunter. </w:t>
      </w:r>
      <w:r w:rsidRPr="001653A1">
        <w:t>Greening the Paranormal: Exploring the Ecology of Extraordinary Experience</w:t>
      </w:r>
      <w:r>
        <w:t xml:space="preserve">. </w:t>
      </w:r>
      <w:r w:rsidRPr="001653A1">
        <w:t>August Night Press (7 Aug. 2019)</w:t>
      </w:r>
      <w:r>
        <w:t xml:space="preserve">. </w:t>
      </w:r>
    </w:p>
    <w:p w14:paraId="2E9DDBD8" w14:textId="77777777" w:rsidR="003645E3" w:rsidRDefault="003645E3" w:rsidP="001653A1">
      <w:pPr>
        <w:jc w:val="both"/>
      </w:pPr>
    </w:p>
    <w:p w14:paraId="35CFE8EA" w14:textId="705D543B" w:rsidR="003645E3" w:rsidRDefault="003645E3" w:rsidP="003645E3">
      <w:pPr>
        <w:jc w:val="both"/>
      </w:pPr>
      <w:r>
        <w:t>Hunter, J. (2020).</w:t>
      </w:r>
      <w:r w:rsidR="00A11B1A">
        <w:t xml:space="preserve"> </w:t>
      </w:r>
      <w:r>
        <w:t>Jack</w:t>
      </w:r>
      <w:r w:rsidR="00A11B1A">
        <w:t>, Hunter</w:t>
      </w:r>
      <w:r>
        <w:t>. ‘Harmony and Ecology’, in The Harmony Debates: Exploring a practical philosophy for a</w:t>
      </w:r>
      <w:r>
        <w:t xml:space="preserve"> </w:t>
      </w:r>
      <w:r>
        <w:t>sustainable future, edited by Nicholas Campion, (Lampeter: Sophia Centre Press, 2020), pp. 209–20.</w:t>
      </w:r>
    </w:p>
    <w:p w14:paraId="3AB306F4" w14:textId="77777777" w:rsidR="008C521C" w:rsidRDefault="008C521C" w:rsidP="001653A1">
      <w:pPr>
        <w:jc w:val="both"/>
      </w:pPr>
    </w:p>
    <w:p w14:paraId="7CDD958A" w14:textId="77777777" w:rsidR="003645E3" w:rsidRDefault="008C521C" w:rsidP="003645E3">
      <w:pPr>
        <w:jc w:val="both"/>
      </w:pPr>
      <w:r>
        <w:t xml:space="preserve">Lomas, T. (2021). </w:t>
      </w:r>
      <w:r w:rsidR="003645E3">
        <w:t>Lomas, Tim, ‘Life balance and harmony: Wellbeing’s golden thread’. International Journal of Wellbeing 11, no. 1 (2021): pp. 18–36.</w:t>
      </w:r>
    </w:p>
    <w:p w14:paraId="6E77CAEC" w14:textId="77777777" w:rsidR="00C63B14" w:rsidRDefault="00C63B14" w:rsidP="00471648">
      <w:pPr>
        <w:jc w:val="both"/>
      </w:pPr>
    </w:p>
    <w:p w14:paraId="420C2DE8" w14:textId="77777777" w:rsidR="0049658B" w:rsidRDefault="0049658B" w:rsidP="0049658B">
      <w:pPr>
        <w:jc w:val="both"/>
      </w:pPr>
      <w:r>
        <w:t>Miller, K. (2020). The triple bottom line. Harvard Business School.  Dec. 2020. Available at:</w:t>
      </w:r>
    </w:p>
    <w:p w14:paraId="6849FA1E" w14:textId="77777777" w:rsidR="0049658B" w:rsidRDefault="0049658B" w:rsidP="0049658B">
      <w:pPr>
        <w:jc w:val="both"/>
      </w:pPr>
      <w:hyperlink r:id="rId12" w:history="1">
        <w:r w:rsidRPr="00083965">
          <w:rPr>
            <w:rStyle w:val="Hyperlink"/>
          </w:rPr>
          <w:t>https://online.hbs.edu/blog/post/what-is-the-triple-bottom-line</w:t>
        </w:r>
      </w:hyperlink>
      <w:r>
        <w:t xml:space="preserve"> </w:t>
      </w:r>
      <w:r>
        <w:rPr>
          <w:lang w:val="en-US"/>
        </w:rPr>
        <w:t>[Accessed 01.03.24].</w:t>
      </w:r>
    </w:p>
    <w:p w14:paraId="781E6B6D" w14:textId="77777777" w:rsidR="0049658B" w:rsidRDefault="0049658B" w:rsidP="00471648">
      <w:pPr>
        <w:jc w:val="both"/>
      </w:pPr>
    </w:p>
    <w:p w14:paraId="07DD98AF" w14:textId="77AFBF06" w:rsidR="00C63B14" w:rsidRDefault="00C63B14" w:rsidP="00471648">
      <w:pPr>
        <w:jc w:val="both"/>
      </w:pPr>
      <w:r>
        <w:t xml:space="preserve">Schumacher, R. (2009). Handbook of Global User Research , Chapter 9, pp 257. ScienceDirekt. </w:t>
      </w:r>
      <w:r w:rsidRPr="00C63B14">
        <w:t>Morgan Kaufmann</w:t>
      </w:r>
      <w:r>
        <w:t xml:space="preserve"> (29 Oct. 2009).</w:t>
      </w:r>
    </w:p>
    <w:p w14:paraId="67589DB2" w14:textId="77777777" w:rsidR="009F281F" w:rsidRDefault="009F281F" w:rsidP="00471648">
      <w:pPr>
        <w:jc w:val="both"/>
      </w:pPr>
    </w:p>
    <w:p w14:paraId="0D34B300" w14:textId="593458E2" w:rsidR="009F281F" w:rsidRDefault="009F281F" w:rsidP="00471648">
      <w:pPr>
        <w:jc w:val="both"/>
      </w:pPr>
      <w:r>
        <w:t xml:space="preserve">Stanley, S. (2023). </w:t>
      </w:r>
      <w:r w:rsidRPr="009F281F">
        <w:t>Work-life balance, social support, and burnout: A quantitative study of social workers</w:t>
      </w:r>
      <w:r>
        <w:t xml:space="preserve">. Sage Journal. </w:t>
      </w:r>
      <w:r w:rsidRPr="009F281F">
        <w:t>Volume 23 Issue 6, November 2023</w:t>
      </w:r>
      <w:r>
        <w:t xml:space="preserve"> </w:t>
      </w:r>
      <w:r w:rsidRPr="009F281F">
        <w:t>pp. 1099–1117</w:t>
      </w:r>
      <w:r>
        <w:t>.</w:t>
      </w:r>
    </w:p>
    <w:p w14:paraId="2E9E369D" w14:textId="77777777" w:rsidR="00DF2EC9" w:rsidRDefault="00DF2EC9" w:rsidP="00471648">
      <w:pPr>
        <w:jc w:val="both"/>
      </w:pPr>
    </w:p>
    <w:p w14:paraId="7C26E7B6" w14:textId="3C768219" w:rsidR="006A00F3" w:rsidRDefault="006A00F3" w:rsidP="00471648">
      <w:pPr>
        <w:jc w:val="both"/>
      </w:pPr>
      <w:r>
        <w:t xml:space="preserve">ZDF (2023). </w:t>
      </w:r>
      <w:r w:rsidRPr="006A00F3">
        <w:t xml:space="preserve">Hitzige Heiz-Debatte: </w:t>
      </w:r>
      <w:r w:rsidR="00A11B1A">
        <w:t>‘</w:t>
      </w:r>
      <w:r w:rsidRPr="006A00F3">
        <w:t>Menschen haben Angst</w:t>
      </w:r>
      <w:r w:rsidR="00A11B1A">
        <w:t>’</w:t>
      </w:r>
      <w:r>
        <w:t>. Zweites Deutsches Fernsehen. 12.05.2023. Available at:</w:t>
      </w:r>
    </w:p>
    <w:p w14:paraId="4C2EF42C" w14:textId="3190FA22" w:rsidR="0050266A" w:rsidRDefault="006A00F3" w:rsidP="00471648">
      <w:pPr>
        <w:jc w:val="both"/>
        <w:rPr>
          <w:lang w:val="en-US"/>
        </w:rPr>
      </w:pPr>
      <w:hyperlink r:id="rId13" w:history="1">
        <w:r w:rsidRPr="00083965">
          <w:rPr>
            <w:rStyle w:val="Hyperlink"/>
          </w:rPr>
          <w:t>https://www.zdf.de/nachrichten/politik/energie-habeck-heizung-gesetz-kritik-bundesrat-100.html</w:t>
        </w:r>
      </w:hyperlink>
      <w:r>
        <w:t xml:space="preserve"> </w:t>
      </w:r>
      <w:r>
        <w:rPr>
          <w:lang w:val="en-US"/>
        </w:rPr>
        <w:t>[Accessed 15.</w:t>
      </w:r>
      <w:r>
        <w:rPr>
          <w:lang w:val="en-US"/>
        </w:rPr>
        <w:t>01</w:t>
      </w:r>
      <w:r>
        <w:rPr>
          <w:lang w:val="en-US"/>
        </w:rPr>
        <w:t>.2</w:t>
      </w:r>
      <w:r>
        <w:rPr>
          <w:lang w:val="en-US"/>
        </w:rPr>
        <w:t>4</w:t>
      </w:r>
      <w:r>
        <w:rPr>
          <w:lang w:val="en-US"/>
        </w:rPr>
        <w:t>].</w:t>
      </w:r>
    </w:p>
    <w:sectPr w:rsidR="0050266A" w:rsidSect="00BB77E7">
      <w:footerReference w:type="even" r:id="rId14"/>
      <w:footerReference w:type="default" r:id="rId15"/>
      <w:pgSz w:w="11906" w:h="16838"/>
      <w:pgMar w:top="1440" w:right="1110" w:bottom="1422"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332F7" w14:textId="77777777" w:rsidR="00BB77E7" w:rsidRDefault="00BB77E7" w:rsidP="006A3B76">
      <w:r>
        <w:separator/>
      </w:r>
    </w:p>
  </w:endnote>
  <w:endnote w:type="continuationSeparator" w:id="0">
    <w:p w14:paraId="64272E14" w14:textId="77777777" w:rsidR="00BB77E7" w:rsidRDefault="00BB77E7" w:rsidP="006A3B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3656381"/>
      <w:docPartObj>
        <w:docPartGallery w:val="Page Numbers (Bottom of Page)"/>
        <w:docPartUnique/>
      </w:docPartObj>
    </w:sdtPr>
    <w:sdtContent>
      <w:p w14:paraId="05ABE9B8" w14:textId="2A510CA0" w:rsidR="006A3B76" w:rsidRDefault="006A3B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31DB04" w14:textId="77777777" w:rsidR="006A3B76" w:rsidRDefault="006A3B76" w:rsidP="006A3B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3916772"/>
      <w:docPartObj>
        <w:docPartGallery w:val="Page Numbers (Bottom of Page)"/>
        <w:docPartUnique/>
      </w:docPartObj>
    </w:sdtPr>
    <w:sdtContent>
      <w:p w14:paraId="6AB02F41" w14:textId="28050615" w:rsidR="006A3B76" w:rsidRDefault="006A3B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31B47">
          <w:rPr>
            <w:rStyle w:val="PageNumber"/>
            <w:noProof/>
          </w:rPr>
          <w:t>18</w:t>
        </w:r>
        <w:r>
          <w:rPr>
            <w:rStyle w:val="PageNumber"/>
          </w:rPr>
          <w:fldChar w:fldCharType="end"/>
        </w:r>
      </w:p>
    </w:sdtContent>
  </w:sdt>
  <w:p w14:paraId="0A61F2E7" w14:textId="77777777" w:rsidR="006A3B76" w:rsidRDefault="006A3B76" w:rsidP="006A3B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F7B8B" w14:textId="77777777" w:rsidR="00BB77E7" w:rsidRDefault="00BB77E7" w:rsidP="006A3B76">
      <w:r>
        <w:separator/>
      </w:r>
    </w:p>
  </w:footnote>
  <w:footnote w:type="continuationSeparator" w:id="0">
    <w:p w14:paraId="3635B0B9" w14:textId="77777777" w:rsidR="00BB77E7" w:rsidRDefault="00BB77E7" w:rsidP="006A3B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6A2512"/>
    <w:multiLevelType w:val="hybridMultilevel"/>
    <w:tmpl w:val="25CA1D80"/>
    <w:lvl w:ilvl="0" w:tplc="6180F7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4321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423E"/>
    <w:rsid w:val="000278F3"/>
    <w:rsid w:val="00030EE7"/>
    <w:rsid w:val="00032234"/>
    <w:rsid w:val="00033767"/>
    <w:rsid w:val="00036473"/>
    <w:rsid w:val="0003787B"/>
    <w:rsid w:val="00051FE2"/>
    <w:rsid w:val="00060E3C"/>
    <w:rsid w:val="000635EF"/>
    <w:rsid w:val="00076BD0"/>
    <w:rsid w:val="00076BDE"/>
    <w:rsid w:val="00080F18"/>
    <w:rsid w:val="00091D1C"/>
    <w:rsid w:val="000920C5"/>
    <w:rsid w:val="000B4783"/>
    <w:rsid w:val="000C226C"/>
    <w:rsid w:val="000C6724"/>
    <w:rsid w:val="000D3F9B"/>
    <w:rsid w:val="000E326B"/>
    <w:rsid w:val="000F2EFC"/>
    <w:rsid w:val="000F55BD"/>
    <w:rsid w:val="001137EE"/>
    <w:rsid w:val="0011674E"/>
    <w:rsid w:val="00116EAB"/>
    <w:rsid w:val="001236A4"/>
    <w:rsid w:val="001430AB"/>
    <w:rsid w:val="00153626"/>
    <w:rsid w:val="00161BD5"/>
    <w:rsid w:val="001653A1"/>
    <w:rsid w:val="0016707B"/>
    <w:rsid w:val="001719CC"/>
    <w:rsid w:val="00172A53"/>
    <w:rsid w:val="00175FD4"/>
    <w:rsid w:val="001868A3"/>
    <w:rsid w:val="0019118B"/>
    <w:rsid w:val="00197004"/>
    <w:rsid w:val="0019790B"/>
    <w:rsid w:val="001A09A8"/>
    <w:rsid w:val="001A7D89"/>
    <w:rsid w:val="001D7346"/>
    <w:rsid w:val="00207F82"/>
    <w:rsid w:val="00217034"/>
    <w:rsid w:val="00223B68"/>
    <w:rsid w:val="0026498D"/>
    <w:rsid w:val="002711C7"/>
    <w:rsid w:val="0027177C"/>
    <w:rsid w:val="00273701"/>
    <w:rsid w:val="002962B7"/>
    <w:rsid w:val="002A580B"/>
    <w:rsid w:val="002A6636"/>
    <w:rsid w:val="002B4161"/>
    <w:rsid w:val="002B61C6"/>
    <w:rsid w:val="002F0580"/>
    <w:rsid w:val="002F2954"/>
    <w:rsid w:val="002F2A9A"/>
    <w:rsid w:val="00304222"/>
    <w:rsid w:val="003074B4"/>
    <w:rsid w:val="00307821"/>
    <w:rsid w:val="0032301D"/>
    <w:rsid w:val="003473D7"/>
    <w:rsid w:val="003473FB"/>
    <w:rsid w:val="00361402"/>
    <w:rsid w:val="00361741"/>
    <w:rsid w:val="003645E3"/>
    <w:rsid w:val="003704BB"/>
    <w:rsid w:val="00374411"/>
    <w:rsid w:val="00376390"/>
    <w:rsid w:val="00377BF1"/>
    <w:rsid w:val="003800DA"/>
    <w:rsid w:val="0039120D"/>
    <w:rsid w:val="003959E9"/>
    <w:rsid w:val="003A1940"/>
    <w:rsid w:val="003A329D"/>
    <w:rsid w:val="003B3CAB"/>
    <w:rsid w:val="003C75D7"/>
    <w:rsid w:val="003D167A"/>
    <w:rsid w:val="003D6B88"/>
    <w:rsid w:val="003E2395"/>
    <w:rsid w:val="003E737C"/>
    <w:rsid w:val="003F0231"/>
    <w:rsid w:val="003F50F5"/>
    <w:rsid w:val="00402C8F"/>
    <w:rsid w:val="00402FA6"/>
    <w:rsid w:val="004160DD"/>
    <w:rsid w:val="00421E43"/>
    <w:rsid w:val="00450A8C"/>
    <w:rsid w:val="00452C62"/>
    <w:rsid w:val="004537F8"/>
    <w:rsid w:val="004634AE"/>
    <w:rsid w:val="00465CA8"/>
    <w:rsid w:val="00471648"/>
    <w:rsid w:val="0047307E"/>
    <w:rsid w:val="00477D7B"/>
    <w:rsid w:val="004874DC"/>
    <w:rsid w:val="00487914"/>
    <w:rsid w:val="004962B7"/>
    <w:rsid w:val="0049658B"/>
    <w:rsid w:val="004B7C31"/>
    <w:rsid w:val="004C013E"/>
    <w:rsid w:val="004C3B09"/>
    <w:rsid w:val="004F0723"/>
    <w:rsid w:val="0050266A"/>
    <w:rsid w:val="005107F4"/>
    <w:rsid w:val="0051423E"/>
    <w:rsid w:val="0051670F"/>
    <w:rsid w:val="0051764F"/>
    <w:rsid w:val="005212EE"/>
    <w:rsid w:val="00542411"/>
    <w:rsid w:val="00547F18"/>
    <w:rsid w:val="0055449A"/>
    <w:rsid w:val="0055546F"/>
    <w:rsid w:val="00556551"/>
    <w:rsid w:val="00564512"/>
    <w:rsid w:val="005656D3"/>
    <w:rsid w:val="00566F32"/>
    <w:rsid w:val="005743AE"/>
    <w:rsid w:val="00580EFB"/>
    <w:rsid w:val="005839E7"/>
    <w:rsid w:val="005A0DCC"/>
    <w:rsid w:val="005A6422"/>
    <w:rsid w:val="005B05ED"/>
    <w:rsid w:val="005B4C77"/>
    <w:rsid w:val="005B579F"/>
    <w:rsid w:val="005C59D2"/>
    <w:rsid w:val="005E029D"/>
    <w:rsid w:val="005E153F"/>
    <w:rsid w:val="005E4556"/>
    <w:rsid w:val="005E63CC"/>
    <w:rsid w:val="00600B2A"/>
    <w:rsid w:val="00606C57"/>
    <w:rsid w:val="00610917"/>
    <w:rsid w:val="00614526"/>
    <w:rsid w:val="00620752"/>
    <w:rsid w:val="00625663"/>
    <w:rsid w:val="00632E5B"/>
    <w:rsid w:val="0064163E"/>
    <w:rsid w:val="00651EB3"/>
    <w:rsid w:val="0065210C"/>
    <w:rsid w:val="00661688"/>
    <w:rsid w:val="00672491"/>
    <w:rsid w:val="00677E0E"/>
    <w:rsid w:val="0068305C"/>
    <w:rsid w:val="00686492"/>
    <w:rsid w:val="00690C7D"/>
    <w:rsid w:val="00697BE3"/>
    <w:rsid w:val="006A00F3"/>
    <w:rsid w:val="006A3B76"/>
    <w:rsid w:val="006A41AB"/>
    <w:rsid w:val="006B34FB"/>
    <w:rsid w:val="006C0225"/>
    <w:rsid w:val="006D2026"/>
    <w:rsid w:val="006E0153"/>
    <w:rsid w:val="006F17A5"/>
    <w:rsid w:val="006F340E"/>
    <w:rsid w:val="00707190"/>
    <w:rsid w:val="00713BA5"/>
    <w:rsid w:val="007375CC"/>
    <w:rsid w:val="00742943"/>
    <w:rsid w:val="00750F3C"/>
    <w:rsid w:val="00752DC3"/>
    <w:rsid w:val="00753C12"/>
    <w:rsid w:val="00757046"/>
    <w:rsid w:val="007579E7"/>
    <w:rsid w:val="00762A6A"/>
    <w:rsid w:val="00767840"/>
    <w:rsid w:val="00770D99"/>
    <w:rsid w:val="007714E0"/>
    <w:rsid w:val="00776A20"/>
    <w:rsid w:val="0078330A"/>
    <w:rsid w:val="00790563"/>
    <w:rsid w:val="007B1DDB"/>
    <w:rsid w:val="007D50EE"/>
    <w:rsid w:val="007E14D8"/>
    <w:rsid w:val="007F5CD5"/>
    <w:rsid w:val="00803B5F"/>
    <w:rsid w:val="008175B8"/>
    <w:rsid w:val="00832EB8"/>
    <w:rsid w:val="00835A86"/>
    <w:rsid w:val="00842E7A"/>
    <w:rsid w:val="00844FAA"/>
    <w:rsid w:val="00845D96"/>
    <w:rsid w:val="008503D6"/>
    <w:rsid w:val="00850CD0"/>
    <w:rsid w:val="00854077"/>
    <w:rsid w:val="00861483"/>
    <w:rsid w:val="008628D1"/>
    <w:rsid w:val="00882FA9"/>
    <w:rsid w:val="0088601D"/>
    <w:rsid w:val="00886408"/>
    <w:rsid w:val="00892412"/>
    <w:rsid w:val="00897E3A"/>
    <w:rsid w:val="008A59C8"/>
    <w:rsid w:val="008A6046"/>
    <w:rsid w:val="008B11CD"/>
    <w:rsid w:val="008B2593"/>
    <w:rsid w:val="008C4036"/>
    <w:rsid w:val="008C521C"/>
    <w:rsid w:val="008E107D"/>
    <w:rsid w:val="008F6373"/>
    <w:rsid w:val="008F6F30"/>
    <w:rsid w:val="00903257"/>
    <w:rsid w:val="0091187C"/>
    <w:rsid w:val="009123DB"/>
    <w:rsid w:val="009125E6"/>
    <w:rsid w:val="009200F3"/>
    <w:rsid w:val="00927FBB"/>
    <w:rsid w:val="00943B29"/>
    <w:rsid w:val="00945DD8"/>
    <w:rsid w:val="0095564E"/>
    <w:rsid w:val="00957DE3"/>
    <w:rsid w:val="009604D0"/>
    <w:rsid w:val="00964AEE"/>
    <w:rsid w:val="00973EC4"/>
    <w:rsid w:val="00983DA6"/>
    <w:rsid w:val="00991168"/>
    <w:rsid w:val="009B09D8"/>
    <w:rsid w:val="009B3825"/>
    <w:rsid w:val="009B699C"/>
    <w:rsid w:val="009C1792"/>
    <w:rsid w:val="009C2149"/>
    <w:rsid w:val="009C2426"/>
    <w:rsid w:val="009C7BBB"/>
    <w:rsid w:val="009E2EB3"/>
    <w:rsid w:val="009E32A8"/>
    <w:rsid w:val="009E3C11"/>
    <w:rsid w:val="009E69CF"/>
    <w:rsid w:val="009F281F"/>
    <w:rsid w:val="00A031CB"/>
    <w:rsid w:val="00A0417C"/>
    <w:rsid w:val="00A10D39"/>
    <w:rsid w:val="00A11002"/>
    <w:rsid w:val="00A11B1A"/>
    <w:rsid w:val="00A20FE4"/>
    <w:rsid w:val="00A30F60"/>
    <w:rsid w:val="00A44260"/>
    <w:rsid w:val="00A535EE"/>
    <w:rsid w:val="00A61762"/>
    <w:rsid w:val="00A72EEC"/>
    <w:rsid w:val="00A84223"/>
    <w:rsid w:val="00A87E4A"/>
    <w:rsid w:val="00AA02B1"/>
    <w:rsid w:val="00AA6317"/>
    <w:rsid w:val="00AB0E9A"/>
    <w:rsid w:val="00AC4E7B"/>
    <w:rsid w:val="00AD58D4"/>
    <w:rsid w:val="00AD741F"/>
    <w:rsid w:val="00AF2C3E"/>
    <w:rsid w:val="00AF4AA3"/>
    <w:rsid w:val="00B000B1"/>
    <w:rsid w:val="00B06E57"/>
    <w:rsid w:val="00B13D4D"/>
    <w:rsid w:val="00B161CA"/>
    <w:rsid w:val="00B21605"/>
    <w:rsid w:val="00B412C4"/>
    <w:rsid w:val="00B52CA7"/>
    <w:rsid w:val="00B52CE2"/>
    <w:rsid w:val="00B61A3E"/>
    <w:rsid w:val="00B71A4E"/>
    <w:rsid w:val="00B77F98"/>
    <w:rsid w:val="00B82B62"/>
    <w:rsid w:val="00B82C4F"/>
    <w:rsid w:val="00B83647"/>
    <w:rsid w:val="00B8509D"/>
    <w:rsid w:val="00B85973"/>
    <w:rsid w:val="00B85B85"/>
    <w:rsid w:val="00B87A7A"/>
    <w:rsid w:val="00B9764D"/>
    <w:rsid w:val="00BA4315"/>
    <w:rsid w:val="00BA7BC7"/>
    <w:rsid w:val="00BB2081"/>
    <w:rsid w:val="00BB77E7"/>
    <w:rsid w:val="00BC4035"/>
    <w:rsid w:val="00BC7A62"/>
    <w:rsid w:val="00BD37A0"/>
    <w:rsid w:val="00BE2341"/>
    <w:rsid w:val="00BF0C0F"/>
    <w:rsid w:val="00BF5375"/>
    <w:rsid w:val="00C01F1F"/>
    <w:rsid w:val="00C0529C"/>
    <w:rsid w:val="00C07A74"/>
    <w:rsid w:val="00C07ED5"/>
    <w:rsid w:val="00C25F5F"/>
    <w:rsid w:val="00C31B47"/>
    <w:rsid w:val="00C50F8C"/>
    <w:rsid w:val="00C54300"/>
    <w:rsid w:val="00C60F09"/>
    <w:rsid w:val="00C63B14"/>
    <w:rsid w:val="00C6519E"/>
    <w:rsid w:val="00C724C2"/>
    <w:rsid w:val="00C73D28"/>
    <w:rsid w:val="00C76FED"/>
    <w:rsid w:val="00C84A15"/>
    <w:rsid w:val="00C86940"/>
    <w:rsid w:val="00C91592"/>
    <w:rsid w:val="00C93C72"/>
    <w:rsid w:val="00C94C5B"/>
    <w:rsid w:val="00C9635D"/>
    <w:rsid w:val="00C97B09"/>
    <w:rsid w:val="00CA0650"/>
    <w:rsid w:val="00CB04E5"/>
    <w:rsid w:val="00CB4759"/>
    <w:rsid w:val="00CC198A"/>
    <w:rsid w:val="00CD64B0"/>
    <w:rsid w:val="00CD7A58"/>
    <w:rsid w:val="00CE30F5"/>
    <w:rsid w:val="00CE3B81"/>
    <w:rsid w:val="00CF4163"/>
    <w:rsid w:val="00CF599D"/>
    <w:rsid w:val="00D00EB9"/>
    <w:rsid w:val="00D07212"/>
    <w:rsid w:val="00D0774B"/>
    <w:rsid w:val="00D117D7"/>
    <w:rsid w:val="00D11905"/>
    <w:rsid w:val="00D144B9"/>
    <w:rsid w:val="00D1589F"/>
    <w:rsid w:val="00D27DBA"/>
    <w:rsid w:val="00D365A0"/>
    <w:rsid w:val="00D569B3"/>
    <w:rsid w:val="00D8437B"/>
    <w:rsid w:val="00D91C45"/>
    <w:rsid w:val="00DA1C98"/>
    <w:rsid w:val="00DA29CF"/>
    <w:rsid w:val="00DA3576"/>
    <w:rsid w:val="00DA4CBB"/>
    <w:rsid w:val="00DA6C70"/>
    <w:rsid w:val="00DB6C46"/>
    <w:rsid w:val="00DC0A1E"/>
    <w:rsid w:val="00DD4D49"/>
    <w:rsid w:val="00DE0AB0"/>
    <w:rsid w:val="00DF2EC9"/>
    <w:rsid w:val="00DF7EB0"/>
    <w:rsid w:val="00E15CFE"/>
    <w:rsid w:val="00E16647"/>
    <w:rsid w:val="00E241B4"/>
    <w:rsid w:val="00E25641"/>
    <w:rsid w:val="00E42C7E"/>
    <w:rsid w:val="00E4488C"/>
    <w:rsid w:val="00E50584"/>
    <w:rsid w:val="00E514B9"/>
    <w:rsid w:val="00E53CF6"/>
    <w:rsid w:val="00E5513C"/>
    <w:rsid w:val="00E56676"/>
    <w:rsid w:val="00E64AC8"/>
    <w:rsid w:val="00E757BA"/>
    <w:rsid w:val="00E863F8"/>
    <w:rsid w:val="00E9425C"/>
    <w:rsid w:val="00EA6CAA"/>
    <w:rsid w:val="00ED2DF4"/>
    <w:rsid w:val="00ED4EE9"/>
    <w:rsid w:val="00EF16E2"/>
    <w:rsid w:val="00EF2196"/>
    <w:rsid w:val="00EF4BA0"/>
    <w:rsid w:val="00F00C2A"/>
    <w:rsid w:val="00F010BD"/>
    <w:rsid w:val="00F01D08"/>
    <w:rsid w:val="00F1785E"/>
    <w:rsid w:val="00F21587"/>
    <w:rsid w:val="00F25373"/>
    <w:rsid w:val="00F25F04"/>
    <w:rsid w:val="00F33A34"/>
    <w:rsid w:val="00F35F8C"/>
    <w:rsid w:val="00F45813"/>
    <w:rsid w:val="00F54CBD"/>
    <w:rsid w:val="00F57FA4"/>
    <w:rsid w:val="00F70268"/>
    <w:rsid w:val="00F7037D"/>
    <w:rsid w:val="00F76302"/>
    <w:rsid w:val="00F77590"/>
    <w:rsid w:val="00F848E7"/>
    <w:rsid w:val="00F86551"/>
    <w:rsid w:val="00F91DAB"/>
    <w:rsid w:val="00F966B9"/>
    <w:rsid w:val="00FB0B49"/>
    <w:rsid w:val="00FB4350"/>
    <w:rsid w:val="00FB5E51"/>
    <w:rsid w:val="00FD7A2A"/>
    <w:rsid w:val="00FE2D10"/>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48865"/>
  <w15:docId w15:val="{B0F72059-6555-C541-80F3-6748F6D10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DE"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423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7BF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1FE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23E"/>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B4759"/>
    <w:rPr>
      <w:rFonts w:eastAsiaTheme="minorEastAsia"/>
      <w:sz w:val="22"/>
      <w:szCs w:val="22"/>
      <w:lang w:val="en-US"/>
    </w:rPr>
  </w:style>
  <w:style w:type="character" w:customStyle="1" w:styleId="NoSpacingChar">
    <w:name w:val="No Spacing Char"/>
    <w:basedOn w:val="DefaultParagraphFont"/>
    <w:link w:val="NoSpacing"/>
    <w:uiPriority w:val="1"/>
    <w:rsid w:val="00CB4759"/>
    <w:rPr>
      <w:rFonts w:eastAsiaTheme="minorEastAsia"/>
      <w:sz w:val="22"/>
      <w:szCs w:val="22"/>
      <w:lang w:val="en-US"/>
    </w:rPr>
  </w:style>
  <w:style w:type="character" w:styleId="Hyperlink">
    <w:name w:val="Hyperlink"/>
    <w:basedOn w:val="DefaultParagraphFont"/>
    <w:uiPriority w:val="99"/>
    <w:unhideWhenUsed/>
    <w:rsid w:val="003C75D7"/>
    <w:rPr>
      <w:color w:val="0563C1" w:themeColor="hyperlink"/>
      <w:u w:val="single"/>
    </w:rPr>
  </w:style>
  <w:style w:type="character" w:customStyle="1" w:styleId="UnresolvedMention1">
    <w:name w:val="Unresolved Mention1"/>
    <w:basedOn w:val="DefaultParagraphFont"/>
    <w:uiPriority w:val="99"/>
    <w:semiHidden/>
    <w:unhideWhenUsed/>
    <w:rsid w:val="003C75D7"/>
    <w:rPr>
      <w:color w:val="605E5C"/>
      <w:shd w:val="clear" w:color="auto" w:fill="E1DFDD"/>
    </w:rPr>
  </w:style>
  <w:style w:type="paragraph" w:styleId="ListParagraph">
    <w:name w:val="List Paragraph"/>
    <w:basedOn w:val="Normal"/>
    <w:uiPriority w:val="34"/>
    <w:qFormat/>
    <w:rsid w:val="00750F3C"/>
    <w:pPr>
      <w:ind w:left="720"/>
      <w:contextualSpacing/>
    </w:pPr>
  </w:style>
  <w:style w:type="character" w:customStyle="1" w:styleId="Heading2Char">
    <w:name w:val="Heading 2 Char"/>
    <w:basedOn w:val="DefaultParagraphFont"/>
    <w:link w:val="Heading2"/>
    <w:uiPriority w:val="9"/>
    <w:rsid w:val="00377BF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51FE2"/>
    <w:rPr>
      <w:rFonts w:asciiTheme="majorHAnsi" w:eastAsiaTheme="majorEastAsia" w:hAnsiTheme="majorHAnsi" w:cstheme="majorBidi"/>
      <w:color w:val="1F3763" w:themeColor="accent1" w:themeShade="7F"/>
    </w:rPr>
  </w:style>
  <w:style w:type="character" w:customStyle="1" w:styleId="ff4">
    <w:name w:val="ff4"/>
    <w:basedOn w:val="DefaultParagraphFont"/>
    <w:rsid w:val="0055449A"/>
  </w:style>
  <w:style w:type="paragraph" w:styleId="Footer">
    <w:name w:val="footer"/>
    <w:basedOn w:val="Normal"/>
    <w:link w:val="FooterChar"/>
    <w:uiPriority w:val="99"/>
    <w:unhideWhenUsed/>
    <w:rsid w:val="006A3B76"/>
    <w:pPr>
      <w:tabs>
        <w:tab w:val="center" w:pos="4513"/>
        <w:tab w:val="right" w:pos="9026"/>
      </w:tabs>
    </w:pPr>
  </w:style>
  <w:style w:type="character" w:customStyle="1" w:styleId="FooterChar">
    <w:name w:val="Footer Char"/>
    <w:basedOn w:val="DefaultParagraphFont"/>
    <w:link w:val="Footer"/>
    <w:uiPriority w:val="99"/>
    <w:rsid w:val="006A3B76"/>
  </w:style>
  <w:style w:type="character" w:styleId="PageNumber">
    <w:name w:val="page number"/>
    <w:basedOn w:val="DefaultParagraphFont"/>
    <w:uiPriority w:val="99"/>
    <w:semiHidden/>
    <w:unhideWhenUsed/>
    <w:rsid w:val="006A3B76"/>
  </w:style>
  <w:style w:type="character" w:styleId="FollowedHyperlink">
    <w:name w:val="FollowedHyperlink"/>
    <w:basedOn w:val="DefaultParagraphFont"/>
    <w:uiPriority w:val="99"/>
    <w:semiHidden/>
    <w:unhideWhenUsed/>
    <w:rsid w:val="00307821"/>
    <w:rPr>
      <w:color w:val="954F72" w:themeColor="followedHyperlink"/>
      <w:u w:val="single"/>
    </w:rPr>
  </w:style>
  <w:style w:type="paragraph" w:styleId="NormalWeb">
    <w:name w:val="Normal (Web)"/>
    <w:basedOn w:val="Normal"/>
    <w:uiPriority w:val="99"/>
    <w:unhideWhenUsed/>
    <w:rsid w:val="002711C7"/>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4965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93160">
      <w:bodyDiv w:val="1"/>
      <w:marLeft w:val="0"/>
      <w:marRight w:val="0"/>
      <w:marTop w:val="0"/>
      <w:marBottom w:val="0"/>
      <w:divBdr>
        <w:top w:val="none" w:sz="0" w:space="0" w:color="auto"/>
        <w:left w:val="none" w:sz="0" w:space="0" w:color="auto"/>
        <w:bottom w:val="none" w:sz="0" w:space="0" w:color="auto"/>
        <w:right w:val="none" w:sz="0" w:space="0" w:color="auto"/>
      </w:divBdr>
    </w:div>
    <w:div w:id="195776297">
      <w:bodyDiv w:val="1"/>
      <w:marLeft w:val="0"/>
      <w:marRight w:val="0"/>
      <w:marTop w:val="0"/>
      <w:marBottom w:val="0"/>
      <w:divBdr>
        <w:top w:val="none" w:sz="0" w:space="0" w:color="auto"/>
        <w:left w:val="none" w:sz="0" w:space="0" w:color="auto"/>
        <w:bottom w:val="none" w:sz="0" w:space="0" w:color="auto"/>
        <w:right w:val="none" w:sz="0" w:space="0" w:color="auto"/>
      </w:divBdr>
    </w:div>
    <w:div w:id="1508640653">
      <w:bodyDiv w:val="1"/>
      <w:marLeft w:val="0"/>
      <w:marRight w:val="0"/>
      <w:marTop w:val="0"/>
      <w:marBottom w:val="0"/>
      <w:divBdr>
        <w:top w:val="none" w:sz="0" w:space="0" w:color="auto"/>
        <w:left w:val="none" w:sz="0" w:space="0" w:color="auto"/>
        <w:bottom w:val="none" w:sz="0" w:space="0" w:color="auto"/>
        <w:right w:val="none" w:sz="0" w:space="0" w:color="auto"/>
      </w:divBdr>
    </w:div>
    <w:div w:id="1514109090">
      <w:bodyDiv w:val="1"/>
      <w:marLeft w:val="0"/>
      <w:marRight w:val="0"/>
      <w:marTop w:val="0"/>
      <w:marBottom w:val="0"/>
      <w:divBdr>
        <w:top w:val="none" w:sz="0" w:space="0" w:color="auto"/>
        <w:left w:val="none" w:sz="0" w:space="0" w:color="auto"/>
        <w:bottom w:val="none" w:sz="0" w:space="0" w:color="auto"/>
        <w:right w:val="none" w:sz="0" w:space="0" w:color="auto"/>
      </w:divBdr>
    </w:div>
    <w:div w:id="1615791759">
      <w:bodyDiv w:val="1"/>
      <w:marLeft w:val="0"/>
      <w:marRight w:val="0"/>
      <w:marTop w:val="0"/>
      <w:marBottom w:val="0"/>
      <w:divBdr>
        <w:top w:val="none" w:sz="0" w:space="0" w:color="auto"/>
        <w:left w:val="none" w:sz="0" w:space="0" w:color="auto"/>
        <w:bottom w:val="none" w:sz="0" w:space="0" w:color="auto"/>
        <w:right w:val="none" w:sz="0" w:space="0" w:color="auto"/>
      </w:divBdr>
    </w:div>
    <w:div w:id="1708066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zdf.de/nachrichten/politik/energie-habeck-heizung-gesetz-kritik-bundesrat-100.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hbs.edu/blog/post/what-is-the-triple-bottom-lin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cero.de/innenpolitik/kritik-am-bundeswirtschaftsminister-habecks-heizdiktat-afd"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davidcadmanatwork.com/2020/05/18/an-economy-of-love/" TargetMode="External"/><Relationship Id="rId4" Type="http://schemas.openxmlformats.org/officeDocument/2006/relationships/settings" Target="settings.xml"/><Relationship Id="rId9" Type="http://schemas.openxmlformats.org/officeDocument/2006/relationships/hyperlink" Target="https://www.aleftrust.org/about/team/dr-jack-hunter/"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6B8D1F-FA5A-485D-BF44-26A84D8FE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9</Pages>
  <Words>3028</Words>
  <Characters>17261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Markus Schlotbohm (1603888)</dc:creator>
  <cp:keywords/>
  <dc:description/>
  <cp:lastModifiedBy>Markus Schlotbohm (1603888)</cp:lastModifiedBy>
  <cp:revision>32</cp:revision>
  <cp:lastPrinted>2024-03-10T22:37:00Z</cp:lastPrinted>
  <dcterms:created xsi:type="dcterms:W3CDTF">2024-03-16T21:58:00Z</dcterms:created>
  <dcterms:modified xsi:type="dcterms:W3CDTF">2024-03-17T16:40:00Z</dcterms:modified>
</cp:coreProperties>
</file>