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A3E4F" w:rsidRDefault="00FA3E4F" w:rsidP="00FA3E4F">
      <w:pPr>
        <w:jc w:val="center"/>
        <w:rPr>
          <w:b/>
          <w:sz w:val="44"/>
          <w:szCs w:val="44"/>
        </w:rPr>
      </w:pPr>
    </w:p>
    <w:p w:rsidR="00FA3E4F" w:rsidRDefault="00FA3E4F" w:rsidP="00FA3E4F">
      <w:pPr>
        <w:jc w:val="center"/>
        <w:rPr>
          <w:b/>
          <w:sz w:val="44"/>
          <w:szCs w:val="44"/>
        </w:rPr>
      </w:pPr>
      <w:r>
        <w:rPr>
          <w:b/>
          <w:sz w:val="44"/>
          <w:szCs w:val="44"/>
        </w:rPr>
        <w:t>Module Name:</w:t>
      </w:r>
    </w:p>
    <w:p w:rsidR="00762A31" w:rsidRDefault="00EC7FEC" w:rsidP="00FA3E4F">
      <w:pPr>
        <w:jc w:val="center"/>
        <w:rPr>
          <w:b/>
          <w:sz w:val="44"/>
          <w:szCs w:val="44"/>
        </w:rPr>
      </w:pPr>
      <w:r w:rsidRPr="00EA528C">
        <w:rPr>
          <w:b/>
          <w:sz w:val="44"/>
          <w:szCs w:val="44"/>
        </w:rPr>
        <w:t>Financial Management for the Hotel Industry</w:t>
      </w:r>
    </w:p>
    <w:p w:rsidR="00FA3E4F" w:rsidRDefault="00FA3E4F" w:rsidP="00FA3E4F">
      <w:pPr>
        <w:spacing w:line="259" w:lineRule="auto"/>
        <w:jc w:val="center"/>
        <w:rPr>
          <w:b/>
          <w:sz w:val="44"/>
          <w:szCs w:val="44"/>
        </w:rPr>
      </w:pPr>
    </w:p>
    <w:p w:rsidR="00762A31" w:rsidRDefault="00FA3E4F" w:rsidP="00FA3E4F">
      <w:pPr>
        <w:spacing w:line="259" w:lineRule="auto"/>
        <w:jc w:val="center"/>
        <w:rPr>
          <w:b/>
          <w:sz w:val="44"/>
          <w:szCs w:val="44"/>
        </w:rPr>
      </w:pPr>
      <w:bookmarkStart w:id="0" w:name="_GoBack"/>
      <w:bookmarkEnd w:id="0"/>
      <w:r>
        <w:rPr>
          <w:b/>
          <w:sz w:val="44"/>
          <w:szCs w:val="44"/>
        </w:rPr>
        <w:t>Student Name:</w:t>
      </w:r>
    </w:p>
    <w:p w:rsidR="00FA3E4F" w:rsidRDefault="00FA3E4F" w:rsidP="00FA3E4F">
      <w:pPr>
        <w:spacing w:line="259" w:lineRule="auto"/>
        <w:jc w:val="center"/>
        <w:rPr>
          <w:b/>
          <w:sz w:val="44"/>
          <w:szCs w:val="44"/>
        </w:rPr>
      </w:pPr>
      <w:r>
        <w:rPr>
          <w:b/>
          <w:sz w:val="44"/>
          <w:szCs w:val="44"/>
        </w:rPr>
        <w:t>Mihai-</w:t>
      </w:r>
      <w:proofErr w:type="spellStart"/>
      <w:r>
        <w:rPr>
          <w:b/>
          <w:sz w:val="44"/>
          <w:szCs w:val="44"/>
        </w:rPr>
        <w:t>Viorel</w:t>
      </w:r>
      <w:proofErr w:type="spellEnd"/>
      <w:r>
        <w:rPr>
          <w:b/>
          <w:sz w:val="44"/>
          <w:szCs w:val="44"/>
        </w:rPr>
        <w:t xml:space="preserve"> Simon</w:t>
      </w:r>
    </w:p>
    <w:p w:rsidR="00FA3E4F" w:rsidRDefault="00FA3E4F" w:rsidP="00FA3E4F">
      <w:pPr>
        <w:spacing w:line="259" w:lineRule="auto"/>
        <w:jc w:val="center"/>
        <w:rPr>
          <w:b/>
          <w:sz w:val="44"/>
          <w:szCs w:val="44"/>
        </w:rPr>
      </w:pPr>
    </w:p>
    <w:p w:rsidR="00FA3E4F" w:rsidRDefault="00FA3E4F" w:rsidP="00FA3E4F">
      <w:pPr>
        <w:spacing w:line="259" w:lineRule="auto"/>
        <w:jc w:val="center"/>
        <w:rPr>
          <w:b/>
          <w:sz w:val="44"/>
          <w:szCs w:val="44"/>
        </w:rPr>
      </w:pPr>
      <w:r>
        <w:rPr>
          <w:b/>
          <w:sz w:val="44"/>
          <w:szCs w:val="44"/>
        </w:rPr>
        <w:t>Student ID:</w:t>
      </w:r>
    </w:p>
    <w:p w:rsidR="00FA3E4F" w:rsidRDefault="00FA3E4F" w:rsidP="00FA3E4F">
      <w:pPr>
        <w:spacing w:line="259" w:lineRule="auto"/>
        <w:jc w:val="center"/>
        <w:rPr>
          <w:b/>
          <w:sz w:val="44"/>
          <w:szCs w:val="44"/>
        </w:rPr>
      </w:pPr>
      <w:r>
        <w:rPr>
          <w:b/>
          <w:sz w:val="44"/>
          <w:szCs w:val="44"/>
        </w:rPr>
        <w:t>2025172</w:t>
      </w:r>
    </w:p>
    <w:p w:rsidR="00FA3E4F" w:rsidRDefault="00FA3E4F" w:rsidP="00FA3E4F">
      <w:pPr>
        <w:spacing w:line="259" w:lineRule="auto"/>
        <w:jc w:val="center"/>
        <w:rPr>
          <w:b/>
          <w:sz w:val="44"/>
          <w:szCs w:val="44"/>
        </w:rPr>
      </w:pPr>
    </w:p>
    <w:p w:rsidR="00FA3E4F" w:rsidRDefault="00FA3E4F" w:rsidP="00FA3E4F">
      <w:pPr>
        <w:spacing w:line="259" w:lineRule="auto"/>
        <w:jc w:val="center"/>
        <w:rPr>
          <w:b/>
          <w:sz w:val="44"/>
          <w:szCs w:val="44"/>
        </w:rPr>
      </w:pPr>
      <w:r>
        <w:rPr>
          <w:b/>
          <w:sz w:val="44"/>
          <w:szCs w:val="44"/>
        </w:rPr>
        <w:t>Lecturer Name:</w:t>
      </w:r>
    </w:p>
    <w:p w:rsidR="00FA3E4F" w:rsidRDefault="00FA3E4F" w:rsidP="00FA3E4F">
      <w:pPr>
        <w:spacing w:line="259" w:lineRule="auto"/>
        <w:jc w:val="center"/>
        <w:rPr>
          <w:b/>
          <w:sz w:val="44"/>
          <w:szCs w:val="44"/>
        </w:rPr>
      </w:pPr>
      <w:r>
        <w:rPr>
          <w:b/>
          <w:sz w:val="44"/>
          <w:szCs w:val="44"/>
        </w:rPr>
        <w:t>Dale Clarke</w:t>
      </w:r>
    </w:p>
    <w:p w:rsidR="00FA3E4F" w:rsidRDefault="00FA3E4F" w:rsidP="00FA3E4F">
      <w:pPr>
        <w:spacing w:line="259" w:lineRule="auto"/>
        <w:jc w:val="center"/>
        <w:rPr>
          <w:b/>
          <w:sz w:val="44"/>
          <w:szCs w:val="44"/>
        </w:rPr>
      </w:pPr>
    </w:p>
    <w:p w:rsidR="00FA3E4F" w:rsidRDefault="00FA3E4F" w:rsidP="00FA3E4F">
      <w:pPr>
        <w:spacing w:line="259" w:lineRule="auto"/>
        <w:jc w:val="center"/>
        <w:rPr>
          <w:b/>
          <w:sz w:val="44"/>
          <w:szCs w:val="44"/>
        </w:rPr>
      </w:pPr>
      <w:r>
        <w:rPr>
          <w:b/>
          <w:sz w:val="44"/>
          <w:szCs w:val="44"/>
        </w:rPr>
        <w:t>Module Code:</w:t>
      </w:r>
    </w:p>
    <w:p w:rsidR="00FA3E4F" w:rsidRDefault="00FA3E4F" w:rsidP="00FA3E4F">
      <w:pPr>
        <w:spacing w:line="259" w:lineRule="auto"/>
        <w:jc w:val="center"/>
        <w:rPr>
          <w:b/>
          <w:sz w:val="44"/>
          <w:szCs w:val="44"/>
        </w:rPr>
      </w:pPr>
      <w:r>
        <w:rPr>
          <w:b/>
          <w:sz w:val="44"/>
          <w:szCs w:val="44"/>
        </w:rPr>
        <w:t>(BMIH5007)</w:t>
      </w:r>
    </w:p>
    <w:p w:rsidR="00FA3E4F" w:rsidRDefault="00FA3E4F" w:rsidP="00FA3E4F">
      <w:pPr>
        <w:spacing w:line="259" w:lineRule="auto"/>
        <w:jc w:val="center"/>
        <w:rPr>
          <w:b/>
          <w:sz w:val="44"/>
          <w:szCs w:val="44"/>
        </w:rPr>
      </w:pPr>
    </w:p>
    <w:p w:rsidR="00FA3E4F" w:rsidRDefault="00FA3E4F" w:rsidP="00FA3E4F">
      <w:pPr>
        <w:spacing w:line="259" w:lineRule="auto"/>
        <w:jc w:val="center"/>
        <w:rPr>
          <w:b/>
          <w:sz w:val="44"/>
          <w:szCs w:val="44"/>
        </w:rPr>
      </w:pPr>
    </w:p>
    <w:p w:rsidR="00FA3E4F" w:rsidRDefault="00FA3E4F" w:rsidP="00FA3E4F">
      <w:pPr>
        <w:spacing w:line="259" w:lineRule="auto"/>
        <w:jc w:val="center"/>
        <w:rPr>
          <w:b/>
          <w:sz w:val="44"/>
          <w:szCs w:val="44"/>
        </w:rPr>
      </w:pPr>
    </w:p>
    <w:p w:rsidR="00EA528C" w:rsidRPr="00762A31" w:rsidRDefault="00EC7FEC" w:rsidP="00762A31">
      <w:pPr>
        <w:jc w:val="center"/>
        <w:rPr>
          <w:b/>
        </w:rPr>
      </w:pPr>
      <w:r>
        <w:rPr>
          <w:b/>
        </w:rPr>
        <w:t>Executive Summary</w:t>
      </w:r>
    </w:p>
    <w:p w:rsidR="00361681" w:rsidRDefault="00EC7FEC" w:rsidP="00E31204">
      <w:r>
        <w:t>The following report has focused on the various aspects of ratio analysis and its significance for the preparation of the financial statement of the respective company Marriot International Inc. It is an American Multinational business that operates and licenses lodging resorts and hotels, timeshares and residential properties. The headquarters of the company is situated in Bethesda, Maryland. It was established by Alice Marriot and J. Willard Marriot. The importance of ratio analysis on the basis of making the decision has been illustrated in this report.</w:t>
      </w:r>
      <w:r w:rsidR="00151399">
        <w:t xml:space="preserve"> Along with this, some limitations of ratio analysis have also been elaborated in this context.</w:t>
      </w:r>
    </w:p>
    <w:p w:rsidR="00361681" w:rsidRDefault="00361681">
      <w:pPr>
        <w:spacing w:line="259" w:lineRule="auto"/>
        <w:jc w:val="left"/>
      </w:pPr>
      <w:r>
        <w:br w:type="page"/>
      </w:r>
    </w:p>
    <w:sdt>
      <w:sdtPr>
        <w:rPr>
          <w:rFonts w:ascii="Times New Roman" w:eastAsiaTheme="minorHAnsi" w:hAnsi="Times New Roman" w:cstheme="minorBidi"/>
          <w:color w:val="auto"/>
          <w:sz w:val="24"/>
          <w:szCs w:val="22"/>
        </w:rPr>
        <w:id w:val="715630151"/>
        <w:docPartObj>
          <w:docPartGallery w:val="Table of Contents"/>
          <w:docPartUnique/>
        </w:docPartObj>
      </w:sdtPr>
      <w:sdtEndPr>
        <w:rPr>
          <w:b/>
          <w:bCs/>
          <w:noProof/>
        </w:rPr>
      </w:sdtEndPr>
      <w:sdtContent>
        <w:p w:rsidR="00361681" w:rsidRDefault="00361681">
          <w:pPr>
            <w:pStyle w:val="TOCHeading"/>
          </w:pPr>
          <w:r>
            <w:t>Table of Contents</w:t>
          </w:r>
        </w:p>
        <w:p w:rsidR="00361681" w:rsidRDefault="00361681">
          <w:pPr>
            <w:pStyle w:val="TOC1"/>
            <w:tabs>
              <w:tab w:val="right" w:leader="dot" w:pos="9350"/>
            </w:tabs>
            <w:rPr>
              <w:noProof/>
            </w:rPr>
          </w:pPr>
          <w:r>
            <w:fldChar w:fldCharType="begin"/>
          </w:r>
          <w:r>
            <w:instrText xml:space="preserve"> TOC \o "1-3" \h \z \u </w:instrText>
          </w:r>
          <w:r>
            <w:fldChar w:fldCharType="separate"/>
          </w:r>
          <w:hyperlink w:anchor="_Toc120204992" w:history="1">
            <w:r w:rsidRPr="00BC2783">
              <w:rPr>
                <w:rStyle w:val="Hyperlink"/>
                <w:noProof/>
              </w:rPr>
              <w:t>Introduction</w:t>
            </w:r>
            <w:r>
              <w:rPr>
                <w:noProof/>
                <w:webHidden/>
              </w:rPr>
              <w:tab/>
            </w:r>
            <w:r>
              <w:rPr>
                <w:noProof/>
                <w:webHidden/>
              </w:rPr>
              <w:fldChar w:fldCharType="begin"/>
            </w:r>
            <w:r>
              <w:rPr>
                <w:noProof/>
                <w:webHidden/>
              </w:rPr>
              <w:instrText xml:space="preserve"> PAGEREF _Toc120204992 \h </w:instrText>
            </w:r>
            <w:r>
              <w:rPr>
                <w:noProof/>
                <w:webHidden/>
              </w:rPr>
            </w:r>
            <w:r>
              <w:rPr>
                <w:noProof/>
                <w:webHidden/>
              </w:rPr>
              <w:fldChar w:fldCharType="separate"/>
            </w:r>
            <w:r>
              <w:rPr>
                <w:noProof/>
                <w:webHidden/>
              </w:rPr>
              <w:t>4</w:t>
            </w:r>
            <w:r>
              <w:rPr>
                <w:noProof/>
                <w:webHidden/>
              </w:rPr>
              <w:fldChar w:fldCharType="end"/>
            </w:r>
          </w:hyperlink>
        </w:p>
        <w:p w:rsidR="00361681" w:rsidRDefault="00050C2A">
          <w:pPr>
            <w:pStyle w:val="TOC2"/>
            <w:tabs>
              <w:tab w:val="right" w:leader="dot" w:pos="9350"/>
            </w:tabs>
            <w:rPr>
              <w:noProof/>
            </w:rPr>
          </w:pPr>
          <w:hyperlink w:anchor="_Toc120204993" w:history="1">
            <w:r w:rsidR="00361681" w:rsidRPr="00BC2783">
              <w:rPr>
                <w:rStyle w:val="Hyperlink"/>
                <w:noProof/>
              </w:rPr>
              <w:t>Stating the various accounting ratios that highlight the business operational trends along with finding out the financial trend</w:t>
            </w:r>
            <w:r w:rsidR="00361681">
              <w:rPr>
                <w:noProof/>
                <w:webHidden/>
              </w:rPr>
              <w:tab/>
            </w:r>
            <w:r w:rsidR="00361681">
              <w:rPr>
                <w:noProof/>
                <w:webHidden/>
              </w:rPr>
              <w:fldChar w:fldCharType="begin"/>
            </w:r>
            <w:r w:rsidR="00361681">
              <w:rPr>
                <w:noProof/>
                <w:webHidden/>
              </w:rPr>
              <w:instrText xml:space="preserve"> PAGEREF _Toc120204993 \h </w:instrText>
            </w:r>
            <w:r w:rsidR="00361681">
              <w:rPr>
                <w:noProof/>
                <w:webHidden/>
              </w:rPr>
            </w:r>
            <w:r w:rsidR="00361681">
              <w:rPr>
                <w:noProof/>
                <w:webHidden/>
              </w:rPr>
              <w:fldChar w:fldCharType="separate"/>
            </w:r>
            <w:r w:rsidR="00361681">
              <w:rPr>
                <w:noProof/>
                <w:webHidden/>
              </w:rPr>
              <w:t>5</w:t>
            </w:r>
            <w:r w:rsidR="00361681">
              <w:rPr>
                <w:noProof/>
                <w:webHidden/>
              </w:rPr>
              <w:fldChar w:fldCharType="end"/>
            </w:r>
          </w:hyperlink>
        </w:p>
        <w:p w:rsidR="00361681" w:rsidRDefault="00050C2A">
          <w:pPr>
            <w:pStyle w:val="TOC2"/>
            <w:tabs>
              <w:tab w:val="right" w:leader="dot" w:pos="9350"/>
            </w:tabs>
            <w:rPr>
              <w:noProof/>
            </w:rPr>
          </w:pPr>
          <w:hyperlink w:anchor="_Toc120204994" w:history="1">
            <w:r w:rsidR="00361681" w:rsidRPr="00BC2783">
              <w:rPr>
                <w:rStyle w:val="Hyperlink"/>
                <w:noProof/>
              </w:rPr>
              <w:t>Highlighting the knowledge regarding the above ratio analysis</w:t>
            </w:r>
            <w:r w:rsidR="00361681">
              <w:rPr>
                <w:noProof/>
                <w:webHidden/>
              </w:rPr>
              <w:tab/>
            </w:r>
            <w:r w:rsidR="00361681">
              <w:rPr>
                <w:noProof/>
                <w:webHidden/>
              </w:rPr>
              <w:fldChar w:fldCharType="begin"/>
            </w:r>
            <w:r w:rsidR="00361681">
              <w:rPr>
                <w:noProof/>
                <w:webHidden/>
              </w:rPr>
              <w:instrText xml:space="preserve"> PAGEREF _Toc120204994 \h </w:instrText>
            </w:r>
            <w:r w:rsidR="00361681">
              <w:rPr>
                <w:noProof/>
                <w:webHidden/>
              </w:rPr>
            </w:r>
            <w:r w:rsidR="00361681">
              <w:rPr>
                <w:noProof/>
                <w:webHidden/>
              </w:rPr>
              <w:fldChar w:fldCharType="separate"/>
            </w:r>
            <w:r w:rsidR="00361681">
              <w:rPr>
                <w:noProof/>
                <w:webHidden/>
              </w:rPr>
              <w:t>10</w:t>
            </w:r>
            <w:r w:rsidR="00361681">
              <w:rPr>
                <w:noProof/>
                <w:webHidden/>
              </w:rPr>
              <w:fldChar w:fldCharType="end"/>
            </w:r>
          </w:hyperlink>
        </w:p>
        <w:p w:rsidR="00361681" w:rsidRDefault="00050C2A">
          <w:pPr>
            <w:pStyle w:val="TOC2"/>
            <w:tabs>
              <w:tab w:val="right" w:leader="dot" w:pos="9350"/>
            </w:tabs>
            <w:rPr>
              <w:noProof/>
            </w:rPr>
          </w:pPr>
          <w:hyperlink w:anchor="_Toc120204995" w:history="1">
            <w:r w:rsidR="00361681" w:rsidRPr="00BC2783">
              <w:rPr>
                <w:rStyle w:val="Hyperlink"/>
                <w:noProof/>
              </w:rPr>
              <w:t>Stating the ratio concept to analyse the financial statement for Hotel Management</w:t>
            </w:r>
            <w:r w:rsidR="00361681">
              <w:rPr>
                <w:noProof/>
                <w:webHidden/>
              </w:rPr>
              <w:tab/>
            </w:r>
            <w:r w:rsidR="00361681">
              <w:rPr>
                <w:noProof/>
                <w:webHidden/>
              </w:rPr>
              <w:fldChar w:fldCharType="begin"/>
            </w:r>
            <w:r w:rsidR="00361681">
              <w:rPr>
                <w:noProof/>
                <w:webHidden/>
              </w:rPr>
              <w:instrText xml:space="preserve"> PAGEREF _Toc120204995 \h </w:instrText>
            </w:r>
            <w:r w:rsidR="00361681">
              <w:rPr>
                <w:noProof/>
                <w:webHidden/>
              </w:rPr>
            </w:r>
            <w:r w:rsidR="00361681">
              <w:rPr>
                <w:noProof/>
                <w:webHidden/>
              </w:rPr>
              <w:fldChar w:fldCharType="separate"/>
            </w:r>
            <w:r w:rsidR="00361681">
              <w:rPr>
                <w:noProof/>
                <w:webHidden/>
              </w:rPr>
              <w:t>11</w:t>
            </w:r>
            <w:r w:rsidR="00361681">
              <w:rPr>
                <w:noProof/>
                <w:webHidden/>
              </w:rPr>
              <w:fldChar w:fldCharType="end"/>
            </w:r>
          </w:hyperlink>
        </w:p>
        <w:p w:rsidR="00361681" w:rsidRDefault="00050C2A">
          <w:pPr>
            <w:pStyle w:val="TOC2"/>
            <w:tabs>
              <w:tab w:val="right" w:leader="dot" w:pos="9350"/>
            </w:tabs>
            <w:rPr>
              <w:noProof/>
            </w:rPr>
          </w:pPr>
          <w:hyperlink w:anchor="_Toc120204996" w:history="1">
            <w:r w:rsidR="00361681" w:rsidRPr="00BC2783">
              <w:rPr>
                <w:rStyle w:val="Hyperlink"/>
                <w:noProof/>
              </w:rPr>
              <w:t>Significance of ratio in terms of making the decision</w:t>
            </w:r>
            <w:r w:rsidR="00361681">
              <w:rPr>
                <w:noProof/>
                <w:webHidden/>
              </w:rPr>
              <w:tab/>
            </w:r>
            <w:r w:rsidR="00361681">
              <w:rPr>
                <w:noProof/>
                <w:webHidden/>
              </w:rPr>
              <w:fldChar w:fldCharType="begin"/>
            </w:r>
            <w:r w:rsidR="00361681">
              <w:rPr>
                <w:noProof/>
                <w:webHidden/>
              </w:rPr>
              <w:instrText xml:space="preserve"> PAGEREF _Toc120204996 \h </w:instrText>
            </w:r>
            <w:r w:rsidR="00361681">
              <w:rPr>
                <w:noProof/>
                <w:webHidden/>
              </w:rPr>
            </w:r>
            <w:r w:rsidR="00361681">
              <w:rPr>
                <w:noProof/>
                <w:webHidden/>
              </w:rPr>
              <w:fldChar w:fldCharType="separate"/>
            </w:r>
            <w:r w:rsidR="00361681">
              <w:rPr>
                <w:noProof/>
                <w:webHidden/>
              </w:rPr>
              <w:t>12</w:t>
            </w:r>
            <w:r w:rsidR="00361681">
              <w:rPr>
                <w:noProof/>
                <w:webHidden/>
              </w:rPr>
              <w:fldChar w:fldCharType="end"/>
            </w:r>
          </w:hyperlink>
        </w:p>
        <w:p w:rsidR="00361681" w:rsidRDefault="00050C2A">
          <w:pPr>
            <w:pStyle w:val="TOC2"/>
            <w:tabs>
              <w:tab w:val="right" w:leader="dot" w:pos="9350"/>
            </w:tabs>
            <w:rPr>
              <w:noProof/>
            </w:rPr>
          </w:pPr>
          <w:hyperlink w:anchor="_Toc120204997" w:history="1">
            <w:r w:rsidR="00361681" w:rsidRPr="00BC2783">
              <w:rPr>
                <w:rStyle w:val="Hyperlink"/>
                <w:noProof/>
              </w:rPr>
              <w:t>Drawbacks of ratio analysis</w:t>
            </w:r>
            <w:r w:rsidR="00361681">
              <w:rPr>
                <w:noProof/>
                <w:webHidden/>
              </w:rPr>
              <w:tab/>
            </w:r>
            <w:r w:rsidR="00361681">
              <w:rPr>
                <w:noProof/>
                <w:webHidden/>
              </w:rPr>
              <w:fldChar w:fldCharType="begin"/>
            </w:r>
            <w:r w:rsidR="00361681">
              <w:rPr>
                <w:noProof/>
                <w:webHidden/>
              </w:rPr>
              <w:instrText xml:space="preserve"> PAGEREF _Toc120204997 \h </w:instrText>
            </w:r>
            <w:r w:rsidR="00361681">
              <w:rPr>
                <w:noProof/>
                <w:webHidden/>
              </w:rPr>
            </w:r>
            <w:r w:rsidR="00361681">
              <w:rPr>
                <w:noProof/>
                <w:webHidden/>
              </w:rPr>
              <w:fldChar w:fldCharType="separate"/>
            </w:r>
            <w:r w:rsidR="00361681">
              <w:rPr>
                <w:noProof/>
                <w:webHidden/>
              </w:rPr>
              <w:t>13</w:t>
            </w:r>
            <w:r w:rsidR="00361681">
              <w:rPr>
                <w:noProof/>
                <w:webHidden/>
              </w:rPr>
              <w:fldChar w:fldCharType="end"/>
            </w:r>
          </w:hyperlink>
        </w:p>
        <w:p w:rsidR="00361681" w:rsidRDefault="00050C2A">
          <w:pPr>
            <w:pStyle w:val="TOC1"/>
            <w:tabs>
              <w:tab w:val="right" w:leader="dot" w:pos="9350"/>
            </w:tabs>
            <w:rPr>
              <w:noProof/>
            </w:rPr>
          </w:pPr>
          <w:hyperlink w:anchor="_Toc120204998" w:history="1">
            <w:r w:rsidR="00361681" w:rsidRPr="00BC2783">
              <w:rPr>
                <w:rStyle w:val="Hyperlink"/>
                <w:noProof/>
              </w:rPr>
              <w:t>Conclusion</w:t>
            </w:r>
            <w:r w:rsidR="00361681">
              <w:rPr>
                <w:noProof/>
                <w:webHidden/>
              </w:rPr>
              <w:tab/>
            </w:r>
            <w:r w:rsidR="00361681">
              <w:rPr>
                <w:noProof/>
                <w:webHidden/>
              </w:rPr>
              <w:fldChar w:fldCharType="begin"/>
            </w:r>
            <w:r w:rsidR="00361681">
              <w:rPr>
                <w:noProof/>
                <w:webHidden/>
              </w:rPr>
              <w:instrText xml:space="preserve"> PAGEREF _Toc120204998 \h </w:instrText>
            </w:r>
            <w:r w:rsidR="00361681">
              <w:rPr>
                <w:noProof/>
                <w:webHidden/>
              </w:rPr>
            </w:r>
            <w:r w:rsidR="00361681">
              <w:rPr>
                <w:noProof/>
                <w:webHidden/>
              </w:rPr>
              <w:fldChar w:fldCharType="separate"/>
            </w:r>
            <w:r w:rsidR="00361681">
              <w:rPr>
                <w:noProof/>
                <w:webHidden/>
              </w:rPr>
              <w:t>14</w:t>
            </w:r>
            <w:r w:rsidR="00361681">
              <w:rPr>
                <w:noProof/>
                <w:webHidden/>
              </w:rPr>
              <w:fldChar w:fldCharType="end"/>
            </w:r>
          </w:hyperlink>
        </w:p>
        <w:p w:rsidR="00361681" w:rsidRDefault="00050C2A">
          <w:pPr>
            <w:pStyle w:val="TOC1"/>
            <w:tabs>
              <w:tab w:val="right" w:leader="dot" w:pos="9350"/>
            </w:tabs>
            <w:rPr>
              <w:noProof/>
            </w:rPr>
          </w:pPr>
          <w:hyperlink w:anchor="_Toc120204999" w:history="1">
            <w:r w:rsidR="00361681" w:rsidRPr="00BC2783">
              <w:rPr>
                <w:rStyle w:val="Hyperlink"/>
                <w:noProof/>
              </w:rPr>
              <w:t>References</w:t>
            </w:r>
            <w:r w:rsidR="00361681">
              <w:rPr>
                <w:noProof/>
                <w:webHidden/>
              </w:rPr>
              <w:tab/>
            </w:r>
            <w:r w:rsidR="00361681">
              <w:rPr>
                <w:noProof/>
                <w:webHidden/>
              </w:rPr>
              <w:fldChar w:fldCharType="begin"/>
            </w:r>
            <w:r w:rsidR="00361681">
              <w:rPr>
                <w:noProof/>
                <w:webHidden/>
              </w:rPr>
              <w:instrText xml:space="preserve"> PAGEREF _Toc120204999 \h </w:instrText>
            </w:r>
            <w:r w:rsidR="00361681">
              <w:rPr>
                <w:noProof/>
                <w:webHidden/>
              </w:rPr>
            </w:r>
            <w:r w:rsidR="00361681">
              <w:rPr>
                <w:noProof/>
                <w:webHidden/>
              </w:rPr>
              <w:fldChar w:fldCharType="separate"/>
            </w:r>
            <w:r w:rsidR="00361681">
              <w:rPr>
                <w:noProof/>
                <w:webHidden/>
              </w:rPr>
              <w:t>15</w:t>
            </w:r>
            <w:r w:rsidR="00361681">
              <w:rPr>
                <w:noProof/>
                <w:webHidden/>
              </w:rPr>
              <w:fldChar w:fldCharType="end"/>
            </w:r>
          </w:hyperlink>
        </w:p>
        <w:p w:rsidR="00361681" w:rsidRDefault="00361681">
          <w:r>
            <w:rPr>
              <w:b/>
              <w:bCs/>
              <w:noProof/>
            </w:rPr>
            <w:fldChar w:fldCharType="end"/>
          </w:r>
        </w:p>
      </w:sdtContent>
    </w:sdt>
    <w:p w:rsidR="00E31204" w:rsidRDefault="00E31204" w:rsidP="00E31204"/>
    <w:p w:rsidR="00762A31" w:rsidRDefault="00EC7FEC">
      <w:pPr>
        <w:spacing w:line="259" w:lineRule="auto"/>
        <w:jc w:val="left"/>
        <w:rPr>
          <w:rFonts w:eastAsia="Times New Roman" w:cs="Times New Roman"/>
          <w:b/>
          <w:sz w:val="28"/>
          <w:szCs w:val="24"/>
        </w:rPr>
      </w:pPr>
      <w:r>
        <w:br w:type="page"/>
      </w:r>
    </w:p>
    <w:p w:rsidR="00762A31" w:rsidRDefault="00EC7FEC" w:rsidP="00EA528C">
      <w:pPr>
        <w:pStyle w:val="Heading1"/>
      </w:pPr>
      <w:bookmarkStart w:id="1" w:name="_Toc120204992"/>
      <w:r>
        <w:lastRenderedPageBreak/>
        <w:t>Introduction</w:t>
      </w:r>
      <w:bookmarkEnd w:id="1"/>
    </w:p>
    <w:p w:rsidR="00976C8F" w:rsidRDefault="00EC7FEC" w:rsidP="00EA528C">
      <w:r>
        <w:t>The specific report will highlight the business operations of the hotel industry which will assist them to run their business smoothly. It will also include various financial information regarding Marriot International, Inc. It is a multinational company that</w:t>
      </w:r>
      <w:r w:rsidR="007D3397">
        <w:t xml:space="preserve"> operates</w:t>
      </w:r>
      <w:r>
        <w:t xml:space="preserve"> various activities such as residential places, and hotel licensing. The respective company was founded in the year 1927 and the founder of the company is Alice Marriot and J. Willard Marriot. This report will illustrate the various estimations regarding the financial ratio </w:t>
      </w:r>
      <w:r w:rsidR="00ED78B8">
        <w:t xml:space="preserve">that highlights the overall business performance </w:t>
      </w:r>
      <w:r w:rsidR="0081732F">
        <w:t>of the company in 2020 and 2021.</w:t>
      </w:r>
      <w:r w:rsidR="00523D82">
        <w:t xml:space="preserve"> It will also include the analysis the of presented estimation regarding the ratio of the respective company. In addition to that, different types of graphs will also be presented in this report to indicate the business trend for the company for a specific period of time. </w:t>
      </w:r>
      <w:r w:rsidR="007D3397">
        <w:t xml:space="preserve">The report will also discuss the drawbacks of ratio analysis and the reason behind the understanding the ratio is important for the management of the company </w:t>
      </w:r>
      <w:r>
        <w:t>will also be highlighted in this report. Moreover, the definition of the ratios and their significance for decision-making will be elucidated in this report.</w:t>
      </w:r>
    </w:p>
    <w:p w:rsidR="00976C8F" w:rsidRDefault="00EC7FEC">
      <w:pPr>
        <w:spacing w:line="259" w:lineRule="auto"/>
        <w:jc w:val="left"/>
      </w:pPr>
      <w:r>
        <w:br w:type="page"/>
      </w:r>
    </w:p>
    <w:p w:rsidR="00EA528C" w:rsidRDefault="00EC7FEC" w:rsidP="00976C8F">
      <w:pPr>
        <w:pStyle w:val="Heading2"/>
      </w:pPr>
      <w:bookmarkStart w:id="2" w:name="_Toc120204993"/>
      <w:r>
        <w:lastRenderedPageBreak/>
        <w:t>Stating the various accounting ratios that highlight the business operational trends along with finding out the financial trend</w:t>
      </w:r>
      <w:bookmarkEnd w:id="2"/>
    </w:p>
    <w:p w:rsidR="00976C8F" w:rsidRDefault="00EC7FEC" w:rsidP="00976C8F">
      <w:r>
        <w:t>According to the given financial statement of the respective company, it can be said that they earn more profit in the year 2021 compared to 2020. The overall analysis of their several financial performances has been stated below.</w:t>
      </w:r>
    </w:p>
    <w:p w:rsidR="00976C8F" w:rsidRPr="006B0D20" w:rsidRDefault="00EC7FEC" w:rsidP="00976C8F">
      <w:pPr>
        <w:rPr>
          <w:b/>
          <w:sz w:val="26"/>
          <w:szCs w:val="26"/>
        </w:rPr>
      </w:pPr>
      <w:r w:rsidRPr="006B0D20">
        <w:rPr>
          <w:b/>
          <w:sz w:val="26"/>
          <w:szCs w:val="26"/>
        </w:rPr>
        <w:t>Defining profitability ratio</w:t>
      </w:r>
    </w:p>
    <w:p w:rsidR="00976C8F" w:rsidRPr="00617F53" w:rsidRDefault="00EC7FEC" w:rsidP="00976C8F">
      <w:pPr>
        <w:rPr>
          <w:shd w:val="clear" w:color="auto" w:fill="FFFFFF"/>
        </w:rPr>
      </w:pPr>
      <w:r>
        <w:t xml:space="preserve">The profitability ratio is basically defined as one of the accounting ratios that </w:t>
      </w:r>
      <w:r w:rsidR="000B5ECE">
        <w:t>assist</w:t>
      </w:r>
      <w:r>
        <w:t xml:space="preserve"> to determine the overall economic performance after the completion of the accounting period. It indicates the way a company can able to generate profits through its operations</w:t>
      </w:r>
      <w:r w:rsidR="00617F53">
        <w:t xml:space="preserve"> </w:t>
      </w:r>
      <w:r w:rsidR="00617F53">
        <w:rPr>
          <w:shd w:val="clear" w:color="auto" w:fill="FFFFFF"/>
        </w:rPr>
        <w:t>(Nguyen, 2020)</w:t>
      </w:r>
      <w:r>
        <w:t>.</w:t>
      </w:r>
      <w:r w:rsidR="006B0D20">
        <w:t xml:space="preserve"> There are different types of profitability ratio such as operating profit, liquidity ratio, and gross profit that has been highlighted below.</w:t>
      </w:r>
    </w:p>
    <w:p w:rsidR="006B0D20" w:rsidRDefault="00EC7FEC" w:rsidP="006B0D20">
      <w:r>
        <w:rPr>
          <w:b/>
        </w:rPr>
        <w:t xml:space="preserve">a) Operating profit ratio: </w:t>
      </w:r>
      <w:r>
        <w:t>It is basically highlighting the overall income of the company that produces after the completion of sales and paying all expenses like inventory cost, payroll and equipment cost. It excludes losses or gains from interest, investments and taxes. The operating profit margin for Marriot International, Inc. has been presented below.</w:t>
      </w:r>
    </w:p>
    <w:tbl>
      <w:tblPr>
        <w:tblStyle w:val="GridTable4-Accent6"/>
        <w:tblW w:w="0" w:type="auto"/>
        <w:tblLook w:val="04A0" w:firstRow="1" w:lastRow="0" w:firstColumn="1" w:lastColumn="0" w:noHBand="0" w:noVBand="1"/>
      </w:tblPr>
      <w:tblGrid>
        <w:gridCol w:w="3116"/>
        <w:gridCol w:w="3117"/>
        <w:gridCol w:w="3117"/>
      </w:tblGrid>
      <w:tr w:rsidR="004B2265" w:rsidTr="004B226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rsidR="006B0D20" w:rsidRDefault="00EC7FEC" w:rsidP="00762A31">
            <w:r>
              <w:t xml:space="preserve">Name of the ratio </w:t>
            </w:r>
          </w:p>
        </w:tc>
        <w:tc>
          <w:tcPr>
            <w:tcW w:w="3117" w:type="dxa"/>
          </w:tcPr>
          <w:p w:rsidR="006B0D20" w:rsidRDefault="00EC7FEC" w:rsidP="00762A31">
            <w:pPr>
              <w:cnfStyle w:val="100000000000" w:firstRow="1" w:lastRow="0" w:firstColumn="0" w:lastColumn="0" w:oddVBand="0" w:evenVBand="0" w:oddHBand="0" w:evenHBand="0" w:firstRowFirstColumn="0" w:firstRowLastColumn="0" w:lastRowFirstColumn="0" w:lastRowLastColumn="0"/>
            </w:pPr>
            <w:r>
              <w:t>2020</w:t>
            </w:r>
          </w:p>
        </w:tc>
        <w:tc>
          <w:tcPr>
            <w:tcW w:w="3117" w:type="dxa"/>
          </w:tcPr>
          <w:p w:rsidR="006B0D20" w:rsidRDefault="00EC7FEC" w:rsidP="00762A31">
            <w:pPr>
              <w:cnfStyle w:val="100000000000" w:firstRow="1" w:lastRow="0" w:firstColumn="0" w:lastColumn="0" w:oddVBand="0" w:evenVBand="0" w:oddHBand="0" w:evenHBand="0" w:firstRowFirstColumn="0" w:firstRowLastColumn="0" w:lastRowFirstColumn="0" w:lastRowLastColumn="0"/>
            </w:pPr>
            <w:r>
              <w:t>2021</w:t>
            </w:r>
          </w:p>
        </w:tc>
      </w:tr>
      <w:tr w:rsidR="004B2265" w:rsidTr="004B22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rsidR="006B0D20" w:rsidRDefault="00EC7FEC" w:rsidP="00762A31">
            <w:r>
              <w:t xml:space="preserve">Operating profit ratio </w:t>
            </w:r>
          </w:p>
        </w:tc>
        <w:tc>
          <w:tcPr>
            <w:tcW w:w="3117" w:type="dxa"/>
          </w:tcPr>
          <w:p w:rsidR="006B0D20" w:rsidRDefault="00EC7FEC" w:rsidP="00762A31">
            <w:pPr>
              <w:cnfStyle w:val="000000100000" w:firstRow="0" w:lastRow="0" w:firstColumn="0" w:lastColumn="0" w:oddVBand="0" w:evenVBand="0" w:oddHBand="1" w:evenHBand="0" w:firstRowFirstColumn="0" w:firstRowLastColumn="0" w:lastRowFirstColumn="0" w:lastRowLastColumn="0"/>
            </w:pPr>
            <w:r>
              <w:t>0.79</w:t>
            </w:r>
          </w:p>
        </w:tc>
        <w:tc>
          <w:tcPr>
            <w:tcW w:w="3117" w:type="dxa"/>
          </w:tcPr>
          <w:p w:rsidR="006B0D20" w:rsidRDefault="00EC7FEC" w:rsidP="00762A31">
            <w:pPr>
              <w:cnfStyle w:val="000000100000" w:firstRow="0" w:lastRow="0" w:firstColumn="0" w:lastColumn="0" w:oddVBand="0" w:evenVBand="0" w:oddHBand="1" w:evenHBand="0" w:firstRowFirstColumn="0" w:firstRowLastColumn="0" w:lastRowFirstColumn="0" w:lastRowLastColumn="0"/>
            </w:pPr>
            <w:r>
              <w:t>12.62</w:t>
            </w:r>
          </w:p>
        </w:tc>
      </w:tr>
    </w:tbl>
    <w:p w:rsidR="006B0D20" w:rsidRDefault="006B0D20" w:rsidP="006B0D20"/>
    <w:p w:rsidR="00B43D93" w:rsidRDefault="00EC7FEC" w:rsidP="006B0D20">
      <w:pPr>
        <w:rPr>
          <w:b/>
        </w:rPr>
      </w:pPr>
      <w:r>
        <w:rPr>
          <w:b/>
        </w:rPr>
        <w:t xml:space="preserve">Highlight the graph that indicates the </w:t>
      </w:r>
      <w:r w:rsidR="00C94AA5">
        <w:rPr>
          <w:b/>
        </w:rPr>
        <w:t>result</w:t>
      </w:r>
    </w:p>
    <w:p w:rsidR="00847967" w:rsidRDefault="00EC7FEC" w:rsidP="00847967">
      <w:pPr>
        <w:jc w:val="center"/>
        <w:rPr>
          <w:b/>
        </w:rPr>
      </w:pPr>
      <w:r>
        <w:rPr>
          <w:noProof/>
          <w:lang w:val="en-GB" w:eastAsia="en-GB"/>
        </w:rPr>
        <w:lastRenderedPageBreak/>
        <w:drawing>
          <wp:inline distT="0" distB="0" distL="0" distR="0">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847967" w:rsidRDefault="00EC7FEC" w:rsidP="00847967">
      <w:pPr>
        <w:jc w:val="center"/>
        <w:rPr>
          <w:b/>
          <w:bCs/>
        </w:rPr>
      </w:pPr>
      <w:r>
        <w:rPr>
          <w:b/>
          <w:bCs/>
        </w:rPr>
        <w:t>Source: (Author)</w:t>
      </w:r>
    </w:p>
    <w:p w:rsidR="00847967" w:rsidRDefault="00EC7FEC" w:rsidP="00847967">
      <w:r>
        <w:t>The above graphical representation has been presented to indicate the operating profit ratio for the respective company for both 2020 and 2021. Focusing on the above tabular form, it can be seen that the value for the operating profit ratio for both years has founded as 12.62 and 0.79. the profit margin has increased significantly in 2021 compared to 2020</w:t>
      </w:r>
      <w:r w:rsidR="00617F53">
        <w:t xml:space="preserve"> </w:t>
      </w:r>
      <w:r w:rsidR="00617F53">
        <w:rPr>
          <w:shd w:val="clear" w:color="auto" w:fill="FFFFFF"/>
        </w:rPr>
        <w:t>(</w:t>
      </w:r>
      <w:proofErr w:type="spellStart"/>
      <w:r w:rsidR="00617F53">
        <w:rPr>
          <w:shd w:val="clear" w:color="auto" w:fill="FFFFFF"/>
        </w:rPr>
        <w:t>Nariswari</w:t>
      </w:r>
      <w:proofErr w:type="spellEnd"/>
      <w:r w:rsidR="00617F53">
        <w:rPr>
          <w:shd w:val="clear" w:color="auto" w:fill="FFFFFF"/>
        </w:rPr>
        <w:t>, 2020)</w:t>
      </w:r>
      <w:r>
        <w:t>.</w:t>
      </w:r>
    </w:p>
    <w:p w:rsidR="00217A2F" w:rsidRPr="00617F53" w:rsidRDefault="00EC7FEC" w:rsidP="00847967">
      <w:pPr>
        <w:rPr>
          <w:shd w:val="clear" w:color="auto" w:fill="FFFFFF"/>
        </w:rPr>
      </w:pPr>
      <w:r>
        <w:rPr>
          <w:b/>
        </w:rPr>
        <w:t xml:space="preserve">b) Gross profit ratio: </w:t>
      </w:r>
      <w:r>
        <w:t>It is mainly illustrated as one of the profitability ratios that indicate the way a company is generating profit after the sales of products after paying the direct costs. The formula for calculating the value of this aspect is determined as the subtraction of overall revenue and Cost of products sold and then divide by the revenue</w:t>
      </w:r>
      <w:r w:rsidR="00617F53">
        <w:t xml:space="preserve"> </w:t>
      </w:r>
      <w:r w:rsidR="00617F53">
        <w:rPr>
          <w:shd w:val="clear" w:color="auto" w:fill="FFFFFF"/>
        </w:rPr>
        <w:t>(</w:t>
      </w:r>
      <w:proofErr w:type="spellStart"/>
      <w:r w:rsidR="00617F53">
        <w:rPr>
          <w:shd w:val="clear" w:color="auto" w:fill="FFFFFF"/>
        </w:rPr>
        <w:t>Gustmainar</w:t>
      </w:r>
      <w:proofErr w:type="spellEnd"/>
      <w:r w:rsidR="00617F53">
        <w:rPr>
          <w:shd w:val="clear" w:color="auto" w:fill="FFFFFF"/>
        </w:rPr>
        <w:t xml:space="preserve"> and </w:t>
      </w:r>
      <w:proofErr w:type="spellStart"/>
      <w:r w:rsidR="00617F53">
        <w:rPr>
          <w:shd w:val="clear" w:color="auto" w:fill="FFFFFF"/>
        </w:rPr>
        <w:t>Mariani</w:t>
      </w:r>
      <w:proofErr w:type="spellEnd"/>
      <w:r w:rsidR="00617F53">
        <w:rPr>
          <w:shd w:val="clear" w:color="auto" w:fill="FFFFFF"/>
        </w:rPr>
        <w:t>, 2018)</w:t>
      </w:r>
      <w:r>
        <w:t>.</w:t>
      </w:r>
    </w:p>
    <w:tbl>
      <w:tblPr>
        <w:tblStyle w:val="GridTable4-Accent6"/>
        <w:tblW w:w="0" w:type="auto"/>
        <w:tblLook w:val="04A0" w:firstRow="1" w:lastRow="0" w:firstColumn="1" w:lastColumn="0" w:noHBand="0" w:noVBand="1"/>
      </w:tblPr>
      <w:tblGrid>
        <w:gridCol w:w="3116"/>
        <w:gridCol w:w="3117"/>
        <w:gridCol w:w="3117"/>
      </w:tblGrid>
      <w:tr w:rsidR="004B2265" w:rsidTr="004B226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rsidR="00217A2F" w:rsidRDefault="00EC7FEC" w:rsidP="00762A31">
            <w:r>
              <w:t xml:space="preserve">Name of the ratio </w:t>
            </w:r>
          </w:p>
        </w:tc>
        <w:tc>
          <w:tcPr>
            <w:tcW w:w="3117" w:type="dxa"/>
          </w:tcPr>
          <w:p w:rsidR="00217A2F" w:rsidRDefault="00EC7FEC" w:rsidP="00762A31">
            <w:pPr>
              <w:cnfStyle w:val="100000000000" w:firstRow="1" w:lastRow="0" w:firstColumn="0" w:lastColumn="0" w:oddVBand="0" w:evenVBand="0" w:oddHBand="0" w:evenHBand="0" w:firstRowFirstColumn="0" w:firstRowLastColumn="0" w:lastRowFirstColumn="0" w:lastRowLastColumn="0"/>
            </w:pPr>
            <w:r>
              <w:t>2020</w:t>
            </w:r>
          </w:p>
        </w:tc>
        <w:tc>
          <w:tcPr>
            <w:tcW w:w="3117" w:type="dxa"/>
          </w:tcPr>
          <w:p w:rsidR="00217A2F" w:rsidRDefault="00EC7FEC" w:rsidP="00762A31">
            <w:pPr>
              <w:cnfStyle w:val="100000000000" w:firstRow="1" w:lastRow="0" w:firstColumn="0" w:lastColumn="0" w:oddVBand="0" w:evenVBand="0" w:oddHBand="0" w:evenHBand="0" w:firstRowFirstColumn="0" w:firstRowLastColumn="0" w:lastRowFirstColumn="0" w:lastRowLastColumn="0"/>
            </w:pPr>
            <w:r>
              <w:t>2021</w:t>
            </w:r>
          </w:p>
        </w:tc>
      </w:tr>
      <w:tr w:rsidR="004B2265" w:rsidTr="004B22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rsidR="00217A2F" w:rsidRPr="00C06D52" w:rsidRDefault="00EC7FEC" w:rsidP="00762A31">
            <w:r w:rsidRPr="00C06D52">
              <w:t>Gross profit ratio</w:t>
            </w:r>
          </w:p>
        </w:tc>
        <w:tc>
          <w:tcPr>
            <w:tcW w:w="3117" w:type="dxa"/>
          </w:tcPr>
          <w:p w:rsidR="00217A2F" w:rsidRDefault="00EC7FEC" w:rsidP="00762A31">
            <w:pPr>
              <w:cnfStyle w:val="000000100000" w:firstRow="0" w:lastRow="0" w:firstColumn="0" w:lastColumn="0" w:oddVBand="0" w:evenVBand="0" w:oddHBand="1" w:evenHBand="0" w:firstRowFirstColumn="0" w:firstRowLastColumn="0" w:lastRowFirstColumn="0" w:lastRowLastColumn="0"/>
            </w:pPr>
            <w:r>
              <w:t>13.80</w:t>
            </w:r>
          </w:p>
        </w:tc>
        <w:tc>
          <w:tcPr>
            <w:tcW w:w="3117" w:type="dxa"/>
          </w:tcPr>
          <w:p w:rsidR="00217A2F" w:rsidRDefault="00EC7FEC" w:rsidP="00762A31">
            <w:pPr>
              <w:cnfStyle w:val="000000100000" w:firstRow="0" w:lastRow="0" w:firstColumn="0" w:lastColumn="0" w:oddVBand="0" w:evenVBand="0" w:oddHBand="1" w:evenHBand="0" w:firstRowFirstColumn="0" w:firstRowLastColumn="0" w:lastRowFirstColumn="0" w:lastRowLastColumn="0"/>
            </w:pPr>
            <w:r>
              <w:t>20.21</w:t>
            </w:r>
          </w:p>
        </w:tc>
      </w:tr>
    </w:tbl>
    <w:p w:rsidR="00217A2F" w:rsidRDefault="00217A2F" w:rsidP="00847967"/>
    <w:p w:rsidR="00217A2F" w:rsidRDefault="00EC7FEC" w:rsidP="00847967">
      <w:pPr>
        <w:rPr>
          <w:b/>
        </w:rPr>
      </w:pPr>
      <w:r>
        <w:rPr>
          <w:b/>
        </w:rPr>
        <w:t>H</w:t>
      </w:r>
      <w:r w:rsidR="00417025">
        <w:rPr>
          <w:b/>
        </w:rPr>
        <w:t>ighlighting the graphical presentation</w:t>
      </w:r>
    </w:p>
    <w:p w:rsidR="00417025" w:rsidRDefault="00EC7FEC" w:rsidP="00417025">
      <w:pPr>
        <w:jc w:val="center"/>
        <w:rPr>
          <w:b/>
        </w:rPr>
      </w:pPr>
      <w:r>
        <w:rPr>
          <w:noProof/>
          <w:lang w:val="en-GB" w:eastAsia="en-GB"/>
        </w:rPr>
        <w:lastRenderedPageBreak/>
        <w:drawing>
          <wp:inline distT="0" distB="0" distL="0" distR="0">
            <wp:extent cx="4572000" cy="27432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417025" w:rsidRDefault="00EC7FEC" w:rsidP="00417025">
      <w:pPr>
        <w:jc w:val="center"/>
        <w:rPr>
          <w:b/>
          <w:bCs/>
        </w:rPr>
      </w:pPr>
      <w:r>
        <w:rPr>
          <w:b/>
          <w:bCs/>
        </w:rPr>
        <w:t>Source: (Author)</w:t>
      </w:r>
    </w:p>
    <w:p w:rsidR="00417025" w:rsidRDefault="00EC7FEC" w:rsidP="00417025">
      <w:r>
        <w:t>The above graphical representation has been conducted to highlight the gross profit ratio of the respective company for two years. After the proper analysis of the graph, it can be said that the value for gross profit for two years has been founded as 13.8 and 20.21 respectively.</w:t>
      </w:r>
    </w:p>
    <w:p w:rsidR="000F1DD4" w:rsidRDefault="00EC7FEC" w:rsidP="00417025">
      <w:pPr>
        <w:rPr>
          <w:b/>
          <w:sz w:val="26"/>
          <w:szCs w:val="26"/>
        </w:rPr>
      </w:pPr>
      <w:r>
        <w:rPr>
          <w:b/>
          <w:sz w:val="26"/>
          <w:szCs w:val="26"/>
        </w:rPr>
        <w:t>Stating the liquidity ratio</w:t>
      </w:r>
    </w:p>
    <w:p w:rsidR="00427E50" w:rsidRDefault="00EC7FEC" w:rsidP="00417025">
      <w:pPr>
        <w:rPr>
          <w:szCs w:val="26"/>
        </w:rPr>
      </w:pPr>
      <w:r>
        <w:rPr>
          <w:szCs w:val="26"/>
        </w:rPr>
        <w:t xml:space="preserve">It is basically defined as the capability of a business to pay its short-term liabilities. It determines the way a business can convert assets and </w:t>
      </w:r>
      <w:proofErr w:type="spellStart"/>
      <w:r>
        <w:rPr>
          <w:szCs w:val="26"/>
        </w:rPr>
        <w:t>utilise</w:t>
      </w:r>
      <w:proofErr w:type="spellEnd"/>
      <w:r>
        <w:rPr>
          <w:szCs w:val="26"/>
        </w:rPr>
        <w:t xml:space="preserve"> them to fulfil its debts. Moreover, if the liquidity ratio is high then it is easy for the business to pay its remaining debts. It helps the company to run business smoothly without having to face any kind of difficulties</w:t>
      </w:r>
      <w:r w:rsidR="00F53F98">
        <w:rPr>
          <w:szCs w:val="26"/>
        </w:rPr>
        <w:t xml:space="preserve"> </w:t>
      </w:r>
      <w:sdt>
        <w:sdtPr>
          <w:rPr>
            <w:szCs w:val="26"/>
          </w:rPr>
          <w:id w:val="-94019194"/>
          <w:citation/>
        </w:sdtPr>
        <w:sdtEndPr/>
        <w:sdtContent>
          <w:r w:rsidR="00F53F98">
            <w:rPr>
              <w:szCs w:val="26"/>
            </w:rPr>
            <w:fldChar w:fldCharType="begin"/>
          </w:r>
          <w:r w:rsidR="00F53F98">
            <w:rPr>
              <w:szCs w:val="26"/>
            </w:rPr>
            <w:instrText xml:space="preserve"> CITATION CFI2244 \l 1033 </w:instrText>
          </w:r>
          <w:r w:rsidR="00F53F98">
            <w:rPr>
              <w:szCs w:val="26"/>
            </w:rPr>
            <w:fldChar w:fldCharType="separate"/>
          </w:r>
          <w:r w:rsidR="00F53F98" w:rsidRPr="00F53F98">
            <w:rPr>
              <w:noProof/>
              <w:szCs w:val="26"/>
            </w:rPr>
            <w:t>(CFI Team, 2022)</w:t>
          </w:r>
          <w:r w:rsidR="00F53F98">
            <w:rPr>
              <w:szCs w:val="26"/>
            </w:rPr>
            <w:fldChar w:fldCharType="end"/>
          </w:r>
        </w:sdtContent>
      </w:sdt>
      <w:r>
        <w:rPr>
          <w:szCs w:val="26"/>
        </w:rPr>
        <w:t>.</w:t>
      </w:r>
    </w:p>
    <w:p w:rsidR="00427E50" w:rsidRDefault="00EC7FEC" w:rsidP="00427E50">
      <w:r>
        <w:rPr>
          <w:b/>
          <w:szCs w:val="26"/>
        </w:rPr>
        <w:t xml:space="preserve">a) Current ratio: </w:t>
      </w:r>
      <w:r>
        <w:rPr>
          <w:szCs w:val="26"/>
        </w:rPr>
        <w:t xml:space="preserve">Current ratio is one of the parts of the liquidity ratio that processes the ability to pay the short-term debt within one year. It tells shareholders the way a business can increase its current assets on the balance sheet to maintain its payables and debts. The current ratio of </w:t>
      </w:r>
      <w:r>
        <w:t>Marriot International, Inc. for 2020 and 2021 has been illustrated below</w:t>
      </w:r>
      <w:r w:rsidR="00F53F98">
        <w:t xml:space="preserve"> </w:t>
      </w:r>
      <w:sdt>
        <w:sdtPr>
          <w:id w:val="-652906793"/>
          <w:citation/>
        </w:sdtPr>
        <w:sdtEndPr/>
        <w:sdtContent>
          <w:r w:rsidR="00F53F98">
            <w:fldChar w:fldCharType="begin"/>
          </w:r>
          <w:r w:rsidR="00F53F98">
            <w:instrText xml:space="preserve"> CITATION acc2222 \l 1033 </w:instrText>
          </w:r>
          <w:r w:rsidR="00F53F98">
            <w:fldChar w:fldCharType="separate"/>
          </w:r>
          <w:r w:rsidR="00F53F98" w:rsidRPr="00F53F98">
            <w:rPr>
              <w:noProof/>
            </w:rPr>
            <w:t>(accountingtools, 2022)</w:t>
          </w:r>
          <w:r w:rsidR="00F53F98">
            <w:fldChar w:fldCharType="end"/>
          </w:r>
        </w:sdtContent>
      </w:sdt>
      <w:r>
        <w:t>.</w:t>
      </w:r>
    </w:p>
    <w:tbl>
      <w:tblPr>
        <w:tblStyle w:val="GridTable4-Accent6"/>
        <w:tblW w:w="0" w:type="auto"/>
        <w:tblLook w:val="04A0" w:firstRow="1" w:lastRow="0" w:firstColumn="1" w:lastColumn="0" w:noHBand="0" w:noVBand="1"/>
      </w:tblPr>
      <w:tblGrid>
        <w:gridCol w:w="3116"/>
        <w:gridCol w:w="3117"/>
        <w:gridCol w:w="3117"/>
      </w:tblGrid>
      <w:tr w:rsidR="004B2265" w:rsidTr="004B226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rsidR="00427E50" w:rsidRDefault="00EC7FEC" w:rsidP="00762A31">
            <w:r>
              <w:lastRenderedPageBreak/>
              <w:t xml:space="preserve">Name of the ratio </w:t>
            </w:r>
          </w:p>
        </w:tc>
        <w:tc>
          <w:tcPr>
            <w:tcW w:w="3117" w:type="dxa"/>
          </w:tcPr>
          <w:p w:rsidR="00427E50" w:rsidRDefault="00EC7FEC" w:rsidP="00762A31">
            <w:pPr>
              <w:cnfStyle w:val="100000000000" w:firstRow="1" w:lastRow="0" w:firstColumn="0" w:lastColumn="0" w:oddVBand="0" w:evenVBand="0" w:oddHBand="0" w:evenHBand="0" w:firstRowFirstColumn="0" w:firstRowLastColumn="0" w:lastRowFirstColumn="0" w:lastRowLastColumn="0"/>
            </w:pPr>
            <w:r>
              <w:t>2020</w:t>
            </w:r>
          </w:p>
        </w:tc>
        <w:tc>
          <w:tcPr>
            <w:tcW w:w="3117" w:type="dxa"/>
          </w:tcPr>
          <w:p w:rsidR="00427E50" w:rsidRDefault="00EC7FEC" w:rsidP="00762A31">
            <w:pPr>
              <w:cnfStyle w:val="100000000000" w:firstRow="1" w:lastRow="0" w:firstColumn="0" w:lastColumn="0" w:oddVBand="0" w:evenVBand="0" w:oddHBand="0" w:evenHBand="0" w:firstRowFirstColumn="0" w:firstRowLastColumn="0" w:lastRowFirstColumn="0" w:lastRowLastColumn="0"/>
            </w:pPr>
            <w:r>
              <w:t>2021</w:t>
            </w:r>
          </w:p>
        </w:tc>
      </w:tr>
      <w:tr w:rsidR="004B2265" w:rsidTr="004B22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rsidR="00427E50" w:rsidRPr="00C06D52" w:rsidRDefault="00EC7FEC" w:rsidP="00762A31">
            <w:r>
              <w:t xml:space="preserve">Current </w:t>
            </w:r>
            <w:r w:rsidRPr="00C06D52">
              <w:t>ratio</w:t>
            </w:r>
          </w:p>
        </w:tc>
        <w:tc>
          <w:tcPr>
            <w:tcW w:w="3117" w:type="dxa"/>
          </w:tcPr>
          <w:p w:rsidR="00427E50" w:rsidRDefault="00EC7FEC" w:rsidP="00762A31">
            <w:pPr>
              <w:cnfStyle w:val="000000100000" w:firstRow="0" w:lastRow="0" w:firstColumn="0" w:lastColumn="0" w:oddVBand="0" w:evenVBand="0" w:oddHBand="1" w:evenHBand="0" w:firstRowFirstColumn="0" w:firstRowLastColumn="0" w:lastRowFirstColumn="0" w:lastRowLastColumn="0"/>
            </w:pPr>
            <w:r>
              <w:t>0.49</w:t>
            </w:r>
          </w:p>
        </w:tc>
        <w:tc>
          <w:tcPr>
            <w:tcW w:w="3117" w:type="dxa"/>
          </w:tcPr>
          <w:p w:rsidR="00427E50" w:rsidRDefault="00EC7FEC" w:rsidP="00762A31">
            <w:pPr>
              <w:cnfStyle w:val="000000100000" w:firstRow="0" w:lastRow="0" w:firstColumn="0" w:lastColumn="0" w:oddVBand="0" w:evenVBand="0" w:oddHBand="1" w:evenHBand="0" w:firstRowFirstColumn="0" w:firstRowLastColumn="0" w:lastRowFirstColumn="0" w:lastRowLastColumn="0"/>
            </w:pPr>
            <w:r>
              <w:t>0.56</w:t>
            </w:r>
          </w:p>
        </w:tc>
      </w:tr>
    </w:tbl>
    <w:p w:rsidR="00427E50" w:rsidRDefault="00427E50" w:rsidP="00427E50">
      <w:pPr>
        <w:rPr>
          <w:szCs w:val="26"/>
        </w:rPr>
      </w:pPr>
    </w:p>
    <w:p w:rsidR="00427E50" w:rsidRDefault="00EC7FEC" w:rsidP="00427E50">
      <w:pPr>
        <w:rPr>
          <w:b/>
          <w:szCs w:val="26"/>
        </w:rPr>
      </w:pPr>
      <w:r>
        <w:rPr>
          <w:b/>
          <w:szCs w:val="26"/>
        </w:rPr>
        <w:t>Stating the graphical representation</w:t>
      </w:r>
    </w:p>
    <w:p w:rsidR="00427E50" w:rsidRDefault="00EC7FEC" w:rsidP="00427E50">
      <w:pPr>
        <w:jc w:val="center"/>
        <w:rPr>
          <w:b/>
          <w:szCs w:val="26"/>
        </w:rPr>
      </w:pPr>
      <w:r>
        <w:rPr>
          <w:noProof/>
          <w:lang w:val="en-GB" w:eastAsia="en-GB"/>
        </w:rPr>
        <w:drawing>
          <wp:inline distT="0" distB="0" distL="0" distR="0">
            <wp:extent cx="4572000" cy="27432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427E50" w:rsidRDefault="00EC7FEC" w:rsidP="00427E50">
      <w:pPr>
        <w:jc w:val="center"/>
        <w:rPr>
          <w:b/>
          <w:bCs/>
        </w:rPr>
      </w:pPr>
      <w:r>
        <w:rPr>
          <w:b/>
          <w:bCs/>
        </w:rPr>
        <w:t>Source: (Author)</w:t>
      </w:r>
    </w:p>
    <w:p w:rsidR="00847967" w:rsidRDefault="00EC7FEC" w:rsidP="00847967">
      <w:pPr>
        <w:rPr>
          <w:szCs w:val="26"/>
        </w:rPr>
      </w:pPr>
      <w:r>
        <w:rPr>
          <w:szCs w:val="26"/>
        </w:rPr>
        <w:t>The above graph has been prepared to highlight the value of the current ratio of Marriot for 2020 and 2021. According to the above graph, it can be said that the outcome of the current ratio for the business for both years has been seen as 0.49 and 0.56</w:t>
      </w:r>
      <w:r w:rsidR="00750F7F">
        <w:rPr>
          <w:szCs w:val="26"/>
        </w:rPr>
        <w:t xml:space="preserve"> </w:t>
      </w:r>
      <w:sdt>
        <w:sdtPr>
          <w:rPr>
            <w:szCs w:val="26"/>
          </w:rPr>
          <w:id w:val="1281072435"/>
          <w:citation/>
        </w:sdtPr>
        <w:sdtEndPr/>
        <w:sdtContent>
          <w:r w:rsidR="00750F7F">
            <w:rPr>
              <w:szCs w:val="26"/>
            </w:rPr>
            <w:fldChar w:fldCharType="begin"/>
          </w:r>
          <w:r w:rsidR="00750F7F">
            <w:rPr>
              <w:szCs w:val="26"/>
            </w:rPr>
            <w:instrText xml:space="preserve"> CITATION eme221 \l 1033 </w:instrText>
          </w:r>
          <w:r w:rsidR="00750F7F">
            <w:rPr>
              <w:szCs w:val="26"/>
            </w:rPr>
            <w:fldChar w:fldCharType="separate"/>
          </w:r>
          <w:r w:rsidR="00750F7F" w:rsidRPr="00750F7F">
            <w:rPr>
              <w:noProof/>
              <w:szCs w:val="26"/>
            </w:rPr>
            <w:t>(emeritus, 2022)</w:t>
          </w:r>
          <w:r w:rsidR="00750F7F">
            <w:rPr>
              <w:szCs w:val="26"/>
            </w:rPr>
            <w:fldChar w:fldCharType="end"/>
          </w:r>
        </w:sdtContent>
      </w:sdt>
      <w:r>
        <w:rPr>
          <w:szCs w:val="26"/>
        </w:rPr>
        <w:t>.</w:t>
      </w:r>
    </w:p>
    <w:p w:rsidR="0000423A" w:rsidRPr="00617F53" w:rsidRDefault="00EC7FEC" w:rsidP="00847967">
      <w:pPr>
        <w:rPr>
          <w:shd w:val="clear" w:color="auto" w:fill="FFFFFF"/>
        </w:rPr>
      </w:pPr>
      <w:r>
        <w:rPr>
          <w:b/>
          <w:szCs w:val="26"/>
        </w:rPr>
        <w:t xml:space="preserve">b) Quick ratio: </w:t>
      </w:r>
      <w:r>
        <w:rPr>
          <w:szCs w:val="26"/>
        </w:rPr>
        <w:t>It is mainly defined as the indicator of the short-term liquidity of the company and helps to estimate the ability to pay short-term debt through liquid assets. The calculation highlights the level of efficiency of the respective company to fulfil the expenses within a particular period of time</w:t>
      </w:r>
      <w:r w:rsidR="00617F53">
        <w:rPr>
          <w:szCs w:val="26"/>
        </w:rPr>
        <w:t xml:space="preserve"> </w:t>
      </w:r>
      <w:r w:rsidR="00617F53">
        <w:rPr>
          <w:shd w:val="clear" w:color="auto" w:fill="FFFFFF"/>
        </w:rPr>
        <w:t>(</w:t>
      </w:r>
      <w:proofErr w:type="spellStart"/>
      <w:r w:rsidR="00617F53">
        <w:rPr>
          <w:shd w:val="clear" w:color="auto" w:fill="FFFFFF"/>
        </w:rPr>
        <w:t>Wijaya</w:t>
      </w:r>
      <w:proofErr w:type="spellEnd"/>
      <w:r w:rsidR="00617F53">
        <w:rPr>
          <w:shd w:val="clear" w:color="auto" w:fill="FFFFFF"/>
        </w:rPr>
        <w:t xml:space="preserve"> and </w:t>
      </w:r>
      <w:proofErr w:type="spellStart"/>
      <w:r w:rsidR="00617F53">
        <w:rPr>
          <w:shd w:val="clear" w:color="auto" w:fill="FFFFFF"/>
        </w:rPr>
        <w:t>Sedana</w:t>
      </w:r>
      <w:proofErr w:type="spellEnd"/>
      <w:r w:rsidR="00617F53">
        <w:rPr>
          <w:shd w:val="clear" w:color="auto" w:fill="FFFFFF"/>
        </w:rPr>
        <w:t>, 2020)</w:t>
      </w:r>
      <w:r>
        <w:rPr>
          <w:szCs w:val="26"/>
        </w:rPr>
        <w:t>.</w:t>
      </w:r>
    </w:p>
    <w:tbl>
      <w:tblPr>
        <w:tblStyle w:val="GridTable4-Accent6"/>
        <w:tblW w:w="0" w:type="auto"/>
        <w:tblLook w:val="04A0" w:firstRow="1" w:lastRow="0" w:firstColumn="1" w:lastColumn="0" w:noHBand="0" w:noVBand="1"/>
      </w:tblPr>
      <w:tblGrid>
        <w:gridCol w:w="3116"/>
        <w:gridCol w:w="3117"/>
        <w:gridCol w:w="3117"/>
      </w:tblGrid>
      <w:tr w:rsidR="004B2265" w:rsidTr="004B226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rsidR="0000423A" w:rsidRDefault="00EC7FEC" w:rsidP="00762A31">
            <w:r>
              <w:t xml:space="preserve">Name of the ratio </w:t>
            </w:r>
          </w:p>
        </w:tc>
        <w:tc>
          <w:tcPr>
            <w:tcW w:w="3117" w:type="dxa"/>
          </w:tcPr>
          <w:p w:rsidR="0000423A" w:rsidRDefault="00EC7FEC" w:rsidP="00762A31">
            <w:pPr>
              <w:cnfStyle w:val="100000000000" w:firstRow="1" w:lastRow="0" w:firstColumn="0" w:lastColumn="0" w:oddVBand="0" w:evenVBand="0" w:oddHBand="0" w:evenHBand="0" w:firstRowFirstColumn="0" w:firstRowLastColumn="0" w:lastRowFirstColumn="0" w:lastRowLastColumn="0"/>
            </w:pPr>
            <w:r>
              <w:t>2020</w:t>
            </w:r>
          </w:p>
        </w:tc>
        <w:tc>
          <w:tcPr>
            <w:tcW w:w="3117" w:type="dxa"/>
          </w:tcPr>
          <w:p w:rsidR="0000423A" w:rsidRDefault="00EC7FEC" w:rsidP="00762A31">
            <w:pPr>
              <w:cnfStyle w:val="100000000000" w:firstRow="1" w:lastRow="0" w:firstColumn="0" w:lastColumn="0" w:oddVBand="0" w:evenVBand="0" w:oddHBand="0" w:evenHBand="0" w:firstRowFirstColumn="0" w:firstRowLastColumn="0" w:lastRowFirstColumn="0" w:lastRowLastColumn="0"/>
            </w:pPr>
            <w:r>
              <w:t>2021</w:t>
            </w:r>
          </w:p>
        </w:tc>
      </w:tr>
      <w:tr w:rsidR="004B2265" w:rsidTr="004B22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rsidR="0000423A" w:rsidRPr="00C06D52" w:rsidRDefault="00EC7FEC" w:rsidP="00762A31">
            <w:r>
              <w:lastRenderedPageBreak/>
              <w:t xml:space="preserve">Quick </w:t>
            </w:r>
            <w:r w:rsidRPr="00C06D52">
              <w:t>ratio</w:t>
            </w:r>
          </w:p>
        </w:tc>
        <w:tc>
          <w:tcPr>
            <w:tcW w:w="3117" w:type="dxa"/>
          </w:tcPr>
          <w:p w:rsidR="0000423A" w:rsidRDefault="00EC7FEC" w:rsidP="00762A31">
            <w:pPr>
              <w:cnfStyle w:val="000000100000" w:firstRow="0" w:lastRow="0" w:firstColumn="0" w:lastColumn="0" w:oddVBand="0" w:evenVBand="0" w:oddHBand="1" w:evenHBand="0" w:firstRowFirstColumn="0" w:firstRowLastColumn="0" w:lastRowFirstColumn="0" w:lastRowLastColumn="0"/>
            </w:pPr>
            <w:r>
              <w:t>0.49</w:t>
            </w:r>
          </w:p>
        </w:tc>
        <w:tc>
          <w:tcPr>
            <w:tcW w:w="3117" w:type="dxa"/>
          </w:tcPr>
          <w:p w:rsidR="0000423A" w:rsidRDefault="00EC7FEC" w:rsidP="00762A31">
            <w:pPr>
              <w:cnfStyle w:val="000000100000" w:firstRow="0" w:lastRow="0" w:firstColumn="0" w:lastColumn="0" w:oddVBand="0" w:evenVBand="0" w:oddHBand="1" w:evenHBand="0" w:firstRowFirstColumn="0" w:firstRowLastColumn="0" w:lastRowFirstColumn="0" w:lastRowLastColumn="0"/>
            </w:pPr>
            <w:r>
              <w:t>0.56</w:t>
            </w:r>
          </w:p>
        </w:tc>
      </w:tr>
    </w:tbl>
    <w:p w:rsidR="0000423A" w:rsidRDefault="0000423A" w:rsidP="00847967">
      <w:pPr>
        <w:rPr>
          <w:szCs w:val="26"/>
        </w:rPr>
      </w:pPr>
    </w:p>
    <w:p w:rsidR="0000423A" w:rsidRDefault="00EC7FEC" w:rsidP="00847967">
      <w:pPr>
        <w:rPr>
          <w:b/>
          <w:szCs w:val="26"/>
        </w:rPr>
      </w:pPr>
      <w:r>
        <w:rPr>
          <w:b/>
          <w:szCs w:val="26"/>
        </w:rPr>
        <w:t>S</w:t>
      </w:r>
      <w:r w:rsidR="00454168">
        <w:rPr>
          <w:b/>
          <w:szCs w:val="26"/>
        </w:rPr>
        <w:t>tating the graphical representation</w:t>
      </w:r>
    </w:p>
    <w:p w:rsidR="00454168" w:rsidRDefault="00EC7FEC" w:rsidP="00454168">
      <w:pPr>
        <w:jc w:val="center"/>
        <w:rPr>
          <w:b/>
          <w:szCs w:val="26"/>
        </w:rPr>
      </w:pPr>
      <w:r>
        <w:rPr>
          <w:noProof/>
          <w:lang w:val="en-GB" w:eastAsia="en-GB"/>
        </w:rPr>
        <w:drawing>
          <wp:inline distT="0" distB="0" distL="0" distR="0">
            <wp:extent cx="4572000" cy="27432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454168" w:rsidRDefault="00EC7FEC" w:rsidP="00454168">
      <w:pPr>
        <w:jc w:val="center"/>
        <w:rPr>
          <w:b/>
          <w:bCs/>
        </w:rPr>
      </w:pPr>
      <w:r>
        <w:rPr>
          <w:b/>
          <w:bCs/>
        </w:rPr>
        <w:t>Source: (Author)</w:t>
      </w:r>
    </w:p>
    <w:p w:rsidR="00454168" w:rsidRDefault="00EC7FEC" w:rsidP="00454168">
      <w:pPr>
        <w:rPr>
          <w:szCs w:val="26"/>
        </w:rPr>
      </w:pPr>
      <w:r>
        <w:rPr>
          <w:szCs w:val="26"/>
        </w:rPr>
        <w:t xml:space="preserve">The above graph has been presented to highlight the quick ratio of the respective company Marriot for both 2020 and 2021. After the proper analysis of the above graph, it can be said that the value of the quick ratio for both years has been detected </w:t>
      </w:r>
      <w:r w:rsidR="00887441">
        <w:rPr>
          <w:szCs w:val="26"/>
        </w:rPr>
        <w:t>as 0.56 and 0.49 respectively.</w:t>
      </w:r>
    </w:p>
    <w:p w:rsidR="00D0052C" w:rsidRDefault="00EC7FEC" w:rsidP="00847967">
      <w:pPr>
        <w:rPr>
          <w:b/>
          <w:sz w:val="26"/>
          <w:szCs w:val="26"/>
        </w:rPr>
      </w:pPr>
      <w:r>
        <w:rPr>
          <w:b/>
          <w:sz w:val="26"/>
          <w:szCs w:val="26"/>
        </w:rPr>
        <w:t>Stating the gearing ratio</w:t>
      </w:r>
    </w:p>
    <w:p w:rsidR="00BC030A" w:rsidRDefault="00EC7FEC" w:rsidP="00BC030A">
      <w:r>
        <w:rPr>
          <w:b/>
        </w:rPr>
        <w:t xml:space="preserve">a) Gearing ratio: </w:t>
      </w:r>
      <w:r>
        <w:t>The gearing ratio is basically defined as the collection of financial metrics that differentiate the equity of shareholders from the debt of the company by several ways to monitor the financial stability and the leverage amount of the company for a specific time period. The gearing ratio of the respective company for both years has been illustrated below.</w:t>
      </w:r>
    </w:p>
    <w:tbl>
      <w:tblPr>
        <w:tblStyle w:val="GridTable4-Accent6"/>
        <w:tblW w:w="0" w:type="auto"/>
        <w:tblLook w:val="04A0" w:firstRow="1" w:lastRow="0" w:firstColumn="1" w:lastColumn="0" w:noHBand="0" w:noVBand="1"/>
      </w:tblPr>
      <w:tblGrid>
        <w:gridCol w:w="3116"/>
        <w:gridCol w:w="3117"/>
        <w:gridCol w:w="3117"/>
      </w:tblGrid>
      <w:tr w:rsidR="004B2265" w:rsidTr="004B226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rsidR="00BC2C13" w:rsidRDefault="00EC7FEC" w:rsidP="00762A31">
            <w:r>
              <w:lastRenderedPageBreak/>
              <w:t xml:space="preserve">Name of the ratio </w:t>
            </w:r>
          </w:p>
        </w:tc>
        <w:tc>
          <w:tcPr>
            <w:tcW w:w="3117" w:type="dxa"/>
          </w:tcPr>
          <w:p w:rsidR="00BC2C13" w:rsidRDefault="00EC7FEC" w:rsidP="00762A31">
            <w:pPr>
              <w:cnfStyle w:val="100000000000" w:firstRow="1" w:lastRow="0" w:firstColumn="0" w:lastColumn="0" w:oddVBand="0" w:evenVBand="0" w:oddHBand="0" w:evenHBand="0" w:firstRowFirstColumn="0" w:firstRowLastColumn="0" w:lastRowFirstColumn="0" w:lastRowLastColumn="0"/>
            </w:pPr>
            <w:r>
              <w:t>2020</w:t>
            </w:r>
          </w:p>
        </w:tc>
        <w:tc>
          <w:tcPr>
            <w:tcW w:w="3117" w:type="dxa"/>
          </w:tcPr>
          <w:p w:rsidR="00BC2C13" w:rsidRDefault="00EC7FEC" w:rsidP="00762A31">
            <w:pPr>
              <w:cnfStyle w:val="100000000000" w:firstRow="1" w:lastRow="0" w:firstColumn="0" w:lastColumn="0" w:oddVBand="0" w:evenVBand="0" w:oddHBand="0" w:evenHBand="0" w:firstRowFirstColumn="0" w:firstRowLastColumn="0" w:lastRowFirstColumn="0" w:lastRowLastColumn="0"/>
            </w:pPr>
            <w:r>
              <w:t>2021</w:t>
            </w:r>
          </w:p>
        </w:tc>
      </w:tr>
      <w:tr w:rsidR="004B2265" w:rsidTr="004B22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rsidR="00BC2C13" w:rsidRPr="00C06D52" w:rsidRDefault="00EC7FEC" w:rsidP="00762A31">
            <w:r>
              <w:t xml:space="preserve">Gearing </w:t>
            </w:r>
            <w:r w:rsidRPr="00C06D52">
              <w:t>ratio</w:t>
            </w:r>
          </w:p>
        </w:tc>
        <w:tc>
          <w:tcPr>
            <w:tcW w:w="3117" w:type="dxa"/>
          </w:tcPr>
          <w:p w:rsidR="00BC2C13" w:rsidRDefault="00EC7FEC" w:rsidP="00762A31">
            <w:pPr>
              <w:cnfStyle w:val="000000100000" w:firstRow="0" w:lastRow="0" w:firstColumn="0" w:lastColumn="0" w:oddVBand="0" w:evenVBand="0" w:oddHBand="1" w:evenHBand="0" w:firstRowFirstColumn="0" w:firstRowLastColumn="0" w:lastRowFirstColumn="0" w:lastRowLastColumn="0"/>
            </w:pPr>
            <w:r>
              <w:t>24.13</w:t>
            </w:r>
          </w:p>
        </w:tc>
        <w:tc>
          <w:tcPr>
            <w:tcW w:w="3117" w:type="dxa"/>
          </w:tcPr>
          <w:p w:rsidR="00BC2C13" w:rsidRDefault="00EC7FEC" w:rsidP="00762A31">
            <w:pPr>
              <w:cnfStyle w:val="000000100000" w:firstRow="0" w:lastRow="0" w:firstColumn="0" w:lastColumn="0" w:oddVBand="0" w:evenVBand="0" w:oddHBand="1" w:evenHBand="0" w:firstRowFirstColumn="0" w:firstRowLastColumn="0" w:lastRowFirstColumn="0" w:lastRowLastColumn="0"/>
            </w:pPr>
            <w:r>
              <w:t>7.16</w:t>
            </w:r>
          </w:p>
        </w:tc>
      </w:tr>
    </w:tbl>
    <w:p w:rsidR="00BC2C13" w:rsidRDefault="00BC2C13" w:rsidP="00BC030A"/>
    <w:p w:rsidR="00BC2C13" w:rsidRDefault="00EC7FEC" w:rsidP="00BC030A">
      <w:pPr>
        <w:rPr>
          <w:b/>
        </w:rPr>
      </w:pPr>
      <w:r>
        <w:rPr>
          <w:b/>
        </w:rPr>
        <w:t>Highlighting the graphical representation</w:t>
      </w:r>
    </w:p>
    <w:p w:rsidR="00BC2C13" w:rsidRDefault="00EC7FEC" w:rsidP="00BC2C13">
      <w:pPr>
        <w:jc w:val="center"/>
        <w:rPr>
          <w:b/>
        </w:rPr>
      </w:pPr>
      <w:r>
        <w:rPr>
          <w:noProof/>
          <w:lang w:val="en-GB" w:eastAsia="en-GB"/>
        </w:rPr>
        <w:drawing>
          <wp:inline distT="0" distB="0" distL="0" distR="0">
            <wp:extent cx="4572000" cy="27432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BC2C13" w:rsidRDefault="00EC7FEC" w:rsidP="00BC2C13">
      <w:pPr>
        <w:jc w:val="center"/>
        <w:rPr>
          <w:b/>
          <w:bCs/>
        </w:rPr>
      </w:pPr>
      <w:r>
        <w:rPr>
          <w:b/>
          <w:bCs/>
        </w:rPr>
        <w:t>Source: (Author)</w:t>
      </w:r>
    </w:p>
    <w:p w:rsidR="00BC2C13" w:rsidRDefault="00EC7FEC" w:rsidP="00BC2C13">
      <w:r>
        <w:t xml:space="preserve">The above graph has been conducted to highlight the outcome of the gearing ratio for both 2020 and 2021. It can be stated from the above graph that the gearing ratio </w:t>
      </w:r>
      <w:r w:rsidR="00AA6F74">
        <w:t xml:space="preserve">for Marriot has been computed as </w:t>
      </w:r>
      <w:r w:rsidR="00D05DAE">
        <w:t xml:space="preserve">24.13 and 7.16 for both </w:t>
      </w:r>
      <w:r w:rsidR="00B061A6">
        <w:t>years</w:t>
      </w:r>
      <w:r w:rsidR="00A874AA">
        <w:t xml:space="preserve"> </w:t>
      </w:r>
      <w:sdt>
        <w:sdtPr>
          <w:id w:val="-74512018"/>
          <w:citation/>
        </w:sdtPr>
        <w:sdtEndPr/>
        <w:sdtContent>
          <w:r w:rsidR="00A874AA">
            <w:fldChar w:fldCharType="begin"/>
          </w:r>
          <w:r w:rsidR="00A874AA">
            <w:instrText xml:space="preserve"> CITATION CFI2243 \l 1033 </w:instrText>
          </w:r>
          <w:r w:rsidR="00A874AA">
            <w:fldChar w:fldCharType="separate"/>
          </w:r>
          <w:r w:rsidR="00A874AA" w:rsidRPr="00A874AA">
            <w:rPr>
              <w:noProof/>
            </w:rPr>
            <w:t>(CFI Team, 2022)</w:t>
          </w:r>
          <w:r w:rsidR="00A874AA">
            <w:fldChar w:fldCharType="end"/>
          </w:r>
        </w:sdtContent>
      </w:sdt>
      <w:r w:rsidR="00D05DAE">
        <w:t>.</w:t>
      </w:r>
    </w:p>
    <w:p w:rsidR="00B061A6" w:rsidRDefault="00EC7FEC" w:rsidP="00B061A6">
      <w:pPr>
        <w:pStyle w:val="Heading2"/>
      </w:pPr>
      <w:bookmarkStart w:id="3" w:name="_Toc120204994"/>
      <w:r>
        <w:t>Highlighting the knowledge regarding the above ratio analysis</w:t>
      </w:r>
      <w:bookmarkEnd w:id="3"/>
    </w:p>
    <w:p w:rsidR="00290E11" w:rsidRDefault="00EC7FEC" w:rsidP="00290E11">
      <w:r>
        <w:rPr>
          <w:u w:val="single"/>
        </w:rPr>
        <w:t xml:space="preserve">Manipulate the financial statement: </w:t>
      </w:r>
      <w:r>
        <w:t xml:space="preserve">The </w:t>
      </w:r>
      <w:proofErr w:type="spellStart"/>
      <w:r>
        <w:t>fina</w:t>
      </w:r>
      <w:proofErr w:type="spellEnd"/>
      <w:r w:rsidR="00750F7F">
        <w:t xml:space="preserve"> </w:t>
      </w:r>
      <w:proofErr w:type="spellStart"/>
      <w:r>
        <w:t>ncial</w:t>
      </w:r>
      <w:proofErr w:type="spellEnd"/>
      <w:r>
        <w:t xml:space="preserve"> report has been conducted by the management of Marriott International Inc. Therefore, there is a possibility of manipulating the financial statement. It is manipulated by the accountant of the business to generate a well-being outcome that its performance. The ratio analysis may not replicate the proper nature of the business. Along with this, the mismanagement of the financial statement is not marked by modest analysis.</w:t>
      </w:r>
    </w:p>
    <w:p w:rsidR="00290E11" w:rsidRDefault="00EC7FEC" w:rsidP="00290E11">
      <w:r>
        <w:rPr>
          <w:u w:val="single"/>
        </w:rPr>
        <w:lastRenderedPageBreak/>
        <w:t xml:space="preserve">Transform the accounting policies while conducting financial statements: </w:t>
      </w:r>
      <w:r>
        <w:t>The management of the respective business has noticed</w:t>
      </w:r>
      <w:r w:rsidR="0019435A">
        <w:t xml:space="preserve"> that if they create changes in the accounting policies then the financial statement has also transformed. In this case, the financial statement recorded after the change is not correspond to the reports which are certified before the transformation.</w:t>
      </w:r>
    </w:p>
    <w:p w:rsidR="0019435A" w:rsidRDefault="00EC7FEC" w:rsidP="0019435A">
      <w:r>
        <w:rPr>
          <w:u w:val="single"/>
        </w:rPr>
        <w:t xml:space="preserve">Highlighting past Information: </w:t>
      </w:r>
      <w:r>
        <w:t xml:space="preserve">It is considered one of the major drawbacks of accounting ratios. It highlights the past information regarding the business and is not able to highlight the recent financial position of the company. The accounting department of Marriott International has found various difficulties to compute their proper income for the lack of recent accurate data. Therefore, it can be said that the measurement of ratio evaluation is not representing the future </w:t>
      </w:r>
      <w:r w:rsidR="00121B7C">
        <w:t>presentation</w:t>
      </w:r>
      <w:r>
        <w:t xml:space="preserve"> </w:t>
      </w:r>
      <w:r w:rsidR="00121B7C">
        <w:t>of the business</w:t>
      </w:r>
      <w:r w:rsidR="00617F53">
        <w:t xml:space="preserve"> </w:t>
      </w:r>
      <w:r w:rsidR="00617F53">
        <w:rPr>
          <w:shd w:val="clear" w:color="auto" w:fill="FFFFFF"/>
        </w:rPr>
        <w:t>(</w:t>
      </w:r>
      <w:proofErr w:type="spellStart"/>
      <w:r w:rsidR="00617F53">
        <w:rPr>
          <w:shd w:val="clear" w:color="auto" w:fill="FFFFFF"/>
        </w:rPr>
        <w:t>Yüksel</w:t>
      </w:r>
      <w:proofErr w:type="spellEnd"/>
      <w:r w:rsidR="00617F53">
        <w:rPr>
          <w:shd w:val="clear" w:color="auto" w:fill="FFFFFF"/>
        </w:rPr>
        <w:t xml:space="preserve"> et al., 2018)</w:t>
      </w:r>
      <w:r w:rsidR="00121B7C">
        <w:t>.</w:t>
      </w:r>
    </w:p>
    <w:p w:rsidR="00121B7C" w:rsidRDefault="00EC7FEC" w:rsidP="00121B7C">
      <w:pPr>
        <w:pStyle w:val="Heading2"/>
      </w:pPr>
      <w:bookmarkStart w:id="4" w:name="_Toc120204995"/>
      <w:r>
        <w:t>Stating the ratio concept to analyse the financial statement for Hotel Management</w:t>
      </w:r>
      <w:bookmarkEnd w:id="4"/>
    </w:p>
    <w:p w:rsidR="00121B7C" w:rsidRDefault="00EC7FEC" w:rsidP="00121B7C">
      <w:r>
        <w:t xml:space="preserve">The ratio analysis is essential for Hotel management as it computes the overall efficiency of Marriott International Inc. The investors of the company </w:t>
      </w:r>
      <w:proofErr w:type="spellStart"/>
      <w:r>
        <w:t>utilise</w:t>
      </w:r>
      <w:proofErr w:type="spellEnd"/>
      <w:r>
        <w:t xml:space="preserve"> this to determine the financial health of the company in the overall market. It also illustrates the financial statemen</w:t>
      </w:r>
      <w:r w:rsidR="00473AFD">
        <w:t>t for a particular time period.</w:t>
      </w:r>
    </w:p>
    <w:p w:rsidR="00473AFD" w:rsidRDefault="00EC7FEC" w:rsidP="00772403">
      <w:pPr>
        <w:rPr>
          <w:rFonts w:cs="Times New Roman"/>
        </w:rPr>
      </w:pPr>
      <w:r>
        <w:rPr>
          <w:rFonts w:cs="Times New Roman"/>
          <w:u w:val="single"/>
        </w:rPr>
        <w:t>Determine the overall performance of the business</w:t>
      </w:r>
      <w:r>
        <w:t>: The ratio analysis is essential in order to know the overall data and information regarding the business performance of the company.</w:t>
      </w:r>
      <w:r w:rsidR="00772403">
        <w:t xml:space="preserve"> It can be seen in the given data table that the outcome for net profit </w:t>
      </w:r>
      <w:r>
        <w:t xml:space="preserve">for the respective company </w:t>
      </w:r>
      <w:r w:rsidR="00772403">
        <w:t xml:space="preserve">was -2.5258 and 7.7931 in 2020 and 2021. Along with this, the outcome of cash flow is calculated as </w:t>
      </w:r>
      <w:r w:rsidR="00772403">
        <w:rPr>
          <w:rFonts w:cs="Times New Roman"/>
        </w:rPr>
        <w:t xml:space="preserve">$527 in the year 2021 which is produced through the assistance of ratio analysis. Therefore, it helps to get accurate values </w:t>
      </w:r>
      <w:r w:rsidR="0068738C">
        <w:rPr>
          <w:rFonts w:cs="Times New Roman"/>
        </w:rPr>
        <w:t>of the financial statements</w:t>
      </w:r>
      <w:r w:rsidR="00EE3577">
        <w:rPr>
          <w:rFonts w:cs="Times New Roman"/>
        </w:rPr>
        <w:t xml:space="preserve"> </w:t>
      </w:r>
      <w:sdt>
        <w:sdtPr>
          <w:rPr>
            <w:rFonts w:cs="Times New Roman"/>
          </w:rPr>
          <w:id w:val="-1395581061"/>
          <w:citation/>
        </w:sdtPr>
        <w:sdtEndPr/>
        <w:sdtContent>
          <w:r w:rsidR="00EE3577">
            <w:rPr>
              <w:rFonts w:cs="Times New Roman"/>
            </w:rPr>
            <w:fldChar w:fldCharType="begin"/>
          </w:r>
          <w:r w:rsidR="00EE3577">
            <w:rPr>
              <w:rFonts w:cs="Times New Roman"/>
            </w:rPr>
            <w:instrText xml:space="preserve"> CITATION Dav221 \l 1033 </w:instrText>
          </w:r>
          <w:r w:rsidR="00EE3577">
            <w:rPr>
              <w:rFonts w:cs="Times New Roman"/>
            </w:rPr>
            <w:fldChar w:fldCharType="separate"/>
          </w:r>
          <w:r w:rsidR="00EE3577" w:rsidRPr="00EE3577">
            <w:rPr>
              <w:rFonts w:cs="Times New Roman"/>
              <w:noProof/>
            </w:rPr>
            <w:t>(Ingram, 2022)</w:t>
          </w:r>
          <w:r w:rsidR="00EE3577">
            <w:rPr>
              <w:rFonts w:cs="Times New Roman"/>
            </w:rPr>
            <w:fldChar w:fldCharType="end"/>
          </w:r>
        </w:sdtContent>
      </w:sdt>
      <w:r w:rsidR="0068738C">
        <w:rPr>
          <w:rFonts w:cs="Times New Roman"/>
        </w:rPr>
        <w:t>.</w:t>
      </w:r>
    </w:p>
    <w:p w:rsidR="003525DF" w:rsidRDefault="00EC7FEC" w:rsidP="00854DFF">
      <w:r>
        <w:rPr>
          <w:rFonts w:cs="Times New Roman"/>
          <w:u w:val="single"/>
        </w:rPr>
        <w:lastRenderedPageBreak/>
        <w:t xml:space="preserve">Helps to differentiate the financial report from the previous year: </w:t>
      </w:r>
      <w:r>
        <w:rPr>
          <w:rFonts w:cs="Times New Roman"/>
        </w:rPr>
        <w:t>The ratio analysis is essential to determine the overall business performance of the respective company. It helps them to know their financial position in the overall market. For instance, the respective company has produced an overall income of $</w:t>
      </w:r>
      <w:r>
        <w:t xml:space="preserve">-267 and </w:t>
      </w:r>
      <w:r>
        <w:rPr>
          <w:rFonts w:cs="Times New Roman"/>
        </w:rPr>
        <w:t>$</w:t>
      </w:r>
      <w:r>
        <w:t xml:space="preserve"> 1099 in both 2020 and 2021 respectively. </w:t>
      </w:r>
      <w:r w:rsidR="00854DFF">
        <w:t xml:space="preserve">The overall gross profit is computed as </w:t>
      </w:r>
      <w:r w:rsidR="00854DFF">
        <w:rPr>
          <w:rFonts w:cs="Times New Roman"/>
        </w:rPr>
        <w:t>$</w:t>
      </w:r>
      <w:r w:rsidR="00854DFF">
        <w:t xml:space="preserve"> 1459 for 2020 and </w:t>
      </w:r>
      <w:r w:rsidR="00854DFF">
        <w:rPr>
          <w:rFonts w:cs="Times New Roman"/>
        </w:rPr>
        <w:t>$</w:t>
      </w:r>
      <w:r w:rsidR="00854DFF">
        <w:t xml:space="preserve"> 2,801 for 2021</w:t>
      </w:r>
      <w:r w:rsidR="000317A2">
        <w:t xml:space="preserve"> </w:t>
      </w:r>
      <w:sdt>
        <w:sdtPr>
          <w:id w:val="-1245416623"/>
          <w:citation/>
        </w:sdtPr>
        <w:sdtEndPr/>
        <w:sdtContent>
          <w:r w:rsidR="000317A2">
            <w:fldChar w:fldCharType="begin"/>
          </w:r>
          <w:r w:rsidR="000317A2">
            <w:instrText xml:space="preserve"> CITATION BBC229 \l 1033 </w:instrText>
          </w:r>
          <w:r w:rsidR="000317A2">
            <w:fldChar w:fldCharType="separate"/>
          </w:r>
          <w:r w:rsidR="000317A2" w:rsidRPr="000317A2">
            <w:rPr>
              <w:noProof/>
            </w:rPr>
            <w:t>(BBC, 2022)</w:t>
          </w:r>
          <w:r w:rsidR="000317A2">
            <w:fldChar w:fldCharType="end"/>
          </w:r>
        </w:sdtContent>
      </w:sdt>
      <w:r w:rsidR="00854DFF">
        <w:t>.</w:t>
      </w:r>
    </w:p>
    <w:p w:rsidR="004F55CA" w:rsidRDefault="00EC7FEC" w:rsidP="004F55CA">
      <w:pPr>
        <w:pStyle w:val="Heading2"/>
      </w:pPr>
      <w:bookmarkStart w:id="5" w:name="_Toc120204996"/>
      <w:r>
        <w:t>Significance of ratio in terms of making the decision</w:t>
      </w:r>
      <w:bookmarkEnd w:id="5"/>
    </w:p>
    <w:p w:rsidR="004F55CA" w:rsidRDefault="00EC7FEC" w:rsidP="004F55CA">
      <w:r>
        <w:t>Ratio plays an effective ro</w:t>
      </w:r>
      <w:r w:rsidR="00703C05">
        <w:t>le in order to make effective decisions for the business. It is required to calculate the productivity of the business. Some of the importance of ratios in terms of making the decision has been illustrated below.</w:t>
      </w:r>
    </w:p>
    <w:p w:rsidR="00703C05" w:rsidRDefault="00EC7FEC" w:rsidP="004F55CA">
      <w:r>
        <w:t>a) The ratio analysis helps the management of the respective company to make decisions about whether to invest or not. The proper interpretation of the ratio assists investors to make necessary decisions about their investment for a particular project.</w:t>
      </w:r>
    </w:p>
    <w:p w:rsidR="00ED4C6F" w:rsidRDefault="00EC7FEC" w:rsidP="004F55CA">
      <w:r>
        <w:t>b)</w:t>
      </w:r>
      <w:r w:rsidR="00F25D80">
        <w:t xml:space="preserve"> The interpretation of ratio analysis helps the company by differentiating its overall performance from them its existing competitors. It will help the managers of the respective company to make effective information on the basis of the information given in the financial report.</w:t>
      </w:r>
      <w:r w:rsidR="00FA11FB">
        <w:t xml:space="preserve"> In addition, managers </w:t>
      </w:r>
      <w:proofErr w:type="spellStart"/>
      <w:r w:rsidR="00FA11FB">
        <w:t>utilise</w:t>
      </w:r>
      <w:proofErr w:type="spellEnd"/>
      <w:r w:rsidR="00FA11FB">
        <w:t xml:space="preserve"> ratios to track performance and pinpoint weaknesses and strengths from which objectives, policies and goals may be formed</w:t>
      </w:r>
      <w:r w:rsidR="00130AAA">
        <w:t xml:space="preserve"> </w:t>
      </w:r>
      <w:sdt>
        <w:sdtPr>
          <w:id w:val="-2077819318"/>
          <w:citation/>
        </w:sdtPr>
        <w:sdtEndPr/>
        <w:sdtContent>
          <w:r w:rsidR="00130AAA">
            <w:fldChar w:fldCharType="begin"/>
          </w:r>
          <w:r w:rsidR="00130AAA">
            <w:instrText xml:space="preserve"> CITATION acc2221 \l 1033 </w:instrText>
          </w:r>
          <w:r w:rsidR="00130AAA">
            <w:fldChar w:fldCharType="separate"/>
          </w:r>
          <w:r w:rsidR="00130AAA" w:rsidRPr="00130AAA">
            <w:rPr>
              <w:noProof/>
            </w:rPr>
            <w:t>(accountingtools, 2022)</w:t>
          </w:r>
          <w:r w:rsidR="00130AAA">
            <w:fldChar w:fldCharType="end"/>
          </w:r>
        </w:sdtContent>
      </w:sdt>
      <w:r w:rsidR="00FA11FB">
        <w:t>.</w:t>
      </w:r>
      <w:r w:rsidR="00130AAA">
        <w:t xml:space="preserve"> </w:t>
      </w:r>
    </w:p>
    <w:p w:rsidR="00F440B9" w:rsidRDefault="00EC7FEC" w:rsidP="00F440B9">
      <w:r>
        <w:t xml:space="preserve">c) The ratio analysis assists the management of Marriot International Inc. to estimate income and expenditures for a specific period of time. It helps them to produce an effective income statement and balance </w:t>
      </w:r>
      <w:r w:rsidR="00143CD7">
        <w:t>sheet which</w:t>
      </w:r>
      <w:r>
        <w:t xml:space="preserve"> eventually assists in making effective decisions for achieving success for the business.</w:t>
      </w:r>
    </w:p>
    <w:p w:rsidR="00143CD7" w:rsidRDefault="00EC7FEC" w:rsidP="00143CD7">
      <w:pPr>
        <w:pStyle w:val="Heading2"/>
      </w:pPr>
      <w:bookmarkStart w:id="6" w:name="_Toc120204997"/>
      <w:r>
        <w:lastRenderedPageBreak/>
        <w:t>Drawbacks of ratio analysis</w:t>
      </w:r>
      <w:bookmarkEnd w:id="6"/>
    </w:p>
    <w:p w:rsidR="00813111" w:rsidRDefault="00EC7FEC" w:rsidP="00143CD7">
      <w:r>
        <w:rPr>
          <w:u w:val="single"/>
        </w:rPr>
        <w:t>Historical Information:</w:t>
      </w:r>
      <w:r>
        <w:t xml:space="preserve"> The estimation of the accounting ratio is not considering the recent information and data for the preparation of financial statements. It does not highlight the future performance of the respective company.</w:t>
      </w:r>
    </w:p>
    <w:p w:rsidR="00813111" w:rsidRDefault="00EC7FEC" w:rsidP="00143CD7">
      <w:r>
        <w:rPr>
          <w:u w:val="single"/>
        </w:rPr>
        <w:t xml:space="preserve">Inflationary effects: </w:t>
      </w:r>
      <w:r>
        <w:t xml:space="preserve">Financial statements are conducted after a specific time period so that there is a difference in time between each release. Moreover, if </w:t>
      </w:r>
      <w:r w:rsidR="009C51F5">
        <w:t xml:space="preserve">inflation has occurred in different periods, then prices are not replicated in the financial statements. </w:t>
      </w:r>
      <w:r w:rsidR="00FE60E6">
        <w:t>Therefore, numbers across several periods are not similar till they are accustomed to inflation</w:t>
      </w:r>
      <w:r w:rsidR="00617F53">
        <w:t xml:space="preserve"> </w:t>
      </w:r>
      <w:r w:rsidR="00617F53">
        <w:rPr>
          <w:shd w:val="clear" w:color="auto" w:fill="FFFFFF"/>
        </w:rPr>
        <w:t>(</w:t>
      </w:r>
      <w:proofErr w:type="spellStart"/>
      <w:r w:rsidR="00617F53">
        <w:rPr>
          <w:shd w:val="clear" w:color="auto" w:fill="FFFFFF"/>
        </w:rPr>
        <w:t>Yüksel</w:t>
      </w:r>
      <w:proofErr w:type="spellEnd"/>
      <w:r w:rsidR="00617F53">
        <w:rPr>
          <w:shd w:val="clear" w:color="auto" w:fill="FFFFFF"/>
        </w:rPr>
        <w:t xml:space="preserve"> et al., 2018)</w:t>
      </w:r>
      <w:r w:rsidR="00FE60E6">
        <w:t>.</w:t>
      </w:r>
    </w:p>
    <w:p w:rsidR="004C7700" w:rsidRDefault="00EC7FEC" w:rsidP="00143CD7">
      <w:r>
        <w:rPr>
          <w:u w:val="single"/>
        </w:rPr>
        <w:t xml:space="preserve">Seasonal effects: </w:t>
      </w:r>
      <w:r>
        <w:t>T</w:t>
      </w:r>
      <w:r w:rsidR="00AA312D">
        <w:t>he analyst of the respective company needs to be conscious of the seasonal factors that can result in restrictions on ratio analysis. The incompetence to regulate the ratio analysis for the seasonal effect can lead to the wrong interpretation of the outcomes from the ratio analysis</w:t>
      </w:r>
      <w:r w:rsidR="00582E1D">
        <w:t xml:space="preserve"> </w:t>
      </w:r>
      <w:sdt>
        <w:sdtPr>
          <w:id w:val="-1806853473"/>
          <w:citation/>
        </w:sdtPr>
        <w:sdtEndPr/>
        <w:sdtContent>
          <w:r w:rsidR="00582E1D">
            <w:fldChar w:fldCharType="begin"/>
          </w:r>
          <w:r w:rsidR="00582E1D">
            <w:instrText xml:space="preserve"> CITATION CFI2242 \l 1033 </w:instrText>
          </w:r>
          <w:r w:rsidR="00582E1D">
            <w:fldChar w:fldCharType="separate"/>
          </w:r>
          <w:r w:rsidR="00582E1D" w:rsidRPr="00582E1D">
            <w:rPr>
              <w:noProof/>
            </w:rPr>
            <w:t>(CFI Team, 2022)</w:t>
          </w:r>
          <w:r w:rsidR="00582E1D">
            <w:fldChar w:fldCharType="end"/>
          </w:r>
        </w:sdtContent>
      </w:sdt>
      <w:r w:rsidR="00AA312D">
        <w:t>.</w:t>
      </w:r>
    </w:p>
    <w:p w:rsidR="004C7700" w:rsidRDefault="00EC7FEC">
      <w:pPr>
        <w:spacing w:line="259" w:lineRule="auto"/>
        <w:jc w:val="left"/>
      </w:pPr>
      <w:r>
        <w:br w:type="page"/>
      </w:r>
    </w:p>
    <w:p w:rsidR="00FE60E6" w:rsidRDefault="00EC7FEC" w:rsidP="004C7700">
      <w:pPr>
        <w:pStyle w:val="Heading1"/>
      </w:pPr>
      <w:bookmarkStart w:id="7" w:name="_Toc120204998"/>
      <w:r>
        <w:lastRenderedPageBreak/>
        <w:t>Conclusion</w:t>
      </w:r>
      <w:bookmarkEnd w:id="7"/>
    </w:p>
    <w:p w:rsidR="00582E1D" w:rsidRDefault="00EC7FEC" w:rsidP="004C7700">
      <w:r>
        <w:t>The specific report has shed light on the various aspects regarding the ratio analysis for the respective company Marriott International, Inc. The outcome of several types of ratios and their interpretation have been mentioned in this context. The ratio analysis assists in differentiating the overall financial h</w:t>
      </w:r>
      <w:r w:rsidR="00433F26">
        <w:t>ealth from the earlier year. It has also included the knowledge gathered from the ratio analysis of the respective company. The interpretation of ratio analysis has also been conducted with charts and graphs to reflect the financial position of the company. In addition to that, the importance of ratio analysis for the respective company has been illustrated in this report. A short discussion has been conducted on the change in the ratios that are significant to compare the financial statement of the company. The significance of ratio analysis in terms of decision-making has been illustrated in this context.</w:t>
      </w:r>
    </w:p>
    <w:p w:rsidR="00582E1D" w:rsidRDefault="00582E1D">
      <w:pPr>
        <w:spacing w:line="259" w:lineRule="auto"/>
        <w:jc w:val="left"/>
      </w:pPr>
      <w:r>
        <w:br w:type="page"/>
      </w:r>
    </w:p>
    <w:p w:rsidR="004C7700" w:rsidRDefault="00582E1D" w:rsidP="00582E1D">
      <w:pPr>
        <w:pStyle w:val="Heading1"/>
      </w:pPr>
      <w:bookmarkStart w:id="8" w:name="_Toc120204999"/>
      <w:r>
        <w:lastRenderedPageBreak/>
        <w:t>References</w:t>
      </w:r>
      <w:bookmarkEnd w:id="8"/>
    </w:p>
    <w:p w:rsidR="000F16B4" w:rsidRPr="00B44325" w:rsidRDefault="000F16B4" w:rsidP="00B44325">
      <w:pPr>
        <w:rPr>
          <w:shd w:val="clear" w:color="auto" w:fill="FFFFFF"/>
        </w:rPr>
      </w:pPr>
      <w:proofErr w:type="spellStart"/>
      <w:r w:rsidRPr="00B44325">
        <w:rPr>
          <w:shd w:val="clear" w:color="auto" w:fill="FFFFFF"/>
        </w:rPr>
        <w:t>accountingtools</w:t>
      </w:r>
      <w:proofErr w:type="spellEnd"/>
      <w:r w:rsidRPr="00B44325">
        <w:rPr>
          <w:shd w:val="clear" w:color="auto" w:fill="FFFFFF"/>
        </w:rPr>
        <w:t xml:space="preserve">, </w:t>
      </w:r>
      <w:r>
        <w:rPr>
          <w:shd w:val="clear" w:color="auto" w:fill="FFFFFF"/>
        </w:rPr>
        <w:t>(</w:t>
      </w:r>
      <w:r w:rsidRPr="00B44325">
        <w:rPr>
          <w:shd w:val="clear" w:color="auto" w:fill="FFFFFF"/>
        </w:rPr>
        <w:t>2022</w:t>
      </w:r>
      <w:r>
        <w:rPr>
          <w:shd w:val="clear" w:color="auto" w:fill="FFFFFF"/>
        </w:rPr>
        <w:t>)</w:t>
      </w:r>
      <w:r w:rsidRPr="00B44325">
        <w:rPr>
          <w:shd w:val="clear" w:color="auto" w:fill="FFFFFF"/>
        </w:rPr>
        <w:t>. Limitatio</w:t>
      </w:r>
      <w:r>
        <w:rPr>
          <w:shd w:val="clear" w:color="auto" w:fill="FFFFFF"/>
        </w:rPr>
        <w:t xml:space="preserve">ns of ratio analysis. [Online] </w:t>
      </w:r>
      <w:r w:rsidRPr="00B44325">
        <w:rPr>
          <w:shd w:val="clear" w:color="auto" w:fill="FFFFFF"/>
        </w:rPr>
        <w:t>Available at: https://www.accountingtools.com/articles/what-are-the-lim</w:t>
      </w:r>
      <w:r>
        <w:rPr>
          <w:shd w:val="clear" w:color="auto" w:fill="FFFFFF"/>
        </w:rPr>
        <w:t>itations-of-ratio-analysis.html</w:t>
      </w:r>
      <w:r w:rsidRPr="00B44325">
        <w:rPr>
          <w:shd w:val="clear" w:color="auto" w:fill="FFFFFF"/>
        </w:rPr>
        <w:t xml:space="preserve"> [Accessed 21 November 2022].</w:t>
      </w:r>
    </w:p>
    <w:p w:rsidR="000F16B4" w:rsidRPr="00B44325" w:rsidRDefault="000F16B4" w:rsidP="00B44325">
      <w:pPr>
        <w:rPr>
          <w:shd w:val="clear" w:color="auto" w:fill="FFFFFF"/>
        </w:rPr>
      </w:pPr>
      <w:proofErr w:type="spellStart"/>
      <w:r w:rsidRPr="00B44325">
        <w:rPr>
          <w:shd w:val="clear" w:color="auto" w:fill="FFFFFF"/>
        </w:rPr>
        <w:t>accountingtools</w:t>
      </w:r>
      <w:proofErr w:type="spellEnd"/>
      <w:r w:rsidRPr="00B44325">
        <w:rPr>
          <w:shd w:val="clear" w:color="auto" w:fill="FFFFFF"/>
        </w:rPr>
        <w:t xml:space="preserve">, </w:t>
      </w:r>
      <w:r>
        <w:rPr>
          <w:shd w:val="clear" w:color="auto" w:fill="FFFFFF"/>
        </w:rPr>
        <w:t>(</w:t>
      </w:r>
      <w:r w:rsidRPr="00B44325">
        <w:rPr>
          <w:shd w:val="clear" w:color="auto" w:fill="FFFFFF"/>
        </w:rPr>
        <w:t>2022</w:t>
      </w:r>
      <w:r>
        <w:rPr>
          <w:shd w:val="clear" w:color="auto" w:fill="FFFFFF"/>
        </w:rPr>
        <w:t>)</w:t>
      </w:r>
      <w:r w:rsidRPr="00B44325">
        <w:rPr>
          <w:shd w:val="clear" w:color="auto" w:fill="FFFFFF"/>
        </w:rPr>
        <w:t>. Liquidity ratios. [Online] Available at: https://www.accountingtools.com/articles/liquidity-ratios [Accessed 21 November 2022].</w:t>
      </w:r>
    </w:p>
    <w:p w:rsidR="000F16B4" w:rsidRPr="00B44325" w:rsidRDefault="000F16B4" w:rsidP="00B44325">
      <w:pPr>
        <w:rPr>
          <w:shd w:val="clear" w:color="auto" w:fill="FFFFFF"/>
        </w:rPr>
      </w:pPr>
      <w:r>
        <w:rPr>
          <w:shd w:val="clear" w:color="auto" w:fill="FFFFFF"/>
        </w:rPr>
        <w:t xml:space="preserve">BBC, (2022). Ratios. [Online] </w:t>
      </w:r>
      <w:r w:rsidRPr="00B44325">
        <w:rPr>
          <w:shd w:val="clear" w:color="auto" w:fill="FFFFFF"/>
        </w:rPr>
        <w:t>Available at: https://www.bbc.co.uk/bit</w:t>
      </w:r>
      <w:r>
        <w:rPr>
          <w:shd w:val="clear" w:color="auto" w:fill="FFFFFF"/>
        </w:rPr>
        <w:t>esize/guides/zrxn47h/revision/5</w:t>
      </w:r>
      <w:r w:rsidRPr="00B44325">
        <w:rPr>
          <w:shd w:val="clear" w:color="auto" w:fill="FFFFFF"/>
        </w:rPr>
        <w:t xml:space="preserve"> [Accessed 21 November 2022].</w:t>
      </w:r>
    </w:p>
    <w:p w:rsidR="000F16B4" w:rsidRPr="00B44325" w:rsidRDefault="000F16B4" w:rsidP="00B44325">
      <w:pPr>
        <w:rPr>
          <w:shd w:val="clear" w:color="auto" w:fill="FFFFFF"/>
        </w:rPr>
      </w:pPr>
      <w:r w:rsidRPr="00B44325">
        <w:rPr>
          <w:shd w:val="clear" w:color="auto" w:fill="FFFFFF"/>
        </w:rPr>
        <w:t xml:space="preserve">CFI Team, </w:t>
      </w:r>
      <w:r>
        <w:rPr>
          <w:shd w:val="clear" w:color="auto" w:fill="FFFFFF"/>
        </w:rPr>
        <w:t>(</w:t>
      </w:r>
      <w:r w:rsidRPr="00B44325">
        <w:rPr>
          <w:shd w:val="clear" w:color="auto" w:fill="FFFFFF"/>
        </w:rPr>
        <w:t>2022</w:t>
      </w:r>
      <w:r>
        <w:rPr>
          <w:shd w:val="clear" w:color="auto" w:fill="FFFFFF"/>
        </w:rPr>
        <w:t>)</w:t>
      </w:r>
      <w:r w:rsidRPr="00B44325">
        <w:rPr>
          <w:shd w:val="clear" w:color="auto" w:fill="FFFFFF"/>
        </w:rPr>
        <w:t>. Limitatio</w:t>
      </w:r>
      <w:r>
        <w:rPr>
          <w:shd w:val="clear" w:color="auto" w:fill="FFFFFF"/>
        </w:rPr>
        <w:t xml:space="preserve">ns of Ratio Analysis. [Online] </w:t>
      </w:r>
      <w:r w:rsidRPr="00B44325">
        <w:rPr>
          <w:shd w:val="clear" w:color="auto" w:fill="FFFFFF"/>
        </w:rPr>
        <w:t>Available at: https://corporatefinanceinstitute.com/resources/account</w:t>
      </w:r>
      <w:r>
        <w:rPr>
          <w:shd w:val="clear" w:color="auto" w:fill="FFFFFF"/>
        </w:rPr>
        <w:t>ing/limitations-ratio-analysis/</w:t>
      </w:r>
      <w:r w:rsidRPr="00B44325">
        <w:rPr>
          <w:shd w:val="clear" w:color="auto" w:fill="FFFFFF"/>
        </w:rPr>
        <w:t xml:space="preserve"> [Accessed 20 November 2022].</w:t>
      </w:r>
    </w:p>
    <w:p w:rsidR="000F16B4" w:rsidRPr="00B44325" w:rsidRDefault="000F16B4" w:rsidP="00B44325">
      <w:pPr>
        <w:rPr>
          <w:shd w:val="clear" w:color="auto" w:fill="FFFFFF"/>
        </w:rPr>
      </w:pPr>
      <w:r w:rsidRPr="00B44325">
        <w:rPr>
          <w:shd w:val="clear" w:color="auto" w:fill="FFFFFF"/>
        </w:rPr>
        <w:t xml:space="preserve">CFI Team, </w:t>
      </w:r>
      <w:r>
        <w:rPr>
          <w:shd w:val="clear" w:color="auto" w:fill="FFFFFF"/>
        </w:rPr>
        <w:t>(</w:t>
      </w:r>
      <w:r w:rsidRPr="00B44325">
        <w:rPr>
          <w:shd w:val="clear" w:color="auto" w:fill="FFFFFF"/>
        </w:rPr>
        <w:t>2</w:t>
      </w:r>
      <w:r>
        <w:rPr>
          <w:shd w:val="clear" w:color="auto" w:fill="FFFFFF"/>
        </w:rPr>
        <w:t xml:space="preserve">022). Liquidity Ratio. [Online] </w:t>
      </w:r>
      <w:r w:rsidRPr="00B44325">
        <w:rPr>
          <w:shd w:val="clear" w:color="auto" w:fill="FFFFFF"/>
        </w:rPr>
        <w:t>Available at: https://corporatefinanceinstitute.com/resour</w:t>
      </w:r>
      <w:r>
        <w:rPr>
          <w:shd w:val="clear" w:color="auto" w:fill="FFFFFF"/>
        </w:rPr>
        <w:t>ces/accounting/liquidity-ratio/</w:t>
      </w:r>
      <w:r w:rsidRPr="00B44325">
        <w:rPr>
          <w:shd w:val="clear" w:color="auto" w:fill="FFFFFF"/>
        </w:rPr>
        <w:t xml:space="preserve"> [Accessed 21 November 2022].</w:t>
      </w:r>
    </w:p>
    <w:p w:rsidR="000F16B4" w:rsidRPr="00B44325" w:rsidRDefault="000F16B4" w:rsidP="00B44325">
      <w:pPr>
        <w:rPr>
          <w:shd w:val="clear" w:color="auto" w:fill="FFFFFF"/>
        </w:rPr>
      </w:pPr>
      <w:r w:rsidRPr="00B44325">
        <w:rPr>
          <w:shd w:val="clear" w:color="auto" w:fill="FFFFFF"/>
        </w:rPr>
        <w:t xml:space="preserve">CFI Team, </w:t>
      </w:r>
      <w:r>
        <w:rPr>
          <w:shd w:val="clear" w:color="auto" w:fill="FFFFFF"/>
        </w:rPr>
        <w:t xml:space="preserve">(2022). Ratio Analysis. [Online] </w:t>
      </w:r>
      <w:r w:rsidRPr="00B44325">
        <w:rPr>
          <w:shd w:val="clear" w:color="auto" w:fill="FFFFFF"/>
        </w:rPr>
        <w:t>Available at: https://corporatefinanceinstitute.com/resou</w:t>
      </w:r>
      <w:r>
        <w:rPr>
          <w:shd w:val="clear" w:color="auto" w:fill="FFFFFF"/>
        </w:rPr>
        <w:t>rces/accounting/ratio-analysis/</w:t>
      </w:r>
      <w:r w:rsidRPr="00B44325">
        <w:rPr>
          <w:shd w:val="clear" w:color="auto" w:fill="FFFFFF"/>
        </w:rPr>
        <w:t xml:space="preserve"> [Accessed 21 November 2022].</w:t>
      </w:r>
    </w:p>
    <w:p w:rsidR="000F16B4" w:rsidRPr="00B44325" w:rsidRDefault="000F16B4" w:rsidP="00B44325">
      <w:pPr>
        <w:rPr>
          <w:shd w:val="clear" w:color="auto" w:fill="FFFFFF"/>
        </w:rPr>
      </w:pPr>
      <w:r w:rsidRPr="00B44325">
        <w:rPr>
          <w:shd w:val="clear" w:color="auto" w:fill="FFFFFF"/>
        </w:rPr>
        <w:t xml:space="preserve">emeritus, </w:t>
      </w:r>
      <w:r>
        <w:rPr>
          <w:shd w:val="clear" w:color="auto" w:fill="FFFFFF"/>
        </w:rPr>
        <w:t>(</w:t>
      </w:r>
      <w:r w:rsidRPr="00B44325">
        <w:rPr>
          <w:shd w:val="clear" w:color="auto" w:fill="FFFFFF"/>
        </w:rPr>
        <w:t>2022</w:t>
      </w:r>
      <w:r>
        <w:rPr>
          <w:shd w:val="clear" w:color="auto" w:fill="FFFFFF"/>
        </w:rPr>
        <w:t>)</w:t>
      </w:r>
      <w:r w:rsidRPr="00B44325">
        <w:rPr>
          <w:shd w:val="clear" w:color="auto" w:fill="FFFFFF"/>
        </w:rPr>
        <w:t>. Financial Ratio: M</w:t>
      </w:r>
      <w:r>
        <w:rPr>
          <w:shd w:val="clear" w:color="auto" w:fill="FFFFFF"/>
        </w:rPr>
        <w:t xml:space="preserve">eaning, Types &amp; Uses. [Online] </w:t>
      </w:r>
      <w:r w:rsidRPr="00B44325">
        <w:rPr>
          <w:shd w:val="clear" w:color="auto" w:fill="FFFFFF"/>
        </w:rPr>
        <w:t>Available at: https://emeritu</w:t>
      </w:r>
      <w:r>
        <w:rPr>
          <w:shd w:val="clear" w:color="auto" w:fill="FFFFFF"/>
        </w:rPr>
        <w:t>s.org/in/learn/financial-ratio/</w:t>
      </w:r>
      <w:r w:rsidRPr="00B44325">
        <w:rPr>
          <w:shd w:val="clear" w:color="auto" w:fill="FFFFFF"/>
        </w:rPr>
        <w:t xml:space="preserve"> [Accessed 21 November 2022].</w:t>
      </w:r>
    </w:p>
    <w:p w:rsidR="000F16B4" w:rsidRDefault="000F16B4" w:rsidP="00F53F98">
      <w:pPr>
        <w:rPr>
          <w:shd w:val="clear" w:color="auto" w:fill="FFFFFF"/>
        </w:rPr>
      </w:pPr>
      <w:proofErr w:type="spellStart"/>
      <w:r>
        <w:rPr>
          <w:shd w:val="clear" w:color="auto" w:fill="FFFFFF"/>
        </w:rPr>
        <w:t>Gustmainar</w:t>
      </w:r>
      <w:proofErr w:type="spellEnd"/>
      <w:r>
        <w:rPr>
          <w:shd w:val="clear" w:color="auto" w:fill="FFFFFF"/>
        </w:rPr>
        <w:t xml:space="preserve">, J. and </w:t>
      </w:r>
      <w:proofErr w:type="spellStart"/>
      <w:r>
        <w:rPr>
          <w:shd w:val="clear" w:color="auto" w:fill="FFFFFF"/>
        </w:rPr>
        <w:t>Mariani</w:t>
      </w:r>
      <w:proofErr w:type="spellEnd"/>
      <w:r>
        <w:rPr>
          <w:shd w:val="clear" w:color="auto" w:fill="FFFFFF"/>
        </w:rPr>
        <w:t xml:space="preserve">, M., (2018). </w:t>
      </w:r>
      <w:proofErr w:type="spellStart"/>
      <w:r>
        <w:rPr>
          <w:shd w:val="clear" w:color="auto" w:fill="FFFFFF"/>
        </w:rPr>
        <w:t>Analisis</w:t>
      </w:r>
      <w:proofErr w:type="spellEnd"/>
      <w:r>
        <w:rPr>
          <w:shd w:val="clear" w:color="auto" w:fill="FFFFFF"/>
        </w:rPr>
        <w:t xml:space="preserve"> </w:t>
      </w:r>
      <w:proofErr w:type="spellStart"/>
      <w:r>
        <w:rPr>
          <w:shd w:val="clear" w:color="auto" w:fill="FFFFFF"/>
        </w:rPr>
        <w:t>Pengaruh</w:t>
      </w:r>
      <w:proofErr w:type="spellEnd"/>
      <w:r>
        <w:rPr>
          <w:shd w:val="clear" w:color="auto" w:fill="FFFFFF"/>
        </w:rPr>
        <w:t xml:space="preserve"> Current Ratio, Debt </w:t>
      </w:r>
      <w:proofErr w:type="gramStart"/>
      <w:r>
        <w:rPr>
          <w:shd w:val="clear" w:color="auto" w:fill="FFFFFF"/>
        </w:rPr>
        <w:t>To</w:t>
      </w:r>
      <w:proofErr w:type="gramEnd"/>
      <w:r>
        <w:rPr>
          <w:shd w:val="clear" w:color="auto" w:fill="FFFFFF"/>
        </w:rPr>
        <w:t xml:space="preserve"> Equity Ratio, Gross Profit Margin, Return On Investment, Dan Earning Per Share </w:t>
      </w:r>
      <w:proofErr w:type="spellStart"/>
      <w:r>
        <w:rPr>
          <w:shd w:val="clear" w:color="auto" w:fill="FFFFFF"/>
        </w:rPr>
        <w:t>Terhadap</w:t>
      </w:r>
      <w:proofErr w:type="spellEnd"/>
      <w:r>
        <w:rPr>
          <w:shd w:val="clear" w:color="auto" w:fill="FFFFFF"/>
        </w:rPr>
        <w:t xml:space="preserve"> </w:t>
      </w:r>
      <w:proofErr w:type="spellStart"/>
      <w:r>
        <w:rPr>
          <w:shd w:val="clear" w:color="auto" w:fill="FFFFFF"/>
        </w:rPr>
        <w:t>Harga</w:t>
      </w:r>
      <w:proofErr w:type="spellEnd"/>
      <w:r>
        <w:rPr>
          <w:shd w:val="clear" w:color="auto" w:fill="FFFFFF"/>
        </w:rPr>
        <w:t xml:space="preserve"> </w:t>
      </w:r>
      <w:proofErr w:type="spellStart"/>
      <w:r>
        <w:rPr>
          <w:shd w:val="clear" w:color="auto" w:fill="FFFFFF"/>
        </w:rPr>
        <w:t>Saham</w:t>
      </w:r>
      <w:proofErr w:type="spellEnd"/>
      <w:r>
        <w:rPr>
          <w:shd w:val="clear" w:color="auto" w:fill="FFFFFF"/>
        </w:rPr>
        <w:t xml:space="preserve"> </w:t>
      </w:r>
      <w:proofErr w:type="spellStart"/>
      <w:r>
        <w:rPr>
          <w:shd w:val="clear" w:color="auto" w:fill="FFFFFF"/>
        </w:rPr>
        <w:t>Pada</w:t>
      </w:r>
      <w:proofErr w:type="spellEnd"/>
      <w:r>
        <w:rPr>
          <w:shd w:val="clear" w:color="auto" w:fill="FFFFFF"/>
        </w:rPr>
        <w:t xml:space="preserve"> </w:t>
      </w:r>
      <w:r>
        <w:rPr>
          <w:shd w:val="clear" w:color="auto" w:fill="FFFFFF"/>
        </w:rPr>
        <w:lastRenderedPageBreak/>
        <w:t xml:space="preserve">Perusahaan LQ 45 Yang </w:t>
      </w:r>
      <w:proofErr w:type="spellStart"/>
      <w:r>
        <w:rPr>
          <w:shd w:val="clear" w:color="auto" w:fill="FFFFFF"/>
        </w:rPr>
        <w:t>Terdaftar</w:t>
      </w:r>
      <w:proofErr w:type="spellEnd"/>
      <w:r>
        <w:rPr>
          <w:shd w:val="clear" w:color="auto" w:fill="FFFFFF"/>
        </w:rPr>
        <w:t xml:space="preserve"> Di Bursa </w:t>
      </w:r>
      <w:proofErr w:type="spellStart"/>
      <w:r>
        <w:rPr>
          <w:shd w:val="clear" w:color="auto" w:fill="FFFFFF"/>
        </w:rPr>
        <w:t>Efek</w:t>
      </w:r>
      <w:proofErr w:type="spellEnd"/>
      <w:r>
        <w:rPr>
          <w:shd w:val="clear" w:color="auto" w:fill="FFFFFF"/>
        </w:rPr>
        <w:t xml:space="preserve"> Indonesia </w:t>
      </w:r>
      <w:proofErr w:type="spellStart"/>
      <w:r>
        <w:rPr>
          <w:shd w:val="clear" w:color="auto" w:fill="FFFFFF"/>
        </w:rPr>
        <w:t>Tahun</w:t>
      </w:r>
      <w:proofErr w:type="spellEnd"/>
      <w:r>
        <w:rPr>
          <w:shd w:val="clear" w:color="auto" w:fill="FFFFFF"/>
        </w:rPr>
        <w:t xml:space="preserve"> 2010-2016. </w:t>
      </w:r>
      <w:proofErr w:type="spellStart"/>
      <w:r>
        <w:rPr>
          <w:i/>
          <w:iCs/>
          <w:shd w:val="clear" w:color="auto" w:fill="FFFFFF"/>
        </w:rPr>
        <w:t>Bilancia</w:t>
      </w:r>
      <w:proofErr w:type="spellEnd"/>
      <w:r>
        <w:rPr>
          <w:i/>
          <w:iCs/>
          <w:shd w:val="clear" w:color="auto" w:fill="FFFFFF"/>
        </w:rPr>
        <w:t xml:space="preserve">: </w:t>
      </w:r>
      <w:proofErr w:type="spellStart"/>
      <w:r>
        <w:rPr>
          <w:i/>
          <w:iCs/>
          <w:shd w:val="clear" w:color="auto" w:fill="FFFFFF"/>
        </w:rPr>
        <w:t>Jurnal</w:t>
      </w:r>
      <w:proofErr w:type="spellEnd"/>
      <w:r>
        <w:rPr>
          <w:i/>
          <w:iCs/>
          <w:shd w:val="clear" w:color="auto" w:fill="FFFFFF"/>
        </w:rPr>
        <w:t xml:space="preserve"> </w:t>
      </w:r>
      <w:proofErr w:type="spellStart"/>
      <w:r>
        <w:rPr>
          <w:i/>
          <w:iCs/>
          <w:shd w:val="clear" w:color="auto" w:fill="FFFFFF"/>
        </w:rPr>
        <w:t>Ilmiah</w:t>
      </w:r>
      <w:proofErr w:type="spellEnd"/>
      <w:r>
        <w:rPr>
          <w:i/>
          <w:iCs/>
          <w:shd w:val="clear" w:color="auto" w:fill="FFFFFF"/>
        </w:rPr>
        <w:t xml:space="preserve"> </w:t>
      </w:r>
      <w:proofErr w:type="spellStart"/>
      <w:r>
        <w:rPr>
          <w:i/>
          <w:iCs/>
          <w:shd w:val="clear" w:color="auto" w:fill="FFFFFF"/>
        </w:rPr>
        <w:t>Akuntansi</w:t>
      </w:r>
      <w:proofErr w:type="spellEnd"/>
      <w:r>
        <w:rPr>
          <w:shd w:val="clear" w:color="auto" w:fill="FFFFFF"/>
        </w:rPr>
        <w:t>, </w:t>
      </w:r>
      <w:r>
        <w:rPr>
          <w:i/>
          <w:iCs/>
          <w:shd w:val="clear" w:color="auto" w:fill="FFFFFF"/>
        </w:rPr>
        <w:t>2</w:t>
      </w:r>
      <w:r>
        <w:rPr>
          <w:shd w:val="clear" w:color="auto" w:fill="FFFFFF"/>
        </w:rPr>
        <w:t>(4), pp.465-476.</w:t>
      </w:r>
    </w:p>
    <w:p w:rsidR="000F16B4" w:rsidRPr="00B44325" w:rsidRDefault="000F16B4" w:rsidP="00B44325">
      <w:pPr>
        <w:rPr>
          <w:shd w:val="clear" w:color="auto" w:fill="FFFFFF"/>
        </w:rPr>
      </w:pPr>
      <w:r w:rsidRPr="00B44325">
        <w:rPr>
          <w:shd w:val="clear" w:color="auto" w:fill="FFFFFF"/>
        </w:rPr>
        <w:t xml:space="preserve">Ingram, D., </w:t>
      </w:r>
      <w:r>
        <w:rPr>
          <w:shd w:val="clear" w:color="auto" w:fill="FFFFFF"/>
        </w:rPr>
        <w:t>(</w:t>
      </w:r>
      <w:r w:rsidRPr="00B44325">
        <w:rPr>
          <w:shd w:val="clear" w:color="auto" w:fill="FFFFFF"/>
        </w:rPr>
        <w:t>2022</w:t>
      </w:r>
      <w:r>
        <w:rPr>
          <w:shd w:val="clear" w:color="auto" w:fill="FFFFFF"/>
        </w:rPr>
        <w:t>)</w:t>
      </w:r>
      <w:r w:rsidRPr="00B44325">
        <w:rPr>
          <w:shd w:val="clear" w:color="auto" w:fill="FFFFFF"/>
        </w:rPr>
        <w:t>. The Advantages of Financial Ratios. [Online] Available at: https://smallbusiness.chron.com/advantages-financial-ratios-3973.html [Accessed 21 November 2022].</w:t>
      </w:r>
    </w:p>
    <w:p w:rsidR="000F16B4" w:rsidRDefault="000F16B4" w:rsidP="00F53F98">
      <w:pPr>
        <w:rPr>
          <w:shd w:val="clear" w:color="auto" w:fill="FFFFFF"/>
        </w:rPr>
      </w:pPr>
      <w:proofErr w:type="spellStart"/>
      <w:r>
        <w:rPr>
          <w:shd w:val="clear" w:color="auto" w:fill="FFFFFF"/>
        </w:rPr>
        <w:t>Nariswari</w:t>
      </w:r>
      <w:proofErr w:type="spellEnd"/>
      <w:r>
        <w:rPr>
          <w:shd w:val="clear" w:color="auto" w:fill="FFFFFF"/>
        </w:rPr>
        <w:t xml:space="preserve">, T.N. and </w:t>
      </w:r>
      <w:proofErr w:type="spellStart"/>
      <w:r>
        <w:rPr>
          <w:shd w:val="clear" w:color="auto" w:fill="FFFFFF"/>
        </w:rPr>
        <w:t>Nugraha</w:t>
      </w:r>
      <w:proofErr w:type="spellEnd"/>
      <w:r>
        <w:rPr>
          <w:shd w:val="clear" w:color="auto" w:fill="FFFFFF"/>
        </w:rPr>
        <w:t xml:space="preserve">, N.M., (2020). Profit growth: impact of net profit margin, gross profit margin and total </w:t>
      </w:r>
      <w:proofErr w:type="spellStart"/>
      <w:r>
        <w:rPr>
          <w:shd w:val="clear" w:color="auto" w:fill="FFFFFF"/>
        </w:rPr>
        <w:t>assests</w:t>
      </w:r>
      <w:proofErr w:type="spellEnd"/>
      <w:r>
        <w:rPr>
          <w:shd w:val="clear" w:color="auto" w:fill="FFFFFF"/>
        </w:rPr>
        <w:t xml:space="preserve"> turnover. </w:t>
      </w:r>
      <w:r>
        <w:rPr>
          <w:i/>
          <w:iCs/>
          <w:shd w:val="clear" w:color="auto" w:fill="FFFFFF"/>
        </w:rPr>
        <w:t>International Journal of Finance &amp; Banking Studies (2147-4486)</w:t>
      </w:r>
      <w:r>
        <w:rPr>
          <w:shd w:val="clear" w:color="auto" w:fill="FFFFFF"/>
        </w:rPr>
        <w:t>, </w:t>
      </w:r>
      <w:r>
        <w:rPr>
          <w:i/>
          <w:iCs/>
          <w:shd w:val="clear" w:color="auto" w:fill="FFFFFF"/>
        </w:rPr>
        <w:t>9</w:t>
      </w:r>
      <w:r>
        <w:rPr>
          <w:shd w:val="clear" w:color="auto" w:fill="FFFFFF"/>
        </w:rPr>
        <w:t>(4), pp.87-96.</w:t>
      </w:r>
    </w:p>
    <w:p w:rsidR="000F16B4" w:rsidRDefault="000F16B4" w:rsidP="00F53F98">
      <w:pPr>
        <w:rPr>
          <w:shd w:val="clear" w:color="auto" w:fill="FFFFFF"/>
        </w:rPr>
      </w:pPr>
      <w:r>
        <w:rPr>
          <w:shd w:val="clear" w:color="auto" w:fill="FFFFFF"/>
        </w:rPr>
        <w:t>Nguyen, T.N.L. and Nguyen, V.C., (2020). The determinants of profitability in listed enterprises: A study from Vietnamese stock exchange. </w:t>
      </w:r>
      <w:r>
        <w:rPr>
          <w:i/>
          <w:iCs/>
          <w:shd w:val="clear" w:color="auto" w:fill="FFFFFF"/>
        </w:rPr>
        <w:t>The Journal of Asian Finance, Economics and Business</w:t>
      </w:r>
      <w:r>
        <w:rPr>
          <w:shd w:val="clear" w:color="auto" w:fill="FFFFFF"/>
        </w:rPr>
        <w:t>, </w:t>
      </w:r>
      <w:r>
        <w:rPr>
          <w:i/>
          <w:iCs/>
          <w:shd w:val="clear" w:color="auto" w:fill="FFFFFF"/>
        </w:rPr>
        <w:t>7</w:t>
      </w:r>
      <w:r>
        <w:rPr>
          <w:shd w:val="clear" w:color="auto" w:fill="FFFFFF"/>
        </w:rPr>
        <w:t>(1), pp.47-58.</w:t>
      </w:r>
    </w:p>
    <w:p w:rsidR="000F16B4" w:rsidRDefault="000F16B4" w:rsidP="00F53F98">
      <w:pPr>
        <w:rPr>
          <w:shd w:val="clear" w:color="auto" w:fill="FFFFFF"/>
        </w:rPr>
      </w:pPr>
      <w:proofErr w:type="spellStart"/>
      <w:r>
        <w:rPr>
          <w:shd w:val="clear" w:color="auto" w:fill="FFFFFF"/>
        </w:rPr>
        <w:t>Wijaya</w:t>
      </w:r>
      <w:proofErr w:type="spellEnd"/>
      <w:r>
        <w:rPr>
          <w:shd w:val="clear" w:color="auto" w:fill="FFFFFF"/>
        </w:rPr>
        <w:t xml:space="preserve">, D.P. and </w:t>
      </w:r>
      <w:proofErr w:type="spellStart"/>
      <w:r>
        <w:rPr>
          <w:shd w:val="clear" w:color="auto" w:fill="FFFFFF"/>
        </w:rPr>
        <w:t>Sedana</w:t>
      </w:r>
      <w:proofErr w:type="spellEnd"/>
      <w:r>
        <w:rPr>
          <w:shd w:val="clear" w:color="auto" w:fill="FFFFFF"/>
        </w:rPr>
        <w:t>, I.B.P., (2020). Effects of quick ratio, return on assets and exchange rates on stock returns. </w:t>
      </w:r>
      <w:r>
        <w:rPr>
          <w:i/>
          <w:iCs/>
          <w:shd w:val="clear" w:color="auto" w:fill="FFFFFF"/>
        </w:rPr>
        <w:t>Am. J. Humanities Soc. Sci. Res</w:t>
      </w:r>
      <w:r>
        <w:rPr>
          <w:shd w:val="clear" w:color="auto" w:fill="FFFFFF"/>
        </w:rPr>
        <w:t>, </w:t>
      </w:r>
      <w:r>
        <w:rPr>
          <w:i/>
          <w:iCs/>
          <w:shd w:val="clear" w:color="auto" w:fill="FFFFFF"/>
        </w:rPr>
        <w:t>4</w:t>
      </w:r>
      <w:r>
        <w:rPr>
          <w:shd w:val="clear" w:color="auto" w:fill="FFFFFF"/>
        </w:rPr>
        <w:t>, pp.323-329.</w:t>
      </w:r>
    </w:p>
    <w:p w:rsidR="000F16B4" w:rsidRDefault="000F16B4" w:rsidP="00B44325">
      <w:pPr>
        <w:rPr>
          <w:shd w:val="clear" w:color="auto" w:fill="FFFFFF"/>
        </w:rPr>
      </w:pPr>
      <w:proofErr w:type="spellStart"/>
      <w:r>
        <w:rPr>
          <w:shd w:val="clear" w:color="auto" w:fill="FFFFFF"/>
        </w:rPr>
        <w:t>Yüksel</w:t>
      </w:r>
      <w:proofErr w:type="spellEnd"/>
      <w:r>
        <w:rPr>
          <w:shd w:val="clear" w:color="auto" w:fill="FFFFFF"/>
        </w:rPr>
        <w:t xml:space="preserve">, S., </w:t>
      </w:r>
      <w:proofErr w:type="spellStart"/>
      <w:r>
        <w:rPr>
          <w:shd w:val="clear" w:color="auto" w:fill="FFFFFF"/>
        </w:rPr>
        <w:t>Mukhtarov</w:t>
      </w:r>
      <w:proofErr w:type="spellEnd"/>
      <w:r>
        <w:rPr>
          <w:shd w:val="clear" w:color="auto" w:fill="FFFFFF"/>
        </w:rPr>
        <w:t xml:space="preserve">, S., </w:t>
      </w:r>
      <w:proofErr w:type="spellStart"/>
      <w:r>
        <w:rPr>
          <w:shd w:val="clear" w:color="auto" w:fill="FFFFFF"/>
        </w:rPr>
        <w:t>Mammadov</w:t>
      </w:r>
      <w:proofErr w:type="spellEnd"/>
      <w:r>
        <w:rPr>
          <w:shd w:val="clear" w:color="auto" w:fill="FFFFFF"/>
        </w:rPr>
        <w:t xml:space="preserve">, E. and </w:t>
      </w:r>
      <w:proofErr w:type="spellStart"/>
      <w:r>
        <w:rPr>
          <w:shd w:val="clear" w:color="auto" w:fill="FFFFFF"/>
        </w:rPr>
        <w:t>Özsarı</w:t>
      </w:r>
      <w:proofErr w:type="spellEnd"/>
      <w:r>
        <w:rPr>
          <w:shd w:val="clear" w:color="auto" w:fill="FFFFFF"/>
        </w:rPr>
        <w:t>, M., (2018). Determinants of profitability in the banking sector: an analysis of post-soviet countries. </w:t>
      </w:r>
      <w:r>
        <w:rPr>
          <w:i/>
          <w:iCs/>
          <w:shd w:val="clear" w:color="auto" w:fill="FFFFFF"/>
        </w:rPr>
        <w:t>Economies</w:t>
      </w:r>
      <w:r>
        <w:rPr>
          <w:shd w:val="clear" w:color="auto" w:fill="FFFFFF"/>
        </w:rPr>
        <w:t>, </w:t>
      </w:r>
      <w:r>
        <w:rPr>
          <w:i/>
          <w:iCs/>
          <w:shd w:val="clear" w:color="auto" w:fill="FFFFFF"/>
        </w:rPr>
        <w:t>6</w:t>
      </w:r>
      <w:r>
        <w:rPr>
          <w:shd w:val="clear" w:color="auto" w:fill="FFFFFF"/>
        </w:rPr>
        <w:t>(3), p.41.</w:t>
      </w:r>
    </w:p>
    <w:p w:rsidR="00B44325" w:rsidRDefault="00B44325" w:rsidP="00F53F98">
      <w:pPr>
        <w:rPr>
          <w:shd w:val="clear" w:color="auto" w:fill="FFFFFF"/>
        </w:rPr>
      </w:pPr>
    </w:p>
    <w:sectPr w:rsidR="00B44325" w:rsidSect="00EA528C">
      <w:headerReference w:type="default" r:id="rId12"/>
      <w:footerReference w:type="defaul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50C2A" w:rsidRDefault="00050C2A">
      <w:pPr>
        <w:spacing w:after="0" w:line="240" w:lineRule="auto"/>
      </w:pPr>
      <w:r>
        <w:separator/>
      </w:r>
    </w:p>
  </w:endnote>
  <w:endnote w:type="continuationSeparator" w:id="0">
    <w:p w:rsidR="00050C2A" w:rsidRDefault="00050C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43151733"/>
      <w:docPartObj>
        <w:docPartGallery w:val="Page Numbers (Bottom of Page)"/>
        <w:docPartUnique/>
      </w:docPartObj>
    </w:sdtPr>
    <w:sdtEndPr/>
    <w:sdtContent>
      <w:sdt>
        <w:sdtPr>
          <w:id w:val="-1769616900"/>
          <w:docPartObj>
            <w:docPartGallery w:val="Page Numbers (Top of Page)"/>
            <w:docPartUnique/>
          </w:docPartObj>
        </w:sdtPr>
        <w:sdtEndPr/>
        <w:sdtContent>
          <w:p w:rsidR="00762A31" w:rsidRDefault="00EC7FEC">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FA3E4F">
              <w:rPr>
                <w:b/>
                <w:bCs/>
                <w:noProof/>
              </w:rPr>
              <w:t>16</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FA3E4F">
              <w:rPr>
                <w:b/>
                <w:bCs/>
                <w:noProof/>
              </w:rPr>
              <w:t>16</w:t>
            </w:r>
            <w:r>
              <w:rPr>
                <w:b/>
                <w:bCs/>
                <w:szCs w:val="24"/>
              </w:rPr>
              <w:fldChar w:fldCharType="end"/>
            </w:r>
          </w:p>
        </w:sdtContent>
      </w:sdt>
    </w:sdtContent>
  </w:sdt>
  <w:p w:rsidR="00762A31" w:rsidRDefault="00762A31">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50C2A" w:rsidRDefault="00050C2A">
      <w:pPr>
        <w:spacing w:after="0" w:line="240" w:lineRule="auto"/>
      </w:pPr>
      <w:r>
        <w:separator/>
      </w:r>
    </w:p>
  </w:footnote>
  <w:footnote w:type="continuationSeparator" w:id="0">
    <w:p w:rsidR="00050C2A" w:rsidRDefault="00050C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62A31" w:rsidRDefault="00EC7FEC" w:rsidP="00EA528C">
    <w:pPr>
      <w:pStyle w:val="Header"/>
      <w:jc w:val="right"/>
    </w:pPr>
    <w:r>
      <w:t>Financial Management for the Hotel Industry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528C"/>
    <w:rsid w:val="0000423A"/>
    <w:rsid w:val="000317A2"/>
    <w:rsid w:val="00050C2A"/>
    <w:rsid w:val="00082B31"/>
    <w:rsid w:val="000B5ECE"/>
    <w:rsid w:val="000F16B4"/>
    <w:rsid w:val="000F1DD4"/>
    <w:rsid w:val="00121B7C"/>
    <w:rsid w:val="00130AAA"/>
    <w:rsid w:val="00143CD7"/>
    <w:rsid w:val="00151399"/>
    <w:rsid w:val="0019435A"/>
    <w:rsid w:val="001E4EAE"/>
    <w:rsid w:val="00217A2F"/>
    <w:rsid w:val="00275843"/>
    <w:rsid w:val="00290E11"/>
    <w:rsid w:val="003525DF"/>
    <w:rsid w:val="00361681"/>
    <w:rsid w:val="00417025"/>
    <w:rsid w:val="00427E50"/>
    <w:rsid w:val="00433F26"/>
    <w:rsid w:val="00454168"/>
    <w:rsid w:val="00473AFD"/>
    <w:rsid w:val="004B2265"/>
    <w:rsid w:val="004C7700"/>
    <w:rsid w:val="004F55CA"/>
    <w:rsid w:val="00523D82"/>
    <w:rsid w:val="00582E1D"/>
    <w:rsid w:val="00617F53"/>
    <w:rsid w:val="0068738C"/>
    <w:rsid w:val="006B0D20"/>
    <w:rsid w:val="00703C05"/>
    <w:rsid w:val="00750F7F"/>
    <w:rsid w:val="00762A31"/>
    <w:rsid w:val="00772403"/>
    <w:rsid w:val="007D3397"/>
    <w:rsid w:val="007E28CA"/>
    <w:rsid w:val="007F1A62"/>
    <w:rsid w:val="00813111"/>
    <w:rsid w:val="0081732F"/>
    <w:rsid w:val="00847967"/>
    <w:rsid w:val="00854DFF"/>
    <w:rsid w:val="00862FAD"/>
    <w:rsid w:val="00887441"/>
    <w:rsid w:val="008A2BDF"/>
    <w:rsid w:val="00940D0A"/>
    <w:rsid w:val="00976C8F"/>
    <w:rsid w:val="009C51F5"/>
    <w:rsid w:val="00A42CA3"/>
    <w:rsid w:val="00A5486B"/>
    <w:rsid w:val="00A874AA"/>
    <w:rsid w:val="00AA312D"/>
    <w:rsid w:val="00AA6F74"/>
    <w:rsid w:val="00B04088"/>
    <w:rsid w:val="00B061A6"/>
    <w:rsid w:val="00B13032"/>
    <w:rsid w:val="00B43D93"/>
    <w:rsid w:val="00B44325"/>
    <w:rsid w:val="00B90BE8"/>
    <w:rsid w:val="00BC030A"/>
    <w:rsid w:val="00BC2C13"/>
    <w:rsid w:val="00C06D52"/>
    <w:rsid w:val="00C94AA5"/>
    <w:rsid w:val="00D004B4"/>
    <w:rsid w:val="00D0052C"/>
    <w:rsid w:val="00D05DAE"/>
    <w:rsid w:val="00E31204"/>
    <w:rsid w:val="00E81B01"/>
    <w:rsid w:val="00EA041A"/>
    <w:rsid w:val="00EA528C"/>
    <w:rsid w:val="00EC7FEC"/>
    <w:rsid w:val="00ED4C6F"/>
    <w:rsid w:val="00ED78B8"/>
    <w:rsid w:val="00EE3577"/>
    <w:rsid w:val="00F25D80"/>
    <w:rsid w:val="00F440B9"/>
    <w:rsid w:val="00F53F98"/>
    <w:rsid w:val="00F7404A"/>
    <w:rsid w:val="00FA11FB"/>
    <w:rsid w:val="00FA3E4F"/>
    <w:rsid w:val="00FB2C06"/>
    <w:rsid w:val="00FE60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265138"/>
  <w15:chartTrackingRefBased/>
  <w15:docId w15:val="{F02E5C11-6701-45F8-A873-787761D4B2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F1A62"/>
    <w:pPr>
      <w:spacing w:line="48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D004B4"/>
    <w:pPr>
      <w:keepNext/>
      <w:keepLines/>
      <w:spacing w:before="240" w:after="0"/>
      <w:outlineLvl w:val="0"/>
    </w:pPr>
    <w:rPr>
      <w:rFonts w:eastAsia="Times New Roman" w:cs="Times New Roman"/>
      <w:b/>
      <w:sz w:val="28"/>
      <w:szCs w:val="24"/>
    </w:rPr>
  </w:style>
  <w:style w:type="paragraph" w:styleId="Heading2">
    <w:name w:val="heading 2"/>
    <w:basedOn w:val="Normal"/>
    <w:next w:val="Normal"/>
    <w:link w:val="Heading2Char"/>
    <w:autoRedefine/>
    <w:uiPriority w:val="9"/>
    <w:unhideWhenUsed/>
    <w:qFormat/>
    <w:rsid w:val="001E4EAE"/>
    <w:pPr>
      <w:keepNext/>
      <w:keepLines/>
      <w:spacing w:before="40" w:after="0"/>
      <w:outlineLvl w:val="1"/>
    </w:pPr>
    <w:rPr>
      <w:b/>
      <w:sz w:val="26"/>
      <w:szCs w:val="44"/>
    </w:rPr>
  </w:style>
  <w:style w:type="paragraph" w:styleId="Heading3">
    <w:name w:val="heading 3"/>
    <w:basedOn w:val="Normal"/>
    <w:next w:val="Normal"/>
    <w:link w:val="Heading3Char"/>
    <w:autoRedefine/>
    <w:uiPriority w:val="9"/>
    <w:unhideWhenUsed/>
    <w:qFormat/>
    <w:rsid w:val="00940D0A"/>
    <w:pPr>
      <w:keepNext/>
      <w:keepLines/>
      <w:spacing w:before="40" w:after="0"/>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04B4"/>
    <w:rPr>
      <w:rFonts w:ascii="Times New Roman" w:eastAsia="Times New Roman" w:hAnsi="Times New Roman" w:cs="Times New Roman"/>
      <w:b/>
      <w:sz w:val="28"/>
      <w:szCs w:val="24"/>
    </w:rPr>
  </w:style>
  <w:style w:type="character" w:customStyle="1" w:styleId="Heading2Char">
    <w:name w:val="Heading 2 Char"/>
    <w:basedOn w:val="DefaultParagraphFont"/>
    <w:link w:val="Heading2"/>
    <w:uiPriority w:val="9"/>
    <w:rsid w:val="001E4EAE"/>
    <w:rPr>
      <w:rFonts w:ascii="Times New Roman" w:hAnsi="Times New Roman"/>
      <w:b/>
      <w:sz w:val="26"/>
      <w:szCs w:val="44"/>
    </w:rPr>
  </w:style>
  <w:style w:type="character" w:customStyle="1" w:styleId="Heading3Char">
    <w:name w:val="Heading 3 Char"/>
    <w:basedOn w:val="DefaultParagraphFont"/>
    <w:link w:val="Heading3"/>
    <w:uiPriority w:val="9"/>
    <w:rsid w:val="00940D0A"/>
    <w:rPr>
      <w:rFonts w:ascii="Times New Roman" w:eastAsiaTheme="majorEastAsia" w:hAnsi="Times New Roman" w:cstheme="majorBidi"/>
      <w:sz w:val="24"/>
      <w:szCs w:val="24"/>
    </w:rPr>
  </w:style>
  <w:style w:type="paragraph" w:styleId="NoSpacing">
    <w:name w:val="No Spacing"/>
    <w:uiPriority w:val="1"/>
    <w:qFormat/>
    <w:rsid w:val="00A42CA3"/>
    <w:pPr>
      <w:spacing w:before="120" w:after="120" w:line="480" w:lineRule="auto"/>
      <w:jc w:val="both"/>
    </w:pPr>
    <w:rPr>
      <w:rFonts w:ascii="Times New Roman" w:eastAsia="Times New Roman" w:hAnsi="Times New Roman" w:cs="Times New Roman"/>
      <w:sz w:val="24"/>
      <w:szCs w:val="24"/>
    </w:rPr>
  </w:style>
  <w:style w:type="paragraph" w:customStyle="1" w:styleId="Hedn2">
    <w:name w:val="Hedn2"/>
    <w:basedOn w:val="Normal"/>
    <w:autoRedefine/>
    <w:qFormat/>
    <w:rsid w:val="00B90BE8"/>
    <w:pPr>
      <w:spacing w:after="0"/>
    </w:pPr>
    <w:rPr>
      <w:rFonts w:eastAsia="Times New Roman" w:cs="Times New Roman"/>
      <w:b/>
      <w:sz w:val="26"/>
      <w:szCs w:val="24"/>
    </w:rPr>
  </w:style>
  <w:style w:type="paragraph" w:styleId="Header">
    <w:name w:val="header"/>
    <w:basedOn w:val="Normal"/>
    <w:link w:val="HeaderChar"/>
    <w:uiPriority w:val="99"/>
    <w:unhideWhenUsed/>
    <w:rsid w:val="00EA528C"/>
    <w:pPr>
      <w:tabs>
        <w:tab w:val="center" w:pos="4680"/>
        <w:tab w:val="right" w:pos="9360"/>
      </w:tabs>
      <w:spacing w:after="0" w:line="240" w:lineRule="auto"/>
    </w:pPr>
  </w:style>
  <w:style w:type="character" w:customStyle="1" w:styleId="HeaderChar">
    <w:name w:val="Header Char"/>
    <w:basedOn w:val="DefaultParagraphFont"/>
    <w:link w:val="Header"/>
    <w:uiPriority w:val="99"/>
    <w:rsid w:val="00EA528C"/>
    <w:rPr>
      <w:rFonts w:ascii="Times New Roman" w:hAnsi="Times New Roman"/>
      <w:sz w:val="24"/>
    </w:rPr>
  </w:style>
  <w:style w:type="paragraph" w:styleId="Footer">
    <w:name w:val="footer"/>
    <w:basedOn w:val="Normal"/>
    <w:link w:val="FooterChar"/>
    <w:uiPriority w:val="99"/>
    <w:unhideWhenUsed/>
    <w:rsid w:val="00EA528C"/>
    <w:pPr>
      <w:tabs>
        <w:tab w:val="center" w:pos="4680"/>
        <w:tab w:val="right" w:pos="9360"/>
      </w:tabs>
      <w:spacing w:after="0" w:line="240" w:lineRule="auto"/>
    </w:pPr>
  </w:style>
  <w:style w:type="character" w:customStyle="1" w:styleId="FooterChar">
    <w:name w:val="Footer Char"/>
    <w:basedOn w:val="DefaultParagraphFont"/>
    <w:link w:val="Footer"/>
    <w:uiPriority w:val="99"/>
    <w:rsid w:val="00EA528C"/>
    <w:rPr>
      <w:rFonts w:ascii="Times New Roman" w:hAnsi="Times New Roman"/>
      <w:sz w:val="24"/>
    </w:rPr>
  </w:style>
  <w:style w:type="table" w:styleId="TableGrid">
    <w:name w:val="Table Grid"/>
    <w:basedOn w:val="TableNormal"/>
    <w:uiPriority w:val="39"/>
    <w:rsid w:val="006B0D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6">
    <w:name w:val="Grid Table 4 Accent 6"/>
    <w:basedOn w:val="TableNormal"/>
    <w:uiPriority w:val="49"/>
    <w:rsid w:val="00FE60E6"/>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Bibliography">
    <w:name w:val="Bibliography"/>
    <w:basedOn w:val="Normal"/>
    <w:next w:val="Normal"/>
    <w:uiPriority w:val="37"/>
    <w:unhideWhenUsed/>
    <w:rsid w:val="00B44325"/>
  </w:style>
  <w:style w:type="paragraph" w:styleId="TOCHeading">
    <w:name w:val="TOC Heading"/>
    <w:basedOn w:val="Heading1"/>
    <w:next w:val="Normal"/>
    <w:uiPriority w:val="39"/>
    <w:unhideWhenUsed/>
    <w:qFormat/>
    <w:rsid w:val="00361681"/>
    <w:pPr>
      <w:spacing w:line="259" w:lineRule="auto"/>
      <w:jc w:val="left"/>
      <w:outlineLvl w:val="9"/>
    </w:pPr>
    <w:rPr>
      <w:rFonts w:asciiTheme="majorHAnsi" w:eastAsiaTheme="majorEastAsia" w:hAnsiTheme="majorHAnsi" w:cstheme="majorBidi"/>
      <w:b w:val="0"/>
      <w:color w:val="2E74B5" w:themeColor="accent1" w:themeShade="BF"/>
      <w:sz w:val="32"/>
      <w:szCs w:val="32"/>
    </w:rPr>
  </w:style>
  <w:style w:type="paragraph" w:styleId="TOC1">
    <w:name w:val="toc 1"/>
    <w:basedOn w:val="Normal"/>
    <w:next w:val="Normal"/>
    <w:autoRedefine/>
    <w:uiPriority w:val="39"/>
    <w:unhideWhenUsed/>
    <w:rsid w:val="00361681"/>
    <w:pPr>
      <w:spacing w:after="100"/>
    </w:pPr>
  </w:style>
  <w:style w:type="paragraph" w:styleId="TOC2">
    <w:name w:val="toc 2"/>
    <w:basedOn w:val="Normal"/>
    <w:next w:val="Normal"/>
    <w:autoRedefine/>
    <w:uiPriority w:val="39"/>
    <w:unhideWhenUsed/>
    <w:rsid w:val="00361681"/>
    <w:pPr>
      <w:spacing w:after="100"/>
      <w:ind w:left="240"/>
    </w:pPr>
  </w:style>
  <w:style w:type="character" w:styleId="Hyperlink">
    <w:name w:val="Hyperlink"/>
    <w:basedOn w:val="DefaultParagraphFont"/>
    <w:uiPriority w:val="99"/>
    <w:unhideWhenUsed/>
    <w:rsid w:val="0036168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3331653">
      <w:bodyDiv w:val="1"/>
      <w:marLeft w:val="0"/>
      <w:marRight w:val="0"/>
      <w:marTop w:val="0"/>
      <w:marBottom w:val="0"/>
      <w:divBdr>
        <w:top w:val="none" w:sz="0" w:space="0" w:color="auto"/>
        <w:left w:val="none" w:sz="0" w:space="0" w:color="auto"/>
        <w:bottom w:val="none" w:sz="0" w:space="0" w:color="auto"/>
        <w:right w:val="none" w:sz="0" w:space="0" w:color="auto"/>
      </w:divBdr>
    </w:div>
    <w:div w:id="148330240">
      <w:bodyDiv w:val="1"/>
      <w:marLeft w:val="0"/>
      <w:marRight w:val="0"/>
      <w:marTop w:val="0"/>
      <w:marBottom w:val="0"/>
      <w:divBdr>
        <w:top w:val="none" w:sz="0" w:space="0" w:color="auto"/>
        <w:left w:val="none" w:sz="0" w:space="0" w:color="auto"/>
        <w:bottom w:val="none" w:sz="0" w:space="0" w:color="auto"/>
        <w:right w:val="none" w:sz="0" w:space="0" w:color="auto"/>
      </w:divBdr>
    </w:div>
    <w:div w:id="233201317">
      <w:bodyDiv w:val="1"/>
      <w:marLeft w:val="0"/>
      <w:marRight w:val="0"/>
      <w:marTop w:val="0"/>
      <w:marBottom w:val="0"/>
      <w:divBdr>
        <w:top w:val="none" w:sz="0" w:space="0" w:color="auto"/>
        <w:left w:val="none" w:sz="0" w:space="0" w:color="auto"/>
        <w:bottom w:val="none" w:sz="0" w:space="0" w:color="auto"/>
        <w:right w:val="none" w:sz="0" w:space="0" w:color="auto"/>
      </w:divBdr>
    </w:div>
    <w:div w:id="291785151">
      <w:bodyDiv w:val="1"/>
      <w:marLeft w:val="0"/>
      <w:marRight w:val="0"/>
      <w:marTop w:val="0"/>
      <w:marBottom w:val="0"/>
      <w:divBdr>
        <w:top w:val="none" w:sz="0" w:space="0" w:color="auto"/>
        <w:left w:val="none" w:sz="0" w:space="0" w:color="auto"/>
        <w:bottom w:val="none" w:sz="0" w:space="0" w:color="auto"/>
        <w:right w:val="none" w:sz="0" w:space="0" w:color="auto"/>
      </w:divBdr>
    </w:div>
    <w:div w:id="479539517">
      <w:bodyDiv w:val="1"/>
      <w:marLeft w:val="0"/>
      <w:marRight w:val="0"/>
      <w:marTop w:val="0"/>
      <w:marBottom w:val="0"/>
      <w:divBdr>
        <w:top w:val="none" w:sz="0" w:space="0" w:color="auto"/>
        <w:left w:val="none" w:sz="0" w:space="0" w:color="auto"/>
        <w:bottom w:val="none" w:sz="0" w:space="0" w:color="auto"/>
        <w:right w:val="none" w:sz="0" w:space="0" w:color="auto"/>
      </w:divBdr>
    </w:div>
    <w:div w:id="1203521076">
      <w:bodyDiv w:val="1"/>
      <w:marLeft w:val="0"/>
      <w:marRight w:val="0"/>
      <w:marTop w:val="0"/>
      <w:marBottom w:val="0"/>
      <w:divBdr>
        <w:top w:val="none" w:sz="0" w:space="0" w:color="auto"/>
        <w:left w:val="none" w:sz="0" w:space="0" w:color="auto"/>
        <w:bottom w:val="none" w:sz="0" w:space="0" w:color="auto"/>
        <w:right w:val="none" w:sz="0" w:space="0" w:color="auto"/>
      </w:divBdr>
    </w:div>
    <w:div w:id="1263681136">
      <w:bodyDiv w:val="1"/>
      <w:marLeft w:val="0"/>
      <w:marRight w:val="0"/>
      <w:marTop w:val="0"/>
      <w:marBottom w:val="0"/>
      <w:divBdr>
        <w:top w:val="none" w:sz="0" w:space="0" w:color="auto"/>
        <w:left w:val="none" w:sz="0" w:space="0" w:color="auto"/>
        <w:bottom w:val="none" w:sz="0" w:space="0" w:color="auto"/>
        <w:right w:val="none" w:sz="0" w:space="0" w:color="auto"/>
      </w:divBdr>
    </w:div>
    <w:div w:id="1599026195">
      <w:bodyDiv w:val="1"/>
      <w:marLeft w:val="0"/>
      <w:marRight w:val="0"/>
      <w:marTop w:val="0"/>
      <w:marBottom w:val="0"/>
      <w:divBdr>
        <w:top w:val="none" w:sz="0" w:space="0" w:color="auto"/>
        <w:left w:val="none" w:sz="0" w:space="0" w:color="auto"/>
        <w:bottom w:val="none" w:sz="0" w:space="0" w:color="auto"/>
        <w:right w:val="none" w:sz="0" w:space="0" w:color="auto"/>
      </w:divBdr>
    </w:div>
    <w:div w:id="20604760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5.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chart" Target="charts/chart4.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TH\Downloads\Catalina%20Miron_(Financial%20Managemen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TH\Downloads\Catalina%20Miron_(Financial%20Managemen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TH\Downloads\Catalina%20Miron_(Financial%20Managemen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TH\Downloads\Catalina%20Miron_(Financial%20Managemen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TH\Downloads\Catalina%20Miron_(Financial%20Management).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Sheet1!$B$4</c:f>
              <c:strCache>
                <c:ptCount val="1"/>
                <c:pt idx="0">
                  <c:v>Operating profit ratio </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Sheet1!$C$3:$D$3</c:f>
              <c:numCache>
                <c:formatCode>General</c:formatCode>
                <c:ptCount val="2"/>
                <c:pt idx="0">
                  <c:v>2020</c:v>
                </c:pt>
                <c:pt idx="1">
                  <c:v>2021</c:v>
                </c:pt>
              </c:numCache>
            </c:numRef>
          </c:cat>
          <c:val>
            <c:numRef>
              <c:f>Sheet1!$C$4:$D$4</c:f>
              <c:numCache>
                <c:formatCode>General</c:formatCode>
                <c:ptCount val="2"/>
                <c:pt idx="0">
                  <c:v>0.79</c:v>
                </c:pt>
                <c:pt idx="1">
                  <c:v>12.62</c:v>
                </c:pt>
              </c:numCache>
            </c:numRef>
          </c:val>
          <c:extLst>
            <c:ext xmlns:c16="http://schemas.microsoft.com/office/drawing/2014/chart" uri="{C3380CC4-5D6E-409C-BE32-E72D297353CC}">
              <c16:uniqueId val="{00000000-A8E2-4A19-A052-7DB00C9E3199}"/>
            </c:ext>
          </c:extLst>
        </c:ser>
        <c:dLbls>
          <c:dLblPos val="outEnd"/>
          <c:showLegendKey val="0"/>
          <c:showVal val="1"/>
          <c:showCatName val="0"/>
          <c:showSerName val="0"/>
          <c:showPercent val="0"/>
          <c:showBubbleSize val="0"/>
        </c:dLbls>
        <c:gapWidth val="182"/>
        <c:axId val="558193640"/>
        <c:axId val="507704584"/>
      </c:barChart>
      <c:catAx>
        <c:axId val="558193640"/>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Year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7704584"/>
        <c:crosses val="autoZero"/>
        <c:auto val="1"/>
        <c:lblAlgn val="ctr"/>
        <c:lblOffset val="100"/>
        <c:noMultiLvlLbl val="0"/>
      </c:catAx>
      <c:valAx>
        <c:axId val="507704584"/>
        <c:scaling>
          <c:orientation val="minMax"/>
        </c:scaling>
        <c:delete val="0"/>
        <c:axPos val="b"/>
        <c:majorGridlines>
          <c:spPr>
            <a:ln w="9525">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Profit</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8193640"/>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Sheet1!$B$21</c:f>
              <c:strCache>
                <c:ptCount val="1"/>
                <c:pt idx="0">
                  <c:v>Gross profit ratio </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Sheet1!$C$20:$D$20</c:f>
              <c:numCache>
                <c:formatCode>General</c:formatCode>
                <c:ptCount val="2"/>
                <c:pt idx="0">
                  <c:v>2020</c:v>
                </c:pt>
                <c:pt idx="1">
                  <c:v>2021</c:v>
                </c:pt>
              </c:numCache>
            </c:numRef>
          </c:cat>
          <c:val>
            <c:numRef>
              <c:f>Sheet1!$C$21:$D$21</c:f>
              <c:numCache>
                <c:formatCode>General</c:formatCode>
                <c:ptCount val="2"/>
                <c:pt idx="0">
                  <c:v>13.8</c:v>
                </c:pt>
                <c:pt idx="1">
                  <c:v>20.21</c:v>
                </c:pt>
              </c:numCache>
            </c:numRef>
          </c:val>
          <c:extLst>
            <c:ext xmlns:c16="http://schemas.microsoft.com/office/drawing/2014/chart" uri="{C3380CC4-5D6E-409C-BE32-E72D297353CC}">
              <c16:uniqueId val="{00000000-5B3C-46ED-885E-67025A417874}"/>
            </c:ext>
          </c:extLst>
        </c:ser>
        <c:dLbls>
          <c:dLblPos val="outEnd"/>
          <c:showLegendKey val="0"/>
          <c:showVal val="1"/>
          <c:showCatName val="0"/>
          <c:showSerName val="0"/>
          <c:showPercent val="0"/>
          <c:showBubbleSize val="0"/>
        </c:dLbls>
        <c:gapWidth val="182"/>
        <c:axId val="504981680"/>
        <c:axId val="504988896"/>
      </c:barChart>
      <c:catAx>
        <c:axId val="504981680"/>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Year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4988896"/>
        <c:crosses val="autoZero"/>
        <c:auto val="1"/>
        <c:lblAlgn val="ctr"/>
        <c:lblOffset val="100"/>
        <c:noMultiLvlLbl val="0"/>
      </c:catAx>
      <c:valAx>
        <c:axId val="504988896"/>
        <c:scaling>
          <c:orientation val="minMax"/>
        </c:scaling>
        <c:delete val="0"/>
        <c:axPos val="b"/>
        <c:majorGridlines>
          <c:spPr>
            <a:ln w="9525">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Gross</a:t>
                </a:r>
                <a:r>
                  <a:rPr lang="en-US" baseline="0"/>
                  <a:t> profit</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4981680"/>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Sheet1!$B$35</c:f>
              <c:strCache>
                <c:ptCount val="1"/>
                <c:pt idx="0">
                  <c:v>Current ratio</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Sheet1!$C$34:$D$34</c:f>
              <c:numCache>
                <c:formatCode>General</c:formatCode>
                <c:ptCount val="2"/>
                <c:pt idx="0">
                  <c:v>2020</c:v>
                </c:pt>
                <c:pt idx="1">
                  <c:v>2021</c:v>
                </c:pt>
              </c:numCache>
            </c:numRef>
          </c:cat>
          <c:val>
            <c:numRef>
              <c:f>Sheet1!$C$35:$D$35</c:f>
              <c:numCache>
                <c:formatCode>General</c:formatCode>
                <c:ptCount val="2"/>
                <c:pt idx="0">
                  <c:v>0.49</c:v>
                </c:pt>
                <c:pt idx="1">
                  <c:v>0.56000000000000005</c:v>
                </c:pt>
              </c:numCache>
            </c:numRef>
          </c:val>
          <c:extLst>
            <c:ext xmlns:c16="http://schemas.microsoft.com/office/drawing/2014/chart" uri="{C3380CC4-5D6E-409C-BE32-E72D297353CC}">
              <c16:uniqueId val="{00000000-9084-40E0-B94A-1D85FBA77DD1}"/>
            </c:ext>
          </c:extLst>
        </c:ser>
        <c:dLbls>
          <c:dLblPos val="outEnd"/>
          <c:showLegendKey val="0"/>
          <c:showVal val="1"/>
          <c:showCatName val="0"/>
          <c:showSerName val="0"/>
          <c:showPercent val="0"/>
          <c:showBubbleSize val="0"/>
        </c:dLbls>
        <c:gapWidth val="182"/>
        <c:axId val="499065040"/>
        <c:axId val="499066680"/>
      </c:barChart>
      <c:catAx>
        <c:axId val="499065040"/>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Year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9066680"/>
        <c:crosses val="autoZero"/>
        <c:auto val="1"/>
        <c:lblAlgn val="ctr"/>
        <c:lblOffset val="100"/>
        <c:noMultiLvlLbl val="0"/>
      </c:catAx>
      <c:valAx>
        <c:axId val="499066680"/>
        <c:scaling>
          <c:orientation val="minMax"/>
        </c:scaling>
        <c:delete val="0"/>
        <c:axPos val="b"/>
        <c:majorGridlines>
          <c:spPr>
            <a:ln w="9525">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Currrent</a:t>
                </a:r>
                <a:r>
                  <a:rPr lang="en-US" baseline="0"/>
                  <a:t> ratio</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9065040"/>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Sheet1!$B$51</c:f>
              <c:strCache>
                <c:ptCount val="1"/>
                <c:pt idx="0">
                  <c:v>Quick ratio</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Sheet1!$C$50:$D$50</c:f>
              <c:numCache>
                <c:formatCode>General</c:formatCode>
                <c:ptCount val="2"/>
                <c:pt idx="0">
                  <c:v>2020</c:v>
                </c:pt>
                <c:pt idx="1">
                  <c:v>2021</c:v>
                </c:pt>
              </c:numCache>
            </c:numRef>
          </c:cat>
          <c:val>
            <c:numRef>
              <c:f>Sheet1!$C$51:$D$51</c:f>
              <c:numCache>
                <c:formatCode>General</c:formatCode>
                <c:ptCount val="2"/>
                <c:pt idx="0">
                  <c:v>0.49</c:v>
                </c:pt>
                <c:pt idx="1">
                  <c:v>0.56000000000000005</c:v>
                </c:pt>
              </c:numCache>
            </c:numRef>
          </c:val>
          <c:extLst>
            <c:ext xmlns:c16="http://schemas.microsoft.com/office/drawing/2014/chart" uri="{C3380CC4-5D6E-409C-BE32-E72D297353CC}">
              <c16:uniqueId val="{00000000-CB42-47DD-B4E1-F212E34626A5}"/>
            </c:ext>
          </c:extLst>
        </c:ser>
        <c:dLbls>
          <c:dLblPos val="outEnd"/>
          <c:showLegendKey val="0"/>
          <c:showVal val="1"/>
          <c:showCatName val="0"/>
          <c:showSerName val="0"/>
          <c:showPercent val="0"/>
          <c:showBubbleSize val="0"/>
        </c:dLbls>
        <c:gapWidth val="182"/>
        <c:axId val="499284960"/>
        <c:axId val="499286928"/>
      </c:barChart>
      <c:catAx>
        <c:axId val="499284960"/>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Year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9286928"/>
        <c:crosses val="autoZero"/>
        <c:auto val="1"/>
        <c:lblAlgn val="ctr"/>
        <c:lblOffset val="100"/>
        <c:noMultiLvlLbl val="0"/>
      </c:catAx>
      <c:valAx>
        <c:axId val="499286928"/>
        <c:scaling>
          <c:orientation val="minMax"/>
        </c:scaling>
        <c:delete val="0"/>
        <c:axPos val="b"/>
        <c:majorGridlines>
          <c:spPr>
            <a:ln w="9525">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Quick</a:t>
                </a:r>
                <a:r>
                  <a:rPr lang="en-US" baseline="0"/>
                  <a:t> Ratio</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9284960"/>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Sheet1!$B$65</c:f>
              <c:strCache>
                <c:ptCount val="1"/>
                <c:pt idx="0">
                  <c:v>Gearing ratio</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Sheet1!$C$64:$D$64</c:f>
              <c:numCache>
                <c:formatCode>General</c:formatCode>
                <c:ptCount val="2"/>
                <c:pt idx="0">
                  <c:v>2020</c:v>
                </c:pt>
                <c:pt idx="1">
                  <c:v>2021</c:v>
                </c:pt>
              </c:numCache>
            </c:numRef>
          </c:cat>
          <c:val>
            <c:numRef>
              <c:f>Sheet1!$C$65:$D$65</c:f>
              <c:numCache>
                <c:formatCode>General</c:formatCode>
                <c:ptCount val="2"/>
                <c:pt idx="0">
                  <c:v>24.13</c:v>
                </c:pt>
                <c:pt idx="1">
                  <c:v>7.16</c:v>
                </c:pt>
              </c:numCache>
            </c:numRef>
          </c:val>
          <c:extLst>
            <c:ext xmlns:c16="http://schemas.microsoft.com/office/drawing/2014/chart" uri="{C3380CC4-5D6E-409C-BE32-E72D297353CC}">
              <c16:uniqueId val="{00000000-0D2A-49C1-AC65-AF01FA371ACA}"/>
            </c:ext>
          </c:extLst>
        </c:ser>
        <c:dLbls>
          <c:dLblPos val="outEnd"/>
          <c:showLegendKey val="0"/>
          <c:showVal val="1"/>
          <c:showCatName val="0"/>
          <c:showSerName val="0"/>
          <c:showPercent val="0"/>
          <c:showBubbleSize val="0"/>
        </c:dLbls>
        <c:gapWidth val="182"/>
        <c:axId val="503262128"/>
        <c:axId val="503259176"/>
      </c:barChart>
      <c:catAx>
        <c:axId val="503262128"/>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Year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3259176"/>
        <c:crosses val="autoZero"/>
        <c:auto val="1"/>
        <c:lblAlgn val="ctr"/>
        <c:lblOffset val="100"/>
        <c:noMultiLvlLbl val="0"/>
      </c:catAx>
      <c:valAx>
        <c:axId val="503259176"/>
        <c:scaling>
          <c:orientation val="minMax"/>
        </c:scaling>
        <c:delete val="0"/>
        <c:axPos val="b"/>
        <c:majorGridlines>
          <c:spPr>
            <a:ln w="9525">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Gearing</a:t>
                </a:r>
                <a:r>
                  <a:rPr lang="en-US" baseline="0"/>
                  <a:t> Ratio</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3262128"/>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CFI2242</b:Tag>
    <b:SourceType>InternetSite</b:SourceType>
    <b:Guid>{BA459707-92CB-4032-A227-CB9EB8EA2FAE}</b:Guid>
    <b:Author>
      <b:Author>
        <b:Corporate>CFI Team</b:Corporate>
      </b:Author>
    </b:Author>
    <b:Title>Limitations of Ratio Analysis</b:Title>
    <b:Year>2022</b:Year>
    <b:YearAccessed>2022</b:YearAccessed>
    <b:MonthAccessed>November</b:MonthAccessed>
    <b:DayAccessed>20</b:DayAccessed>
    <b:URL>https://corporatefinanceinstitute.com/resources/accounting/limitations-ratio-analysis/</b:URL>
    <b:RefOrder>8</b:RefOrder>
  </b:Source>
  <b:Source>
    <b:Tag>acc2221</b:Tag>
    <b:SourceType>InternetSite</b:SourceType>
    <b:Guid>{7E74EAFD-DB9E-4B16-8EC1-0C473F933408}</b:Guid>
    <b:Author>
      <b:Author>
        <b:Corporate>accountingtools</b:Corporate>
      </b:Author>
    </b:Author>
    <b:Title>Limitations of ratio analysis</b:Title>
    <b:Year>2022</b:Year>
    <b:YearAccessed>2022</b:YearAccessed>
    <b:MonthAccessed>November</b:MonthAccessed>
    <b:DayAccessed>21</b:DayAccessed>
    <b:URL>https://www.accountingtools.com/articles/what-are-the-limitations-of-ratio-analysis.html</b:URL>
    <b:RefOrder>7</b:RefOrder>
  </b:Source>
  <b:Source>
    <b:Tag>BBC229</b:Tag>
    <b:SourceType>InternetSite</b:SourceType>
    <b:Guid>{DC6DDF27-6C8C-4D54-B23F-0FE5956A12CA}</b:Guid>
    <b:Author>
      <b:Author>
        <b:Corporate>BBC</b:Corporate>
      </b:Author>
    </b:Author>
    <b:Title>Ratios</b:Title>
    <b:Year>2022</b:Year>
    <b:YearAccessed>2022</b:YearAccessed>
    <b:MonthAccessed>November</b:MonthAccessed>
    <b:DayAccessed>21</b:DayAccessed>
    <b:URL>https://www.bbc.co.uk/bitesize/guides/zrxn47h/revision/5</b:URL>
    <b:RefOrder>6</b:RefOrder>
  </b:Source>
  <b:Source>
    <b:Tag>Dav221</b:Tag>
    <b:SourceType>InternetSite</b:SourceType>
    <b:Guid>{DA17682E-2378-44D4-A645-255FF4AE40F0}</b:Guid>
    <b:Author>
      <b:Author>
        <b:NameList>
          <b:Person>
            <b:Last>Ingram</b:Last>
            <b:First>David</b:First>
          </b:Person>
        </b:NameList>
      </b:Author>
    </b:Author>
    <b:Title>The Advantages of Financial Ratios</b:Title>
    <b:Year>2022</b:Year>
    <b:YearAccessed>2022</b:YearAccessed>
    <b:MonthAccessed>November</b:MonthAccessed>
    <b:DayAccessed>21</b:DayAccessed>
    <b:URL>https://smallbusiness.chron.com/advantages-financial-ratios-3973.html</b:URL>
    <b:RefOrder>5</b:RefOrder>
  </b:Source>
  <b:Source>
    <b:Tag>CFI2243</b:Tag>
    <b:SourceType>InternetSite</b:SourceType>
    <b:Guid>{91E2FAF7-D7FE-41D3-9ACC-B66E225FB60F}</b:Guid>
    <b:Author>
      <b:Author>
        <b:Corporate>CFI Team</b:Corporate>
      </b:Author>
    </b:Author>
    <b:Title>Ratio Analysis</b:Title>
    <b:Year>2022</b:Year>
    <b:YearAccessed>2022</b:YearAccessed>
    <b:MonthAccessed>November</b:MonthAccessed>
    <b:DayAccessed>21</b:DayAccessed>
    <b:URL>https://corporatefinanceinstitute.com/resources/accounting/ratio-analysis/</b:URL>
    <b:RefOrder>4</b:RefOrder>
  </b:Source>
  <b:Source>
    <b:Tag>eme221</b:Tag>
    <b:SourceType>InternetSite</b:SourceType>
    <b:Guid>{96DCC62A-424B-491C-B59C-EF0F580B2F23}</b:Guid>
    <b:Author>
      <b:Author>
        <b:Corporate>emeritus</b:Corporate>
      </b:Author>
    </b:Author>
    <b:Title>Financial Ratio: Meaning, Types &amp; Uses</b:Title>
    <b:Year>2022</b:Year>
    <b:YearAccessed>2022</b:YearAccessed>
    <b:MonthAccessed>November</b:MonthAccessed>
    <b:DayAccessed>21</b:DayAccessed>
    <b:URL>https://emeritus.org/in/learn/financial-ratio/</b:URL>
    <b:RefOrder>3</b:RefOrder>
  </b:Source>
  <b:Source>
    <b:Tag>CFI2244</b:Tag>
    <b:SourceType>InternetSite</b:SourceType>
    <b:Guid>{71980BA5-5162-401C-A178-2832F25B5377}</b:Guid>
    <b:Author>
      <b:Author>
        <b:Corporate>CFI Team</b:Corporate>
      </b:Author>
    </b:Author>
    <b:Title>Liquidity Ratio</b:Title>
    <b:Year>2022</b:Year>
    <b:YearAccessed>2022</b:YearAccessed>
    <b:MonthAccessed>November</b:MonthAccessed>
    <b:DayAccessed>21</b:DayAccessed>
    <b:URL>https://corporatefinanceinstitute.com/resources/accounting/liquidity-ratio/</b:URL>
    <b:RefOrder>1</b:RefOrder>
  </b:Source>
  <b:Source>
    <b:Tag>acc2222</b:Tag>
    <b:SourceType>InternetSite</b:SourceType>
    <b:Guid>{F2F99504-7CDD-4FA7-A384-2135DB21FB81}</b:Guid>
    <b:Author>
      <b:Author>
        <b:Corporate>accountingtools</b:Corporate>
      </b:Author>
    </b:Author>
    <b:Title>Liquidity ratios</b:Title>
    <b:Year>2022</b:Year>
    <b:YearAccessed>2022</b:YearAccessed>
    <b:MonthAccessed>November</b:MonthAccessed>
    <b:DayAccessed>21</b:DayAccessed>
    <b:URL>https://www.accountingtools.com/articles/liquidity-ratios</b:URL>
    <b:RefOrder>2</b:RefOrder>
  </b:Source>
</b:Sources>
</file>

<file path=customXml/itemProps1.xml><?xml version="1.0" encoding="utf-8"?>
<ds:datastoreItem xmlns:ds="http://schemas.openxmlformats.org/officeDocument/2006/customXml" ds:itemID="{5FBE07EA-EDBD-4FA2-8CA3-4D84B2447E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331</TotalTime>
  <Pages>16</Pages>
  <Words>2528</Words>
  <Characters>14415</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dc:creator>
  <cp:lastModifiedBy>Mihai Simon (2025172)</cp:lastModifiedBy>
  <cp:revision>40</cp:revision>
  <dcterms:created xsi:type="dcterms:W3CDTF">2022-11-24T06:35:00Z</dcterms:created>
  <dcterms:modified xsi:type="dcterms:W3CDTF">2022-12-06T09:46:00Z</dcterms:modified>
</cp:coreProperties>
</file>