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792" w:type="dxa"/>
        <w:tblLook w:val="04A0" w:firstRow="1" w:lastRow="0" w:firstColumn="1" w:lastColumn="0" w:noHBand="0" w:noVBand="1"/>
      </w:tblPr>
      <w:tblGrid>
        <w:gridCol w:w="2160"/>
        <w:gridCol w:w="3702"/>
        <w:gridCol w:w="2958"/>
        <w:gridCol w:w="1548"/>
      </w:tblGrid>
      <w:tr w:rsidR="00790A0C" w:rsidRPr="006C6FBD" w14:paraId="24779F84" w14:textId="77777777" w:rsidTr="00790A0C">
        <w:trPr>
          <w:trHeight w:val="170"/>
        </w:trPr>
        <w:tc>
          <w:tcPr>
            <w:tcW w:w="2160" w:type="dxa"/>
            <w:hideMark/>
          </w:tcPr>
          <w:p w14:paraId="2375DB40" w14:textId="77777777" w:rsidR="00790A0C" w:rsidRPr="006C6FBD" w:rsidRDefault="00790A0C" w:rsidP="00790A0C">
            <w:pPr>
              <w:spacing w:line="360" w:lineRule="auto"/>
              <w:rPr>
                <w:rFonts w:ascii="Arial" w:eastAsia="Times New Roman" w:hAnsi="Arial" w:cs="Arial"/>
                <w:b/>
                <w:bCs/>
                <w:kern w:val="0"/>
                <w:sz w:val="24"/>
                <w:szCs w:val="24"/>
                <w:lang w:val="en-US"/>
                <w14:ligatures w14:val="none"/>
              </w:rPr>
            </w:pPr>
            <w:r w:rsidRPr="006C6FBD">
              <w:rPr>
                <w:rFonts w:ascii="Arial" w:eastAsia="Times New Roman" w:hAnsi="Arial" w:cs="Arial"/>
                <w:b/>
                <w:bCs/>
                <w:kern w:val="0"/>
                <w:sz w:val="24"/>
                <w:szCs w:val="24"/>
                <w:lang w:val="en-US"/>
                <w14:ligatures w14:val="none"/>
              </w:rPr>
              <w:t>Student name:</w:t>
            </w:r>
          </w:p>
        </w:tc>
        <w:tc>
          <w:tcPr>
            <w:tcW w:w="3702" w:type="dxa"/>
            <w:hideMark/>
          </w:tcPr>
          <w:p w14:paraId="7B68F898" w14:textId="420E9A85" w:rsidR="00790A0C" w:rsidRPr="006C6FBD" w:rsidRDefault="00404C10" w:rsidP="00790A0C">
            <w:pPr>
              <w:spacing w:line="360" w:lineRule="auto"/>
              <w:jc w:val="center"/>
              <w:rPr>
                <w:rFonts w:ascii="Arial" w:eastAsia="Times New Roman" w:hAnsi="Arial" w:cs="Arial"/>
                <w:b/>
                <w:bCs/>
                <w:kern w:val="0"/>
                <w:sz w:val="24"/>
                <w:szCs w:val="24"/>
                <w:lang w:val="en-US"/>
                <w14:ligatures w14:val="none"/>
              </w:rPr>
            </w:pPr>
            <w:r>
              <w:rPr>
                <w:rFonts w:ascii="Arial" w:eastAsia="Times New Roman" w:hAnsi="Arial" w:cs="Arial"/>
                <w:b/>
                <w:bCs/>
                <w:kern w:val="0"/>
                <w:sz w:val="24"/>
                <w:szCs w:val="24"/>
                <w:lang w:val="en-US"/>
                <w14:ligatures w14:val="none"/>
              </w:rPr>
              <w:t>MohmedKaif Hamidali Mansuri</w:t>
            </w:r>
          </w:p>
        </w:tc>
        <w:tc>
          <w:tcPr>
            <w:tcW w:w="2958" w:type="dxa"/>
            <w:hideMark/>
          </w:tcPr>
          <w:p w14:paraId="0515D0F7" w14:textId="77777777" w:rsidR="00790A0C" w:rsidRPr="006C6FBD" w:rsidRDefault="00790A0C" w:rsidP="00790A0C">
            <w:pPr>
              <w:spacing w:line="360" w:lineRule="auto"/>
              <w:jc w:val="center"/>
              <w:rPr>
                <w:rFonts w:ascii="Arial" w:eastAsia="Times New Roman" w:hAnsi="Arial" w:cs="Arial"/>
                <w:b/>
                <w:bCs/>
                <w:kern w:val="0"/>
                <w:sz w:val="24"/>
                <w:szCs w:val="24"/>
                <w:lang w:val="en-US"/>
                <w14:ligatures w14:val="none"/>
              </w:rPr>
            </w:pPr>
            <w:r w:rsidRPr="006C6FBD">
              <w:rPr>
                <w:rFonts w:ascii="Arial" w:eastAsia="Times New Roman" w:hAnsi="Arial" w:cs="Arial"/>
                <w:b/>
                <w:bCs/>
                <w:kern w:val="0"/>
                <w:sz w:val="24"/>
                <w:szCs w:val="24"/>
                <w:lang w:val="en-US"/>
                <w14:ligatures w14:val="none"/>
              </w:rPr>
              <w:t>Student ID number:</w:t>
            </w:r>
          </w:p>
        </w:tc>
        <w:tc>
          <w:tcPr>
            <w:tcW w:w="1548" w:type="dxa"/>
            <w:hideMark/>
          </w:tcPr>
          <w:p w14:paraId="30FE3D04" w14:textId="160B3365" w:rsidR="00790A0C" w:rsidRPr="006C6FBD" w:rsidRDefault="00404C10" w:rsidP="00790A0C">
            <w:pPr>
              <w:spacing w:line="360" w:lineRule="auto"/>
              <w:jc w:val="center"/>
              <w:rPr>
                <w:rFonts w:ascii="Arial" w:eastAsia="Times New Roman" w:hAnsi="Arial" w:cs="Arial"/>
                <w:b/>
                <w:bCs/>
                <w:kern w:val="0"/>
                <w:sz w:val="24"/>
                <w:szCs w:val="24"/>
                <w:lang w:val="en-US"/>
                <w14:ligatures w14:val="none"/>
              </w:rPr>
            </w:pPr>
            <w:r w:rsidRPr="00404C10">
              <w:rPr>
                <w:rFonts w:ascii="Arial" w:eastAsia="Times New Roman" w:hAnsi="Arial" w:cs="Arial"/>
                <w:b/>
                <w:bCs/>
                <w:kern w:val="0"/>
                <w:sz w:val="24"/>
                <w:szCs w:val="24"/>
                <w:lang w:val="en-US"/>
                <w14:ligatures w14:val="none"/>
              </w:rPr>
              <w:t>2321459</w:t>
            </w:r>
          </w:p>
        </w:tc>
      </w:tr>
      <w:tr w:rsidR="00790A0C" w:rsidRPr="006C6FBD" w14:paraId="6605F76A" w14:textId="77777777" w:rsidTr="00790A0C">
        <w:tc>
          <w:tcPr>
            <w:tcW w:w="2160" w:type="dxa"/>
            <w:hideMark/>
          </w:tcPr>
          <w:p w14:paraId="1C2F555C"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Programme:</w:t>
            </w:r>
          </w:p>
        </w:tc>
        <w:tc>
          <w:tcPr>
            <w:tcW w:w="3702" w:type="dxa"/>
            <w:hideMark/>
          </w:tcPr>
          <w:p w14:paraId="5EEA6C0F"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Master of Business Administration</w:t>
            </w:r>
          </w:p>
        </w:tc>
        <w:tc>
          <w:tcPr>
            <w:tcW w:w="2958" w:type="dxa"/>
            <w:hideMark/>
          </w:tcPr>
          <w:p w14:paraId="624059C8"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p>
        </w:tc>
        <w:tc>
          <w:tcPr>
            <w:tcW w:w="1548" w:type="dxa"/>
            <w:hideMark/>
          </w:tcPr>
          <w:p w14:paraId="59C141CB" w14:textId="77777777" w:rsidR="00790A0C" w:rsidRPr="006C6FBD" w:rsidRDefault="00790A0C" w:rsidP="00790A0C">
            <w:pPr>
              <w:spacing w:line="360" w:lineRule="auto"/>
              <w:rPr>
                <w:rFonts w:ascii="Arial" w:eastAsia="Times New Roman" w:hAnsi="Arial" w:cs="Arial"/>
                <w:kern w:val="0"/>
                <w:sz w:val="20"/>
                <w:szCs w:val="20"/>
                <w:lang w:val="en-US"/>
                <w14:ligatures w14:val="none"/>
              </w:rPr>
            </w:pPr>
          </w:p>
        </w:tc>
      </w:tr>
      <w:tr w:rsidR="00790A0C" w:rsidRPr="006C6FBD" w14:paraId="5A3589DC" w14:textId="77777777" w:rsidTr="00790A0C">
        <w:tc>
          <w:tcPr>
            <w:tcW w:w="2160" w:type="dxa"/>
            <w:hideMark/>
          </w:tcPr>
          <w:p w14:paraId="0DF18237"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Module:</w:t>
            </w:r>
          </w:p>
        </w:tc>
        <w:tc>
          <w:tcPr>
            <w:tcW w:w="3702" w:type="dxa"/>
            <w:hideMark/>
          </w:tcPr>
          <w:p w14:paraId="051D3041"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Human Capital Management</w:t>
            </w:r>
          </w:p>
        </w:tc>
        <w:tc>
          <w:tcPr>
            <w:tcW w:w="2958" w:type="dxa"/>
            <w:hideMark/>
          </w:tcPr>
          <w:p w14:paraId="4BD0F0E6"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p>
        </w:tc>
        <w:tc>
          <w:tcPr>
            <w:tcW w:w="1548" w:type="dxa"/>
            <w:hideMark/>
          </w:tcPr>
          <w:p w14:paraId="29B685BE" w14:textId="77777777" w:rsidR="00790A0C" w:rsidRPr="006C6FBD" w:rsidRDefault="00790A0C" w:rsidP="00790A0C">
            <w:pPr>
              <w:spacing w:line="360" w:lineRule="auto"/>
              <w:rPr>
                <w:rFonts w:ascii="Arial" w:eastAsia="Times New Roman" w:hAnsi="Arial" w:cs="Arial"/>
                <w:kern w:val="0"/>
                <w:sz w:val="20"/>
                <w:szCs w:val="20"/>
                <w:lang w:val="en-US"/>
                <w14:ligatures w14:val="none"/>
              </w:rPr>
            </w:pPr>
          </w:p>
        </w:tc>
      </w:tr>
      <w:tr w:rsidR="00790A0C" w:rsidRPr="006C6FBD" w14:paraId="1FF44412" w14:textId="77777777" w:rsidTr="00790A0C">
        <w:tc>
          <w:tcPr>
            <w:tcW w:w="2160" w:type="dxa"/>
            <w:hideMark/>
          </w:tcPr>
          <w:p w14:paraId="52F6B3D5"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Module code:</w:t>
            </w:r>
          </w:p>
        </w:tc>
        <w:tc>
          <w:tcPr>
            <w:tcW w:w="3702" w:type="dxa"/>
            <w:hideMark/>
          </w:tcPr>
          <w:p w14:paraId="5D5DD655"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LCMB7023</w:t>
            </w:r>
          </w:p>
        </w:tc>
        <w:tc>
          <w:tcPr>
            <w:tcW w:w="2958" w:type="dxa"/>
            <w:hideMark/>
          </w:tcPr>
          <w:p w14:paraId="73F4608E"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Contribution to Overall Module Assessment (%):</w:t>
            </w:r>
          </w:p>
        </w:tc>
        <w:tc>
          <w:tcPr>
            <w:tcW w:w="1548" w:type="dxa"/>
            <w:hideMark/>
          </w:tcPr>
          <w:p w14:paraId="01291416"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50%</w:t>
            </w:r>
          </w:p>
        </w:tc>
      </w:tr>
      <w:tr w:rsidR="00790A0C" w:rsidRPr="006C6FBD" w14:paraId="3103F475" w14:textId="77777777" w:rsidTr="00790A0C">
        <w:tc>
          <w:tcPr>
            <w:tcW w:w="2160" w:type="dxa"/>
            <w:hideMark/>
          </w:tcPr>
          <w:p w14:paraId="05E0BBA6"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Assignment Title:</w:t>
            </w:r>
          </w:p>
        </w:tc>
        <w:tc>
          <w:tcPr>
            <w:tcW w:w="3702" w:type="dxa"/>
            <w:hideMark/>
          </w:tcPr>
          <w:p w14:paraId="198B86D4"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Assessment component 1: Individual Report</w:t>
            </w:r>
          </w:p>
        </w:tc>
        <w:tc>
          <w:tcPr>
            <w:tcW w:w="2958" w:type="dxa"/>
            <w:hideMark/>
          </w:tcPr>
          <w:p w14:paraId="18C03D59" w14:textId="77777777"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b/>
                <w:bCs/>
                <w:kern w:val="0"/>
                <w:sz w:val="24"/>
                <w:szCs w:val="24"/>
                <w:lang w:val="en-US"/>
                <w14:ligatures w14:val="none"/>
              </w:rPr>
              <w:t>Word count (or equivalent):</w:t>
            </w:r>
          </w:p>
        </w:tc>
        <w:tc>
          <w:tcPr>
            <w:tcW w:w="1548" w:type="dxa"/>
            <w:hideMark/>
          </w:tcPr>
          <w:p w14:paraId="21FE3A01" w14:textId="157338FE" w:rsidR="00790A0C" w:rsidRPr="006C6FBD" w:rsidRDefault="00790A0C" w:rsidP="00790A0C">
            <w:pPr>
              <w:spacing w:line="360" w:lineRule="auto"/>
              <w:rPr>
                <w:rFonts w:ascii="Arial" w:eastAsia="Times New Roman" w:hAnsi="Arial" w:cs="Arial"/>
                <w:kern w:val="0"/>
                <w:sz w:val="24"/>
                <w:szCs w:val="24"/>
                <w:lang w:val="en-US"/>
                <w14:ligatures w14:val="none"/>
              </w:rPr>
            </w:pPr>
            <w:r w:rsidRPr="006C6FBD">
              <w:rPr>
                <w:rFonts w:ascii="Arial" w:eastAsia="Times New Roman" w:hAnsi="Arial" w:cs="Arial"/>
                <w:kern w:val="0"/>
                <w:sz w:val="24"/>
                <w:szCs w:val="24"/>
                <w:lang w:val="en-US"/>
                <w14:ligatures w14:val="none"/>
              </w:rPr>
              <w:t>27</w:t>
            </w:r>
            <w:r w:rsidR="00986F69" w:rsidRPr="006C6FBD">
              <w:rPr>
                <w:rFonts w:ascii="Arial" w:eastAsia="Times New Roman" w:hAnsi="Arial" w:cs="Arial"/>
                <w:kern w:val="0"/>
                <w:sz w:val="24"/>
                <w:szCs w:val="24"/>
                <w:lang w:val="en-US"/>
                <w14:ligatures w14:val="none"/>
              </w:rPr>
              <w:t>22</w:t>
            </w:r>
          </w:p>
        </w:tc>
      </w:tr>
    </w:tbl>
    <w:p w14:paraId="3B360B7F" w14:textId="77777777" w:rsidR="005718F9" w:rsidRPr="006C6FBD" w:rsidRDefault="005718F9" w:rsidP="005718F9">
      <w:pPr>
        <w:spacing w:line="360" w:lineRule="auto"/>
        <w:ind w:left="720" w:hanging="360"/>
        <w:jc w:val="both"/>
        <w:rPr>
          <w:rFonts w:ascii="Arial" w:hAnsi="Arial" w:cs="Arial"/>
        </w:rPr>
      </w:pPr>
    </w:p>
    <w:p w14:paraId="4AAEFD80" w14:textId="77777777" w:rsidR="005718F9" w:rsidRPr="006C6FBD" w:rsidRDefault="005718F9" w:rsidP="005718F9">
      <w:pPr>
        <w:spacing w:line="360" w:lineRule="auto"/>
        <w:ind w:left="720" w:hanging="360"/>
        <w:jc w:val="both"/>
        <w:rPr>
          <w:rFonts w:ascii="Arial" w:hAnsi="Arial" w:cs="Arial"/>
        </w:rPr>
      </w:pPr>
    </w:p>
    <w:p w14:paraId="4D4891B8" w14:textId="77777777" w:rsidR="005718F9" w:rsidRPr="006C6FBD" w:rsidRDefault="005718F9" w:rsidP="005718F9">
      <w:pPr>
        <w:spacing w:line="360" w:lineRule="auto"/>
        <w:ind w:left="720" w:hanging="360"/>
        <w:jc w:val="both"/>
        <w:rPr>
          <w:rFonts w:ascii="Arial" w:hAnsi="Arial" w:cs="Arial"/>
        </w:rPr>
      </w:pPr>
    </w:p>
    <w:p w14:paraId="67EB0B7F" w14:textId="77777777" w:rsidR="005718F9" w:rsidRPr="006C6FBD" w:rsidRDefault="005718F9" w:rsidP="005718F9">
      <w:pPr>
        <w:spacing w:line="360" w:lineRule="auto"/>
        <w:ind w:left="720" w:hanging="360"/>
        <w:jc w:val="both"/>
        <w:rPr>
          <w:rFonts w:ascii="Arial" w:hAnsi="Arial" w:cs="Arial"/>
        </w:rPr>
      </w:pPr>
    </w:p>
    <w:p w14:paraId="06C61240" w14:textId="77777777" w:rsidR="005718F9" w:rsidRPr="006C6FBD" w:rsidRDefault="005718F9" w:rsidP="005718F9">
      <w:pPr>
        <w:spacing w:line="360" w:lineRule="auto"/>
        <w:ind w:left="720" w:hanging="360"/>
        <w:jc w:val="both"/>
        <w:rPr>
          <w:rFonts w:ascii="Arial" w:hAnsi="Arial" w:cs="Arial"/>
        </w:rPr>
      </w:pPr>
    </w:p>
    <w:p w14:paraId="3EFCD35C" w14:textId="77777777" w:rsidR="005718F9" w:rsidRPr="006C6FBD" w:rsidRDefault="005718F9" w:rsidP="005718F9">
      <w:pPr>
        <w:spacing w:line="360" w:lineRule="auto"/>
        <w:ind w:left="720" w:hanging="360"/>
        <w:jc w:val="both"/>
        <w:rPr>
          <w:rFonts w:ascii="Arial" w:hAnsi="Arial" w:cs="Arial"/>
        </w:rPr>
      </w:pPr>
    </w:p>
    <w:p w14:paraId="7058C85B" w14:textId="77777777" w:rsidR="005718F9" w:rsidRPr="006C6FBD" w:rsidRDefault="005718F9" w:rsidP="005718F9">
      <w:pPr>
        <w:spacing w:line="360" w:lineRule="auto"/>
        <w:ind w:left="720" w:hanging="360"/>
        <w:jc w:val="both"/>
        <w:rPr>
          <w:rFonts w:ascii="Arial" w:hAnsi="Arial" w:cs="Arial"/>
        </w:rPr>
      </w:pPr>
    </w:p>
    <w:p w14:paraId="5EEBF6C3" w14:textId="77777777" w:rsidR="005718F9" w:rsidRPr="006C6FBD" w:rsidRDefault="005718F9" w:rsidP="005718F9">
      <w:pPr>
        <w:spacing w:line="360" w:lineRule="auto"/>
        <w:ind w:left="720" w:hanging="360"/>
        <w:jc w:val="both"/>
        <w:rPr>
          <w:rFonts w:ascii="Arial" w:hAnsi="Arial" w:cs="Arial"/>
        </w:rPr>
      </w:pPr>
    </w:p>
    <w:p w14:paraId="7EE66A67" w14:textId="77777777" w:rsidR="005718F9" w:rsidRPr="006C6FBD" w:rsidRDefault="005718F9" w:rsidP="005718F9">
      <w:pPr>
        <w:spacing w:line="360" w:lineRule="auto"/>
        <w:ind w:left="720" w:hanging="360"/>
        <w:jc w:val="both"/>
        <w:rPr>
          <w:rFonts w:ascii="Arial" w:hAnsi="Arial" w:cs="Arial"/>
        </w:rPr>
      </w:pPr>
    </w:p>
    <w:p w14:paraId="03C4BF94" w14:textId="77777777" w:rsidR="005718F9" w:rsidRPr="006C6FBD" w:rsidRDefault="005718F9" w:rsidP="005718F9">
      <w:pPr>
        <w:spacing w:line="360" w:lineRule="auto"/>
        <w:ind w:left="720" w:hanging="360"/>
        <w:jc w:val="both"/>
        <w:rPr>
          <w:rFonts w:ascii="Arial" w:hAnsi="Arial" w:cs="Arial"/>
        </w:rPr>
      </w:pPr>
    </w:p>
    <w:p w14:paraId="591E0D4B" w14:textId="77777777" w:rsidR="005718F9" w:rsidRPr="006C6FBD" w:rsidRDefault="005718F9" w:rsidP="005718F9">
      <w:pPr>
        <w:spacing w:line="360" w:lineRule="auto"/>
        <w:ind w:left="720" w:hanging="360"/>
        <w:jc w:val="both"/>
        <w:rPr>
          <w:rFonts w:ascii="Arial" w:hAnsi="Arial" w:cs="Arial"/>
        </w:rPr>
      </w:pPr>
    </w:p>
    <w:p w14:paraId="62548330" w14:textId="77777777" w:rsidR="005718F9" w:rsidRPr="006C6FBD" w:rsidRDefault="005718F9" w:rsidP="005718F9">
      <w:pPr>
        <w:spacing w:line="360" w:lineRule="auto"/>
        <w:ind w:left="720" w:hanging="360"/>
        <w:jc w:val="both"/>
        <w:rPr>
          <w:rFonts w:ascii="Arial" w:hAnsi="Arial" w:cs="Arial"/>
        </w:rPr>
      </w:pPr>
    </w:p>
    <w:p w14:paraId="42BCBC53" w14:textId="77777777" w:rsidR="005718F9" w:rsidRPr="006C6FBD" w:rsidRDefault="005718F9" w:rsidP="005718F9">
      <w:pPr>
        <w:spacing w:line="360" w:lineRule="auto"/>
        <w:ind w:left="720" w:hanging="360"/>
        <w:jc w:val="both"/>
        <w:rPr>
          <w:rFonts w:ascii="Arial" w:hAnsi="Arial" w:cs="Arial"/>
        </w:rPr>
      </w:pPr>
    </w:p>
    <w:p w14:paraId="35B83CFF" w14:textId="77777777" w:rsidR="005718F9" w:rsidRPr="006C6FBD" w:rsidRDefault="005718F9" w:rsidP="005718F9">
      <w:pPr>
        <w:spacing w:line="360" w:lineRule="auto"/>
        <w:ind w:left="720" w:hanging="360"/>
        <w:jc w:val="both"/>
        <w:rPr>
          <w:rFonts w:ascii="Arial" w:hAnsi="Arial" w:cs="Arial"/>
        </w:rPr>
      </w:pPr>
    </w:p>
    <w:p w14:paraId="074402E4" w14:textId="77777777" w:rsidR="005718F9" w:rsidRPr="006C6FBD" w:rsidRDefault="005718F9" w:rsidP="005718F9">
      <w:pPr>
        <w:spacing w:line="360" w:lineRule="auto"/>
        <w:ind w:left="720" w:hanging="360"/>
        <w:jc w:val="both"/>
        <w:rPr>
          <w:rFonts w:ascii="Arial" w:hAnsi="Arial" w:cs="Arial"/>
        </w:rPr>
      </w:pPr>
    </w:p>
    <w:p w14:paraId="5A541E97" w14:textId="77777777" w:rsidR="005718F9" w:rsidRPr="006C6FBD" w:rsidRDefault="005718F9" w:rsidP="005718F9">
      <w:pPr>
        <w:spacing w:line="360" w:lineRule="auto"/>
        <w:ind w:left="720" w:hanging="360"/>
        <w:jc w:val="both"/>
        <w:rPr>
          <w:rFonts w:ascii="Arial" w:hAnsi="Arial" w:cs="Arial"/>
        </w:rPr>
      </w:pPr>
    </w:p>
    <w:p w14:paraId="2BE190B2" w14:textId="77777777" w:rsidR="005718F9" w:rsidRPr="006C6FBD" w:rsidRDefault="005718F9" w:rsidP="00790A0C">
      <w:pPr>
        <w:spacing w:line="360" w:lineRule="auto"/>
        <w:jc w:val="both"/>
        <w:rPr>
          <w:rFonts w:ascii="Arial" w:hAnsi="Arial" w:cs="Arial"/>
        </w:rPr>
      </w:pPr>
    </w:p>
    <w:sdt>
      <w:sdtPr>
        <w:rPr>
          <w:rFonts w:ascii="Arial" w:eastAsiaTheme="minorHAnsi" w:hAnsi="Arial" w:cs="Arial"/>
          <w:color w:val="auto"/>
          <w:kern w:val="2"/>
          <w:sz w:val="22"/>
          <w:szCs w:val="22"/>
          <w:lang w:val="en-GB"/>
        </w:rPr>
        <w:id w:val="-810253876"/>
        <w:docPartObj>
          <w:docPartGallery w:val="Table of Contents"/>
          <w:docPartUnique/>
        </w:docPartObj>
      </w:sdtPr>
      <w:sdtEndPr>
        <w:rPr>
          <w:b/>
          <w:bCs/>
          <w:noProof/>
        </w:rPr>
      </w:sdtEndPr>
      <w:sdtContent>
        <w:p w14:paraId="3ACD6922" w14:textId="3EC00707" w:rsidR="005718F9" w:rsidRPr="006C6FBD" w:rsidRDefault="005718F9">
          <w:pPr>
            <w:pStyle w:val="TOCHeading"/>
            <w:rPr>
              <w:rFonts w:ascii="Arial" w:hAnsi="Arial" w:cs="Arial"/>
            </w:rPr>
          </w:pPr>
          <w:r w:rsidRPr="006C6FBD">
            <w:rPr>
              <w:rFonts w:ascii="Arial" w:hAnsi="Arial" w:cs="Arial"/>
            </w:rPr>
            <w:t>Table of Contents</w:t>
          </w:r>
        </w:p>
        <w:p w14:paraId="6596EE6F" w14:textId="71968133" w:rsidR="005718F9" w:rsidRPr="006C6FBD" w:rsidRDefault="005718F9">
          <w:pPr>
            <w:pStyle w:val="TOC1"/>
            <w:tabs>
              <w:tab w:val="left" w:pos="480"/>
              <w:tab w:val="right" w:leader="dot" w:pos="9350"/>
            </w:tabs>
            <w:rPr>
              <w:rFonts w:ascii="Arial" w:eastAsiaTheme="minorEastAsia" w:hAnsi="Arial" w:cs="Arial"/>
              <w:noProof/>
              <w:sz w:val="24"/>
              <w:szCs w:val="24"/>
              <w:lang w:val="en-US"/>
            </w:rPr>
          </w:pPr>
          <w:r w:rsidRPr="006C6FBD">
            <w:rPr>
              <w:rFonts w:ascii="Arial" w:hAnsi="Arial" w:cs="Arial"/>
            </w:rPr>
            <w:fldChar w:fldCharType="begin"/>
          </w:r>
          <w:r w:rsidRPr="006C6FBD">
            <w:rPr>
              <w:rFonts w:ascii="Arial" w:hAnsi="Arial" w:cs="Arial"/>
            </w:rPr>
            <w:instrText xml:space="preserve"> TOC \o "1-3" \h \z \u </w:instrText>
          </w:r>
          <w:r w:rsidRPr="006C6FBD">
            <w:rPr>
              <w:rFonts w:ascii="Arial" w:hAnsi="Arial" w:cs="Arial"/>
            </w:rPr>
            <w:fldChar w:fldCharType="separate"/>
          </w:r>
          <w:hyperlink w:anchor="_Toc213435762" w:history="1">
            <w:r w:rsidRPr="006C6FBD">
              <w:rPr>
                <w:rStyle w:val="Hyperlink"/>
                <w:rFonts w:ascii="Arial" w:hAnsi="Arial" w:cs="Arial"/>
                <w:iCs/>
                <w:noProof/>
                <w:lang w:val="en-US"/>
              </w:rPr>
              <w:t>1.</w:t>
            </w:r>
            <w:r w:rsidRPr="006C6FBD">
              <w:rPr>
                <w:rFonts w:ascii="Arial" w:eastAsiaTheme="minorEastAsia" w:hAnsi="Arial" w:cs="Arial"/>
                <w:noProof/>
                <w:sz w:val="24"/>
                <w:szCs w:val="24"/>
                <w:lang w:val="en-US"/>
              </w:rPr>
              <w:tab/>
            </w:r>
            <w:r w:rsidRPr="006C6FBD">
              <w:rPr>
                <w:rStyle w:val="Hyperlink"/>
                <w:rFonts w:ascii="Arial" w:hAnsi="Arial" w:cs="Arial"/>
                <w:noProof/>
                <w:lang w:val="en-US"/>
              </w:rPr>
              <w:t>Introduction</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_Toc213435762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2</w:t>
            </w:r>
            <w:r w:rsidRPr="006C6FBD">
              <w:rPr>
                <w:rFonts w:ascii="Arial" w:hAnsi="Arial" w:cs="Arial"/>
                <w:noProof/>
                <w:webHidden/>
              </w:rPr>
              <w:fldChar w:fldCharType="end"/>
            </w:r>
          </w:hyperlink>
        </w:p>
        <w:p w14:paraId="6A45F83B" w14:textId="0944047B" w:rsidR="005718F9" w:rsidRPr="006C6FBD" w:rsidRDefault="005718F9">
          <w:pPr>
            <w:pStyle w:val="TOC1"/>
            <w:tabs>
              <w:tab w:val="left" w:pos="480"/>
              <w:tab w:val="right" w:leader="dot" w:pos="9350"/>
            </w:tabs>
            <w:rPr>
              <w:rFonts w:ascii="Arial" w:eastAsiaTheme="minorEastAsia" w:hAnsi="Arial" w:cs="Arial"/>
              <w:noProof/>
              <w:sz w:val="24"/>
              <w:szCs w:val="24"/>
              <w:lang w:val="en-US"/>
            </w:rPr>
          </w:pPr>
          <w:hyperlink w:anchor="_Toc213435763" w:history="1">
            <w:r w:rsidRPr="006C6FBD">
              <w:rPr>
                <w:rStyle w:val="Hyperlink"/>
                <w:rFonts w:ascii="Arial" w:hAnsi="Arial" w:cs="Arial"/>
                <w:iCs/>
                <w:noProof/>
                <w:lang w:val="en-US"/>
              </w:rPr>
              <w:t>2.</w:t>
            </w:r>
            <w:r w:rsidRPr="006C6FBD">
              <w:rPr>
                <w:rFonts w:ascii="Arial" w:eastAsiaTheme="minorEastAsia" w:hAnsi="Arial" w:cs="Arial"/>
                <w:noProof/>
                <w:sz w:val="24"/>
                <w:szCs w:val="24"/>
                <w:lang w:val="en-US"/>
              </w:rPr>
              <w:tab/>
            </w:r>
            <w:r w:rsidRPr="006C6FBD">
              <w:rPr>
                <w:rStyle w:val="Hyperlink"/>
                <w:rFonts w:ascii="Arial" w:hAnsi="Arial" w:cs="Arial"/>
                <w:noProof/>
                <w:lang w:val="en-US"/>
              </w:rPr>
              <w:t>Technological Advancements and Implications for HRM/IHRM</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_Toc213435763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3</w:t>
            </w:r>
            <w:r w:rsidRPr="006C6FBD">
              <w:rPr>
                <w:rFonts w:ascii="Arial" w:hAnsi="Arial" w:cs="Arial"/>
                <w:noProof/>
                <w:webHidden/>
              </w:rPr>
              <w:fldChar w:fldCharType="end"/>
            </w:r>
          </w:hyperlink>
        </w:p>
        <w:p w14:paraId="1950DC75" w14:textId="0DBB1537"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64" w:history="1">
            <w:r w:rsidRPr="006C6FBD">
              <w:rPr>
                <w:rStyle w:val="Hyperlink"/>
                <w:rFonts w:ascii="Arial" w:hAnsi="Arial" w:cs="Arial"/>
                <w:noProof/>
                <w:lang w:val="en-US"/>
              </w:rPr>
              <w:t>2.1 Overview of Technological Disruption</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_Toc213435764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3</w:t>
            </w:r>
            <w:r w:rsidRPr="006C6FBD">
              <w:rPr>
                <w:rFonts w:ascii="Arial" w:hAnsi="Arial" w:cs="Arial"/>
                <w:noProof/>
                <w:webHidden/>
              </w:rPr>
              <w:fldChar w:fldCharType="end"/>
            </w:r>
          </w:hyperlink>
        </w:p>
        <w:p w14:paraId="4E2632FE" w14:textId="21E9A164"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65" w:history="1">
            <w:r w:rsidRPr="006C6FBD">
              <w:rPr>
                <w:rStyle w:val="Hyperlink"/>
                <w:rFonts w:ascii="Arial" w:hAnsi="Arial" w:cs="Arial"/>
                <w:noProof/>
                <w:lang w:val="en-US"/>
              </w:rPr>
              <w:t>2.2 Labour Market Reshaping</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_Toc213435765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4</w:t>
            </w:r>
            <w:r w:rsidRPr="006C6FBD">
              <w:rPr>
                <w:rFonts w:ascii="Arial" w:hAnsi="Arial" w:cs="Arial"/>
                <w:noProof/>
                <w:webHidden/>
              </w:rPr>
              <w:fldChar w:fldCharType="end"/>
            </w:r>
          </w:hyperlink>
        </w:p>
        <w:p w14:paraId="2A7F26D9" w14:textId="4C07C66E"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66" w:history="1">
            <w:r w:rsidRPr="006C6FBD">
              <w:rPr>
                <w:rStyle w:val="Hyperlink"/>
                <w:rFonts w:ascii="Arial" w:hAnsi="Arial" w:cs="Arial"/>
                <w:noProof/>
                <w:lang w:val="en-US"/>
              </w:rPr>
              <w:t>2.3 HRM and IHRM Implications of Strategies.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_Toc213435766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4</w:t>
            </w:r>
            <w:r w:rsidRPr="006C6FBD">
              <w:rPr>
                <w:rFonts w:ascii="Arial" w:hAnsi="Arial" w:cs="Arial"/>
                <w:noProof/>
                <w:webHidden/>
              </w:rPr>
              <w:fldChar w:fldCharType="end"/>
            </w:r>
          </w:hyperlink>
        </w:p>
        <w:p w14:paraId="6B020DE0" w14:textId="7860C527"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67" w:history="1">
            <w:r w:rsidRPr="006C6FBD">
              <w:rPr>
                <w:rStyle w:val="Hyperlink"/>
                <w:rFonts w:ascii="Arial" w:hAnsi="Arial" w:cs="Arial"/>
                <w:noProof/>
                <w:lang w:val="en-US"/>
              </w:rPr>
              <w:t>2.4 Application of resource-based view (RBV).</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_Toc213435767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4</w:t>
            </w:r>
            <w:r w:rsidRPr="006C6FBD">
              <w:rPr>
                <w:rFonts w:ascii="Arial" w:hAnsi="Arial" w:cs="Arial"/>
                <w:noProof/>
                <w:webHidden/>
              </w:rPr>
              <w:fldChar w:fldCharType="end"/>
            </w:r>
          </w:hyperlink>
        </w:p>
        <w:p w14:paraId="48DB294F" w14:textId="29840078" w:rsidR="005718F9" w:rsidRPr="006C6FBD" w:rsidRDefault="005718F9">
          <w:pPr>
            <w:pStyle w:val="TOC1"/>
            <w:tabs>
              <w:tab w:val="right" w:leader="dot" w:pos="9350"/>
            </w:tabs>
            <w:rPr>
              <w:rFonts w:ascii="Arial" w:eastAsiaTheme="minorEastAsia" w:hAnsi="Arial" w:cs="Arial"/>
              <w:noProof/>
              <w:sz w:val="24"/>
              <w:szCs w:val="24"/>
              <w:lang w:val="en-US"/>
            </w:rPr>
          </w:pPr>
          <w:hyperlink w:anchor="_Toc213435768" w:history="1">
            <w:r w:rsidRPr="006C6FBD">
              <w:rPr>
                <w:rStyle w:val="Hyperlink"/>
                <w:rFonts w:ascii="Arial" w:hAnsi="Arial" w:cs="Arial"/>
                <w:noProof/>
                <w:lang w:val="en-US"/>
              </w:rPr>
              <w:t>3. Demographic and Geopolitical Factors Affecting Employment Markets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_Toc213435768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5</w:t>
            </w:r>
            <w:r w:rsidRPr="006C6FBD">
              <w:rPr>
                <w:rFonts w:ascii="Arial" w:hAnsi="Arial" w:cs="Arial"/>
                <w:noProof/>
                <w:webHidden/>
              </w:rPr>
              <w:fldChar w:fldCharType="end"/>
            </w:r>
          </w:hyperlink>
        </w:p>
        <w:p w14:paraId="1ACC9AF0" w14:textId="14A9FF79"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69" w:history="1">
            <w:r w:rsidRPr="006C6FBD">
              <w:rPr>
                <w:rStyle w:val="Hyperlink"/>
                <w:rFonts w:ascii="Arial" w:hAnsi="Arial" w:cs="Arial"/>
                <w:noProof/>
                <w:lang w:val="en-US"/>
              </w:rPr>
              <w:t>3.1 Demographic Trends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_Toc213435769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5</w:t>
            </w:r>
            <w:r w:rsidRPr="006C6FBD">
              <w:rPr>
                <w:rFonts w:ascii="Arial" w:hAnsi="Arial" w:cs="Arial"/>
                <w:noProof/>
                <w:webHidden/>
              </w:rPr>
              <w:fldChar w:fldCharType="end"/>
            </w:r>
          </w:hyperlink>
        </w:p>
        <w:p w14:paraId="3660977E" w14:textId="08A1BE59"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0" w:history="1">
            <w:r w:rsidRPr="006C6FBD">
              <w:rPr>
                <w:rStyle w:val="Hyperlink"/>
                <w:rFonts w:ascii="Arial" w:hAnsi="Arial" w:cs="Arial"/>
                <w:noProof/>
                <w:lang w:val="en-US"/>
              </w:rPr>
              <w:t>3.2 Geopolitical Influences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_Toc213435770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5</w:t>
            </w:r>
            <w:r w:rsidRPr="006C6FBD">
              <w:rPr>
                <w:rFonts w:ascii="Arial" w:hAnsi="Arial" w:cs="Arial"/>
                <w:noProof/>
                <w:webHidden/>
              </w:rPr>
              <w:fldChar w:fldCharType="end"/>
            </w:r>
          </w:hyperlink>
        </w:p>
        <w:p w14:paraId="32A0A05B" w14:textId="439FE558"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1" w:history="1">
            <w:r w:rsidRPr="006C6FBD">
              <w:rPr>
                <w:rStyle w:val="Hyperlink"/>
                <w:rFonts w:ascii="Arial" w:hAnsi="Arial" w:cs="Arial"/>
                <w:noProof/>
                <w:lang w:val="en-US"/>
              </w:rPr>
              <w:t>3.3 HR Challenges and Responses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_Toc213435771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6</w:t>
            </w:r>
            <w:r w:rsidRPr="006C6FBD">
              <w:rPr>
                <w:rFonts w:ascii="Arial" w:hAnsi="Arial" w:cs="Arial"/>
                <w:noProof/>
                <w:webHidden/>
              </w:rPr>
              <w:fldChar w:fldCharType="end"/>
            </w:r>
          </w:hyperlink>
        </w:p>
        <w:p w14:paraId="573485E5" w14:textId="51E339BD"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2" w:history="1">
            <w:r w:rsidRPr="006C6FBD">
              <w:rPr>
                <w:rStyle w:val="Hyperlink"/>
                <w:rFonts w:ascii="Arial" w:hAnsi="Arial" w:cs="Arial"/>
                <w:noProof/>
                <w:lang w:val="en-US"/>
              </w:rPr>
              <w:t>3.4 PESTLE Analysis Theoretical Framework.</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_Toc213435772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6</w:t>
            </w:r>
            <w:r w:rsidRPr="006C6FBD">
              <w:rPr>
                <w:rFonts w:ascii="Arial" w:hAnsi="Arial" w:cs="Arial"/>
                <w:noProof/>
                <w:webHidden/>
              </w:rPr>
              <w:fldChar w:fldCharType="end"/>
            </w:r>
          </w:hyperlink>
        </w:p>
        <w:p w14:paraId="15017CEF" w14:textId="2B83C15E" w:rsidR="005718F9" w:rsidRPr="006C6FBD" w:rsidRDefault="005718F9">
          <w:pPr>
            <w:pStyle w:val="TOC1"/>
            <w:tabs>
              <w:tab w:val="right" w:leader="dot" w:pos="9350"/>
            </w:tabs>
            <w:rPr>
              <w:rFonts w:ascii="Arial" w:eastAsiaTheme="minorEastAsia" w:hAnsi="Arial" w:cs="Arial"/>
              <w:noProof/>
              <w:sz w:val="24"/>
              <w:szCs w:val="24"/>
              <w:lang w:val="en-US"/>
            </w:rPr>
          </w:pPr>
          <w:hyperlink w:anchor="_Toc213435773" w:history="1">
            <w:r w:rsidRPr="006C6FBD">
              <w:rPr>
                <w:rStyle w:val="Hyperlink"/>
                <w:rFonts w:ascii="Arial" w:hAnsi="Arial" w:cs="Arial"/>
                <w:noProof/>
                <w:lang w:val="en-US"/>
              </w:rPr>
              <w:t>4. Addressing Skills Gaps and Talent Shortages Through Strategic HRM</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_Toc213435773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8</w:t>
            </w:r>
            <w:r w:rsidRPr="006C6FBD">
              <w:rPr>
                <w:rFonts w:ascii="Arial" w:hAnsi="Arial" w:cs="Arial"/>
                <w:noProof/>
                <w:webHidden/>
              </w:rPr>
              <w:fldChar w:fldCharType="end"/>
            </w:r>
          </w:hyperlink>
        </w:p>
        <w:p w14:paraId="75228F06" w14:textId="61C6FEB1"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4" w:history="1">
            <w:r w:rsidRPr="006C6FBD">
              <w:rPr>
                <w:rStyle w:val="Hyperlink"/>
                <w:rFonts w:ascii="Arial" w:hAnsi="Arial" w:cs="Arial"/>
                <w:noProof/>
                <w:lang w:val="en-US"/>
              </w:rPr>
              <w:t>4.1 Nature of Skills Shortages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_Toc213435774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8</w:t>
            </w:r>
            <w:r w:rsidRPr="006C6FBD">
              <w:rPr>
                <w:rFonts w:ascii="Arial" w:hAnsi="Arial" w:cs="Arial"/>
                <w:noProof/>
                <w:webHidden/>
              </w:rPr>
              <w:fldChar w:fldCharType="end"/>
            </w:r>
          </w:hyperlink>
        </w:p>
        <w:p w14:paraId="49D5CDD8" w14:textId="068DC944"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5" w:history="1">
            <w:r w:rsidRPr="006C6FBD">
              <w:rPr>
                <w:rStyle w:val="Hyperlink"/>
                <w:rFonts w:ascii="Arial" w:hAnsi="Arial" w:cs="Arial"/>
                <w:noProof/>
                <w:lang w:val="en-US"/>
              </w:rPr>
              <w:t>4.2 Strategic HRM Solutions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_Toc213435775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8</w:t>
            </w:r>
            <w:r w:rsidRPr="006C6FBD">
              <w:rPr>
                <w:rFonts w:ascii="Arial" w:hAnsi="Arial" w:cs="Arial"/>
                <w:noProof/>
                <w:webHidden/>
              </w:rPr>
              <w:fldChar w:fldCharType="end"/>
            </w:r>
          </w:hyperlink>
        </w:p>
        <w:p w14:paraId="2A46AA44" w14:textId="1F81B794"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6" w:history="1">
            <w:r w:rsidRPr="006C6FBD">
              <w:rPr>
                <w:rStyle w:val="Hyperlink"/>
                <w:rFonts w:ascii="Arial" w:hAnsi="Arial" w:cs="Arial"/>
                <w:noProof/>
                <w:lang w:val="en-US"/>
              </w:rPr>
              <w:t>4.3 HRM Strategy as a Global Extension.</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_Toc213435776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9</w:t>
            </w:r>
            <w:r w:rsidRPr="006C6FBD">
              <w:rPr>
                <w:rFonts w:ascii="Arial" w:hAnsi="Arial" w:cs="Arial"/>
                <w:noProof/>
                <w:webHidden/>
              </w:rPr>
              <w:fldChar w:fldCharType="end"/>
            </w:r>
          </w:hyperlink>
        </w:p>
        <w:p w14:paraId="73FEC186" w14:textId="30716D4C"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7" w:history="1">
            <w:r w:rsidRPr="006C6FBD">
              <w:rPr>
                <w:rStyle w:val="Hyperlink"/>
                <w:rFonts w:ascii="Arial" w:hAnsi="Arial" w:cs="Arial"/>
                <w:noProof/>
                <w:lang w:val="en-US"/>
              </w:rPr>
              <w:t>4.4 Application of Frameworks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_Toc213435777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9</w:t>
            </w:r>
            <w:r w:rsidRPr="006C6FBD">
              <w:rPr>
                <w:rFonts w:ascii="Arial" w:hAnsi="Arial" w:cs="Arial"/>
                <w:noProof/>
                <w:webHidden/>
              </w:rPr>
              <w:fldChar w:fldCharType="end"/>
            </w:r>
          </w:hyperlink>
        </w:p>
        <w:p w14:paraId="0F53352F" w14:textId="2376A2FD" w:rsidR="005718F9" w:rsidRPr="006C6FBD" w:rsidRDefault="005718F9">
          <w:pPr>
            <w:pStyle w:val="TOC1"/>
            <w:tabs>
              <w:tab w:val="right" w:leader="dot" w:pos="9350"/>
            </w:tabs>
            <w:rPr>
              <w:rFonts w:ascii="Arial" w:eastAsiaTheme="minorEastAsia" w:hAnsi="Arial" w:cs="Arial"/>
              <w:noProof/>
              <w:sz w:val="24"/>
              <w:szCs w:val="24"/>
              <w:lang w:val="en-US"/>
            </w:rPr>
          </w:pPr>
          <w:hyperlink w:anchor="_Toc213435778" w:history="1">
            <w:r w:rsidRPr="006C6FBD">
              <w:rPr>
                <w:rStyle w:val="Hyperlink"/>
                <w:rFonts w:ascii="Arial" w:hAnsi="Arial" w:cs="Arial"/>
                <w:noProof/>
                <w:lang w:val="en-US"/>
              </w:rPr>
              <w:t>5. Reflective Report on International and Technological Competence</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_Toc213435778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10</w:t>
            </w:r>
            <w:r w:rsidRPr="006C6FBD">
              <w:rPr>
                <w:rFonts w:ascii="Arial" w:hAnsi="Arial" w:cs="Arial"/>
                <w:noProof/>
                <w:webHidden/>
              </w:rPr>
              <w:fldChar w:fldCharType="end"/>
            </w:r>
          </w:hyperlink>
        </w:p>
        <w:p w14:paraId="062BF729" w14:textId="4EA53EF1"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79" w:history="1">
            <w:r w:rsidRPr="006C6FBD">
              <w:rPr>
                <w:rStyle w:val="Hyperlink"/>
                <w:rFonts w:ascii="Arial" w:hAnsi="Arial" w:cs="Arial"/>
                <w:noProof/>
                <w:lang w:val="en-US"/>
              </w:rPr>
              <w:t>5.1 Introduction to Reflection</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_Toc213435779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10</w:t>
            </w:r>
            <w:r w:rsidRPr="006C6FBD">
              <w:rPr>
                <w:rFonts w:ascii="Arial" w:hAnsi="Arial" w:cs="Arial"/>
                <w:noProof/>
                <w:webHidden/>
              </w:rPr>
              <w:fldChar w:fldCharType="end"/>
            </w:r>
          </w:hyperlink>
        </w:p>
        <w:p w14:paraId="5FB5A461" w14:textId="4307607F"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80" w:history="1">
            <w:r w:rsidRPr="006C6FBD">
              <w:rPr>
                <w:rStyle w:val="Hyperlink"/>
                <w:rFonts w:ascii="Arial" w:hAnsi="Arial" w:cs="Arial"/>
                <w:noProof/>
                <w:lang w:val="en-US"/>
              </w:rPr>
              <w:t>5.2 Gibbs Reflective Cycle</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_Toc213435780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10</w:t>
            </w:r>
            <w:r w:rsidRPr="006C6FBD">
              <w:rPr>
                <w:rFonts w:ascii="Arial" w:hAnsi="Arial" w:cs="Arial"/>
                <w:noProof/>
                <w:webHidden/>
              </w:rPr>
              <w:fldChar w:fldCharType="end"/>
            </w:r>
          </w:hyperlink>
        </w:p>
        <w:p w14:paraId="566FF7D3" w14:textId="658C51D5" w:rsidR="005718F9" w:rsidRPr="006C6FBD" w:rsidRDefault="005718F9">
          <w:pPr>
            <w:pStyle w:val="TOC2"/>
            <w:tabs>
              <w:tab w:val="right" w:leader="dot" w:pos="9350"/>
            </w:tabs>
            <w:rPr>
              <w:rFonts w:ascii="Arial" w:eastAsiaTheme="minorEastAsia" w:hAnsi="Arial" w:cs="Arial"/>
              <w:noProof/>
              <w:sz w:val="24"/>
              <w:szCs w:val="24"/>
              <w:lang w:val="en-US"/>
            </w:rPr>
          </w:pPr>
          <w:hyperlink w:anchor="_Toc213435781" w:history="1">
            <w:r w:rsidRPr="006C6FBD">
              <w:rPr>
                <w:rStyle w:val="Hyperlink"/>
                <w:rFonts w:ascii="Arial" w:hAnsi="Arial" w:cs="Arial"/>
                <w:noProof/>
                <w:lang w:val="en-US"/>
              </w:rPr>
              <w:t>5.3 SMART Action Plan for Improvement</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_Toc213435781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11</w:t>
            </w:r>
            <w:r w:rsidRPr="006C6FBD">
              <w:rPr>
                <w:rFonts w:ascii="Arial" w:hAnsi="Arial" w:cs="Arial"/>
                <w:noProof/>
                <w:webHidden/>
              </w:rPr>
              <w:fldChar w:fldCharType="end"/>
            </w:r>
          </w:hyperlink>
        </w:p>
        <w:p w14:paraId="20834AA5" w14:textId="655AF44D" w:rsidR="005718F9" w:rsidRPr="006C6FBD" w:rsidRDefault="005718F9">
          <w:pPr>
            <w:pStyle w:val="TOC1"/>
            <w:tabs>
              <w:tab w:val="right" w:leader="dot" w:pos="9350"/>
            </w:tabs>
            <w:rPr>
              <w:rFonts w:ascii="Arial" w:eastAsiaTheme="minorEastAsia" w:hAnsi="Arial" w:cs="Arial"/>
              <w:noProof/>
              <w:sz w:val="24"/>
              <w:szCs w:val="24"/>
              <w:lang w:val="en-US"/>
            </w:rPr>
          </w:pPr>
          <w:hyperlink w:anchor="_Toc213435782" w:history="1">
            <w:r w:rsidRPr="006C6FBD">
              <w:rPr>
                <w:rStyle w:val="Hyperlink"/>
                <w:rFonts w:ascii="Arial" w:hAnsi="Arial" w:cs="Arial"/>
                <w:noProof/>
                <w:lang w:val="en-US"/>
              </w:rPr>
              <w:t>6. Conclusion</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_Toc213435782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13</w:t>
            </w:r>
            <w:r w:rsidRPr="006C6FBD">
              <w:rPr>
                <w:rFonts w:ascii="Arial" w:hAnsi="Arial" w:cs="Arial"/>
                <w:noProof/>
                <w:webHidden/>
              </w:rPr>
              <w:fldChar w:fldCharType="end"/>
            </w:r>
          </w:hyperlink>
        </w:p>
        <w:p w14:paraId="67D3727B" w14:textId="5C2FDB3A" w:rsidR="005718F9" w:rsidRPr="006C6FBD" w:rsidRDefault="005718F9">
          <w:pPr>
            <w:pStyle w:val="TOC1"/>
            <w:tabs>
              <w:tab w:val="right" w:leader="dot" w:pos="9350"/>
            </w:tabs>
            <w:rPr>
              <w:rFonts w:ascii="Arial" w:eastAsiaTheme="minorEastAsia" w:hAnsi="Arial" w:cs="Arial"/>
              <w:noProof/>
              <w:sz w:val="24"/>
              <w:szCs w:val="24"/>
              <w:lang w:val="en-US"/>
            </w:rPr>
          </w:pPr>
          <w:hyperlink w:anchor="_Toc213435783" w:history="1">
            <w:r w:rsidRPr="006C6FBD">
              <w:rPr>
                <w:rStyle w:val="Hyperlink"/>
                <w:rFonts w:ascii="Arial" w:hAnsi="Arial" w:cs="Arial"/>
                <w:noProof/>
                <w:lang w:val="en-US"/>
              </w:rPr>
              <w:t>7. References</w:t>
            </w:r>
            <w:r w:rsidRPr="006C6FBD">
              <w:rPr>
                <w:rFonts w:ascii="Arial" w:hAnsi="Arial" w:cs="Arial"/>
                <w:noProof/>
                <w:webHidden/>
              </w:rPr>
              <w:tab/>
            </w:r>
            <w:r w:rsidRPr="006C6FBD">
              <w:rPr>
                <w:rFonts w:ascii="Arial" w:hAnsi="Arial" w:cs="Arial"/>
                <w:noProof/>
                <w:webHidden/>
              </w:rPr>
              <w:fldChar w:fldCharType="begin"/>
            </w:r>
            <w:r w:rsidRPr="006C6FBD">
              <w:rPr>
                <w:rFonts w:ascii="Arial" w:hAnsi="Arial" w:cs="Arial"/>
                <w:noProof/>
                <w:webHidden/>
              </w:rPr>
              <w:instrText xml:space="preserve"> PAGEREF _Toc213435783 \h </w:instrText>
            </w:r>
            <w:r w:rsidRPr="006C6FBD">
              <w:rPr>
                <w:rFonts w:ascii="Arial" w:hAnsi="Arial" w:cs="Arial"/>
                <w:noProof/>
                <w:webHidden/>
              </w:rPr>
            </w:r>
            <w:r w:rsidRPr="006C6FBD">
              <w:rPr>
                <w:rFonts w:ascii="Arial" w:hAnsi="Arial" w:cs="Arial"/>
                <w:noProof/>
                <w:webHidden/>
              </w:rPr>
              <w:fldChar w:fldCharType="separate"/>
            </w:r>
            <w:r w:rsidRPr="006C6FBD">
              <w:rPr>
                <w:rFonts w:ascii="Arial" w:hAnsi="Arial" w:cs="Arial"/>
                <w:noProof/>
                <w:webHidden/>
              </w:rPr>
              <w:t>14</w:t>
            </w:r>
            <w:r w:rsidRPr="006C6FBD">
              <w:rPr>
                <w:rFonts w:ascii="Arial" w:hAnsi="Arial" w:cs="Arial"/>
                <w:noProof/>
                <w:webHidden/>
              </w:rPr>
              <w:fldChar w:fldCharType="end"/>
            </w:r>
          </w:hyperlink>
        </w:p>
        <w:p w14:paraId="75471756" w14:textId="35DBD105" w:rsidR="005718F9" w:rsidRPr="006C6FBD" w:rsidRDefault="005718F9">
          <w:pPr>
            <w:rPr>
              <w:rFonts w:ascii="Arial" w:hAnsi="Arial" w:cs="Arial"/>
            </w:rPr>
          </w:pPr>
          <w:r w:rsidRPr="006C6FBD">
            <w:rPr>
              <w:rFonts w:ascii="Arial" w:hAnsi="Arial" w:cs="Arial"/>
              <w:noProof/>
            </w:rPr>
            <w:fldChar w:fldCharType="end"/>
          </w:r>
        </w:p>
      </w:sdtContent>
    </w:sdt>
    <w:p w14:paraId="3F1243D5" w14:textId="77777777" w:rsidR="005718F9" w:rsidRPr="006C6FBD" w:rsidRDefault="005718F9" w:rsidP="005718F9">
      <w:pPr>
        <w:spacing w:line="360" w:lineRule="auto"/>
        <w:ind w:left="720" w:hanging="360"/>
        <w:jc w:val="both"/>
        <w:rPr>
          <w:rFonts w:ascii="Arial" w:hAnsi="Arial" w:cs="Arial"/>
        </w:rPr>
      </w:pPr>
    </w:p>
    <w:p w14:paraId="1D4D630D" w14:textId="77777777" w:rsidR="005718F9" w:rsidRPr="006C6FBD" w:rsidRDefault="005718F9" w:rsidP="005718F9">
      <w:pPr>
        <w:spacing w:line="360" w:lineRule="auto"/>
        <w:ind w:left="720" w:hanging="360"/>
        <w:jc w:val="both"/>
        <w:rPr>
          <w:rFonts w:ascii="Arial" w:hAnsi="Arial" w:cs="Arial"/>
        </w:rPr>
      </w:pPr>
    </w:p>
    <w:p w14:paraId="21C40713" w14:textId="77777777" w:rsidR="005718F9" w:rsidRPr="006C6FBD" w:rsidRDefault="005718F9" w:rsidP="005718F9">
      <w:pPr>
        <w:spacing w:line="360" w:lineRule="auto"/>
        <w:ind w:left="720" w:hanging="360"/>
        <w:jc w:val="both"/>
        <w:rPr>
          <w:rFonts w:ascii="Arial" w:hAnsi="Arial" w:cs="Arial"/>
        </w:rPr>
      </w:pPr>
    </w:p>
    <w:p w14:paraId="69A63F92" w14:textId="77777777" w:rsidR="005718F9" w:rsidRPr="006C6FBD" w:rsidRDefault="005718F9" w:rsidP="005718F9">
      <w:pPr>
        <w:spacing w:line="360" w:lineRule="auto"/>
        <w:jc w:val="both"/>
        <w:rPr>
          <w:rFonts w:ascii="Arial" w:hAnsi="Arial" w:cs="Arial"/>
        </w:rPr>
      </w:pPr>
    </w:p>
    <w:p w14:paraId="519A7994" w14:textId="77777777" w:rsidR="005718F9" w:rsidRPr="006C6FBD" w:rsidRDefault="005718F9" w:rsidP="005718F9">
      <w:pPr>
        <w:spacing w:line="360" w:lineRule="auto"/>
        <w:ind w:left="720" w:hanging="360"/>
        <w:jc w:val="both"/>
        <w:rPr>
          <w:rFonts w:ascii="Arial" w:hAnsi="Arial" w:cs="Arial"/>
        </w:rPr>
      </w:pPr>
    </w:p>
    <w:p w14:paraId="3B964E75" w14:textId="4864A8B4" w:rsidR="00EF1699" w:rsidRPr="006C6FBD" w:rsidRDefault="00EF1699" w:rsidP="005718F9">
      <w:pPr>
        <w:pStyle w:val="ListParagraph"/>
        <w:numPr>
          <w:ilvl w:val="0"/>
          <w:numId w:val="24"/>
        </w:numPr>
        <w:spacing w:line="360" w:lineRule="auto"/>
        <w:jc w:val="both"/>
        <w:outlineLvl w:val="0"/>
        <w:rPr>
          <w:rFonts w:ascii="Arial" w:hAnsi="Arial" w:cs="Arial"/>
          <w:b/>
          <w:bCs/>
          <w:i/>
          <w:iCs/>
          <w:sz w:val="24"/>
          <w:szCs w:val="24"/>
          <w:lang w:val="en-US"/>
        </w:rPr>
      </w:pPr>
      <w:bookmarkStart w:id="0" w:name="_Toc213435762"/>
      <w:r w:rsidRPr="006C6FBD">
        <w:rPr>
          <w:rFonts w:ascii="Arial" w:hAnsi="Arial" w:cs="Arial"/>
          <w:b/>
          <w:bCs/>
          <w:sz w:val="24"/>
          <w:szCs w:val="24"/>
          <w:lang w:val="en-US"/>
        </w:rPr>
        <w:t>Introduction</w:t>
      </w:r>
      <w:bookmarkEnd w:id="0"/>
      <w:r w:rsidRPr="006C6FBD">
        <w:rPr>
          <w:rFonts w:ascii="Arial" w:hAnsi="Arial" w:cs="Arial"/>
          <w:b/>
          <w:bCs/>
          <w:sz w:val="24"/>
          <w:szCs w:val="24"/>
          <w:lang w:val="en-US"/>
        </w:rPr>
        <w:t xml:space="preserve"> </w:t>
      </w:r>
    </w:p>
    <w:p w14:paraId="22674613" w14:textId="521E333C" w:rsidR="006A6F38" w:rsidRPr="006C6FBD" w:rsidRDefault="006A6F38"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Technology, demographics, and geopolitics are changing the modern world economy, and no other field is being transformed as much as labour market. New technologies have changed previous patterns of employment: automation, artificial intelligence (AI), and online portals have transformed the nature of work and the abilities required, and made collaboration across borders possible (Chen and Wang, 2024). The report is a critical analysis of the influence of technological, demographic, and geopolitical forces on HRM and IHRM strategies in various organisational settings. It includes four main themes: technological innovations, demographic and geopolitical concerns, strategic responses to skills gap, and the hindsight exploration of personal skills, all of them pertinent to work within international and digital sphere. </w:t>
      </w:r>
    </w:p>
    <w:p w14:paraId="67194EFF" w14:textId="57AA536D" w:rsidR="00695F80" w:rsidRPr="006C6FBD" w:rsidRDefault="00EF1699" w:rsidP="005718F9">
      <w:pPr>
        <w:pStyle w:val="ListParagraph"/>
        <w:numPr>
          <w:ilvl w:val="0"/>
          <w:numId w:val="24"/>
        </w:numPr>
        <w:spacing w:line="360" w:lineRule="auto"/>
        <w:jc w:val="both"/>
        <w:outlineLvl w:val="0"/>
        <w:rPr>
          <w:rFonts w:ascii="Arial" w:hAnsi="Arial" w:cs="Arial"/>
          <w:b/>
          <w:bCs/>
          <w:i/>
          <w:iCs/>
          <w:sz w:val="24"/>
          <w:szCs w:val="24"/>
          <w:lang w:val="en-US"/>
        </w:rPr>
      </w:pPr>
      <w:bookmarkStart w:id="1" w:name="_Toc213435763"/>
      <w:r w:rsidRPr="006C6FBD">
        <w:rPr>
          <w:rFonts w:ascii="Arial" w:hAnsi="Arial" w:cs="Arial"/>
          <w:b/>
          <w:bCs/>
          <w:sz w:val="24"/>
          <w:szCs w:val="24"/>
          <w:lang w:val="en-US"/>
        </w:rPr>
        <w:t>Technological Advancements and Implications for HRM/IHRM</w:t>
      </w:r>
      <w:bookmarkEnd w:id="1"/>
      <w:r w:rsidRPr="006C6FBD">
        <w:rPr>
          <w:rFonts w:ascii="Arial" w:hAnsi="Arial" w:cs="Arial"/>
          <w:b/>
          <w:bCs/>
          <w:sz w:val="24"/>
          <w:szCs w:val="24"/>
          <w:lang w:val="en-US"/>
        </w:rPr>
        <w:t xml:space="preserve"> </w:t>
      </w:r>
    </w:p>
    <w:p w14:paraId="590C21EF" w14:textId="1A1555D6" w:rsidR="00695F80" w:rsidRPr="006C6FBD" w:rsidRDefault="00695F80" w:rsidP="005718F9">
      <w:pPr>
        <w:pStyle w:val="Heading2"/>
        <w:rPr>
          <w:rFonts w:ascii="Arial" w:hAnsi="Arial" w:cs="Arial"/>
          <w:b/>
          <w:bCs/>
          <w:sz w:val="24"/>
          <w:szCs w:val="24"/>
          <w:lang w:val="en-US"/>
        </w:rPr>
      </w:pPr>
      <w:bookmarkStart w:id="2" w:name="_Toc213435764"/>
      <w:r w:rsidRPr="006C6FBD">
        <w:rPr>
          <w:rFonts w:ascii="Arial" w:hAnsi="Arial" w:cs="Arial"/>
          <w:b/>
          <w:bCs/>
          <w:sz w:val="24"/>
          <w:szCs w:val="24"/>
          <w:lang w:val="en-US"/>
        </w:rPr>
        <w:t>2.1 Overview of Technological Disruption</w:t>
      </w:r>
      <w:bookmarkEnd w:id="2"/>
    </w:p>
    <w:p w14:paraId="115642E5" w14:textId="77777777" w:rsidR="006A6F38" w:rsidRPr="006C6FBD" w:rsidRDefault="006A6F38" w:rsidP="006A6F38">
      <w:pPr>
        <w:spacing w:line="360" w:lineRule="auto"/>
        <w:jc w:val="both"/>
        <w:rPr>
          <w:rFonts w:ascii="Arial" w:hAnsi="Arial" w:cs="Arial"/>
          <w:sz w:val="24"/>
          <w:szCs w:val="24"/>
          <w:lang w:val="en-US"/>
        </w:rPr>
      </w:pPr>
      <w:r w:rsidRPr="006C6FBD">
        <w:rPr>
          <w:rFonts w:ascii="Arial" w:hAnsi="Arial" w:cs="Arial"/>
          <w:sz w:val="24"/>
          <w:szCs w:val="24"/>
          <w:lang w:val="en-US"/>
        </w:rPr>
        <w:t>The concept of technological disruption is one that is hard to define, and generalisations will most likely work in most situations as it has been impacting the automobile industry, resulting in further laboratory developments (Jacobides et al., 2023).</w:t>
      </w:r>
    </w:p>
    <w:p w14:paraId="2DAF7A2E" w14:textId="02CB9F3F" w:rsidR="00695F80" w:rsidRPr="006C6FBD" w:rsidRDefault="006A6F38" w:rsidP="006A6F38">
      <w:pPr>
        <w:spacing w:line="360" w:lineRule="auto"/>
        <w:jc w:val="both"/>
        <w:rPr>
          <w:rFonts w:ascii="Arial" w:hAnsi="Arial" w:cs="Arial"/>
          <w:sz w:val="24"/>
          <w:szCs w:val="24"/>
          <w:lang w:val="en-US"/>
        </w:rPr>
      </w:pPr>
      <w:r w:rsidRPr="006C6FBD">
        <w:rPr>
          <w:rFonts w:ascii="Arial" w:hAnsi="Arial" w:cs="Arial"/>
          <w:sz w:val="24"/>
          <w:szCs w:val="24"/>
          <w:lang w:val="en-US"/>
        </w:rPr>
        <w:t xml:space="preserve">The global labour markets and the roles played by Human Resource Management (HRM) and International Human Resource Management (IHRM) are changing due to digitalisation and artificial intelligence (AI), automation, robotics, and other technology advancements (Vrontis et al., 2023). </w:t>
      </w:r>
      <w:r w:rsidR="00C9731C" w:rsidRPr="006C6FBD">
        <w:rPr>
          <w:rFonts w:ascii="Arial" w:hAnsi="Arial" w:cs="Arial"/>
          <w:sz w:val="24"/>
          <w:szCs w:val="24"/>
          <w:lang w:val="en-US"/>
        </w:rPr>
        <w:t xml:space="preserve">These inventions have changed how organisations design jobs, attract talent, and train employees. All these activities, including </w:t>
      </w:r>
      <w:r w:rsidR="005F3580" w:rsidRPr="006C6FBD">
        <w:rPr>
          <w:rFonts w:ascii="Arial" w:hAnsi="Arial" w:cs="Arial"/>
          <w:sz w:val="24"/>
          <w:szCs w:val="24"/>
          <w:lang w:val="en-US"/>
        </w:rPr>
        <w:t>candidate screening, decision-making, and bias reduction, are now achieved through</w:t>
      </w:r>
      <w:r w:rsidR="00C9731C" w:rsidRPr="006C6FBD">
        <w:rPr>
          <w:rFonts w:ascii="Arial" w:hAnsi="Arial" w:cs="Arial"/>
          <w:sz w:val="24"/>
          <w:szCs w:val="24"/>
          <w:lang w:val="en-US"/>
        </w:rPr>
        <w:t xml:space="preserve"> </w:t>
      </w:r>
      <w:r w:rsidR="005F3580" w:rsidRPr="006C6FBD">
        <w:rPr>
          <w:rFonts w:ascii="Arial" w:hAnsi="Arial" w:cs="Arial"/>
          <w:sz w:val="24"/>
          <w:szCs w:val="24"/>
          <w:lang w:val="en-US"/>
        </w:rPr>
        <w:t>recruitment of</w:t>
      </w:r>
      <w:r w:rsidR="00C9731C" w:rsidRPr="006C6FBD">
        <w:rPr>
          <w:rFonts w:ascii="Arial" w:hAnsi="Arial" w:cs="Arial"/>
          <w:sz w:val="24"/>
          <w:szCs w:val="24"/>
          <w:lang w:val="en-US"/>
        </w:rPr>
        <w:t xml:space="preserve"> AI tools. </w:t>
      </w:r>
      <w:r w:rsidR="00695F80" w:rsidRPr="006C6FBD">
        <w:rPr>
          <w:rFonts w:ascii="Arial" w:hAnsi="Arial" w:cs="Arial"/>
          <w:sz w:val="24"/>
          <w:szCs w:val="24"/>
          <w:lang w:val="en-US"/>
        </w:rPr>
        <w:t xml:space="preserve">Unilever is one </w:t>
      </w:r>
      <w:r w:rsidR="005F3580" w:rsidRPr="006C6FBD">
        <w:rPr>
          <w:rFonts w:ascii="Arial" w:hAnsi="Arial" w:cs="Arial"/>
          <w:sz w:val="24"/>
          <w:szCs w:val="24"/>
          <w:lang w:val="en-US"/>
        </w:rPr>
        <w:t>company</w:t>
      </w:r>
      <w:r w:rsidR="001877DB" w:rsidRPr="006C6FBD">
        <w:rPr>
          <w:rFonts w:ascii="Arial" w:hAnsi="Arial" w:cs="Arial"/>
          <w:sz w:val="24"/>
          <w:szCs w:val="24"/>
          <w:lang w:val="en-US"/>
        </w:rPr>
        <w:t xml:space="preserve"> that has implemented AI-powered applications, such as Hire Vue, to analys</w:t>
      </w:r>
      <w:r w:rsidR="00695F80" w:rsidRPr="006C6FBD">
        <w:rPr>
          <w:rFonts w:ascii="Arial" w:hAnsi="Arial" w:cs="Arial"/>
          <w:sz w:val="24"/>
          <w:szCs w:val="24"/>
          <w:lang w:val="en-US"/>
        </w:rPr>
        <w:t>e facial expressions and voice tone during interviews, thereby increasing objectivity and efficiency in hiring</w:t>
      </w:r>
      <w:r w:rsidR="005F3580" w:rsidRPr="006C6FBD">
        <w:rPr>
          <w:rFonts w:ascii="Arial" w:hAnsi="Arial" w:cs="Arial"/>
          <w:sz w:val="24"/>
          <w:szCs w:val="24"/>
          <w:lang w:val="en-US"/>
        </w:rPr>
        <w:t xml:space="preserve"> (</w:t>
      </w:r>
      <w:r w:rsidR="005F3580" w:rsidRPr="006C6FBD">
        <w:rPr>
          <w:rFonts w:ascii="Arial" w:hAnsi="Arial" w:cs="Arial"/>
          <w:sz w:val="24"/>
          <w:szCs w:val="24"/>
        </w:rPr>
        <w:t>Zhaoa, 2024)</w:t>
      </w:r>
      <w:r w:rsidR="00695F80" w:rsidRPr="006C6FBD">
        <w:rPr>
          <w:rFonts w:ascii="Arial" w:hAnsi="Arial" w:cs="Arial"/>
          <w:sz w:val="24"/>
          <w:szCs w:val="24"/>
          <w:lang w:val="en-US"/>
        </w:rPr>
        <w:t xml:space="preserve">. Similarly, automation and robotisation, as observed in the case of the Amazon warehouse, have </w:t>
      </w:r>
      <w:r w:rsidR="001877DB" w:rsidRPr="006C6FBD">
        <w:rPr>
          <w:rFonts w:ascii="Arial" w:hAnsi="Arial" w:cs="Arial"/>
          <w:sz w:val="24"/>
          <w:szCs w:val="24"/>
          <w:lang w:val="en-US"/>
        </w:rPr>
        <w:t xml:space="preserve">increased productivity while reducing the need for repetitive, low-skilled jobs, forcing HR </w:t>
      </w:r>
      <w:r w:rsidR="001877DB" w:rsidRPr="006C6FBD">
        <w:rPr>
          <w:rFonts w:ascii="Arial" w:hAnsi="Arial" w:cs="Arial"/>
          <w:sz w:val="24"/>
          <w:szCs w:val="24"/>
          <w:lang w:val="en-US"/>
        </w:rPr>
        <w:lastRenderedPageBreak/>
        <w:t>managers to consider reskilling and redeploying people into digital and analytical role</w:t>
      </w:r>
      <w:r w:rsidR="00695F80" w:rsidRPr="006C6FBD">
        <w:rPr>
          <w:rFonts w:ascii="Arial" w:hAnsi="Arial" w:cs="Arial"/>
          <w:sz w:val="24"/>
          <w:szCs w:val="24"/>
          <w:lang w:val="en-US"/>
        </w:rPr>
        <w:t>s (</w:t>
      </w:r>
      <w:r w:rsidR="005F3580" w:rsidRPr="006C6FBD">
        <w:rPr>
          <w:rFonts w:ascii="Arial" w:hAnsi="Arial" w:cs="Arial"/>
          <w:sz w:val="24"/>
          <w:szCs w:val="24"/>
        </w:rPr>
        <w:t>Gruenewald and Mueller, 2025</w:t>
      </w:r>
      <w:r w:rsidR="00695F80" w:rsidRPr="006C6FBD">
        <w:rPr>
          <w:rFonts w:ascii="Arial" w:hAnsi="Arial" w:cs="Arial"/>
          <w:sz w:val="24"/>
          <w:szCs w:val="24"/>
          <w:lang w:val="en-US"/>
        </w:rPr>
        <w:t>).</w:t>
      </w:r>
    </w:p>
    <w:p w14:paraId="3FEEF2CE" w14:textId="77777777" w:rsidR="00695F80" w:rsidRPr="006C6FBD" w:rsidRDefault="00695F80" w:rsidP="005718F9">
      <w:pPr>
        <w:pStyle w:val="Heading2"/>
        <w:rPr>
          <w:rFonts w:ascii="Arial" w:hAnsi="Arial" w:cs="Arial"/>
          <w:b/>
          <w:bCs/>
          <w:sz w:val="24"/>
          <w:szCs w:val="24"/>
          <w:lang w:val="en-US"/>
        </w:rPr>
      </w:pPr>
      <w:bookmarkStart w:id="3" w:name="_Toc213435765"/>
      <w:r w:rsidRPr="006C6FBD">
        <w:rPr>
          <w:rFonts w:ascii="Arial" w:hAnsi="Arial" w:cs="Arial"/>
          <w:b/>
          <w:bCs/>
          <w:sz w:val="24"/>
          <w:szCs w:val="24"/>
          <w:lang w:val="en-US"/>
        </w:rPr>
        <w:t>2.2 Labour Market Reshaping</w:t>
      </w:r>
      <w:bookmarkEnd w:id="3"/>
    </w:p>
    <w:p w14:paraId="6C5D825F" w14:textId="0F87B8B3" w:rsidR="00C9731C" w:rsidRPr="006C6FBD" w:rsidRDefault="00695F80"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Technology </w:t>
      </w:r>
      <w:r w:rsidR="001877DB" w:rsidRPr="006C6FBD">
        <w:rPr>
          <w:rFonts w:ascii="Arial" w:hAnsi="Arial" w:cs="Arial"/>
          <w:sz w:val="24"/>
          <w:szCs w:val="24"/>
          <w:lang w:val="en-US"/>
        </w:rPr>
        <w:t>influences</w:t>
      </w:r>
      <w:r w:rsidRPr="006C6FBD">
        <w:rPr>
          <w:rFonts w:ascii="Arial" w:hAnsi="Arial" w:cs="Arial"/>
          <w:sz w:val="24"/>
          <w:szCs w:val="24"/>
          <w:lang w:val="en-US"/>
        </w:rPr>
        <w:t xml:space="preserve"> the labour market, and it is not limited to automation. The International Labour Organi</w:t>
      </w:r>
      <w:r w:rsidR="001877DB" w:rsidRPr="006C6FBD">
        <w:rPr>
          <w:rFonts w:ascii="Arial" w:hAnsi="Arial" w:cs="Arial"/>
          <w:sz w:val="24"/>
          <w:szCs w:val="24"/>
          <w:lang w:val="en-US"/>
        </w:rPr>
        <w:t>sation predicts that about 40 percent of all jobs worldwide</w:t>
      </w:r>
      <w:r w:rsidRPr="006C6FBD">
        <w:rPr>
          <w:rFonts w:ascii="Arial" w:hAnsi="Arial" w:cs="Arial"/>
          <w:sz w:val="24"/>
          <w:szCs w:val="24"/>
          <w:lang w:val="en-US"/>
        </w:rPr>
        <w:t xml:space="preserve"> will be at risk of automation by 2030, with new roles </w:t>
      </w:r>
      <w:r w:rsidR="005F3580" w:rsidRPr="006C6FBD">
        <w:rPr>
          <w:rFonts w:ascii="Arial" w:hAnsi="Arial" w:cs="Arial"/>
          <w:sz w:val="24"/>
          <w:szCs w:val="24"/>
          <w:lang w:val="en-US"/>
        </w:rPr>
        <w:t>emerging in digital fields such as</w:t>
      </w:r>
      <w:r w:rsidRPr="006C6FBD">
        <w:rPr>
          <w:rFonts w:ascii="Arial" w:hAnsi="Arial" w:cs="Arial"/>
          <w:sz w:val="24"/>
          <w:szCs w:val="24"/>
          <w:lang w:val="en-US"/>
        </w:rPr>
        <w:t xml:space="preserve"> data science, software engineering, and cybersecurity</w:t>
      </w:r>
      <w:r w:rsidR="005F3580" w:rsidRPr="006C6FBD">
        <w:rPr>
          <w:rFonts w:ascii="Arial" w:hAnsi="Arial" w:cs="Arial"/>
          <w:sz w:val="24"/>
          <w:szCs w:val="24"/>
          <w:lang w:val="en-US"/>
        </w:rPr>
        <w:t xml:space="preserve"> (</w:t>
      </w:r>
      <w:r w:rsidR="005F3580" w:rsidRPr="006C6FBD">
        <w:rPr>
          <w:rFonts w:ascii="Arial" w:hAnsi="Arial" w:cs="Arial"/>
          <w:sz w:val="24"/>
          <w:szCs w:val="24"/>
        </w:rPr>
        <w:t>Illéssy et al., 2021)</w:t>
      </w:r>
      <w:r w:rsidRPr="006C6FBD">
        <w:rPr>
          <w:rFonts w:ascii="Arial" w:hAnsi="Arial" w:cs="Arial"/>
          <w:sz w:val="24"/>
          <w:szCs w:val="24"/>
          <w:lang w:val="en-US"/>
        </w:rPr>
        <w:t xml:space="preserve">. </w:t>
      </w:r>
      <w:r w:rsidR="005F3580" w:rsidRPr="006C6FBD">
        <w:rPr>
          <w:rFonts w:ascii="Arial" w:hAnsi="Arial" w:cs="Arial"/>
          <w:sz w:val="24"/>
          <w:szCs w:val="24"/>
          <w:lang w:val="en-US"/>
        </w:rPr>
        <w:t>Digitalisation has increased the proliferation of the gig economy and remote freelancing, and platforms like Upwork and Fiverr allow people around the world to access work opportunities, but do not provide job security or</w:t>
      </w:r>
      <w:r w:rsidRPr="006C6FBD">
        <w:rPr>
          <w:rFonts w:ascii="Arial" w:hAnsi="Arial" w:cs="Arial"/>
          <w:sz w:val="24"/>
          <w:szCs w:val="24"/>
          <w:lang w:val="en-US"/>
        </w:rPr>
        <w:t xml:space="preserve"> other benefits</w:t>
      </w:r>
      <w:r w:rsidR="005F3580" w:rsidRPr="006C6FBD">
        <w:rPr>
          <w:rFonts w:ascii="Arial" w:hAnsi="Arial" w:cs="Arial"/>
          <w:sz w:val="24"/>
          <w:szCs w:val="24"/>
          <w:lang w:val="en-US"/>
        </w:rPr>
        <w:t xml:space="preserve"> (</w:t>
      </w:r>
      <w:r w:rsidR="005F3580" w:rsidRPr="006C6FBD">
        <w:rPr>
          <w:rFonts w:ascii="Arial" w:hAnsi="Arial" w:cs="Arial"/>
          <w:sz w:val="24"/>
          <w:szCs w:val="24"/>
        </w:rPr>
        <w:t>Saxena and Sirohi, 2025)</w:t>
      </w:r>
      <w:r w:rsidRPr="006C6FBD">
        <w:rPr>
          <w:rFonts w:ascii="Arial" w:hAnsi="Arial" w:cs="Arial"/>
          <w:sz w:val="24"/>
          <w:szCs w:val="24"/>
          <w:lang w:val="en-US"/>
        </w:rPr>
        <w:t xml:space="preserve">. </w:t>
      </w:r>
      <w:r w:rsidR="00C9731C" w:rsidRPr="006C6FBD">
        <w:rPr>
          <w:rFonts w:ascii="Arial" w:hAnsi="Arial" w:cs="Arial"/>
          <w:sz w:val="24"/>
          <w:szCs w:val="24"/>
          <w:lang w:val="en-US"/>
        </w:rPr>
        <w:t xml:space="preserve">Moreover, COVID-19 </w:t>
      </w:r>
      <w:r w:rsidR="006A6F38" w:rsidRPr="006C6FBD">
        <w:rPr>
          <w:rFonts w:ascii="Arial" w:hAnsi="Arial" w:cs="Arial"/>
          <w:sz w:val="24"/>
          <w:szCs w:val="24"/>
          <w:lang w:val="en-US"/>
        </w:rPr>
        <w:t>spurred the adoption of hybrid and remote work, and companies such as</w:t>
      </w:r>
      <w:r w:rsidR="00C9731C" w:rsidRPr="006C6FBD">
        <w:rPr>
          <w:rFonts w:ascii="Arial" w:hAnsi="Arial" w:cs="Arial"/>
          <w:sz w:val="24"/>
          <w:szCs w:val="24"/>
          <w:lang w:val="en-US"/>
        </w:rPr>
        <w:t xml:space="preserve"> Microsoft and Google have introduced flexible working policies and online collaboration tools</w:t>
      </w:r>
      <w:r w:rsidR="006A6F38" w:rsidRPr="006C6FBD">
        <w:rPr>
          <w:rFonts w:ascii="Arial" w:hAnsi="Arial" w:cs="Arial"/>
          <w:sz w:val="24"/>
          <w:szCs w:val="24"/>
          <w:lang w:val="en-US"/>
        </w:rPr>
        <w:t xml:space="preserve"> </w:t>
      </w:r>
      <w:r w:rsidR="005F3580" w:rsidRPr="006C6FBD">
        <w:rPr>
          <w:rFonts w:ascii="Arial" w:hAnsi="Arial" w:cs="Arial"/>
          <w:sz w:val="24"/>
          <w:szCs w:val="24"/>
          <w:lang w:val="en-US"/>
        </w:rPr>
        <w:t>(</w:t>
      </w:r>
      <w:r w:rsidR="005F3580" w:rsidRPr="006C6FBD">
        <w:rPr>
          <w:rFonts w:ascii="Arial" w:hAnsi="Arial" w:cs="Arial"/>
          <w:sz w:val="24"/>
          <w:szCs w:val="24"/>
        </w:rPr>
        <w:t>Zapata et al., 2025)</w:t>
      </w:r>
      <w:r w:rsidR="00C9731C" w:rsidRPr="006C6FBD">
        <w:rPr>
          <w:rFonts w:ascii="Arial" w:hAnsi="Arial" w:cs="Arial"/>
          <w:sz w:val="24"/>
          <w:szCs w:val="24"/>
          <w:lang w:val="en-US"/>
        </w:rPr>
        <w:t>.</w:t>
      </w:r>
    </w:p>
    <w:p w14:paraId="1EC16DFD" w14:textId="30454464" w:rsidR="00695F80" w:rsidRPr="006C6FBD" w:rsidRDefault="00695F80" w:rsidP="005718F9">
      <w:pPr>
        <w:pStyle w:val="Heading2"/>
        <w:rPr>
          <w:rFonts w:ascii="Arial" w:hAnsi="Arial" w:cs="Arial"/>
          <w:b/>
          <w:bCs/>
          <w:sz w:val="24"/>
          <w:szCs w:val="24"/>
          <w:lang w:val="en-US"/>
        </w:rPr>
      </w:pPr>
      <w:bookmarkStart w:id="4" w:name="_Toc213435766"/>
      <w:r w:rsidRPr="006C6FBD">
        <w:rPr>
          <w:rFonts w:ascii="Arial" w:hAnsi="Arial" w:cs="Arial"/>
          <w:b/>
          <w:bCs/>
          <w:sz w:val="24"/>
          <w:szCs w:val="24"/>
          <w:lang w:val="en-US"/>
        </w:rPr>
        <w:t>2.3 HRM and IHRM Implication</w:t>
      </w:r>
      <w:r w:rsidR="001877DB" w:rsidRPr="006C6FBD">
        <w:rPr>
          <w:rFonts w:ascii="Arial" w:hAnsi="Arial" w:cs="Arial"/>
          <w:b/>
          <w:bCs/>
          <w:sz w:val="24"/>
          <w:szCs w:val="24"/>
          <w:lang w:val="en-US"/>
        </w:rPr>
        <w:t>s</w:t>
      </w:r>
      <w:r w:rsidRPr="006C6FBD">
        <w:rPr>
          <w:rFonts w:ascii="Arial" w:hAnsi="Arial" w:cs="Arial"/>
          <w:b/>
          <w:bCs/>
          <w:sz w:val="24"/>
          <w:szCs w:val="24"/>
          <w:lang w:val="en-US"/>
        </w:rPr>
        <w:t xml:space="preserve"> of Strategies.</w:t>
      </w:r>
      <w:bookmarkEnd w:id="4"/>
    </w:p>
    <w:p w14:paraId="37C9D1E2" w14:textId="43852367" w:rsidR="00C9731C" w:rsidRPr="006C6FBD" w:rsidRDefault="006A6F38"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Digital transformation has also altered HR's role as a strategic partner due to technological disruption. The HRM and IHRM must use data analytics to predict labor market trends, performance, and retention in this business environment (Vidhya, 2025). </w:t>
      </w:r>
      <w:r w:rsidR="000A77C5" w:rsidRPr="006C6FBD">
        <w:rPr>
          <w:rFonts w:ascii="Arial" w:hAnsi="Arial" w:cs="Arial"/>
          <w:sz w:val="24"/>
          <w:szCs w:val="24"/>
          <w:lang w:val="en-US"/>
        </w:rPr>
        <w:t>For instance</w:t>
      </w:r>
      <w:r w:rsidR="00C9731C" w:rsidRPr="006C6FBD">
        <w:rPr>
          <w:rFonts w:ascii="Arial" w:hAnsi="Arial" w:cs="Arial"/>
          <w:sz w:val="24"/>
          <w:szCs w:val="24"/>
          <w:lang w:val="en-US"/>
        </w:rPr>
        <w:t>, IBM uses its AI application Watson to predict employee turnover risk and propose personal career-planning courses to increase motivation and reduce turnover. However, the increasing use of algorithms raises ethical questions, such as data bias, transparency, and privacy</w:t>
      </w:r>
      <w:r w:rsidR="000A77C5" w:rsidRPr="006C6FBD">
        <w:rPr>
          <w:rFonts w:ascii="Arial" w:hAnsi="Arial" w:cs="Arial"/>
          <w:sz w:val="24"/>
          <w:szCs w:val="24"/>
          <w:lang w:val="en-US"/>
        </w:rPr>
        <w:t xml:space="preserve"> (</w:t>
      </w:r>
      <w:r w:rsidR="000A77C5" w:rsidRPr="006C6FBD">
        <w:rPr>
          <w:rFonts w:ascii="Arial" w:hAnsi="Arial" w:cs="Arial"/>
          <w:sz w:val="24"/>
          <w:szCs w:val="24"/>
        </w:rPr>
        <w:t>Sanjay and Khalsa, 2025)</w:t>
      </w:r>
      <w:r w:rsidR="00C9731C" w:rsidRPr="006C6FBD">
        <w:rPr>
          <w:rFonts w:ascii="Arial" w:hAnsi="Arial" w:cs="Arial"/>
          <w:sz w:val="24"/>
          <w:szCs w:val="24"/>
          <w:lang w:val="en-US"/>
        </w:rPr>
        <w:t xml:space="preserve">. Consequently, HR practitioners are encouraged to adopt digital models of ethics and to formulate governance policies that align with the legal frameworks governing </w:t>
      </w:r>
      <w:r w:rsidR="000A77C5" w:rsidRPr="006C6FBD">
        <w:rPr>
          <w:rFonts w:ascii="Arial" w:hAnsi="Arial" w:cs="Arial"/>
          <w:sz w:val="24"/>
          <w:szCs w:val="24"/>
          <w:lang w:val="en-US"/>
        </w:rPr>
        <w:t>global business operations (</w:t>
      </w:r>
      <w:r w:rsidR="000A77C5" w:rsidRPr="006C6FBD">
        <w:rPr>
          <w:rFonts w:ascii="Arial" w:hAnsi="Arial" w:cs="Arial"/>
          <w:sz w:val="24"/>
          <w:szCs w:val="24"/>
        </w:rPr>
        <w:t>Onyekwelu et al., 2024)</w:t>
      </w:r>
      <w:r w:rsidR="00C9731C" w:rsidRPr="006C6FBD">
        <w:rPr>
          <w:rFonts w:ascii="Arial" w:hAnsi="Arial" w:cs="Arial"/>
          <w:sz w:val="24"/>
          <w:szCs w:val="24"/>
          <w:lang w:val="en-US"/>
        </w:rPr>
        <w:t xml:space="preserve">. </w:t>
      </w:r>
    </w:p>
    <w:p w14:paraId="5485973A" w14:textId="77777777" w:rsidR="00C9731C" w:rsidRPr="006C6FBD" w:rsidRDefault="00C9731C" w:rsidP="005718F9">
      <w:pPr>
        <w:pStyle w:val="Heading2"/>
        <w:rPr>
          <w:rFonts w:ascii="Arial" w:hAnsi="Arial" w:cs="Arial"/>
          <w:b/>
          <w:bCs/>
          <w:sz w:val="24"/>
          <w:szCs w:val="24"/>
          <w:lang w:val="en-US"/>
        </w:rPr>
      </w:pPr>
      <w:bookmarkStart w:id="5" w:name="_Toc213435767"/>
      <w:r w:rsidRPr="006C6FBD">
        <w:rPr>
          <w:rFonts w:ascii="Arial" w:hAnsi="Arial" w:cs="Arial"/>
          <w:b/>
          <w:bCs/>
          <w:sz w:val="24"/>
          <w:szCs w:val="24"/>
          <w:lang w:val="en-US"/>
        </w:rPr>
        <w:t>2.4 Application of resource-based view (RBV).</w:t>
      </w:r>
      <w:bookmarkEnd w:id="5"/>
    </w:p>
    <w:p w14:paraId="0822521F" w14:textId="023E3A2D" w:rsidR="00C9731C" w:rsidRPr="006C6FBD" w:rsidRDefault="00C9731C"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The Resource-Based View (RBV) provides a theoretical framework for understanding how technology alters the value-creation of the workforce. According to Barney (1991), when an organisation possesses resources that are valuable, rare, imitable, and non-substitutable, it can achieve sustained competitive advantage. These strategic assets in the digital case are technologically able and creative employees. Google and Accenture </w:t>
      </w:r>
      <w:r w:rsidRPr="006C6FBD">
        <w:rPr>
          <w:rFonts w:ascii="Arial" w:hAnsi="Arial" w:cs="Arial"/>
          <w:sz w:val="24"/>
          <w:szCs w:val="24"/>
          <w:lang w:val="en-US"/>
        </w:rPr>
        <w:lastRenderedPageBreak/>
        <w:t>are examples of companies that have used it and invested massively in ongoing digital learning and cloud technology qualifications, making their employees' knowledge a competitive asset</w:t>
      </w:r>
      <w:r w:rsidR="000A77C5" w:rsidRPr="006C6FBD">
        <w:rPr>
          <w:rFonts w:ascii="Arial" w:hAnsi="Arial" w:cs="Arial"/>
          <w:sz w:val="24"/>
          <w:szCs w:val="24"/>
          <w:lang w:val="en-US"/>
        </w:rPr>
        <w:t xml:space="preserve"> (</w:t>
      </w:r>
      <w:r w:rsidR="000A77C5" w:rsidRPr="006C6FBD">
        <w:rPr>
          <w:rFonts w:ascii="Arial" w:hAnsi="Arial" w:cs="Arial"/>
          <w:color w:val="222222"/>
          <w:sz w:val="24"/>
          <w:szCs w:val="24"/>
          <w:shd w:val="clear" w:color="auto" w:fill="FFFFFF"/>
        </w:rPr>
        <w:t>Subrahmanyam, 2025)</w:t>
      </w:r>
      <w:r w:rsidRPr="006C6FBD">
        <w:rPr>
          <w:rFonts w:ascii="Arial" w:hAnsi="Arial" w:cs="Arial"/>
          <w:sz w:val="24"/>
          <w:szCs w:val="24"/>
          <w:lang w:val="en-US"/>
        </w:rPr>
        <w:t xml:space="preserve">. </w:t>
      </w:r>
      <w:r w:rsidR="006A6F38" w:rsidRPr="006C6FBD">
        <w:rPr>
          <w:rFonts w:ascii="Arial" w:hAnsi="Arial" w:cs="Arial"/>
          <w:sz w:val="24"/>
          <w:szCs w:val="24"/>
          <w:lang w:val="en-US"/>
        </w:rPr>
        <w:t>A digitally fit workforce increases innovation and resilience; aligning HRM and IHRM strategies with RBV can help organisations come up with one. Finally, technology is a disrupter and also an enabler, and it helps the creation of an agile, data-driven and globally integrated workforce needed to be successful in the digital era (Kazlauskaitė, 2025).</w:t>
      </w:r>
    </w:p>
    <w:p w14:paraId="430A1A81" w14:textId="03D11BC0" w:rsidR="00EF1699" w:rsidRPr="006C6FBD" w:rsidRDefault="00EF1699" w:rsidP="005718F9">
      <w:pPr>
        <w:pStyle w:val="Heading1"/>
        <w:rPr>
          <w:rFonts w:ascii="Arial" w:hAnsi="Arial" w:cs="Arial"/>
          <w:b/>
          <w:bCs/>
          <w:sz w:val="24"/>
          <w:szCs w:val="24"/>
          <w:lang w:val="en-US"/>
        </w:rPr>
      </w:pPr>
      <w:bookmarkStart w:id="6" w:name="_Toc213435768"/>
      <w:r w:rsidRPr="006C6FBD">
        <w:rPr>
          <w:rFonts w:ascii="Arial" w:hAnsi="Arial" w:cs="Arial"/>
          <w:b/>
          <w:bCs/>
          <w:sz w:val="24"/>
          <w:szCs w:val="24"/>
          <w:lang w:val="en-US"/>
        </w:rPr>
        <w:t>3. Demographic and Geopolitical Factors Affecting Employment Markets</w:t>
      </w:r>
      <w:bookmarkEnd w:id="6"/>
    </w:p>
    <w:p w14:paraId="75A79409" w14:textId="77777777" w:rsidR="00EF1699" w:rsidRPr="006C6FBD" w:rsidRDefault="00EF1699" w:rsidP="005718F9">
      <w:pPr>
        <w:pStyle w:val="Heading2"/>
        <w:rPr>
          <w:rFonts w:ascii="Arial" w:hAnsi="Arial" w:cs="Arial"/>
          <w:b/>
          <w:bCs/>
          <w:sz w:val="24"/>
          <w:szCs w:val="24"/>
          <w:lang w:val="en-US"/>
        </w:rPr>
      </w:pPr>
      <w:bookmarkStart w:id="7" w:name="_Toc213435769"/>
      <w:r w:rsidRPr="006C6FBD">
        <w:rPr>
          <w:rFonts w:ascii="Arial" w:hAnsi="Arial" w:cs="Arial"/>
          <w:b/>
          <w:bCs/>
          <w:sz w:val="24"/>
          <w:szCs w:val="24"/>
          <w:lang w:val="en-US"/>
        </w:rPr>
        <w:t>3.1 Demographic Trends</w:t>
      </w:r>
      <w:bookmarkEnd w:id="7"/>
    </w:p>
    <w:p w14:paraId="27B47937" w14:textId="5A9D050C" w:rsidR="00695F80" w:rsidRPr="006C6FBD" w:rsidRDefault="006A6F38" w:rsidP="005718F9">
      <w:pPr>
        <w:spacing w:line="360" w:lineRule="auto"/>
        <w:jc w:val="both"/>
        <w:rPr>
          <w:rFonts w:ascii="Arial" w:hAnsi="Arial" w:cs="Arial"/>
          <w:sz w:val="24"/>
          <w:szCs w:val="24"/>
        </w:rPr>
      </w:pPr>
      <w:r w:rsidRPr="006C6FBD">
        <w:rPr>
          <w:rFonts w:ascii="Arial" w:hAnsi="Arial" w:cs="Arial"/>
          <w:sz w:val="24"/>
          <w:szCs w:val="24"/>
          <w:lang w:val="en-US"/>
        </w:rPr>
        <w:t xml:space="preserve">Demographic changes are altering labour markets and shaping how organisations formulate effective Human Resource Management (HRM) and International Human Resource Management (IHRM) approaches (Reiche et al., 2022). Ageing is also one of the biggest transformations, especially in the developed world, such as Japan, Germany, and the United Kingdom, where shrinking birth rates and increased life expectancy are creating skill gaps across sectors. The grey workforce poses a challenge to HR professionals, as they are expected to create flexible retirement packages, transfer knowledge, engage the ageing workforce, and offer part-time employment or consultancy services (Hasan, 2023).  </w:t>
      </w:r>
      <w:r w:rsidR="00695F80" w:rsidRPr="006C6FBD">
        <w:rPr>
          <w:rFonts w:ascii="Arial" w:hAnsi="Arial" w:cs="Arial"/>
          <w:sz w:val="24"/>
          <w:szCs w:val="24"/>
          <w:lang w:val="en-US"/>
        </w:rPr>
        <w:t>At the same time, the concept of generational diversity is expanding, and currently, Baby Boomers, Generation X, Millennials</w:t>
      </w:r>
      <w:r w:rsidR="00C9731C" w:rsidRPr="006C6FBD">
        <w:rPr>
          <w:rFonts w:ascii="Arial" w:hAnsi="Arial" w:cs="Arial"/>
          <w:sz w:val="24"/>
          <w:szCs w:val="24"/>
          <w:lang w:val="en-US"/>
        </w:rPr>
        <w:t>,</w:t>
      </w:r>
      <w:r w:rsidR="00695F80" w:rsidRPr="006C6FBD">
        <w:rPr>
          <w:rFonts w:ascii="Arial" w:hAnsi="Arial" w:cs="Arial"/>
          <w:sz w:val="24"/>
          <w:szCs w:val="24"/>
          <w:lang w:val="en-US"/>
        </w:rPr>
        <w:t xml:space="preserve"> and Generation Z </w:t>
      </w:r>
      <w:r w:rsidR="000A77C5" w:rsidRPr="006C6FBD">
        <w:rPr>
          <w:rFonts w:ascii="Arial" w:hAnsi="Arial" w:cs="Arial"/>
          <w:sz w:val="24"/>
          <w:szCs w:val="24"/>
          <w:lang w:val="en-US"/>
        </w:rPr>
        <w:t>are working together</w:t>
      </w:r>
      <w:r w:rsidR="00695F80" w:rsidRPr="006C6FBD">
        <w:rPr>
          <w:rFonts w:ascii="Arial" w:hAnsi="Arial" w:cs="Arial"/>
          <w:sz w:val="24"/>
          <w:szCs w:val="24"/>
          <w:lang w:val="en-US"/>
        </w:rPr>
        <w:t xml:space="preserve">. The groups also share a </w:t>
      </w:r>
      <w:r w:rsidR="001877DB" w:rsidRPr="006C6FBD">
        <w:rPr>
          <w:rFonts w:ascii="Arial" w:hAnsi="Arial" w:cs="Arial"/>
          <w:sz w:val="24"/>
          <w:szCs w:val="24"/>
          <w:lang w:val="en-US"/>
        </w:rPr>
        <w:t>range of values, work expectations, and digital fluency, which</w:t>
      </w:r>
      <w:r w:rsidR="00695F80" w:rsidRPr="006C6FBD">
        <w:rPr>
          <w:rFonts w:ascii="Arial" w:hAnsi="Arial" w:cs="Arial"/>
          <w:sz w:val="24"/>
          <w:szCs w:val="24"/>
          <w:lang w:val="en-US"/>
        </w:rPr>
        <w:t xml:space="preserve"> force HR departments to implement personalised engagement and development strategies (</w:t>
      </w:r>
      <w:r w:rsidR="000A77C5" w:rsidRPr="006C6FBD">
        <w:rPr>
          <w:rFonts w:ascii="Arial" w:hAnsi="Arial" w:cs="Arial"/>
          <w:sz w:val="24"/>
          <w:szCs w:val="24"/>
        </w:rPr>
        <w:t>Kulkarni and Rai, 2023</w:t>
      </w:r>
      <w:r w:rsidR="00695F80" w:rsidRPr="006C6FBD">
        <w:rPr>
          <w:rFonts w:ascii="Arial" w:hAnsi="Arial" w:cs="Arial"/>
          <w:sz w:val="24"/>
          <w:szCs w:val="24"/>
          <w:lang w:val="en-US"/>
        </w:rPr>
        <w:t xml:space="preserve">). </w:t>
      </w:r>
    </w:p>
    <w:p w14:paraId="519B04A7" w14:textId="77777777" w:rsidR="00695F80" w:rsidRPr="006C6FBD" w:rsidRDefault="00695F80" w:rsidP="005718F9">
      <w:pPr>
        <w:pStyle w:val="Heading2"/>
        <w:rPr>
          <w:rFonts w:ascii="Arial" w:hAnsi="Arial" w:cs="Arial"/>
          <w:b/>
          <w:bCs/>
          <w:sz w:val="24"/>
          <w:szCs w:val="24"/>
          <w:lang w:val="en-US"/>
        </w:rPr>
      </w:pPr>
      <w:bookmarkStart w:id="8" w:name="_Toc213435770"/>
      <w:r w:rsidRPr="006C6FBD">
        <w:rPr>
          <w:rFonts w:ascii="Arial" w:hAnsi="Arial" w:cs="Arial"/>
          <w:b/>
          <w:bCs/>
          <w:sz w:val="24"/>
          <w:szCs w:val="24"/>
          <w:lang w:val="en-US"/>
        </w:rPr>
        <w:t>3.2 Geopolitical Influences</w:t>
      </w:r>
      <w:bookmarkEnd w:id="8"/>
    </w:p>
    <w:p w14:paraId="683B873D" w14:textId="0A431F6E" w:rsidR="00C9731C" w:rsidRPr="006C6FBD" w:rsidRDefault="001877DB" w:rsidP="005718F9">
      <w:pPr>
        <w:spacing w:line="360" w:lineRule="auto"/>
        <w:jc w:val="both"/>
        <w:rPr>
          <w:rFonts w:ascii="Arial" w:hAnsi="Arial" w:cs="Arial"/>
          <w:sz w:val="24"/>
          <w:szCs w:val="24"/>
          <w:lang w:val="en-US"/>
        </w:rPr>
      </w:pPr>
      <w:r w:rsidRPr="006C6FBD">
        <w:rPr>
          <w:rFonts w:ascii="Arial" w:hAnsi="Arial" w:cs="Arial"/>
          <w:sz w:val="24"/>
          <w:szCs w:val="24"/>
          <w:lang w:val="en-US"/>
        </w:rPr>
        <w:t>Geopolitical changes have a significant impact on global labour mobility, labour patterns, and</w:t>
      </w:r>
      <w:r w:rsidR="00695F80" w:rsidRPr="006C6FBD">
        <w:rPr>
          <w:rFonts w:ascii="Arial" w:hAnsi="Arial" w:cs="Arial"/>
          <w:sz w:val="24"/>
          <w:szCs w:val="24"/>
          <w:lang w:val="en-US"/>
        </w:rPr>
        <w:t xml:space="preserve"> HR compliance frameworks. The Brexit aftermath has </w:t>
      </w:r>
      <w:r w:rsidRPr="006C6FBD">
        <w:rPr>
          <w:rFonts w:ascii="Arial" w:hAnsi="Arial" w:cs="Arial"/>
          <w:sz w:val="24"/>
          <w:szCs w:val="24"/>
          <w:lang w:val="en-US"/>
        </w:rPr>
        <w:t>particularly affected labour supply chains in Europe, reducing access to skilled and unskilled labour, as well as to logistics, healthcare, and agriculture</w:t>
      </w:r>
      <w:r w:rsidR="00695F80" w:rsidRPr="006C6FBD">
        <w:rPr>
          <w:rFonts w:ascii="Arial" w:hAnsi="Arial" w:cs="Arial"/>
          <w:sz w:val="24"/>
          <w:szCs w:val="24"/>
          <w:lang w:val="en-US"/>
        </w:rPr>
        <w:t xml:space="preserve"> (</w:t>
      </w:r>
      <w:r w:rsidR="000A77C5" w:rsidRPr="006C6FBD">
        <w:rPr>
          <w:rFonts w:ascii="Arial" w:hAnsi="Arial" w:cs="Arial"/>
          <w:sz w:val="24"/>
          <w:szCs w:val="24"/>
        </w:rPr>
        <w:t>Walsh et al., 2025</w:t>
      </w:r>
      <w:r w:rsidR="00695F80" w:rsidRPr="006C6FBD">
        <w:rPr>
          <w:rFonts w:ascii="Arial" w:hAnsi="Arial" w:cs="Arial"/>
          <w:sz w:val="24"/>
          <w:szCs w:val="24"/>
          <w:lang w:val="en-US"/>
        </w:rPr>
        <w:t>). This has necessitated th</w:t>
      </w:r>
      <w:r w:rsidRPr="006C6FBD">
        <w:rPr>
          <w:rFonts w:ascii="Arial" w:hAnsi="Arial" w:cs="Arial"/>
          <w:sz w:val="24"/>
          <w:szCs w:val="24"/>
          <w:lang w:val="en-US"/>
        </w:rPr>
        <w:t>at UK-based organisations</w:t>
      </w:r>
      <w:r w:rsidR="00695F80" w:rsidRPr="006C6FBD">
        <w:rPr>
          <w:rFonts w:ascii="Arial" w:hAnsi="Arial" w:cs="Arial"/>
          <w:sz w:val="24"/>
          <w:szCs w:val="24"/>
          <w:lang w:val="en-US"/>
        </w:rPr>
        <w:t xml:space="preserve"> change their workforce planning and visa sponsorship policies. Equally, war in the world</w:t>
      </w:r>
      <w:r w:rsidRPr="006C6FBD">
        <w:rPr>
          <w:rFonts w:ascii="Arial" w:hAnsi="Arial" w:cs="Arial"/>
          <w:sz w:val="24"/>
          <w:szCs w:val="24"/>
          <w:lang w:val="en-US"/>
        </w:rPr>
        <w:t>,</w:t>
      </w:r>
      <w:r w:rsidR="00695F80" w:rsidRPr="006C6FBD">
        <w:rPr>
          <w:rFonts w:ascii="Arial" w:hAnsi="Arial" w:cs="Arial"/>
          <w:sz w:val="24"/>
          <w:szCs w:val="24"/>
          <w:lang w:val="en-US"/>
        </w:rPr>
        <w:t xml:space="preserve"> like the war in Russia-Ukraine</w:t>
      </w:r>
      <w:r w:rsidRPr="006C6FBD">
        <w:rPr>
          <w:rFonts w:ascii="Arial" w:hAnsi="Arial" w:cs="Arial"/>
          <w:sz w:val="24"/>
          <w:szCs w:val="24"/>
          <w:lang w:val="en-US"/>
        </w:rPr>
        <w:t>,</w:t>
      </w:r>
      <w:r w:rsidR="00695F80" w:rsidRPr="006C6FBD">
        <w:rPr>
          <w:rFonts w:ascii="Arial" w:hAnsi="Arial" w:cs="Arial"/>
          <w:sz w:val="24"/>
          <w:szCs w:val="24"/>
          <w:lang w:val="en-US"/>
        </w:rPr>
        <w:t xml:space="preserve"> displaced millions of </w:t>
      </w:r>
      <w:r w:rsidR="00695F80" w:rsidRPr="006C6FBD">
        <w:rPr>
          <w:rFonts w:ascii="Arial" w:hAnsi="Arial" w:cs="Arial"/>
          <w:sz w:val="24"/>
          <w:szCs w:val="24"/>
          <w:lang w:val="en-US"/>
        </w:rPr>
        <w:lastRenderedPageBreak/>
        <w:t>workers, putting a strain on migration and forcing multinational companies to accommodate humanitarian employment practices</w:t>
      </w:r>
      <w:r w:rsidR="000A77C5" w:rsidRPr="006C6FBD">
        <w:rPr>
          <w:rFonts w:ascii="Arial" w:hAnsi="Arial" w:cs="Arial"/>
          <w:sz w:val="24"/>
          <w:szCs w:val="24"/>
          <w:lang w:val="en-US"/>
        </w:rPr>
        <w:t xml:space="preserve"> (</w:t>
      </w:r>
      <w:r w:rsidR="000A77C5" w:rsidRPr="006C6FBD">
        <w:rPr>
          <w:rFonts w:ascii="Arial" w:hAnsi="Arial" w:cs="Arial"/>
          <w:sz w:val="24"/>
          <w:szCs w:val="24"/>
        </w:rPr>
        <w:t>Yaroshenko et al., 2023)</w:t>
      </w:r>
      <w:r w:rsidR="00695F80" w:rsidRPr="006C6FBD">
        <w:rPr>
          <w:rFonts w:ascii="Arial" w:hAnsi="Arial" w:cs="Arial"/>
          <w:sz w:val="24"/>
          <w:szCs w:val="24"/>
          <w:lang w:val="en-US"/>
        </w:rPr>
        <w:t xml:space="preserve">. </w:t>
      </w:r>
      <w:r w:rsidR="00C9731C" w:rsidRPr="006C6FBD">
        <w:rPr>
          <w:rFonts w:ascii="Arial" w:hAnsi="Arial" w:cs="Arial"/>
          <w:sz w:val="24"/>
          <w:szCs w:val="24"/>
          <w:lang w:val="en-US"/>
        </w:rPr>
        <w:t>Trade tensions between the leading economies, the United States and China, as well as manufacturing and workforce reorganisation, have also restructured the manufacturing and supply chains. In addition, the increased utilisation of protectionist labour policies across various countries has restricted cross-border employment, leading to renewed interest in building local talent. Geopolitical uncertainty, therefore, poses a challenge to implementing flexible HRM/IHRM strategies that can strike a balance between workforce continuity and legal and ethical requirements</w:t>
      </w:r>
      <w:r w:rsidR="00DC435F" w:rsidRPr="006C6FBD">
        <w:rPr>
          <w:rFonts w:ascii="Arial" w:hAnsi="Arial" w:cs="Arial"/>
          <w:sz w:val="24"/>
          <w:szCs w:val="24"/>
          <w:lang w:val="en-US"/>
        </w:rPr>
        <w:t xml:space="preserve"> (</w:t>
      </w:r>
      <w:r w:rsidR="00DC435F" w:rsidRPr="006C6FBD">
        <w:rPr>
          <w:rFonts w:ascii="Arial" w:hAnsi="Arial" w:cs="Arial"/>
          <w:sz w:val="24"/>
          <w:szCs w:val="24"/>
        </w:rPr>
        <w:t>Scalera and Perri, 2024)</w:t>
      </w:r>
      <w:r w:rsidR="00C9731C" w:rsidRPr="006C6FBD">
        <w:rPr>
          <w:rFonts w:ascii="Arial" w:hAnsi="Arial" w:cs="Arial"/>
          <w:sz w:val="24"/>
          <w:szCs w:val="24"/>
          <w:lang w:val="en-US"/>
        </w:rPr>
        <w:t>.</w:t>
      </w:r>
    </w:p>
    <w:p w14:paraId="4EC02AF1" w14:textId="77777777" w:rsidR="00C9731C" w:rsidRPr="006C6FBD" w:rsidRDefault="00C9731C" w:rsidP="005718F9">
      <w:pPr>
        <w:pStyle w:val="Heading2"/>
        <w:rPr>
          <w:rFonts w:ascii="Arial" w:hAnsi="Arial" w:cs="Arial"/>
          <w:b/>
          <w:bCs/>
          <w:sz w:val="24"/>
          <w:szCs w:val="24"/>
          <w:lang w:val="en-US"/>
        </w:rPr>
      </w:pPr>
      <w:bookmarkStart w:id="9" w:name="_Toc213435771"/>
      <w:r w:rsidRPr="006C6FBD">
        <w:rPr>
          <w:rFonts w:ascii="Arial" w:hAnsi="Arial" w:cs="Arial"/>
          <w:b/>
          <w:bCs/>
          <w:sz w:val="24"/>
          <w:szCs w:val="24"/>
          <w:lang w:val="en-US"/>
        </w:rPr>
        <w:t>3.3 HR Challenges and Responses</w:t>
      </w:r>
      <w:bookmarkEnd w:id="9"/>
    </w:p>
    <w:p w14:paraId="3D3C3C16" w14:textId="4D34FF95" w:rsidR="00C9731C" w:rsidRPr="006C6FBD" w:rsidRDefault="00C9731C" w:rsidP="005718F9">
      <w:pPr>
        <w:spacing w:line="360" w:lineRule="auto"/>
        <w:jc w:val="both"/>
        <w:rPr>
          <w:rFonts w:ascii="Arial" w:hAnsi="Arial" w:cs="Arial"/>
          <w:sz w:val="24"/>
          <w:szCs w:val="24"/>
          <w:lang w:val="en-US"/>
        </w:rPr>
      </w:pPr>
      <w:r w:rsidRPr="006C6FBD">
        <w:rPr>
          <w:rFonts w:ascii="Arial" w:hAnsi="Arial" w:cs="Arial"/>
          <w:sz w:val="24"/>
          <w:szCs w:val="24"/>
          <w:lang w:val="en-US"/>
        </w:rPr>
        <w:t>HR professionals will face complex challenges related to the diversified, dispersed global workforce. Cultural intelligence, empathy, and digital fluency are the factors needed to handle cross-cultural communication in distant and hybrid locations</w:t>
      </w:r>
      <w:r w:rsidR="00DC435F" w:rsidRPr="006C6FBD">
        <w:rPr>
          <w:rFonts w:ascii="Arial" w:hAnsi="Arial" w:cs="Arial"/>
          <w:sz w:val="24"/>
          <w:szCs w:val="24"/>
          <w:lang w:val="en-US"/>
        </w:rPr>
        <w:t xml:space="preserve"> (</w:t>
      </w:r>
      <w:r w:rsidR="00DC435F" w:rsidRPr="006C6FBD">
        <w:rPr>
          <w:rFonts w:ascii="Arial" w:hAnsi="Arial" w:cs="Arial"/>
          <w:sz w:val="24"/>
          <w:szCs w:val="24"/>
        </w:rPr>
        <w:t>Shadiev et al., 2021)</w:t>
      </w:r>
      <w:r w:rsidRPr="006C6FBD">
        <w:rPr>
          <w:rFonts w:ascii="Arial" w:hAnsi="Arial" w:cs="Arial"/>
          <w:sz w:val="24"/>
          <w:szCs w:val="24"/>
          <w:lang w:val="en-US"/>
        </w:rPr>
        <w:t>. International HR managers are also supposed to ensure compliance with employment laws, tax systems, and data protection laws in the countries where they operate. The concepts of Inclusion, Equity, and Diversity (DEI) have also become necessary for advancing equity, imagination, and innovation</w:t>
      </w:r>
      <w:r w:rsidR="00DC435F" w:rsidRPr="006C6FBD">
        <w:rPr>
          <w:rFonts w:ascii="Arial" w:hAnsi="Arial" w:cs="Arial"/>
          <w:sz w:val="24"/>
          <w:szCs w:val="24"/>
          <w:lang w:val="en-US"/>
        </w:rPr>
        <w:t xml:space="preserve"> (</w:t>
      </w:r>
      <w:r w:rsidR="00DC435F" w:rsidRPr="006C6FBD">
        <w:rPr>
          <w:rFonts w:ascii="Arial" w:hAnsi="Arial" w:cs="Arial"/>
          <w:sz w:val="24"/>
          <w:szCs w:val="24"/>
        </w:rPr>
        <w:t>Karr and Berdejo, 2024)</w:t>
      </w:r>
      <w:r w:rsidRPr="006C6FBD">
        <w:rPr>
          <w:rFonts w:ascii="Arial" w:hAnsi="Arial" w:cs="Arial"/>
          <w:sz w:val="24"/>
          <w:szCs w:val="24"/>
          <w:lang w:val="en-US"/>
        </w:rPr>
        <w:t>. For example, Google and Microsoft have introduced international DEI programs focused on inclusive leadership, unconscious bias training, and equitable career development opportunities</w:t>
      </w:r>
      <w:r w:rsidR="00DC435F" w:rsidRPr="006C6FBD">
        <w:rPr>
          <w:rFonts w:ascii="Arial" w:hAnsi="Arial" w:cs="Arial"/>
          <w:sz w:val="24"/>
          <w:szCs w:val="24"/>
          <w:lang w:val="en-US"/>
        </w:rPr>
        <w:t xml:space="preserve"> (</w:t>
      </w:r>
      <w:r w:rsidR="00DC435F" w:rsidRPr="006C6FBD">
        <w:rPr>
          <w:rFonts w:ascii="Arial" w:hAnsi="Arial" w:cs="Arial"/>
          <w:sz w:val="24"/>
          <w:szCs w:val="24"/>
        </w:rPr>
        <w:t>Hassan, 2025)</w:t>
      </w:r>
      <w:r w:rsidRPr="006C6FBD">
        <w:rPr>
          <w:rFonts w:ascii="Arial" w:hAnsi="Arial" w:cs="Arial"/>
          <w:sz w:val="24"/>
          <w:szCs w:val="24"/>
          <w:lang w:val="en-US"/>
        </w:rPr>
        <w:t xml:space="preserve">. </w:t>
      </w:r>
    </w:p>
    <w:p w14:paraId="4AD9FE58" w14:textId="77777777" w:rsidR="00C9731C" w:rsidRPr="006C6FBD" w:rsidRDefault="00C9731C" w:rsidP="005718F9">
      <w:pPr>
        <w:pStyle w:val="Heading2"/>
        <w:rPr>
          <w:rFonts w:ascii="Arial" w:hAnsi="Arial" w:cs="Arial"/>
          <w:b/>
          <w:bCs/>
          <w:sz w:val="24"/>
          <w:szCs w:val="24"/>
          <w:lang w:val="en-US"/>
        </w:rPr>
      </w:pPr>
      <w:bookmarkStart w:id="10" w:name="_Toc213435772"/>
      <w:r w:rsidRPr="006C6FBD">
        <w:rPr>
          <w:rFonts w:ascii="Arial" w:hAnsi="Arial" w:cs="Arial"/>
          <w:b/>
          <w:bCs/>
          <w:sz w:val="24"/>
          <w:szCs w:val="24"/>
          <w:lang w:val="en-US"/>
        </w:rPr>
        <w:t>3.4 PESTLE Analysis Theoretical Framework.</w:t>
      </w:r>
      <w:bookmarkEnd w:id="10"/>
    </w:p>
    <w:p w14:paraId="002555FB" w14:textId="15A3B3AB" w:rsidR="00EF1699" w:rsidRPr="006C6FBD" w:rsidRDefault="00C9731C" w:rsidP="005718F9">
      <w:pPr>
        <w:spacing w:line="360" w:lineRule="auto"/>
        <w:jc w:val="both"/>
        <w:rPr>
          <w:rFonts w:ascii="Arial" w:hAnsi="Arial" w:cs="Arial"/>
          <w:sz w:val="24"/>
          <w:szCs w:val="24"/>
          <w:lang w:val="en-US"/>
        </w:rPr>
      </w:pPr>
      <w:r w:rsidRPr="006C6FBD">
        <w:rPr>
          <w:rFonts w:ascii="Arial" w:hAnsi="Arial" w:cs="Arial"/>
          <w:sz w:val="24"/>
          <w:szCs w:val="24"/>
          <w:lang w:val="en-US"/>
        </w:rPr>
        <w:t>The PESTLE framework (Political, Economic, Social, Technological, Legal, and Environmental) is a systematic approach to evaluating the impact of macro-environmental factors on HRM and IHRM strategies</w:t>
      </w:r>
      <w:r w:rsidR="00DC435F" w:rsidRPr="006C6FBD">
        <w:rPr>
          <w:rFonts w:ascii="Arial" w:hAnsi="Arial" w:cs="Arial"/>
          <w:sz w:val="24"/>
          <w:szCs w:val="24"/>
          <w:lang w:val="en-US"/>
        </w:rPr>
        <w:t xml:space="preserve"> (</w:t>
      </w:r>
      <w:r w:rsidR="00DC435F" w:rsidRPr="006C6FBD">
        <w:rPr>
          <w:rFonts w:ascii="Arial" w:hAnsi="Arial" w:cs="Arial"/>
          <w:sz w:val="24"/>
          <w:szCs w:val="24"/>
        </w:rPr>
        <w:t>Vivek, 2022)</w:t>
      </w:r>
      <w:r w:rsidRPr="006C6FBD">
        <w:rPr>
          <w:rFonts w:ascii="Arial" w:hAnsi="Arial" w:cs="Arial"/>
          <w:sz w:val="24"/>
          <w:szCs w:val="24"/>
          <w:lang w:val="en-US"/>
        </w:rPr>
        <w:t xml:space="preserve">. </w:t>
      </w:r>
    </w:p>
    <w:tbl>
      <w:tblPr>
        <w:tblStyle w:val="TableGrid"/>
        <w:tblW w:w="0" w:type="auto"/>
        <w:tblLook w:val="04A0" w:firstRow="1" w:lastRow="0" w:firstColumn="1" w:lastColumn="0" w:noHBand="0" w:noVBand="1"/>
      </w:tblPr>
      <w:tblGrid>
        <w:gridCol w:w="1896"/>
        <w:gridCol w:w="7680"/>
      </w:tblGrid>
      <w:tr w:rsidR="00EF1699" w:rsidRPr="006C6FBD" w14:paraId="4F1C860B" w14:textId="77777777" w:rsidTr="00EF1699">
        <w:tc>
          <w:tcPr>
            <w:tcW w:w="0" w:type="auto"/>
            <w:hideMark/>
          </w:tcPr>
          <w:p w14:paraId="33601B71" w14:textId="77777777" w:rsidR="00EF1699" w:rsidRPr="006C6FBD" w:rsidRDefault="00EF1699"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PESTLE Factor</w:t>
            </w:r>
          </w:p>
        </w:tc>
        <w:tc>
          <w:tcPr>
            <w:tcW w:w="0" w:type="auto"/>
            <w:hideMark/>
          </w:tcPr>
          <w:p w14:paraId="0909916C" w14:textId="77777777" w:rsidR="00EF1699" w:rsidRPr="006C6FBD" w:rsidRDefault="00EF1699"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Key Influences on HRM and IHRM Strategies</w:t>
            </w:r>
          </w:p>
        </w:tc>
      </w:tr>
      <w:tr w:rsidR="00EF1699" w:rsidRPr="006C6FBD" w14:paraId="038FD001" w14:textId="77777777" w:rsidTr="00EF1699">
        <w:tc>
          <w:tcPr>
            <w:tcW w:w="0" w:type="auto"/>
            <w:hideMark/>
          </w:tcPr>
          <w:p w14:paraId="144F3B7A" w14:textId="77777777"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Political</w:t>
            </w:r>
          </w:p>
        </w:tc>
        <w:tc>
          <w:tcPr>
            <w:tcW w:w="0" w:type="auto"/>
            <w:hideMark/>
          </w:tcPr>
          <w:p w14:paraId="3EA964E1" w14:textId="21A2D55B" w:rsidR="00EF1699" w:rsidRPr="006C6FBD" w:rsidRDefault="00C973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 xml:space="preserve">Immigration policies, trade policies, and unrest in the geopolitical sphere are </w:t>
            </w:r>
            <w:r w:rsidR="00DC435F" w:rsidRPr="006C6FBD">
              <w:rPr>
                <w:rFonts w:ascii="Arial" w:hAnsi="Arial" w:cs="Arial"/>
                <w:sz w:val="24"/>
                <w:szCs w:val="24"/>
                <w:lang w:val="en-US"/>
              </w:rPr>
              <w:t>direct consequences that affect</w:t>
            </w:r>
            <w:r w:rsidRPr="006C6FBD">
              <w:rPr>
                <w:rFonts w:ascii="Arial" w:hAnsi="Arial" w:cs="Arial"/>
                <w:sz w:val="24"/>
                <w:szCs w:val="24"/>
                <w:lang w:val="en-US"/>
              </w:rPr>
              <w:t xml:space="preserve"> labour mobility and </w:t>
            </w:r>
            <w:r w:rsidR="00DC435F" w:rsidRPr="006C6FBD">
              <w:rPr>
                <w:rFonts w:ascii="Arial" w:hAnsi="Arial" w:cs="Arial"/>
                <w:sz w:val="24"/>
                <w:szCs w:val="24"/>
                <w:lang w:val="en-US"/>
              </w:rPr>
              <w:t xml:space="preserve">the </w:t>
            </w:r>
            <w:r w:rsidRPr="006C6FBD">
              <w:rPr>
                <w:rFonts w:ascii="Arial" w:hAnsi="Arial" w:cs="Arial"/>
                <w:sz w:val="24"/>
                <w:szCs w:val="24"/>
                <w:lang w:val="en-US"/>
              </w:rPr>
              <w:t xml:space="preserve">availability of the workforce. </w:t>
            </w:r>
            <w:r w:rsidR="00DC435F" w:rsidRPr="006C6FBD">
              <w:rPr>
                <w:rFonts w:ascii="Arial" w:hAnsi="Arial" w:cs="Arial"/>
                <w:sz w:val="24"/>
                <w:szCs w:val="24"/>
                <w:lang w:val="en-US"/>
              </w:rPr>
              <w:t xml:space="preserve">For example, Brexit disrupted the </w:t>
            </w:r>
            <w:r w:rsidR="00DC435F" w:rsidRPr="006C6FBD">
              <w:rPr>
                <w:rFonts w:ascii="Arial" w:hAnsi="Arial" w:cs="Arial"/>
                <w:sz w:val="24"/>
                <w:szCs w:val="24"/>
                <w:lang w:val="en-US"/>
              </w:rPr>
              <w:lastRenderedPageBreak/>
              <w:t>movement of European talent, forcing</w:t>
            </w:r>
            <w:r w:rsidRPr="006C6FBD">
              <w:rPr>
                <w:rFonts w:ascii="Arial" w:hAnsi="Arial" w:cs="Arial"/>
                <w:sz w:val="24"/>
                <w:szCs w:val="24"/>
                <w:lang w:val="en-US"/>
              </w:rPr>
              <w:t xml:space="preserve"> organisations in the United Kingdom to update their recruitment and visa policies (</w:t>
            </w:r>
            <w:r w:rsidR="00DC435F" w:rsidRPr="006C6FBD">
              <w:rPr>
                <w:rFonts w:ascii="Arial" w:hAnsi="Arial" w:cs="Arial"/>
                <w:sz w:val="24"/>
                <w:szCs w:val="24"/>
              </w:rPr>
              <w:t>Mezzadra and Neilson, 2021</w:t>
            </w:r>
            <w:r w:rsidRPr="006C6FBD">
              <w:rPr>
                <w:rFonts w:ascii="Arial" w:hAnsi="Arial" w:cs="Arial"/>
                <w:sz w:val="24"/>
                <w:szCs w:val="24"/>
                <w:lang w:val="en-US"/>
              </w:rPr>
              <w:t>).</w:t>
            </w:r>
          </w:p>
        </w:tc>
      </w:tr>
      <w:tr w:rsidR="00EF1699" w:rsidRPr="006C6FBD" w14:paraId="467A1D18" w14:textId="77777777" w:rsidTr="00EF1699">
        <w:tc>
          <w:tcPr>
            <w:tcW w:w="0" w:type="auto"/>
            <w:hideMark/>
          </w:tcPr>
          <w:p w14:paraId="3F2B55AF" w14:textId="77777777"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lastRenderedPageBreak/>
              <w:t>Economic</w:t>
            </w:r>
          </w:p>
        </w:tc>
        <w:tc>
          <w:tcPr>
            <w:tcW w:w="0" w:type="auto"/>
            <w:hideMark/>
          </w:tcPr>
          <w:p w14:paraId="7C82F190" w14:textId="2299FB2F"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Global inflation, recessions, and currency fluctuations influence wage structures, hiring capacity, and employment stability. Companies such as Tesco and Shell have adjusted pay and benefits frameworks to respond to cost-of-living crises (</w:t>
            </w:r>
            <w:r w:rsidR="00DC435F" w:rsidRPr="006C6FBD">
              <w:rPr>
                <w:rFonts w:ascii="Arial" w:hAnsi="Arial" w:cs="Arial"/>
                <w:sz w:val="24"/>
                <w:szCs w:val="24"/>
              </w:rPr>
              <w:t>Lapavitsas et al., 2023</w:t>
            </w:r>
            <w:r w:rsidRPr="006C6FBD">
              <w:rPr>
                <w:rFonts w:ascii="Arial" w:hAnsi="Arial" w:cs="Arial"/>
                <w:sz w:val="24"/>
                <w:szCs w:val="24"/>
                <w:lang w:val="en-US"/>
              </w:rPr>
              <w:t>).</w:t>
            </w:r>
          </w:p>
        </w:tc>
      </w:tr>
      <w:tr w:rsidR="00C9731C" w:rsidRPr="006C6FBD" w14:paraId="2DF48737" w14:textId="77777777" w:rsidTr="00C9731C">
        <w:tc>
          <w:tcPr>
            <w:tcW w:w="0" w:type="auto"/>
            <w:hideMark/>
          </w:tcPr>
          <w:p w14:paraId="55BAFE41" w14:textId="77777777"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Social</w:t>
            </w:r>
          </w:p>
        </w:tc>
        <w:tc>
          <w:tcPr>
            <w:tcW w:w="0" w:type="auto"/>
          </w:tcPr>
          <w:p w14:paraId="01B8E9F8" w14:textId="687502E7"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sz w:val="24"/>
                <w:szCs w:val="24"/>
              </w:rPr>
              <w:t>Ageing populations, gender diversity, and generational diversity are redefining the changing employee expectations and engagement strategies. Diversity, inclusion, and cross-generational leadership are the areas that Unilever and Accenture focus on</w:t>
            </w:r>
            <w:r w:rsidR="00DC435F" w:rsidRPr="006C6FBD">
              <w:rPr>
                <w:rFonts w:ascii="Arial" w:hAnsi="Arial" w:cs="Arial"/>
                <w:sz w:val="24"/>
                <w:szCs w:val="24"/>
              </w:rPr>
              <w:t xml:space="preserve"> (Gutterman, 2022)</w:t>
            </w:r>
            <w:r w:rsidRPr="006C6FBD">
              <w:rPr>
                <w:rFonts w:ascii="Arial" w:hAnsi="Arial" w:cs="Arial"/>
                <w:sz w:val="24"/>
                <w:szCs w:val="24"/>
              </w:rPr>
              <w:t>.</w:t>
            </w:r>
          </w:p>
        </w:tc>
      </w:tr>
      <w:tr w:rsidR="00C9731C" w:rsidRPr="006C6FBD" w14:paraId="0839BD53" w14:textId="77777777" w:rsidTr="00C9731C">
        <w:tc>
          <w:tcPr>
            <w:tcW w:w="0" w:type="auto"/>
            <w:hideMark/>
          </w:tcPr>
          <w:p w14:paraId="18F424B3" w14:textId="77777777"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Technological</w:t>
            </w:r>
          </w:p>
        </w:tc>
        <w:tc>
          <w:tcPr>
            <w:tcW w:w="0" w:type="auto"/>
          </w:tcPr>
          <w:p w14:paraId="693097BB" w14:textId="77215B8C"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sz w:val="24"/>
                <w:szCs w:val="24"/>
              </w:rPr>
              <w:t>Jobs are redesigned, remote work is introduced, and skills are reshaped through automation, AI, and digital platforms. IBM is applying AI-based HR analytics to improve learning, retention, and performance forecasting (</w:t>
            </w:r>
            <w:r w:rsidR="00DC435F" w:rsidRPr="006C6FBD">
              <w:rPr>
                <w:rFonts w:ascii="Arial" w:hAnsi="Arial" w:cs="Arial"/>
                <w:sz w:val="24"/>
                <w:szCs w:val="24"/>
              </w:rPr>
              <w:t>Samuel et al., 2025</w:t>
            </w:r>
            <w:r w:rsidRPr="006C6FBD">
              <w:rPr>
                <w:rFonts w:ascii="Arial" w:hAnsi="Arial" w:cs="Arial"/>
                <w:sz w:val="24"/>
                <w:szCs w:val="24"/>
              </w:rPr>
              <w:t>).</w:t>
            </w:r>
          </w:p>
        </w:tc>
      </w:tr>
      <w:tr w:rsidR="00C9731C" w:rsidRPr="006C6FBD" w14:paraId="428D385D" w14:textId="77777777" w:rsidTr="00C9731C">
        <w:tc>
          <w:tcPr>
            <w:tcW w:w="0" w:type="auto"/>
            <w:hideMark/>
          </w:tcPr>
          <w:p w14:paraId="2A20CB35" w14:textId="77777777"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Legal</w:t>
            </w:r>
          </w:p>
        </w:tc>
        <w:tc>
          <w:tcPr>
            <w:tcW w:w="0" w:type="auto"/>
          </w:tcPr>
          <w:p w14:paraId="4720709E" w14:textId="4451B748"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sz w:val="24"/>
                <w:szCs w:val="24"/>
              </w:rPr>
              <w:t>In multinational situations, compliance is governed by labour legislation, data protection legislation (e.g., GDPR), and equality legislation. HRM and IHRM should be able to guarantee equity and uniformity in the policies applied across different jurisdictions</w:t>
            </w:r>
            <w:r w:rsidR="00DC435F" w:rsidRPr="006C6FBD">
              <w:rPr>
                <w:rFonts w:ascii="Arial" w:hAnsi="Arial" w:cs="Arial"/>
                <w:sz w:val="24"/>
                <w:szCs w:val="24"/>
              </w:rPr>
              <w:t xml:space="preserve"> (Cervi, 2022)</w:t>
            </w:r>
            <w:r w:rsidRPr="006C6FBD">
              <w:rPr>
                <w:rFonts w:ascii="Arial" w:hAnsi="Arial" w:cs="Arial"/>
                <w:sz w:val="24"/>
                <w:szCs w:val="24"/>
              </w:rPr>
              <w:t>.</w:t>
            </w:r>
          </w:p>
        </w:tc>
      </w:tr>
      <w:tr w:rsidR="00C9731C" w:rsidRPr="006C6FBD" w14:paraId="0AD6AAD6" w14:textId="77777777" w:rsidTr="00C9731C">
        <w:tc>
          <w:tcPr>
            <w:tcW w:w="0" w:type="auto"/>
            <w:hideMark/>
          </w:tcPr>
          <w:p w14:paraId="3EB80EE4" w14:textId="77777777"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Environmental</w:t>
            </w:r>
          </w:p>
        </w:tc>
        <w:tc>
          <w:tcPr>
            <w:tcW w:w="0" w:type="auto"/>
          </w:tcPr>
          <w:p w14:paraId="36202921" w14:textId="686CBF60" w:rsidR="00C9731C" w:rsidRPr="006C6FBD" w:rsidRDefault="00C9731C" w:rsidP="005718F9">
            <w:pPr>
              <w:spacing w:after="200" w:line="360" w:lineRule="auto"/>
              <w:jc w:val="both"/>
              <w:rPr>
                <w:rFonts w:ascii="Arial" w:hAnsi="Arial" w:cs="Arial"/>
                <w:sz w:val="24"/>
                <w:szCs w:val="24"/>
                <w:lang w:val="en-US"/>
              </w:rPr>
            </w:pPr>
            <w:r w:rsidRPr="006C6FBD">
              <w:rPr>
                <w:rFonts w:ascii="Arial" w:hAnsi="Arial" w:cs="Arial"/>
                <w:sz w:val="24"/>
                <w:szCs w:val="24"/>
              </w:rPr>
              <w:t>The increasing sustainability requirements and ESG environmental standards promote the implementation of green HRM. Firms like IKEA and Patagonia encourage environmentally friendly programs and human consciousness to encourage environmental responsibility</w:t>
            </w:r>
            <w:r w:rsidR="00DC435F" w:rsidRPr="006C6FBD">
              <w:rPr>
                <w:rFonts w:ascii="Arial" w:hAnsi="Arial" w:cs="Arial"/>
                <w:sz w:val="24"/>
                <w:szCs w:val="24"/>
              </w:rPr>
              <w:t xml:space="preserve"> (Lin and Lin, 2025)</w:t>
            </w:r>
            <w:r w:rsidRPr="006C6FBD">
              <w:rPr>
                <w:rFonts w:ascii="Arial" w:hAnsi="Arial" w:cs="Arial"/>
                <w:sz w:val="24"/>
                <w:szCs w:val="24"/>
              </w:rPr>
              <w:t>.</w:t>
            </w:r>
          </w:p>
        </w:tc>
      </w:tr>
    </w:tbl>
    <w:p w14:paraId="68649108" w14:textId="2F35A048" w:rsidR="00EF1699" w:rsidRPr="006C6FBD" w:rsidRDefault="00EF1699" w:rsidP="005718F9">
      <w:pPr>
        <w:spacing w:line="360" w:lineRule="auto"/>
        <w:jc w:val="both"/>
        <w:rPr>
          <w:rFonts w:ascii="Arial" w:hAnsi="Arial" w:cs="Arial"/>
          <w:sz w:val="24"/>
          <w:szCs w:val="24"/>
          <w:lang w:val="en-US"/>
        </w:rPr>
      </w:pPr>
    </w:p>
    <w:p w14:paraId="511435A3" w14:textId="440BF387" w:rsidR="00EF1699" w:rsidRPr="006C6FBD" w:rsidRDefault="00EF1699" w:rsidP="005718F9">
      <w:pPr>
        <w:pStyle w:val="Heading1"/>
        <w:rPr>
          <w:rFonts w:ascii="Arial" w:hAnsi="Arial" w:cs="Arial"/>
          <w:b/>
          <w:bCs/>
          <w:sz w:val="24"/>
          <w:szCs w:val="24"/>
          <w:lang w:val="en-US"/>
        </w:rPr>
      </w:pPr>
      <w:bookmarkStart w:id="11" w:name="_Toc213435773"/>
      <w:r w:rsidRPr="006C6FBD">
        <w:rPr>
          <w:rFonts w:ascii="Arial" w:hAnsi="Arial" w:cs="Arial"/>
          <w:b/>
          <w:bCs/>
          <w:sz w:val="24"/>
          <w:szCs w:val="24"/>
          <w:lang w:val="en-US"/>
        </w:rPr>
        <w:lastRenderedPageBreak/>
        <w:t>4. Addressing Skills Gaps and Talent Shortages Through Strategic HRM</w:t>
      </w:r>
      <w:bookmarkEnd w:id="11"/>
    </w:p>
    <w:p w14:paraId="0F5A93AC" w14:textId="77777777" w:rsidR="00EF1699" w:rsidRPr="006C6FBD" w:rsidRDefault="00EF1699" w:rsidP="005718F9">
      <w:pPr>
        <w:pStyle w:val="Heading2"/>
        <w:rPr>
          <w:rFonts w:ascii="Arial" w:hAnsi="Arial" w:cs="Arial"/>
          <w:b/>
          <w:bCs/>
          <w:sz w:val="24"/>
          <w:szCs w:val="24"/>
          <w:lang w:val="en-US"/>
        </w:rPr>
      </w:pPr>
      <w:bookmarkStart w:id="12" w:name="_Toc213435774"/>
      <w:r w:rsidRPr="006C6FBD">
        <w:rPr>
          <w:rFonts w:ascii="Arial" w:hAnsi="Arial" w:cs="Arial"/>
          <w:b/>
          <w:bCs/>
          <w:sz w:val="24"/>
          <w:szCs w:val="24"/>
          <w:lang w:val="en-US"/>
        </w:rPr>
        <w:t>4.1 Nature of Skills Shortages</w:t>
      </w:r>
      <w:bookmarkEnd w:id="12"/>
    </w:p>
    <w:p w14:paraId="007EABE6" w14:textId="4FB40AEC" w:rsidR="00C9731C" w:rsidRPr="006C6FBD" w:rsidRDefault="006A6F38"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Skills gaps have become a significant challenge in developed and emerging economies, impacting the productivity and competitiveness of organisations (Mer and Virdi, 2024). Technology, healthcare, manufacturing, and hospitality are the most urgent industries that are most likely to be rapidly innovated, demographic, and consumer needs shifted. The shortage of data scientists, cybersecurity professionals, and software engineers has become endemic across the technological space due to the rapid pace of digitalisation and AI implementation (Agarwal et al., 2024). The UK and Japanese populations are ageing, which has led to a high demand for nurses, care workers, and medical technologists in the healthcare industry post-COVID-19. Seasonal hiring, low pay, and post-Brexit labour migration remain the main issues the hospitality industry faces in the recruitment process (Tuitert et al., 2024).  </w:t>
      </w:r>
      <w:r w:rsidR="00C9731C" w:rsidRPr="006C6FBD">
        <w:rPr>
          <w:rFonts w:ascii="Arial" w:hAnsi="Arial" w:cs="Arial"/>
          <w:sz w:val="24"/>
          <w:szCs w:val="24"/>
          <w:lang w:val="en-US"/>
        </w:rPr>
        <w:t xml:space="preserve">The magnitude and type of these shortages worldwide vary. Developed economies </w:t>
      </w:r>
      <w:r w:rsidR="00DC435F" w:rsidRPr="006C6FBD">
        <w:rPr>
          <w:rFonts w:ascii="Arial" w:hAnsi="Arial" w:cs="Arial"/>
          <w:sz w:val="24"/>
          <w:szCs w:val="24"/>
          <w:lang w:val="en-US"/>
        </w:rPr>
        <w:t>lack high-skilled digital talent, and developing countries face underemployment and a lack</w:t>
      </w:r>
      <w:r w:rsidR="00C9731C" w:rsidRPr="006C6FBD">
        <w:rPr>
          <w:rFonts w:ascii="Arial" w:hAnsi="Arial" w:cs="Arial"/>
          <w:sz w:val="24"/>
          <w:szCs w:val="24"/>
          <w:lang w:val="en-US"/>
        </w:rPr>
        <w:t xml:space="preserve"> of technical training centers. The mismatch between education systems and labour market needs highlights the importance of aligning national policies with organisational HRM strategies to ensure the long-term sustainability of employability and talent</w:t>
      </w:r>
      <w:r w:rsidR="00D16054" w:rsidRPr="006C6FBD">
        <w:rPr>
          <w:rFonts w:ascii="Arial" w:hAnsi="Arial" w:cs="Arial"/>
          <w:sz w:val="24"/>
          <w:szCs w:val="24"/>
          <w:lang w:val="en-US"/>
        </w:rPr>
        <w:t xml:space="preserve"> (</w:t>
      </w:r>
      <w:r w:rsidR="00D16054" w:rsidRPr="006C6FBD">
        <w:rPr>
          <w:rFonts w:ascii="Arial" w:hAnsi="Arial" w:cs="Arial"/>
          <w:sz w:val="24"/>
          <w:szCs w:val="24"/>
        </w:rPr>
        <w:t>Strietska-Ilina and Chun, 2021)</w:t>
      </w:r>
      <w:r w:rsidR="00C9731C" w:rsidRPr="006C6FBD">
        <w:rPr>
          <w:rFonts w:ascii="Arial" w:hAnsi="Arial" w:cs="Arial"/>
          <w:sz w:val="24"/>
          <w:szCs w:val="24"/>
          <w:lang w:val="en-US"/>
        </w:rPr>
        <w:t>.</w:t>
      </w:r>
    </w:p>
    <w:p w14:paraId="16953A4C" w14:textId="77777777" w:rsidR="00C9731C" w:rsidRPr="006C6FBD" w:rsidRDefault="00C9731C" w:rsidP="005718F9">
      <w:pPr>
        <w:pStyle w:val="Heading2"/>
        <w:rPr>
          <w:rFonts w:ascii="Arial" w:hAnsi="Arial" w:cs="Arial"/>
          <w:b/>
          <w:bCs/>
          <w:sz w:val="24"/>
          <w:szCs w:val="24"/>
          <w:lang w:val="en-US"/>
        </w:rPr>
      </w:pPr>
      <w:bookmarkStart w:id="13" w:name="_Toc213435775"/>
      <w:r w:rsidRPr="006C6FBD">
        <w:rPr>
          <w:rFonts w:ascii="Arial" w:hAnsi="Arial" w:cs="Arial"/>
          <w:b/>
          <w:bCs/>
          <w:sz w:val="24"/>
          <w:szCs w:val="24"/>
          <w:lang w:val="en-US"/>
        </w:rPr>
        <w:t>4.2 Strategic HRM Solutions</w:t>
      </w:r>
      <w:bookmarkEnd w:id="13"/>
    </w:p>
    <w:p w14:paraId="75EA41BC" w14:textId="3FD7589D" w:rsidR="00C9731C" w:rsidRPr="006C6FBD" w:rsidRDefault="00C9731C" w:rsidP="005718F9">
      <w:pPr>
        <w:spacing w:line="360" w:lineRule="auto"/>
        <w:jc w:val="both"/>
        <w:rPr>
          <w:rFonts w:ascii="Arial" w:hAnsi="Arial" w:cs="Arial"/>
          <w:sz w:val="24"/>
          <w:szCs w:val="24"/>
          <w:lang w:val="en-US"/>
        </w:rPr>
      </w:pPr>
      <w:r w:rsidRPr="006C6FBD">
        <w:rPr>
          <w:rFonts w:ascii="Arial" w:hAnsi="Arial" w:cs="Arial"/>
          <w:sz w:val="24"/>
          <w:szCs w:val="24"/>
          <w:lang w:val="en-US"/>
        </w:rPr>
        <w:t>Organisations should consider HRM strategies that emphasise proactive workforce planning and continuous learning to help reduce chronic skills gaps. Adequate workforce planning also assists the firm in anticipating future skills needs, planning recruitment, and identifying the skills the organisation possesses and those it needs to acquire</w:t>
      </w:r>
      <w:r w:rsidR="00D16054" w:rsidRPr="006C6FBD">
        <w:rPr>
          <w:rFonts w:ascii="Arial" w:hAnsi="Arial" w:cs="Arial"/>
          <w:sz w:val="24"/>
          <w:szCs w:val="24"/>
          <w:lang w:val="en-US"/>
        </w:rPr>
        <w:t xml:space="preserve"> (</w:t>
      </w:r>
      <w:r w:rsidR="00D16054" w:rsidRPr="006C6FBD">
        <w:rPr>
          <w:rFonts w:ascii="Arial" w:hAnsi="Arial" w:cs="Arial"/>
          <w:sz w:val="24"/>
          <w:szCs w:val="24"/>
        </w:rPr>
        <w:t>Emma, 2024)</w:t>
      </w:r>
      <w:r w:rsidRPr="006C6FBD">
        <w:rPr>
          <w:rFonts w:ascii="Arial" w:hAnsi="Arial" w:cs="Arial"/>
          <w:sz w:val="24"/>
          <w:szCs w:val="24"/>
          <w:lang w:val="en-US"/>
        </w:rPr>
        <w:t xml:space="preserve">. The upskilling and reskilling program is important in providing the staff with new functions in relation to the digital transformation. For example, Siemens has already established global online training academies to develop its employees' skills in automation and artificial intelligence, keeping them </w:t>
      </w:r>
      <w:r w:rsidR="00D16054" w:rsidRPr="006C6FBD">
        <w:rPr>
          <w:rFonts w:ascii="Arial" w:hAnsi="Arial" w:cs="Arial"/>
          <w:sz w:val="24"/>
          <w:szCs w:val="24"/>
          <w:lang w:val="en-US"/>
        </w:rPr>
        <w:t>up to date</w:t>
      </w:r>
      <w:r w:rsidRPr="006C6FBD">
        <w:rPr>
          <w:rFonts w:ascii="Arial" w:hAnsi="Arial" w:cs="Arial"/>
          <w:sz w:val="24"/>
          <w:szCs w:val="24"/>
          <w:lang w:val="en-US"/>
        </w:rPr>
        <w:t xml:space="preserve"> with technological innovations</w:t>
      </w:r>
      <w:r w:rsidR="00D16054" w:rsidRPr="006C6FBD">
        <w:rPr>
          <w:rFonts w:ascii="Arial" w:hAnsi="Arial" w:cs="Arial"/>
          <w:sz w:val="24"/>
          <w:szCs w:val="24"/>
          <w:lang w:val="en-US"/>
        </w:rPr>
        <w:t xml:space="preserve"> (</w:t>
      </w:r>
      <w:r w:rsidR="00D16054" w:rsidRPr="006C6FBD">
        <w:rPr>
          <w:rFonts w:ascii="Arial" w:hAnsi="Arial" w:cs="Arial"/>
          <w:sz w:val="24"/>
          <w:szCs w:val="24"/>
        </w:rPr>
        <w:t>Franco et al., 2023)</w:t>
      </w:r>
      <w:r w:rsidRPr="006C6FBD">
        <w:rPr>
          <w:rFonts w:ascii="Arial" w:hAnsi="Arial" w:cs="Arial"/>
          <w:sz w:val="24"/>
          <w:szCs w:val="24"/>
          <w:lang w:val="en-US"/>
        </w:rPr>
        <w:t>.</w:t>
      </w:r>
    </w:p>
    <w:p w14:paraId="1AA55F70" w14:textId="1128A6A4" w:rsidR="00C9731C" w:rsidRPr="006C6FBD" w:rsidRDefault="00C9731C"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Relationships with learning institutions and government are also critical. One way to bridge the gap between education and employment is to work with universities and </w:t>
      </w:r>
      <w:r w:rsidRPr="006C6FBD">
        <w:rPr>
          <w:rFonts w:ascii="Arial" w:hAnsi="Arial" w:cs="Arial"/>
          <w:sz w:val="24"/>
          <w:szCs w:val="24"/>
          <w:lang w:val="en-US"/>
        </w:rPr>
        <w:lastRenderedPageBreak/>
        <w:t>apprenticeship programmes to provide them with industry-specific experience.</w:t>
      </w:r>
      <w:r w:rsidR="00D16054" w:rsidRPr="006C6FBD">
        <w:rPr>
          <w:rFonts w:ascii="Arial" w:hAnsi="Arial" w:cs="Arial"/>
          <w:sz w:val="24"/>
          <w:szCs w:val="24"/>
          <w:lang w:val="en-US"/>
        </w:rPr>
        <w:t xml:space="preserve"> Moreover</w:t>
      </w:r>
      <w:r w:rsidRPr="006C6FBD">
        <w:rPr>
          <w:rFonts w:ascii="Arial" w:hAnsi="Arial" w:cs="Arial"/>
          <w:sz w:val="24"/>
          <w:szCs w:val="24"/>
          <w:lang w:val="en-US"/>
        </w:rPr>
        <w:t>, it can facilitate personalised, scalable skill development through online learning platforms such as LinkedIn Learning or Coursera</w:t>
      </w:r>
      <w:r w:rsidR="00D16054" w:rsidRPr="006C6FBD">
        <w:rPr>
          <w:rFonts w:ascii="Arial" w:hAnsi="Arial" w:cs="Arial"/>
          <w:sz w:val="24"/>
          <w:szCs w:val="24"/>
          <w:lang w:val="en-US"/>
        </w:rPr>
        <w:t xml:space="preserve"> (</w:t>
      </w:r>
      <w:r w:rsidR="00D16054" w:rsidRPr="006C6FBD">
        <w:rPr>
          <w:rFonts w:ascii="Arial" w:hAnsi="Arial" w:cs="Arial"/>
          <w:sz w:val="24"/>
          <w:szCs w:val="24"/>
        </w:rPr>
        <w:t>Sachdeva, 2024)</w:t>
      </w:r>
      <w:r w:rsidRPr="006C6FBD">
        <w:rPr>
          <w:rFonts w:ascii="Arial" w:hAnsi="Arial" w:cs="Arial"/>
          <w:sz w:val="24"/>
          <w:szCs w:val="24"/>
          <w:lang w:val="en-US"/>
        </w:rPr>
        <w:t xml:space="preserve">. </w:t>
      </w:r>
    </w:p>
    <w:p w14:paraId="554B19C3" w14:textId="77777777" w:rsidR="00C9731C" w:rsidRPr="006C6FBD" w:rsidRDefault="00C9731C" w:rsidP="005718F9">
      <w:pPr>
        <w:pStyle w:val="Heading2"/>
        <w:rPr>
          <w:rFonts w:ascii="Arial" w:hAnsi="Arial" w:cs="Arial"/>
          <w:b/>
          <w:bCs/>
          <w:sz w:val="24"/>
          <w:szCs w:val="24"/>
          <w:lang w:val="en-US"/>
        </w:rPr>
      </w:pPr>
      <w:bookmarkStart w:id="14" w:name="_Toc213435776"/>
      <w:r w:rsidRPr="006C6FBD">
        <w:rPr>
          <w:rFonts w:ascii="Arial" w:hAnsi="Arial" w:cs="Arial"/>
          <w:b/>
          <w:bCs/>
          <w:sz w:val="24"/>
          <w:szCs w:val="24"/>
          <w:lang w:val="en-US"/>
        </w:rPr>
        <w:t>4.3 HRM Strategy as a Global Extension.</w:t>
      </w:r>
      <w:bookmarkEnd w:id="14"/>
    </w:p>
    <w:p w14:paraId="04E792DB" w14:textId="77777777" w:rsidR="00986F69" w:rsidRPr="006C6FBD" w:rsidRDefault="00C9731C" w:rsidP="00986F69">
      <w:pPr>
        <w:spacing w:line="360" w:lineRule="auto"/>
        <w:jc w:val="both"/>
        <w:rPr>
          <w:rFonts w:ascii="Arial" w:hAnsi="Arial" w:cs="Arial"/>
          <w:sz w:val="24"/>
          <w:szCs w:val="24"/>
          <w:lang w:val="en-US"/>
        </w:rPr>
      </w:pPr>
      <w:r w:rsidRPr="006C6FBD">
        <w:rPr>
          <w:rFonts w:ascii="Arial" w:hAnsi="Arial" w:cs="Arial"/>
          <w:sz w:val="24"/>
          <w:szCs w:val="24"/>
          <w:lang w:val="en-US"/>
        </w:rPr>
        <w:t xml:space="preserve">IHRM practices at the institutional level must help overcome the global talent shortage by promoting international mobility, global recruitment, and expatriate management. Multinational corporations also transfer knowledge by relocating the best performers to developing markets to build local capacity. </w:t>
      </w:r>
      <w:r w:rsidR="00986F69" w:rsidRPr="006C6FBD">
        <w:rPr>
          <w:rFonts w:ascii="Arial" w:hAnsi="Arial" w:cs="Arial"/>
          <w:sz w:val="24"/>
          <w:szCs w:val="24"/>
          <w:lang w:val="en-US"/>
        </w:rPr>
        <w:t xml:space="preserve">The Unilever global mobility programme is reflective, which enhances cultural flexibility and talent retention (Sousa et al., 2024). </w:t>
      </w:r>
    </w:p>
    <w:p w14:paraId="7D992B6B" w14:textId="42F986A4" w:rsidR="00986F69" w:rsidRPr="006C6FBD" w:rsidRDefault="00986F69" w:rsidP="00986F69">
      <w:pPr>
        <w:spacing w:line="360" w:lineRule="auto"/>
        <w:jc w:val="both"/>
        <w:rPr>
          <w:rFonts w:ascii="Arial" w:hAnsi="Arial" w:cs="Arial"/>
          <w:sz w:val="24"/>
          <w:szCs w:val="24"/>
          <w:lang w:val="en-US"/>
        </w:rPr>
      </w:pPr>
      <w:r w:rsidRPr="006C6FBD">
        <w:rPr>
          <w:rFonts w:ascii="Arial" w:hAnsi="Arial" w:cs="Arial"/>
          <w:sz w:val="24"/>
          <w:szCs w:val="24"/>
          <w:lang w:val="en-US"/>
        </w:rPr>
        <w:t>Besides, a powerful Employer Brand and interesting Employee Value Proposition should be created to capture talent around the world. The areas of focus of companies such as Google and Microsoft in their EVPs include flexibility in working arrangements, inclusiveness, and innovation and play a role in their competitiveness in the global labour markets (Ferreira, 2016).</w:t>
      </w:r>
    </w:p>
    <w:p w14:paraId="58FB543B" w14:textId="29080D7D" w:rsidR="00695F80" w:rsidRPr="006C6FBD" w:rsidRDefault="00695F80" w:rsidP="005718F9">
      <w:pPr>
        <w:pStyle w:val="Heading2"/>
        <w:rPr>
          <w:rFonts w:ascii="Arial" w:hAnsi="Arial" w:cs="Arial"/>
          <w:b/>
          <w:bCs/>
          <w:sz w:val="24"/>
          <w:szCs w:val="24"/>
          <w:lang w:val="en-US"/>
        </w:rPr>
      </w:pPr>
      <w:bookmarkStart w:id="15" w:name="_Toc213435777"/>
      <w:r w:rsidRPr="006C6FBD">
        <w:rPr>
          <w:rFonts w:ascii="Arial" w:hAnsi="Arial" w:cs="Arial"/>
          <w:b/>
          <w:bCs/>
          <w:sz w:val="24"/>
          <w:szCs w:val="24"/>
          <w:lang w:val="en-US"/>
        </w:rPr>
        <w:t>4.4 Application of Frameworks</w:t>
      </w:r>
      <w:bookmarkEnd w:id="15"/>
    </w:p>
    <w:p w14:paraId="769671D1" w14:textId="637DB148" w:rsidR="00EF1699" w:rsidRPr="006C6FBD" w:rsidRDefault="00695F80"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The Ulrich Model (1997) </w:t>
      </w:r>
      <w:r w:rsidR="001877DB" w:rsidRPr="006C6FBD">
        <w:rPr>
          <w:rFonts w:ascii="Arial" w:hAnsi="Arial" w:cs="Arial"/>
          <w:sz w:val="24"/>
          <w:szCs w:val="24"/>
          <w:lang w:val="en-US"/>
        </w:rPr>
        <w:t>identifies four main HR functions</w:t>
      </w:r>
      <w:r w:rsidR="00D16054" w:rsidRPr="006C6FBD">
        <w:rPr>
          <w:rFonts w:ascii="Arial" w:hAnsi="Arial" w:cs="Arial"/>
          <w:sz w:val="24"/>
          <w:szCs w:val="24"/>
          <w:lang w:val="en-US"/>
        </w:rPr>
        <w:t>, including Strategic Partner, Change Agent, Administrative Expert, and Employee Champion,</w:t>
      </w:r>
      <w:r w:rsidR="001877DB" w:rsidRPr="006C6FBD">
        <w:rPr>
          <w:rFonts w:ascii="Arial" w:hAnsi="Arial" w:cs="Arial"/>
          <w:sz w:val="24"/>
          <w:szCs w:val="24"/>
          <w:lang w:val="en-US"/>
        </w:rPr>
        <w:t xml:space="preserve"> on which HRM can operate to address skills gaps and talent deficits</w:t>
      </w:r>
      <w:r w:rsidRPr="006C6FBD">
        <w:rPr>
          <w:rFonts w:ascii="Arial" w:hAnsi="Arial" w:cs="Arial"/>
          <w:sz w:val="24"/>
          <w:szCs w:val="24"/>
          <w:lang w:val="en-US"/>
        </w:rPr>
        <w:t xml:space="preserve">. The following table demonstrates the relevance of each </w:t>
      </w:r>
      <w:r w:rsidR="001877DB" w:rsidRPr="006C6FBD">
        <w:rPr>
          <w:rFonts w:ascii="Arial" w:hAnsi="Arial" w:cs="Arial"/>
          <w:sz w:val="24"/>
          <w:szCs w:val="24"/>
          <w:lang w:val="en-US"/>
        </w:rPr>
        <w:t>role</w:t>
      </w:r>
      <w:r w:rsidRPr="006C6FBD">
        <w:rPr>
          <w:rFonts w:ascii="Arial" w:hAnsi="Arial" w:cs="Arial"/>
          <w:sz w:val="24"/>
          <w:szCs w:val="24"/>
          <w:lang w:val="en-US"/>
        </w:rPr>
        <w:t xml:space="preserve"> to strategic workforce development.</w:t>
      </w:r>
    </w:p>
    <w:tbl>
      <w:tblPr>
        <w:tblStyle w:val="TableGrid"/>
        <w:tblW w:w="0" w:type="auto"/>
        <w:tblInd w:w="-522" w:type="dxa"/>
        <w:tblLook w:val="04A0" w:firstRow="1" w:lastRow="0" w:firstColumn="1" w:lastColumn="0" w:noHBand="0" w:noVBand="1"/>
      </w:tblPr>
      <w:tblGrid>
        <w:gridCol w:w="2314"/>
        <w:gridCol w:w="7784"/>
      </w:tblGrid>
      <w:tr w:rsidR="00EF1699" w:rsidRPr="006C6FBD" w14:paraId="7BB4ADE5" w14:textId="77777777" w:rsidTr="00D16054">
        <w:tc>
          <w:tcPr>
            <w:tcW w:w="2314" w:type="dxa"/>
            <w:hideMark/>
          </w:tcPr>
          <w:p w14:paraId="049951F2" w14:textId="77777777" w:rsidR="00EF1699" w:rsidRPr="006C6FBD" w:rsidRDefault="00EF1699"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Ulrich HR Role</w:t>
            </w:r>
          </w:p>
        </w:tc>
        <w:tc>
          <w:tcPr>
            <w:tcW w:w="0" w:type="auto"/>
            <w:hideMark/>
          </w:tcPr>
          <w:p w14:paraId="08E95D80" w14:textId="77777777" w:rsidR="00EF1699" w:rsidRPr="006C6FBD" w:rsidRDefault="00EF1699"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Application to Address Skills Gaps and Talent Shortages</w:t>
            </w:r>
          </w:p>
        </w:tc>
      </w:tr>
      <w:tr w:rsidR="00EF1699" w:rsidRPr="006C6FBD" w14:paraId="0AF8FA44" w14:textId="77777777" w:rsidTr="00D16054">
        <w:tc>
          <w:tcPr>
            <w:tcW w:w="2314" w:type="dxa"/>
            <w:hideMark/>
          </w:tcPr>
          <w:p w14:paraId="5D802572" w14:textId="77777777"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Strategic Partner</w:t>
            </w:r>
          </w:p>
        </w:tc>
        <w:tc>
          <w:tcPr>
            <w:tcW w:w="0" w:type="auto"/>
            <w:hideMark/>
          </w:tcPr>
          <w:p w14:paraId="18297EFA" w14:textId="219926E8"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Aligns HR strategy with organisational goals by forecasting future skill requirements and investing in digital reskilling initiatives, such as Google</w:t>
            </w:r>
            <w:r w:rsidR="001877DB" w:rsidRPr="006C6FBD">
              <w:rPr>
                <w:rFonts w:ascii="Arial" w:hAnsi="Arial" w:cs="Arial"/>
                <w:sz w:val="24"/>
                <w:szCs w:val="24"/>
                <w:lang w:val="en-US"/>
              </w:rPr>
              <w:t>'</w:t>
            </w:r>
            <w:r w:rsidRPr="006C6FBD">
              <w:rPr>
                <w:rFonts w:ascii="Arial" w:hAnsi="Arial" w:cs="Arial"/>
                <w:sz w:val="24"/>
                <w:szCs w:val="24"/>
                <w:lang w:val="en-US"/>
              </w:rPr>
              <w:t>s continuous AI learning programmes</w:t>
            </w:r>
            <w:r w:rsidR="00D16054" w:rsidRPr="006C6FBD">
              <w:rPr>
                <w:rFonts w:ascii="Arial" w:hAnsi="Arial" w:cs="Arial"/>
                <w:sz w:val="24"/>
                <w:szCs w:val="24"/>
                <w:lang w:val="en-US"/>
              </w:rPr>
              <w:t xml:space="preserve"> (Samuel et al., 2025)</w:t>
            </w:r>
            <w:r w:rsidRPr="006C6FBD">
              <w:rPr>
                <w:rFonts w:ascii="Arial" w:hAnsi="Arial" w:cs="Arial"/>
                <w:sz w:val="24"/>
                <w:szCs w:val="24"/>
                <w:lang w:val="en-US"/>
              </w:rPr>
              <w:t>.</w:t>
            </w:r>
          </w:p>
        </w:tc>
      </w:tr>
      <w:tr w:rsidR="00EF1699" w:rsidRPr="006C6FBD" w14:paraId="5E0EF80D" w14:textId="77777777" w:rsidTr="00D16054">
        <w:tc>
          <w:tcPr>
            <w:tcW w:w="2314" w:type="dxa"/>
            <w:hideMark/>
          </w:tcPr>
          <w:p w14:paraId="0CA5B416" w14:textId="77777777"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Change Agent</w:t>
            </w:r>
          </w:p>
        </w:tc>
        <w:tc>
          <w:tcPr>
            <w:tcW w:w="0" w:type="auto"/>
            <w:hideMark/>
          </w:tcPr>
          <w:p w14:paraId="4BFA5801" w14:textId="14362E43"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Drives organisational transformation by promoting a culture of adaptability and continuous learning through leadership development and innovation</w:t>
            </w:r>
            <w:r w:rsidR="00D16054" w:rsidRPr="006C6FBD">
              <w:rPr>
                <w:rFonts w:ascii="Arial" w:hAnsi="Arial" w:cs="Arial"/>
                <w:sz w:val="24"/>
                <w:szCs w:val="24"/>
                <w:lang w:val="en-US"/>
              </w:rPr>
              <w:t xml:space="preserve"> (</w:t>
            </w:r>
            <w:r w:rsidR="00D16054" w:rsidRPr="006C6FBD">
              <w:rPr>
                <w:rFonts w:ascii="Arial" w:hAnsi="Arial" w:cs="Arial"/>
                <w:sz w:val="24"/>
                <w:szCs w:val="24"/>
              </w:rPr>
              <w:t>Ahsan, 2025)</w:t>
            </w:r>
            <w:r w:rsidRPr="006C6FBD">
              <w:rPr>
                <w:rFonts w:ascii="Arial" w:hAnsi="Arial" w:cs="Arial"/>
                <w:sz w:val="24"/>
                <w:szCs w:val="24"/>
                <w:lang w:val="en-US"/>
              </w:rPr>
              <w:t>.</w:t>
            </w:r>
          </w:p>
        </w:tc>
      </w:tr>
      <w:tr w:rsidR="00EF1699" w:rsidRPr="006C6FBD" w14:paraId="5AA41449" w14:textId="77777777" w:rsidTr="00D16054">
        <w:tc>
          <w:tcPr>
            <w:tcW w:w="2314" w:type="dxa"/>
            <w:hideMark/>
          </w:tcPr>
          <w:p w14:paraId="7F4EF4D1" w14:textId="77777777"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 xml:space="preserve">Administrative </w:t>
            </w:r>
            <w:r w:rsidRPr="006C6FBD">
              <w:rPr>
                <w:rFonts w:ascii="Arial" w:hAnsi="Arial" w:cs="Arial"/>
                <w:b/>
                <w:bCs/>
                <w:sz w:val="24"/>
                <w:szCs w:val="24"/>
                <w:lang w:val="en-US"/>
              </w:rPr>
              <w:lastRenderedPageBreak/>
              <w:t>Expert</w:t>
            </w:r>
          </w:p>
        </w:tc>
        <w:tc>
          <w:tcPr>
            <w:tcW w:w="0" w:type="auto"/>
            <w:hideMark/>
          </w:tcPr>
          <w:p w14:paraId="1312FDEC" w14:textId="5E347274"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lastRenderedPageBreak/>
              <w:t xml:space="preserve">Enhances HR efficiency </w:t>
            </w:r>
            <w:r w:rsidR="001877DB" w:rsidRPr="006C6FBD">
              <w:rPr>
                <w:rFonts w:ascii="Arial" w:hAnsi="Arial" w:cs="Arial"/>
                <w:sz w:val="24"/>
                <w:szCs w:val="24"/>
                <w:lang w:val="en-US"/>
              </w:rPr>
              <w:t>through technology-driven solutions such as</w:t>
            </w:r>
            <w:r w:rsidRPr="006C6FBD">
              <w:rPr>
                <w:rFonts w:ascii="Arial" w:hAnsi="Arial" w:cs="Arial"/>
                <w:sz w:val="24"/>
                <w:szCs w:val="24"/>
                <w:lang w:val="en-US"/>
              </w:rPr>
              <w:t xml:space="preserve"> </w:t>
            </w:r>
            <w:r w:rsidRPr="006C6FBD">
              <w:rPr>
                <w:rFonts w:ascii="Arial" w:hAnsi="Arial" w:cs="Arial"/>
                <w:sz w:val="24"/>
                <w:szCs w:val="24"/>
                <w:lang w:val="en-US"/>
              </w:rPr>
              <w:lastRenderedPageBreak/>
              <w:t>HR analytics to track skill gaps, training impact, and workforce productivity</w:t>
            </w:r>
            <w:r w:rsidR="00D16054" w:rsidRPr="006C6FBD">
              <w:rPr>
                <w:rFonts w:ascii="Arial" w:hAnsi="Arial" w:cs="Arial"/>
                <w:sz w:val="24"/>
                <w:szCs w:val="24"/>
                <w:lang w:val="en-US"/>
              </w:rPr>
              <w:t xml:space="preserve"> (</w:t>
            </w:r>
            <w:r w:rsidR="00D16054" w:rsidRPr="006C6FBD">
              <w:rPr>
                <w:rFonts w:ascii="Arial" w:hAnsi="Arial" w:cs="Arial"/>
                <w:sz w:val="24"/>
                <w:szCs w:val="24"/>
              </w:rPr>
              <w:t>Tasleem, 2025)</w:t>
            </w:r>
            <w:r w:rsidRPr="006C6FBD">
              <w:rPr>
                <w:rFonts w:ascii="Arial" w:hAnsi="Arial" w:cs="Arial"/>
                <w:sz w:val="24"/>
                <w:szCs w:val="24"/>
                <w:lang w:val="en-US"/>
              </w:rPr>
              <w:t>.</w:t>
            </w:r>
          </w:p>
        </w:tc>
      </w:tr>
      <w:tr w:rsidR="00EF1699" w:rsidRPr="006C6FBD" w14:paraId="751A5537" w14:textId="77777777" w:rsidTr="00D16054">
        <w:tc>
          <w:tcPr>
            <w:tcW w:w="2314" w:type="dxa"/>
            <w:hideMark/>
          </w:tcPr>
          <w:p w14:paraId="63AB0E48" w14:textId="77777777"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lastRenderedPageBreak/>
              <w:t>Employee Champion</w:t>
            </w:r>
          </w:p>
        </w:tc>
        <w:tc>
          <w:tcPr>
            <w:tcW w:w="0" w:type="auto"/>
            <w:hideMark/>
          </w:tcPr>
          <w:p w14:paraId="344FD139" w14:textId="325A338A" w:rsidR="00EF1699" w:rsidRPr="006C6FBD" w:rsidRDefault="00EF1699"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Focuses on employee well-being, engagement, and career progression by supporting inclusion, mentorship, and professional growth opportunities, as demonstrated by Unilever</w:t>
            </w:r>
            <w:r w:rsidR="001877DB" w:rsidRPr="006C6FBD">
              <w:rPr>
                <w:rFonts w:ascii="Arial" w:hAnsi="Arial" w:cs="Arial"/>
                <w:sz w:val="24"/>
                <w:szCs w:val="24"/>
                <w:lang w:val="en-US"/>
              </w:rPr>
              <w:t>'</w:t>
            </w:r>
            <w:r w:rsidRPr="006C6FBD">
              <w:rPr>
                <w:rFonts w:ascii="Arial" w:hAnsi="Arial" w:cs="Arial"/>
                <w:sz w:val="24"/>
                <w:szCs w:val="24"/>
                <w:lang w:val="en-US"/>
              </w:rPr>
              <w:t>s Future Leaders Programme</w:t>
            </w:r>
            <w:r w:rsidR="005718F9" w:rsidRPr="006C6FBD">
              <w:rPr>
                <w:rFonts w:ascii="Arial" w:hAnsi="Arial" w:cs="Arial"/>
                <w:sz w:val="24"/>
                <w:szCs w:val="24"/>
                <w:lang w:val="en-US"/>
              </w:rPr>
              <w:t xml:space="preserve"> (</w:t>
            </w:r>
            <w:r w:rsidR="005718F9" w:rsidRPr="006C6FBD">
              <w:rPr>
                <w:rFonts w:ascii="Arial" w:hAnsi="Arial" w:cs="Arial"/>
                <w:sz w:val="24"/>
                <w:szCs w:val="24"/>
              </w:rPr>
              <w:t>Safa, 2023)</w:t>
            </w:r>
            <w:r w:rsidRPr="006C6FBD">
              <w:rPr>
                <w:rFonts w:ascii="Arial" w:hAnsi="Arial" w:cs="Arial"/>
                <w:sz w:val="24"/>
                <w:szCs w:val="24"/>
                <w:lang w:val="en-US"/>
              </w:rPr>
              <w:t>.</w:t>
            </w:r>
          </w:p>
        </w:tc>
      </w:tr>
    </w:tbl>
    <w:p w14:paraId="4183D2E5" w14:textId="77777777" w:rsidR="00EF1699" w:rsidRPr="006C6FBD" w:rsidRDefault="00EF1699" w:rsidP="005718F9">
      <w:pPr>
        <w:spacing w:line="360" w:lineRule="auto"/>
        <w:jc w:val="both"/>
        <w:rPr>
          <w:rFonts w:ascii="Arial" w:hAnsi="Arial" w:cs="Arial"/>
          <w:sz w:val="24"/>
          <w:szCs w:val="24"/>
          <w:lang w:val="en-US"/>
        </w:rPr>
      </w:pPr>
    </w:p>
    <w:p w14:paraId="6ADBDC0A" w14:textId="556507D7" w:rsidR="00EF1699" w:rsidRPr="006C6FBD" w:rsidRDefault="00EF1699" w:rsidP="005718F9">
      <w:pPr>
        <w:spacing w:line="360" w:lineRule="auto"/>
        <w:jc w:val="both"/>
        <w:rPr>
          <w:rFonts w:ascii="Arial" w:hAnsi="Arial" w:cs="Arial"/>
          <w:sz w:val="24"/>
          <w:szCs w:val="24"/>
          <w:lang w:val="en-US"/>
        </w:rPr>
      </w:pPr>
    </w:p>
    <w:p w14:paraId="311188C5" w14:textId="487F9E08" w:rsidR="00EF1699" w:rsidRPr="006C6FBD" w:rsidRDefault="00EF1699" w:rsidP="005718F9">
      <w:pPr>
        <w:pStyle w:val="Heading1"/>
        <w:rPr>
          <w:rFonts w:ascii="Arial" w:hAnsi="Arial" w:cs="Arial"/>
          <w:b/>
          <w:bCs/>
          <w:sz w:val="24"/>
          <w:szCs w:val="24"/>
          <w:lang w:val="en-US"/>
        </w:rPr>
      </w:pPr>
      <w:bookmarkStart w:id="16" w:name="_Toc213435778"/>
      <w:r w:rsidRPr="006C6FBD">
        <w:rPr>
          <w:rFonts w:ascii="Arial" w:hAnsi="Arial" w:cs="Arial"/>
          <w:b/>
          <w:bCs/>
          <w:sz w:val="24"/>
          <w:szCs w:val="24"/>
          <w:lang w:val="en-US"/>
        </w:rPr>
        <w:t>5. Reflective Report on International and Technological Competence</w:t>
      </w:r>
      <w:bookmarkEnd w:id="16"/>
    </w:p>
    <w:p w14:paraId="3BB3DBC7" w14:textId="77777777" w:rsidR="00EF1699" w:rsidRPr="006C6FBD" w:rsidRDefault="00EF1699" w:rsidP="005718F9">
      <w:pPr>
        <w:pStyle w:val="Heading2"/>
        <w:rPr>
          <w:rFonts w:ascii="Arial" w:hAnsi="Arial" w:cs="Arial"/>
          <w:b/>
          <w:bCs/>
          <w:sz w:val="24"/>
          <w:szCs w:val="24"/>
          <w:lang w:val="en-US"/>
        </w:rPr>
      </w:pPr>
      <w:bookmarkStart w:id="17" w:name="_Toc213435779"/>
      <w:r w:rsidRPr="006C6FBD">
        <w:rPr>
          <w:rFonts w:ascii="Arial" w:hAnsi="Arial" w:cs="Arial"/>
          <w:b/>
          <w:bCs/>
          <w:sz w:val="24"/>
          <w:szCs w:val="24"/>
          <w:lang w:val="en-US"/>
        </w:rPr>
        <w:t>5.1 Introduction to Reflection</w:t>
      </w:r>
      <w:bookmarkEnd w:id="17"/>
    </w:p>
    <w:p w14:paraId="2007FA1F" w14:textId="6A648425" w:rsidR="00695F80" w:rsidRPr="006C6FBD" w:rsidRDefault="00695F80"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Reflection enables most people to </w:t>
      </w:r>
      <w:r w:rsidR="001877DB" w:rsidRPr="006C6FBD">
        <w:rPr>
          <w:rFonts w:ascii="Arial" w:hAnsi="Arial" w:cs="Arial"/>
          <w:sz w:val="24"/>
          <w:szCs w:val="24"/>
          <w:lang w:val="en-US"/>
        </w:rPr>
        <w:t>assess how they have grown professionally and critically, and through</w:t>
      </w:r>
      <w:r w:rsidRPr="006C6FBD">
        <w:rPr>
          <w:rFonts w:ascii="Arial" w:hAnsi="Arial" w:cs="Arial"/>
          <w:sz w:val="24"/>
          <w:szCs w:val="24"/>
          <w:lang w:val="en-US"/>
        </w:rPr>
        <w:t xml:space="preserve"> their learning experiences. This is one of the requirements I have had to consider as part of my MBA journey </w:t>
      </w:r>
      <w:r w:rsidR="001877DB" w:rsidRPr="006C6FBD">
        <w:rPr>
          <w:rFonts w:ascii="Arial" w:hAnsi="Arial" w:cs="Arial"/>
          <w:sz w:val="24"/>
          <w:szCs w:val="24"/>
          <w:lang w:val="en-US"/>
        </w:rPr>
        <w:t>to understand the</w:t>
      </w:r>
      <w:r w:rsidRPr="006C6FBD">
        <w:rPr>
          <w:rFonts w:ascii="Arial" w:hAnsi="Arial" w:cs="Arial"/>
          <w:sz w:val="24"/>
          <w:szCs w:val="24"/>
          <w:lang w:val="en-US"/>
        </w:rPr>
        <w:t xml:space="preserve"> competencies that would </w:t>
      </w:r>
      <w:r w:rsidR="001877DB" w:rsidRPr="006C6FBD">
        <w:rPr>
          <w:rFonts w:ascii="Arial" w:hAnsi="Arial" w:cs="Arial"/>
          <w:sz w:val="24"/>
          <w:szCs w:val="24"/>
          <w:lang w:val="en-US"/>
        </w:rPr>
        <w:t>enable me to succeed in an ever-more globalised,</w:t>
      </w:r>
      <w:r w:rsidRPr="006C6FBD">
        <w:rPr>
          <w:rFonts w:ascii="Arial" w:hAnsi="Arial" w:cs="Arial"/>
          <w:sz w:val="24"/>
          <w:szCs w:val="24"/>
          <w:lang w:val="en-US"/>
        </w:rPr>
        <w:t xml:space="preserve"> technologically advanced business environment. The reflection is based on the Reflective Cycle developed by Gibbs (1988), which consists of six steps</w:t>
      </w:r>
      <w:r w:rsidR="001877DB" w:rsidRPr="006C6FBD">
        <w:rPr>
          <w:rFonts w:ascii="Arial" w:hAnsi="Arial" w:cs="Arial"/>
          <w:sz w:val="24"/>
          <w:szCs w:val="24"/>
          <w:lang w:val="en-US"/>
        </w:rPr>
        <w:t>:</w:t>
      </w:r>
      <w:r w:rsidRPr="006C6FBD">
        <w:rPr>
          <w:rFonts w:ascii="Arial" w:hAnsi="Arial" w:cs="Arial"/>
          <w:sz w:val="24"/>
          <w:szCs w:val="24"/>
          <w:lang w:val="en-US"/>
        </w:rPr>
        <w:t xml:space="preserve"> description, feelings, evaluation, analysis, conclusion, and action plan. The process aims </w:t>
      </w:r>
      <w:r w:rsidR="001877DB" w:rsidRPr="006C6FBD">
        <w:rPr>
          <w:rFonts w:ascii="Arial" w:hAnsi="Arial" w:cs="Arial"/>
          <w:sz w:val="24"/>
          <w:szCs w:val="24"/>
          <w:lang w:val="en-US"/>
        </w:rPr>
        <w:t>to evaluate my strengths and weaknesses in technology, communication, teamwork, leadership, and self-directed learning, and to create a realistic improvement plan for my future profession in</w:t>
      </w:r>
      <w:r w:rsidRPr="006C6FBD">
        <w:rPr>
          <w:rFonts w:ascii="Arial" w:hAnsi="Arial" w:cs="Arial"/>
          <w:sz w:val="24"/>
          <w:szCs w:val="24"/>
          <w:lang w:val="en-US"/>
        </w:rPr>
        <w:t xml:space="preserve"> international HR management.</w:t>
      </w:r>
    </w:p>
    <w:p w14:paraId="14D9B522" w14:textId="2134A2B8" w:rsidR="00695F80" w:rsidRPr="006C6FBD" w:rsidRDefault="00695F80" w:rsidP="005718F9">
      <w:pPr>
        <w:pStyle w:val="Heading2"/>
        <w:rPr>
          <w:rFonts w:ascii="Arial" w:hAnsi="Arial" w:cs="Arial"/>
          <w:b/>
          <w:bCs/>
          <w:sz w:val="24"/>
          <w:szCs w:val="24"/>
          <w:lang w:val="en-US"/>
        </w:rPr>
      </w:pPr>
      <w:bookmarkStart w:id="18" w:name="_Toc213435780"/>
      <w:r w:rsidRPr="006C6FBD">
        <w:rPr>
          <w:rFonts w:ascii="Arial" w:hAnsi="Arial" w:cs="Arial"/>
          <w:b/>
          <w:bCs/>
          <w:sz w:val="24"/>
          <w:szCs w:val="24"/>
          <w:lang w:val="en-US"/>
        </w:rPr>
        <w:t>5.2 Gibbs Reflective Cycle</w:t>
      </w:r>
      <w:bookmarkEnd w:id="18"/>
    </w:p>
    <w:p w14:paraId="7F06A7CC" w14:textId="77777777" w:rsidR="00695F80" w:rsidRPr="006C6FBD" w:rsidRDefault="00695F80" w:rsidP="005718F9">
      <w:pPr>
        <w:spacing w:line="360" w:lineRule="auto"/>
        <w:jc w:val="both"/>
        <w:rPr>
          <w:rFonts w:ascii="Arial" w:hAnsi="Arial" w:cs="Arial"/>
          <w:b/>
          <w:bCs/>
          <w:sz w:val="24"/>
          <w:szCs w:val="24"/>
          <w:lang w:val="en-US"/>
        </w:rPr>
      </w:pPr>
      <w:r w:rsidRPr="006C6FBD">
        <w:rPr>
          <w:rFonts w:ascii="Arial" w:hAnsi="Arial" w:cs="Arial"/>
          <w:b/>
          <w:bCs/>
          <w:sz w:val="24"/>
          <w:szCs w:val="24"/>
          <w:lang w:val="en-US"/>
        </w:rPr>
        <w:t>Description:</w:t>
      </w:r>
    </w:p>
    <w:p w14:paraId="3D604421" w14:textId="79AF2C6C" w:rsidR="00695F80" w:rsidRPr="006C6FBD" w:rsidRDefault="001877DB"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I </w:t>
      </w:r>
      <w:r w:rsidR="00C2511C" w:rsidRPr="006C6FBD">
        <w:rPr>
          <w:rFonts w:ascii="Arial" w:hAnsi="Arial" w:cs="Arial"/>
          <w:sz w:val="24"/>
          <w:szCs w:val="24"/>
          <w:lang w:val="en-US"/>
        </w:rPr>
        <w:t>participated</w:t>
      </w:r>
      <w:r w:rsidRPr="006C6FBD">
        <w:rPr>
          <w:rFonts w:ascii="Arial" w:hAnsi="Arial" w:cs="Arial"/>
          <w:sz w:val="24"/>
          <w:szCs w:val="24"/>
          <w:lang w:val="en-US"/>
        </w:rPr>
        <w:t xml:space="preserve"> in various group projects with international colleagues, conducted </w:t>
      </w:r>
      <w:r w:rsidR="00C2511C" w:rsidRPr="006C6FBD">
        <w:rPr>
          <w:rFonts w:ascii="Arial" w:hAnsi="Arial" w:cs="Arial"/>
          <w:sz w:val="24"/>
          <w:szCs w:val="24"/>
          <w:lang w:val="en-US"/>
        </w:rPr>
        <w:t>fact-based research</w:t>
      </w:r>
      <w:r w:rsidRPr="006C6FBD">
        <w:rPr>
          <w:rFonts w:ascii="Arial" w:hAnsi="Arial" w:cs="Arial"/>
          <w:sz w:val="24"/>
          <w:szCs w:val="24"/>
          <w:lang w:val="en-US"/>
        </w:rPr>
        <w:t>, and engaged in virtual team</w:t>
      </w:r>
      <w:r w:rsidR="00695F80" w:rsidRPr="006C6FBD">
        <w:rPr>
          <w:rFonts w:ascii="Arial" w:hAnsi="Arial" w:cs="Arial"/>
          <w:sz w:val="24"/>
          <w:szCs w:val="24"/>
          <w:lang w:val="en-US"/>
        </w:rPr>
        <w:t>work. Such experiences have opened me up to cross-cultural communication difficulties, digital flexibility, and hybrid-based leadership.</w:t>
      </w:r>
    </w:p>
    <w:p w14:paraId="31228C1E" w14:textId="77777777" w:rsidR="00695F80" w:rsidRPr="006C6FBD" w:rsidRDefault="00695F80" w:rsidP="005718F9">
      <w:pPr>
        <w:spacing w:line="360" w:lineRule="auto"/>
        <w:jc w:val="both"/>
        <w:rPr>
          <w:rFonts w:ascii="Arial" w:hAnsi="Arial" w:cs="Arial"/>
          <w:b/>
          <w:bCs/>
          <w:sz w:val="24"/>
          <w:szCs w:val="24"/>
          <w:lang w:val="en-US"/>
        </w:rPr>
      </w:pPr>
      <w:r w:rsidRPr="006C6FBD">
        <w:rPr>
          <w:rFonts w:ascii="Arial" w:hAnsi="Arial" w:cs="Arial"/>
          <w:b/>
          <w:bCs/>
          <w:sz w:val="24"/>
          <w:szCs w:val="24"/>
          <w:lang w:val="en-US"/>
        </w:rPr>
        <w:t>Feelings:</w:t>
      </w:r>
    </w:p>
    <w:p w14:paraId="1AD9FF7C" w14:textId="41A392F6" w:rsidR="00BE78C4" w:rsidRPr="006C6FBD" w:rsidRDefault="00BE78C4" w:rsidP="005718F9">
      <w:pPr>
        <w:spacing w:line="360" w:lineRule="auto"/>
        <w:jc w:val="both"/>
        <w:rPr>
          <w:rFonts w:ascii="Arial" w:hAnsi="Arial" w:cs="Arial"/>
          <w:sz w:val="24"/>
          <w:szCs w:val="24"/>
          <w:lang w:val="en-US"/>
        </w:rPr>
      </w:pPr>
      <w:r w:rsidRPr="006C6FBD">
        <w:rPr>
          <w:rFonts w:ascii="Arial" w:hAnsi="Arial" w:cs="Arial"/>
          <w:sz w:val="24"/>
          <w:szCs w:val="24"/>
          <w:lang w:val="en-US"/>
        </w:rPr>
        <w:lastRenderedPageBreak/>
        <w:t>Initially, I did not know how to work with culturally diverse teams because of their work and communication patterns. However, I have gained confidence as I have grown more digitally literate and have come to appreciate the idea of international cooperation.</w:t>
      </w:r>
    </w:p>
    <w:p w14:paraId="382B07EC" w14:textId="77777777" w:rsidR="00BE78C4" w:rsidRPr="006C6FBD" w:rsidRDefault="00BE78C4" w:rsidP="005718F9">
      <w:pPr>
        <w:spacing w:line="360" w:lineRule="auto"/>
        <w:jc w:val="both"/>
        <w:rPr>
          <w:rFonts w:ascii="Arial" w:hAnsi="Arial" w:cs="Arial"/>
          <w:b/>
          <w:bCs/>
          <w:sz w:val="24"/>
          <w:szCs w:val="24"/>
          <w:lang w:val="en-US"/>
        </w:rPr>
      </w:pPr>
      <w:r w:rsidRPr="006C6FBD">
        <w:rPr>
          <w:rFonts w:ascii="Arial" w:hAnsi="Arial" w:cs="Arial"/>
          <w:b/>
          <w:bCs/>
          <w:sz w:val="24"/>
          <w:szCs w:val="24"/>
          <w:lang w:val="en-US"/>
        </w:rPr>
        <w:t>Evaluation:</w:t>
      </w:r>
    </w:p>
    <w:p w14:paraId="65DBB456" w14:textId="19EFE420" w:rsidR="00BE78C4" w:rsidRPr="006C6FBD" w:rsidRDefault="00BE78C4" w:rsidP="005718F9">
      <w:pPr>
        <w:spacing w:line="360" w:lineRule="auto"/>
        <w:jc w:val="both"/>
        <w:rPr>
          <w:rFonts w:ascii="Arial" w:hAnsi="Arial" w:cs="Arial"/>
          <w:sz w:val="24"/>
          <w:szCs w:val="24"/>
          <w:lang w:val="en-US"/>
        </w:rPr>
      </w:pPr>
      <w:r w:rsidRPr="006C6FBD">
        <w:rPr>
          <w:rFonts w:ascii="Arial" w:hAnsi="Arial" w:cs="Arial"/>
          <w:sz w:val="24"/>
          <w:szCs w:val="24"/>
          <w:lang w:val="en-US"/>
        </w:rPr>
        <w:t>Exposure to technological tools such as Microsoft Teams, Zoom, and AI-based research tools helped me strengthen my flexibility and effectiveness. Nevertheless, I have come to understand that there are flaws in advanced data analysis and giving convincing presentations at stressful conferences. These are the flaws that at one point reduced my contribution in the strategic decision-making process.</w:t>
      </w:r>
    </w:p>
    <w:p w14:paraId="38A22BA6" w14:textId="77777777" w:rsidR="00BE78C4" w:rsidRPr="006C6FBD" w:rsidRDefault="00BE78C4" w:rsidP="005718F9">
      <w:pPr>
        <w:spacing w:line="360" w:lineRule="auto"/>
        <w:jc w:val="both"/>
        <w:rPr>
          <w:rFonts w:ascii="Arial" w:hAnsi="Arial" w:cs="Arial"/>
          <w:b/>
          <w:bCs/>
          <w:sz w:val="24"/>
          <w:szCs w:val="24"/>
          <w:lang w:val="en-US"/>
        </w:rPr>
      </w:pPr>
      <w:r w:rsidRPr="006C6FBD">
        <w:rPr>
          <w:rFonts w:ascii="Arial" w:hAnsi="Arial" w:cs="Arial"/>
          <w:b/>
          <w:bCs/>
          <w:sz w:val="24"/>
          <w:szCs w:val="24"/>
          <w:lang w:val="en-US"/>
        </w:rPr>
        <w:t>Analysis:</w:t>
      </w:r>
    </w:p>
    <w:p w14:paraId="40714211" w14:textId="1B497C2B" w:rsidR="00BE78C4" w:rsidRPr="006C6FBD" w:rsidRDefault="00BE78C4" w:rsidP="005718F9">
      <w:pPr>
        <w:spacing w:line="360" w:lineRule="auto"/>
        <w:jc w:val="both"/>
        <w:rPr>
          <w:rFonts w:ascii="Arial" w:hAnsi="Arial" w:cs="Arial"/>
          <w:sz w:val="24"/>
          <w:szCs w:val="24"/>
          <w:lang w:val="en-US"/>
        </w:rPr>
      </w:pPr>
      <w:r w:rsidRPr="006C6FBD">
        <w:rPr>
          <w:rFonts w:ascii="Arial" w:hAnsi="Arial" w:cs="Arial"/>
          <w:sz w:val="24"/>
          <w:szCs w:val="24"/>
          <w:lang w:val="en-US"/>
        </w:rPr>
        <w:t>Agility and distance leadership are the two HRM skills in the modern world that I am proficient in, thanks to my digital platform use and project management skills. According to CIPD (2023), HR professionals who integrate data analytics with cross-cultural awareness are better positioned to manage global teams. Nevertheless, I was not analytical or a negotiator, which shows that I still need to develop professionally.</w:t>
      </w:r>
    </w:p>
    <w:p w14:paraId="540059F2" w14:textId="77777777" w:rsidR="00BE78C4" w:rsidRPr="006C6FBD" w:rsidRDefault="00BE78C4" w:rsidP="005718F9">
      <w:pPr>
        <w:spacing w:line="360" w:lineRule="auto"/>
        <w:jc w:val="both"/>
        <w:rPr>
          <w:rFonts w:ascii="Arial" w:hAnsi="Arial" w:cs="Arial"/>
          <w:b/>
          <w:bCs/>
          <w:sz w:val="24"/>
          <w:szCs w:val="24"/>
          <w:lang w:val="en-US"/>
        </w:rPr>
      </w:pPr>
      <w:r w:rsidRPr="006C6FBD">
        <w:rPr>
          <w:rFonts w:ascii="Arial" w:hAnsi="Arial" w:cs="Arial"/>
          <w:b/>
          <w:bCs/>
          <w:sz w:val="24"/>
          <w:szCs w:val="24"/>
          <w:lang w:val="en-US"/>
        </w:rPr>
        <w:t>Conclusion:</w:t>
      </w:r>
    </w:p>
    <w:p w14:paraId="4FF917F2" w14:textId="63CB3896" w:rsidR="00C9731C" w:rsidRPr="006C6FBD" w:rsidRDefault="00BE78C4" w:rsidP="005718F9">
      <w:pPr>
        <w:spacing w:line="360" w:lineRule="auto"/>
        <w:jc w:val="both"/>
        <w:rPr>
          <w:rFonts w:ascii="Arial" w:hAnsi="Arial" w:cs="Arial"/>
          <w:sz w:val="24"/>
          <w:szCs w:val="24"/>
          <w:lang w:val="en-US"/>
        </w:rPr>
      </w:pPr>
      <w:r w:rsidRPr="006C6FBD">
        <w:rPr>
          <w:rFonts w:ascii="Arial" w:hAnsi="Arial" w:cs="Arial"/>
          <w:sz w:val="24"/>
          <w:szCs w:val="24"/>
          <w:lang w:val="en-US"/>
        </w:rPr>
        <w:t>MBA experience has enhanced my global perspective and confidence in technology, and I am yet to work harder to develop my analytical, negotiation, and presentation skills. Talking about these areas will enhance my employability and leadership opportunities in the international HR profession.</w:t>
      </w:r>
    </w:p>
    <w:p w14:paraId="36F0E4E4" w14:textId="08BCD9B8" w:rsidR="00EF1699" w:rsidRPr="006C6FBD" w:rsidRDefault="00EF1699" w:rsidP="005718F9">
      <w:pPr>
        <w:pStyle w:val="Heading2"/>
        <w:rPr>
          <w:rFonts w:ascii="Arial" w:hAnsi="Arial" w:cs="Arial"/>
          <w:b/>
          <w:bCs/>
          <w:sz w:val="24"/>
          <w:szCs w:val="24"/>
          <w:lang w:val="en-US"/>
        </w:rPr>
      </w:pPr>
      <w:bookmarkStart w:id="19" w:name="_Toc213435781"/>
      <w:r w:rsidRPr="006C6FBD">
        <w:rPr>
          <w:rFonts w:ascii="Arial" w:hAnsi="Arial" w:cs="Arial"/>
          <w:b/>
          <w:bCs/>
          <w:sz w:val="24"/>
          <w:szCs w:val="24"/>
          <w:lang w:val="en-US"/>
        </w:rPr>
        <w:t>5.3 SMART Action Plan for Improvement</w:t>
      </w:r>
      <w:bookmarkEnd w:id="19"/>
    </w:p>
    <w:p w14:paraId="076BADCC" w14:textId="77777777" w:rsidR="00C2511C" w:rsidRPr="006C6FBD" w:rsidRDefault="00C2511C" w:rsidP="005718F9">
      <w:pPr>
        <w:spacing w:line="360" w:lineRule="auto"/>
        <w:jc w:val="both"/>
        <w:rPr>
          <w:rFonts w:ascii="Arial" w:hAnsi="Arial" w:cs="Arial"/>
          <w:b/>
          <w:bCs/>
          <w:sz w:val="24"/>
          <w:szCs w:val="24"/>
          <w:lang w:val="en-US"/>
        </w:rPr>
      </w:pPr>
    </w:p>
    <w:p w14:paraId="4E19DAA4" w14:textId="77777777" w:rsidR="00C2511C" w:rsidRPr="006C6FBD" w:rsidRDefault="00C2511C" w:rsidP="005718F9">
      <w:pPr>
        <w:spacing w:line="360" w:lineRule="auto"/>
        <w:jc w:val="both"/>
        <w:rPr>
          <w:rFonts w:ascii="Arial" w:hAnsi="Arial" w:cs="Arial"/>
          <w:b/>
          <w:bCs/>
          <w:sz w:val="24"/>
          <w:szCs w:val="24"/>
          <w:lang w:val="en-US"/>
        </w:rPr>
      </w:pPr>
    </w:p>
    <w:tbl>
      <w:tblPr>
        <w:tblStyle w:val="TableGrid"/>
        <w:tblW w:w="11250" w:type="dxa"/>
        <w:tblInd w:w="-882" w:type="dxa"/>
        <w:tblLook w:val="04A0" w:firstRow="1" w:lastRow="0" w:firstColumn="1" w:lastColumn="0" w:noHBand="0" w:noVBand="1"/>
      </w:tblPr>
      <w:tblGrid>
        <w:gridCol w:w="2160"/>
        <w:gridCol w:w="2230"/>
        <w:gridCol w:w="1549"/>
        <w:gridCol w:w="1524"/>
        <w:gridCol w:w="1844"/>
        <w:gridCol w:w="1943"/>
      </w:tblGrid>
      <w:tr w:rsidR="00C2511C" w:rsidRPr="006C6FBD" w14:paraId="572CD924" w14:textId="77777777" w:rsidTr="00C2511C">
        <w:tc>
          <w:tcPr>
            <w:tcW w:w="2160" w:type="dxa"/>
            <w:hideMark/>
          </w:tcPr>
          <w:p w14:paraId="5912F4BE" w14:textId="77777777" w:rsidR="00C2511C" w:rsidRPr="006C6FBD" w:rsidRDefault="00C2511C"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Goal Area</w:t>
            </w:r>
          </w:p>
        </w:tc>
        <w:tc>
          <w:tcPr>
            <w:tcW w:w="2230" w:type="dxa"/>
            <w:hideMark/>
          </w:tcPr>
          <w:p w14:paraId="47441343" w14:textId="77777777" w:rsidR="00C2511C" w:rsidRPr="006C6FBD" w:rsidRDefault="00C2511C"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Specific Action</w:t>
            </w:r>
          </w:p>
        </w:tc>
        <w:tc>
          <w:tcPr>
            <w:tcW w:w="0" w:type="auto"/>
            <w:hideMark/>
          </w:tcPr>
          <w:p w14:paraId="19A3BCF2" w14:textId="77777777" w:rsidR="00C2511C" w:rsidRPr="006C6FBD" w:rsidRDefault="00C2511C"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Measurable Outcome</w:t>
            </w:r>
          </w:p>
        </w:tc>
        <w:tc>
          <w:tcPr>
            <w:tcW w:w="0" w:type="auto"/>
            <w:hideMark/>
          </w:tcPr>
          <w:p w14:paraId="39944DF5" w14:textId="77777777" w:rsidR="00C2511C" w:rsidRPr="006C6FBD" w:rsidRDefault="00C2511C"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Achievable Method</w:t>
            </w:r>
          </w:p>
        </w:tc>
        <w:tc>
          <w:tcPr>
            <w:tcW w:w="0" w:type="auto"/>
            <w:hideMark/>
          </w:tcPr>
          <w:p w14:paraId="097F72C5" w14:textId="77777777" w:rsidR="00C2511C" w:rsidRPr="006C6FBD" w:rsidRDefault="00C2511C"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Relevant Justification</w:t>
            </w:r>
          </w:p>
        </w:tc>
        <w:tc>
          <w:tcPr>
            <w:tcW w:w="1943" w:type="dxa"/>
            <w:hideMark/>
          </w:tcPr>
          <w:p w14:paraId="79629CF8" w14:textId="77777777" w:rsidR="00C2511C" w:rsidRPr="006C6FBD" w:rsidRDefault="00C2511C" w:rsidP="005718F9">
            <w:pPr>
              <w:spacing w:after="200" w:line="360" w:lineRule="auto"/>
              <w:jc w:val="both"/>
              <w:rPr>
                <w:rFonts w:ascii="Arial" w:hAnsi="Arial" w:cs="Arial"/>
                <w:b/>
                <w:bCs/>
                <w:sz w:val="24"/>
                <w:szCs w:val="24"/>
                <w:lang w:val="en-US"/>
              </w:rPr>
            </w:pPr>
            <w:r w:rsidRPr="006C6FBD">
              <w:rPr>
                <w:rFonts w:ascii="Arial" w:hAnsi="Arial" w:cs="Arial"/>
                <w:b/>
                <w:bCs/>
                <w:sz w:val="24"/>
                <w:szCs w:val="24"/>
                <w:lang w:val="en-US"/>
              </w:rPr>
              <w:t>Time-bound Deadline</w:t>
            </w:r>
          </w:p>
        </w:tc>
      </w:tr>
      <w:tr w:rsidR="00C2511C" w:rsidRPr="006C6FBD" w14:paraId="4827A0DF" w14:textId="77777777" w:rsidTr="00C2511C">
        <w:tc>
          <w:tcPr>
            <w:tcW w:w="2160" w:type="dxa"/>
            <w:hideMark/>
          </w:tcPr>
          <w:p w14:paraId="6E932E70"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lastRenderedPageBreak/>
              <w:t>Cross-Cultural Negotiation</w:t>
            </w:r>
          </w:p>
        </w:tc>
        <w:tc>
          <w:tcPr>
            <w:tcW w:w="2230" w:type="dxa"/>
            <w:hideMark/>
          </w:tcPr>
          <w:p w14:paraId="1F698244" w14:textId="0CF38FF1"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Enrol in an online course on global communication and negotiation.</w:t>
            </w:r>
          </w:p>
        </w:tc>
        <w:tc>
          <w:tcPr>
            <w:tcW w:w="0" w:type="auto"/>
            <w:hideMark/>
          </w:tcPr>
          <w:p w14:paraId="2DB71CAF"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Certificate and improved teamwork feedback.</w:t>
            </w:r>
          </w:p>
        </w:tc>
        <w:tc>
          <w:tcPr>
            <w:tcW w:w="0" w:type="auto"/>
            <w:hideMark/>
          </w:tcPr>
          <w:p w14:paraId="64D41EF8"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Weekly modules and role-play activities.</w:t>
            </w:r>
          </w:p>
        </w:tc>
        <w:tc>
          <w:tcPr>
            <w:tcW w:w="0" w:type="auto"/>
            <w:hideMark/>
          </w:tcPr>
          <w:p w14:paraId="38B4EF2E"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Builds intercultural competence for global HRM.</w:t>
            </w:r>
          </w:p>
        </w:tc>
        <w:tc>
          <w:tcPr>
            <w:tcW w:w="1943" w:type="dxa"/>
            <w:hideMark/>
          </w:tcPr>
          <w:p w14:paraId="10487E72"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Within 3 months</w:t>
            </w:r>
          </w:p>
        </w:tc>
      </w:tr>
      <w:tr w:rsidR="00C2511C" w:rsidRPr="006C6FBD" w14:paraId="4EF95FA7" w14:textId="77777777" w:rsidTr="00C2511C">
        <w:tc>
          <w:tcPr>
            <w:tcW w:w="2160" w:type="dxa"/>
            <w:hideMark/>
          </w:tcPr>
          <w:p w14:paraId="33537376"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Advanced Data Analytics</w:t>
            </w:r>
          </w:p>
        </w:tc>
        <w:tc>
          <w:tcPr>
            <w:tcW w:w="2230" w:type="dxa"/>
            <w:hideMark/>
          </w:tcPr>
          <w:p w14:paraId="238157A7"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Complete Google Data Analytics certification.</w:t>
            </w:r>
          </w:p>
        </w:tc>
        <w:tc>
          <w:tcPr>
            <w:tcW w:w="0" w:type="auto"/>
            <w:hideMark/>
          </w:tcPr>
          <w:p w14:paraId="340C56B8"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Certification and applied insights in projects.</w:t>
            </w:r>
          </w:p>
        </w:tc>
        <w:tc>
          <w:tcPr>
            <w:tcW w:w="0" w:type="auto"/>
            <w:hideMark/>
          </w:tcPr>
          <w:p w14:paraId="58679B65" w14:textId="52A5AC35"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Study 5 hours per week using online materials.</w:t>
            </w:r>
          </w:p>
        </w:tc>
        <w:tc>
          <w:tcPr>
            <w:tcW w:w="0" w:type="auto"/>
            <w:hideMark/>
          </w:tcPr>
          <w:p w14:paraId="19C167A2"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Strengthens data-driven HR decisions.</w:t>
            </w:r>
          </w:p>
        </w:tc>
        <w:tc>
          <w:tcPr>
            <w:tcW w:w="1943" w:type="dxa"/>
            <w:hideMark/>
          </w:tcPr>
          <w:p w14:paraId="2BB16195"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Within 6 months</w:t>
            </w:r>
          </w:p>
        </w:tc>
      </w:tr>
      <w:tr w:rsidR="00C2511C" w:rsidRPr="006C6FBD" w14:paraId="3A297C5D" w14:textId="77777777" w:rsidTr="00C2511C">
        <w:tc>
          <w:tcPr>
            <w:tcW w:w="2160" w:type="dxa"/>
            <w:hideMark/>
          </w:tcPr>
          <w:p w14:paraId="4FD7714B"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Public Speaking</w:t>
            </w:r>
          </w:p>
        </w:tc>
        <w:tc>
          <w:tcPr>
            <w:tcW w:w="2230" w:type="dxa"/>
            <w:hideMark/>
          </w:tcPr>
          <w:p w14:paraId="17222C1B" w14:textId="35F9B989"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Join Toastmasters or an online forum.</w:t>
            </w:r>
          </w:p>
        </w:tc>
        <w:tc>
          <w:tcPr>
            <w:tcW w:w="0" w:type="auto"/>
            <w:hideMark/>
          </w:tcPr>
          <w:p w14:paraId="1502C3D4"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Deliver 3 evaluated speeches with feedback.</w:t>
            </w:r>
          </w:p>
        </w:tc>
        <w:tc>
          <w:tcPr>
            <w:tcW w:w="0" w:type="auto"/>
            <w:hideMark/>
          </w:tcPr>
          <w:p w14:paraId="261F6273"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Practise regularly and self-review recordings.</w:t>
            </w:r>
          </w:p>
        </w:tc>
        <w:tc>
          <w:tcPr>
            <w:tcW w:w="0" w:type="auto"/>
            <w:hideMark/>
          </w:tcPr>
          <w:p w14:paraId="1D10A5BA"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Improves stakeholder communication confidence.</w:t>
            </w:r>
          </w:p>
        </w:tc>
        <w:tc>
          <w:tcPr>
            <w:tcW w:w="1943" w:type="dxa"/>
            <w:hideMark/>
          </w:tcPr>
          <w:p w14:paraId="22B2A325"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Within 4 months</w:t>
            </w:r>
          </w:p>
        </w:tc>
      </w:tr>
      <w:tr w:rsidR="00C2511C" w:rsidRPr="006C6FBD" w14:paraId="3A7E7612" w14:textId="77777777" w:rsidTr="00C2511C">
        <w:tc>
          <w:tcPr>
            <w:tcW w:w="2160" w:type="dxa"/>
            <w:hideMark/>
          </w:tcPr>
          <w:p w14:paraId="6494BEEB"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Leadership Development</w:t>
            </w:r>
          </w:p>
        </w:tc>
        <w:tc>
          <w:tcPr>
            <w:tcW w:w="2230" w:type="dxa"/>
            <w:hideMark/>
          </w:tcPr>
          <w:p w14:paraId="396D33FC"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Lead an MBA team project.</w:t>
            </w:r>
          </w:p>
        </w:tc>
        <w:tc>
          <w:tcPr>
            <w:tcW w:w="0" w:type="auto"/>
            <w:hideMark/>
          </w:tcPr>
          <w:p w14:paraId="2D7012A1"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Positive peer reviews and project success.</w:t>
            </w:r>
          </w:p>
        </w:tc>
        <w:tc>
          <w:tcPr>
            <w:tcW w:w="0" w:type="auto"/>
            <w:hideMark/>
          </w:tcPr>
          <w:p w14:paraId="3F877A4A"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Apply motivation and delegation techniques.</w:t>
            </w:r>
          </w:p>
        </w:tc>
        <w:tc>
          <w:tcPr>
            <w:tcW w:w="0" w:type="auto"/>
            <w:hideMark/>
          </w:tcPr>
          <w:p w14:paraId="4B6B2D84"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Enhances leadership and coordination skills.</w:t>
            </w:r>
          </w:p>
        </w:tc>
        <w:tc>
          <w:tcPr>
            <w:tcW w:w="1943" w:type="dxa"/>
            <w:hideMark/>
          </w:tcPr>
          <w:p w14:paraId="69BE097A"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Next academic term</w:t>
            </w:r>
          </w:p>
        </w:tc>
      </w:tr>
      <w:tr w:rsidR="00C2511C" w:rsidRPr="006C6FBD" w14:paraId="26D3B678" w14:textId="77777777" w:rsidTr="00C2511C">
        <w:tc>
          <w:tcPr>
            <w:tcW w:w="2160" w:type="dxa"/>
            <w:hideMark/>
          </w:tcPr>
          <w:p w14:paraId="208467D5"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b/>
                <w:bCs/>
                <w:sz w:val="24"/>
                <w:szCs w:val="24"/>
                <w:lang w:val="en-US"/>
              </w:rPr>
              <w:t>CPD</w:t>
            </w:r>
          </w:p>
        </w:tc>
        <w:tc>
          <w:tcPr>
            <w:tcW w:w="2230" w:type="dxa"/>
            <w:hideMark/>
          </w:tcPr>
          <w:p w14:paraId="1290214F"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Keep a reflective journal and attend webinars.</w:t>
            </w:r>
          </w:p>
        </w:tc>
        <w:tc>
          <w:tcPr>
            <w:tcW w:w="0" w:type="auto"/>
            <w:hideMark/>
          </w:tcPr>
          <w:p w14:paraId="3E5A9FC0"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Two webinars and journal entries per quarter.</w:t>
            </w:r>
          </w:p>
        </w:tc>
        <w:tc>
          <w:tcPr>
            <w:tcW w:w="0" w:type="auto"/>
            <w:hideMark/>
          </w:tcPr>
          <w:p w14:paraId="35AF709A" w14:textId="238AB555"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 xml:space="preserve">Apply insights to </w:t>
            </w:r>
            <w:r w:rsidR="00BE78C4" w:rsidRPr="006C6FBD">
              <w:rPr>
                <w:rFonts w:ascii="Arial" w:hAnsi="Arial" w:cs="Arial"/>
                <w:sz w:val="24"/>
                <w:szCs w:val="24"/>
                <w:lang w:val="en-US"/>
              </w:rPr>
              <w:t xml:space="preserve">a </w:t>
            </w:r>
            <w:r w:rsidRPr="006C6FBD">
              <w:rPr>
                <w:rFonts w:ascii="Arial" w:hAnsi="Arial" w:cs="Arial"/>
                <w:sz w:val="24"/>
                <w:szCs w:val="24"/>
                <w:lang w:val="en-US"/>
              </w:rPr>
              <w:t>professional plan.</w:t>
            </w:r>
          </w:p>
        </w:tc>
        <w:tc>
          <w:tcPr>
            <w:tcW w:w="0" w:type="auto"/>
            <w:hideMark/>
          </w:tcPr>
          <w:p w14:paraId="267F9458"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Promotes lifelong learning and adaptability.</w:t>
            </w:r>
          </w:p>
        </w:tc>
        <w:tc>
          <w:tcPr>
            <w:tcW w:w="1943" w:type="dxa"/>
            <w:hideMark/>
          </w:tcPr>
          <w:p w14:paraId="076AC9FD" w14:textId="77777777" w:rsidR="00C2511C" w:rsidRPr="006C6FBD" w:rsidRDefault="00C2511C" w:rsidP="005718F9">
            <w:pPr>
              <w:spacing w:after="200" w:line="360" w:lineRule="auto"/>
              <w:jc w:val="both"/>
              <w:rPr>
                <w:rFonts w:ascii="Arial" w:hAnsi="Arial" w:cs="Arial"/>
                <w:sz w:val="24"/>
                <w:szCs w:val="24"/>
                <w:lang w:val="en-US"/>
              </w:rPr>
            </w:pPr>
            <w:r w:rsidRPr="006C6FBD">
              <w:rPr>
                <w:rFonts w:ascii="Arial" w:hAnsi="Arial" w:cs="Arial"/>
                <w:sz w:val="24"/>
                <w:szCs w:val="24"/>
                <w:lang w:val="en-US"/>
              </w:rPr>
              <w:t>Ongoing</w:t>
            </w:r>
          </w:p>
        </w:tc>
      </w:tr>
    </w:tbl>
    <w:p w14:paraId="28D58BA9" w14:textId="25406587" w:rsidR="00EF1699" w:rsidRPr="006C6FBD" w:rsidRDefault="00EF1699" w:rsidP="005718F9">
      <w:pPr>
        <w:spacing w:line="360" w:lineRule="auto"/>
        <w:jc w:val="both"/>
        <w:rPr>
          <w:rFonts w:ascii="Arial" w:hAnsi="Arial" w:cs="Arial"/>
          <w:sz w:val="24"/>
          <w:szCs w:val="24"/>
          <w:lang w:val="en-US"/>
        </w:rPr>
      </w:pPr>
    </w:p>
    <w:p w14:paraId="5906F37F" w14:textId="77777777" w:rsidR="00695F80" w:rsidRPr="006C6FBD" w:rsidRDefault="00695F80" w:rsidP="005718F9">
      <w:pPr>
        <w:pStyle w:val="Heading1"/>
        <w:rPr>
          <w:rFonts w:ascii="Arial" w:hAnsi="Arial" w:cs="Arial"/>
          <w:b/>
          <w:bCs/>
          <w:sz w:val="24"/>
          <w:szCs w:val="24"/>
          <w:lang w:val="en-US"/>
        </w:rPr>
      </w:pPr>
      <w:bookmarkStart w:id="20" w:name="_Toc213435782"/>
      <w:r w:rsidRPr="006C6FBD">
        <w:rPr>
          <w:rFonts w:ascii="Arial" w:hAnsi="Arial" w:cs="Arial"/>
          <w:b/>
          <w:bCs/>
          <w:sz w:val="24"/>
          <w:szCs w:val="24"/>
          <w:lang w:val="en-US"/>
        </w:rPr>
        <w:lastRenderedPageBreak/>
        <w:t>6. Conclusion</w:t>
      </w:r>
      <w:bookmarkEnd w:id="20"/>
    </w:p>
    <w:p w14:paraId="75E114AB" w14:textId="6567722F" w:rsidR="00EF1699" w:rsidRPr="006C6FBD" w:rsidRDefault="00BE78C4" w:rsidP="005718F9">
      <w:pPr>
        <w:spacing w:line="360" w:lineRule="auto"/>
        <w:jc w:val="both"/>
        <w:rPr>
          <w:rFonts w:ascii="Arial" w:hAnsi="Arial" w:cs="Arial"/>
          <w:sz w:val="24"/>
          <w:szCs w:val="24"/>
          <w:lang w:val="en-US"/>
        </w:rPr>
      </w:pPr>
      <w:r w:rsidRPr="006C6FBD">
        <w:rPr>
          <w:rFonts w:ascii="Arial" w:hAnsi="Arial" w:cs="Arial"/>
          <w:sz w:val="24"/>
          <w:szCs w:val="24"/>
          <w:lang w:val="en-US"/>
        </w:rPr>
        <w:t xml:space="preserve">Lastly, the report has also critically evaluated the changes that technological, demographic, and geopolitical forces are bringing to global labor markets and how these forces have affected HRM and IHRM strategies. </w:t>
      </w:r>
      <w:r w:rsidR="00986F69" w:rsidRPr="006C6FBD">
        <w:rPr>
          <w:rFonts w:ascii="Arial" w:hAnsi="Arial" w:cs="Arial"/>
          <w:sz w:val="24"/>
          <w:szCs w:val="24"/>
          <w:lang w:val="en-US"/>
        </w:rPr>
        <w:t xml:space="preserve">The latest advances in technology AIs and automation are changing the workforce system and demographic change and political instability throughout the world continue to be driving forces of labor mobility and global policies. These problems in organizations should be overcome by strategic HRM practices which include digital transformation, workforce reskilling and inclusive talent management. Utilizing the theories of Resource-Based View, the PESTLE analysis, and the HR Model created by Ulrich, it should be stressed that people strategies must be adjusted to the dynamic business situations to be regarded as having a competitive advantage. Moreover, the reflective analysis shows that one should acquire such qualities as constant learning, self-awareness, and adaptability in order to be a global HR leader. </w:t>
      </w:r>
    </w:p>
    <w:p w14:paraId="3C012DAF" w14:textId="77777777" w:rsidR="005718F9" w:rsidRPr="006C6FBD" w:rsidRDefault="005718F9" w:rsidP="005718F9">
      <w:pPr>
        <w:spacing w:line="360" w:lineRule="auto"/>
        <w:jc w:val="both"/>
        <w:rPr>
          <w:rFonts w:ascii="Arial" w:hAnsi="Arial" w:cs="Arial"/>
          <w:sz w:val="24"/>
          <w:szCs w:val="24"/>
          <w:lang w:val="en-US"/>
        </w:rPr>
      </w:pPr>
    </w:p>
    <w:p w14:paraId="4FDEF75D" w14:textId="77777777" w:rsidR="005718F9" w:rsidRPr="006C6FBD" w:rsidRDefault="005718F9" w:rsidP="005718F9">
      <w:pPr>
        <w:spacing w:line="360" w:lineRule="auto"/>
        <w:jc w:val="both"/>
        <w:rPr>
          <w:rFonts w:ascii="Arial" w:hAnsi="Arial" w:cs="Arial"/>
          <w:sz w:val="24"/>
          <w:szCs w:val="24"/>
          <w:lang w:val="en-US"/>
        </w:rPr>
      </w:pPr>
    </w:p>
    <w:p w14:paraId="0C373C3C" w14:textId="77777777" w:rsidR="005718F9" w:rsidRPr="006C6FBD" w:rsidRDefault="005718F9" w:rsidP="005718F9">
      <w:pPr>
        <w:spacing w:line="360" w:lineRule="auto"/>
        <w:jc w:val="both"/>
        <w:rPr>
          <w:rFonts w:ascii="Arial" w:hAnsi="Arial" w:cs="Arial"/>
          <w:sz w:val="24"/>
          <w:szCs w:val="24"/>
          <w:lang w:val="en-US"/>
        </w:rPr>
      </w:pPr>
    </w:p>
    <w:p w14:paraId="4F7AFA7C" w14:textId="77777777" w:rsidR="005718F9" w:rsidRPr="006C6FBD" w:rsidRDefault="005718F9" w:rsidP="005718F9">
      <w:pPr>
        <w:spacing w:line="360" w:lineRule="auto"/>
        <w:jc w:val="both"/>
        <w:rPr>
          <w:rFonts w:ascii="Arial" w:hAnsi="Arial" w:cs="Arial"/>
          <w:sz w:val="24"/>
          <w:szCs w:val="24"/>
          <w:lang w:val="en-US"/>
        </w:rPr>
      </w:pPr>
    </w:p>
    <w:p w14:paraId="5A4A1C66" w14:textId="77777777" w:rsidR="005718F9" w:rsidRPr="006C6FBD" w:rsidRDefault="005718F9" w:rsidP="005718F9">
      <w:pPr>
        <w:spacing w:line="360" w:lineRule="auto"/>
        <w:jc w:val="both"/>
        <w:rPr>
          <w:rFonts w:ascii="Arial" w:hAnsi="Arial" w:cs="Arial"/>
          <w:sz w:val="24"/>
          <w:szCs w:val="24"/>
          <w:lang w:val="en-US"/>
        </w:rPr>
      </w:pPr>
    </w:p>
    <w:p w14:paraId="23D33063" w14:textId="77777777" w:rsidR="005718F9" w:rsidRPr="006C6FBD" w:rsidRDefault="005718F9" w:rsidP="005718F9">
      <w:pPr>
        <w:spacing w:line="360" w:lineRule="auto"/>
        <w:jc w:val="both"/>
        <w:rPr>
          <w:rFonts w:ascii="Arial" w:hAnsi="Arial" w:cs="Arial"/>
          <w:sz w:val="24"/>
          <w:szCs w:val="24"/>
          <w:lang w:val="en-US"/>
        </w:rPr>
      </w:pPr>
    </w:p>
    <w:p w14:paraId="67CEBD89" w14:textId="77777777" w:rsidR="005718F9" w:rsidRPr="006C6FBD" w:rsidRDefault="005718F9" w:rsidP="005718F9">
      <w:pPr>
        <w:spacing w:line="360" w:lineRule="auto"/>
        <w:jc w:val="both"/>
        <w:rPr>
          <w:rFonts w:ascii="Arial" w:hAnsi="Arial" w:cs="Arial"/>
          <w:sz w:val="24"/>
          <w:szCs w:val="24"/>
          <w:lang w:val="en-US"/>
        </w:rPr>
      </w:pPr>
    </w:p>
    <w:p w14:paraId="15B5D899" w14:textId="77777777" w:rsidR="005718F9" w:rsidRPr="006C6FBD" w:rsidRDefault="005718F9" w:rsidP="005718F9">
      <w:pPr>
        <w:spacing w:line="360" w:lineRule="auto"/>
        <w:jc w:val="both"/>
        <w:rPr>
          <w:rFonts w:ascii="Arial" w:hAnsi="Arial" w:cs="Arial"/>
          <w:sz w:val="24"/>
          <w:szCs w:val="24"/>
          <w:lang w:val="en-US"/>
        </w:rPr>
      </w:pPr>
    </w:p>
    <w:p w14:paraId="373619D4" w14:textId="77777777" w:rsidR="005718F9" w:rsidRPr="006C6FBD" w:rsidRDefault="005718F9" w:rsidP="005718F9">
      <w:pPr>
        <w:spacing w:line="360" w:lineRule="auto"/>
        <w:jc w:val="both"/>
        <w:rPr>
          <w:rFonts w:ascii="Arial" w:hAnsi="Arial" w:cs="Arial"/>
          <w:sz w:val="24"/>
          <w:szCs w:val="24"/>
          <w:lang w:val="en-US"/>
        </w:rPr>
      </w:pPr>
    </w:p>
    <w:p w14:paraId="0881045C" w14:textId="77777777" w:rsidR="005718F9" w:rsidRPr="006C6FBD" w:rsidRDefault="005718F9" w:rsidP="005718F9">
      <w:pPr>
        <w:spacing w:line="360" w:lineRule="auto"/>
        <w:jc w:val="both"/>
        <w:rPr>
          <w:rFonts w:ascii="Arial" w:hAnsi="Arial" w:cs="Arial"/>
          <w:sz w:val="24"/>
          <w:szCs w:val="24"/>
          <w:lang w:val="en-US"/>
        </w:rPr>
      </w:pPr>
    </w:p>
    <w:p w14:paraId="429DD256" w14:textId="77777777" w:rsidR="005718F9" w:rsidRPr="006C6FBD" w:rsidRDefault="005718F9" w:rsidP="005718F9">
      <w:pPr>
        <w:spacing w:line="360" w:lineRule="auto"/>
        <w:jc w:val="both"/>
        <w:rPr>
          <w:rFonts w:ascii="Arial" w:hAnsi="Arial" w:cs="Arial"/>
          <w:sz w:val="24"/>
          <w:szCs w:val="24"/>
          <w:lang w:val="en-US"/>
        </w:rPr>
      </w:pPr>
    </w:p>
    <w:p w14:paraId="56E2DABB" w14:textId="18B183D5" w:rsidR="00EF1699" w:rsidRPr="006C6FBD" w:rsidRDefault="00EF1699" w:rsidP="005718F9">
      <w:pPr>
        <w:pStyle w:val="Heading1"/>
        <w:rPr>
          <w:rFonts w:ascii="Arial" w:hAnsi="Arial" w:cs="Arial"/>
          <w:b/>
          <w:bCs/>
          <w:sz w:val="24"/>
          <w:szCs w:val="24"/>
          <w:lang w:val="en-US"/>
        </w:rPr>
      </w:pPr>
      <w:bookmarkStart w:id="21" w:name="_Toc213435783"/>
      <w:r w:rsidRPr="006C6FBD">
        <w:rPr>
          <w:rFonts w:ascii="Arial" w:hAnsi="Arial" w:cs="Arial"/>
          <w:b/>
          <w:bCs/>
          <w:sz w:val="24"/>
          <w:szCs w:val="24"/>
          <w:lang w:val="en-US"/>
        </w:rPr>
        <w:lastRenderedPageBreak/>
        <w:t>7. Referenc</w:t>
      </w:r>
      <w:r w:rsidR="005718F9" w:rsidRPr="006C6FBD">
        <w:rPr>
          <w:rFonts w:ascii="Arial" w:hAnsi="Arial" w:cs="Arial"/>
          <w:b/>
          <w:bCs/>
          <w:sz w:val="24"/>
          <w:szCs w:val="24"/>
          <w:lang w:val="en-US"/>
        </w:rPr>
        <w:t>es</w:t>
      </w:r>
      <w:bookmarkEnd w:id="21"/>
    </w:p>
    <w:p w14:paraId="1E745456" w14:textId="77777777" w:rsidR="005718F9" w:rsidRPr="006C6FBD" w:rsidRDefault="005718F9" w:rsidP="005718F9">
      <w:pPr>
        <w:jc w:val="both"/>
        <w:rPr>
          <w:rFonts w:ascii="Arial" w:hAnsi="Arial" w:cs="Arial"/>
          <w:sz w:val="24"/>
          <w:szCs w:val="24"/>
        </w:rPr>
      </w:pPr>
    </w:p>
    <w:p w14:paraId="6FD41C5D" w14:textId="5C5FE292"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Agarwal, P., Swami, S. and Malhotra, S.K. (2024) ‘Artificial intelligence adoption in the post COVID-19 new-normal and role of smart technologies in transforming business: a review’, </w:t>
      </w:r>
      <w:r w:rsidRPr="006C6FBD">
        <w:rPr>
          <w:rFonts w:ascii="Arial" w:hAnsi="Arial" w:cs="Arial"/>
          <w:i/>
          <w:iCs/>
          <w:sz w:val="24"/>
          <w:szCs w:val="24"/>
          <w:lang w:val="en-US"/>
        </w:rPr>
        <w:t>Journal of Science and Technology Policy Management</w:t>
      </w:r>
      <w:r w:rsidRPr="006C6FBD">
        <w:rPr>
          <w:rFonts w:ascii="Arial" w:hAnsi="Arial" w:cs="Arial"/>
          <w:sz w:val="24"/>
          <w:szCs w:val="24"/>
          <w:lang w:val="en-US"/>
        </w:rPr>
        <w:t>, 15(3), pp. 506–529.</w:t>
      </w:r>
      <w:r w:rsidR="00667AB7">
        <w:rPr>
          <w:rFonts w:ascii="Arial" w:hAnsi="Arial" w:cs="Arial"/>
          <w:sz w:val="24"/>
          <w:szCs w:val="24"/>
          <w:lang w:val="en-US"/>
        </w:rPr>
        <w:t xml:space="preserve"> </w:t>
      </w:r>
      <w:hyperlink r:id="rId8" w:history="1">
        <w:r w:rsidR="00667AB7" w:rsidRPr="009A4C6E">
          <w:rPr>
            <w:rStyle w:val="Hyperlink"/>
            <w:rFonts w:ascii="Arial" w:hAnsi="Arial" w:cs="Arial"/>
            <w:sz w:val="24"/>
            <w:szCs w:val="24"/>
            <w:lang w:val="en-US"/>
          </w:rPr>
          <w:t>https://www.emerald.com/insight/content/doi/10.1108/JSTPM-08-2021-0122/full/html</w:t>
        </w:r>
      </w:hyperlink>
      <w:r w:rsidR="00667AB7">
        <w:rPr>
          <w:rFonts w:ascii="Arial" w:hAnsi="Arial" w:cs="Arial"/>
          <w:sz w:val="24"/>
          <w:szCs w:val="24"/>
          <w:lang w:val="en-US"/>
        </w:rPr>
        <w:t xml:space="preserve"> </w:t>
      </w:r>
    </w:p>
    <w:p w14:paraId="375113AC" w14:textId="39C3927C"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Ahsan, M.J. (2025) ‘Cultivating a culture of learning: the role of leadership in fostering lifelong development’, </w:t>
      </w:r>
      <w:r w:rsidRPr="006C6FBD">
        <w:rPr>
          <w:rFonts w:ascii="Arial" w:hAnsi="Arial" w:cs="Arial"/>
          <w:i/>
          <w:iCs/>
          <w:sz w:val="24"/>
          <w:szCs w:val="24"/>
          <w:lang w:val="en-US"/>
        </w:rPr>
        <w:t>The Learning Organization</w:t>
      </w:r>
      <w:r w:rsidRPr="006C6FBD">
        <w:rPr>
          <w:rFonts w:ascii="Arial" w:hAnsi="Arial" w:cs="Arial"/>
          <w:sz w:val="24"/>
          <w:szCs w:val="24"/>
          <w:lang w:val="en-US"/>
        </w:rPr>
        <w:t>, 32(2), pp. 282–306.</w:t>
      </w:r>
      <w:r w:rsidR="00667AB7">
        <w:rPr>
          <w:rFonts w:ascii="Arial" w:hAnsi="Arial" w:cs="Arial"/>
          <w:sz w:val="24"/>
          <w:szCs w:val="24"/>
          <w:lang w:val="en-US"/>
        </w:rPr>
        <w:t xml:space="preserve"> </w:t>
      </w:r>
      <w:hyperlink r:id="rId9" w:history="1">
        <w:r w:rsidR="00667AB7" w:rsidRPr="009A4C6E">
          <w:rPr>
            <w:rStyle w:val="Hyperlink"/>
            <w:rFonts w:ascii="Arial" w:hAnsi="Arial" w:cs="Arial"/>
            <w:sz w:val="24"/>
            <w:szCs w:val="24"/>
            <w:lang w:val="en-US"/>
          </w:rPr>
          <w:t>https://www.emerald.com/insight/content/doi/10.1108/TLO-03-2024-0099/full/html</w:t>
        </w:r>
      </w:hyperlink>
      <w:r w:rsidR="00667AB7">
        <w:rPr>
          <w:rFonts w:ascii="Arial" w:hAnsi="Arial" w:cs="Arial"/>
          <w:sz w:val="24"/>
          <w:szCs w:val="24"/>
          <w:lang w:val="en-US"/>
        </w:rPr>
        <w:t xml:space="preserve"> </w:t>
      </w:r>
    </w:p>
    <w:p w14:paraId="3C6C78F0" w14:textId="6D202560"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Barney, J.S., Rogers, J.G., Harrop, R. and Hoverath, H. (1991) ‘Object shape-dependent scatter simulations for PET’, </w:t>
      </w:r>
      <w:r w:rsidRPr="006C6FBD">
        <w:rPr>
          <w:rFonts w:ascii="Arial" w:hAnsi="Arial" w:cs="Arial"/>
          <w:i/>
          <w:iCs/>
          <w:sz w:val="24"/>
          <w:szCs w:val="24"/>
          <w:lang w:val="en-US"/>
        </w:rPr>
        <w:t>IEEE Transactions on Nuclear Science</w:t>
      </w:r>
      <w:r w:rsidRPr="006C6FBD">
        <w:rPr>
          <w:rFonts w:ascii="Arial" w:hAnsi="Arial" w:cs="Arial"/>
          <w:sz w:val="24"/>
          <w:szCs w:val="24"/>
          <w:lang w:val="en-US"/>
        </w:rPr>
        <w:t>, 38(2), pp. 719–725.</w:t>
      </w:r>
      <w:r w:rsidR="00667AB7">
        <w:rPr>
          <w:rFonts w:ascii="Arial" w:hAnsi="Arial" w:cs="Arial"/>
          <w:sz w:val="24"/>
          <w:szCs w:val="24"/>
          <w:lang w:val="en-US"/>
        </w:rPr>
        <w:t xml:space="preserve"> </w:t>
      </w:r>
      <w:hyperlink r:id="rId10" w:history="1">
        <w:r w:rsidR="00667AB7" w:rsidRPr="009A4C6E">
          <w:rPr>
            <w:rStyle w:val="Hyperlink"/>
            <w:rFonts w:ascii="Arial" w:hAnsi="Arial" w:cs="Arial"/>
            <w:sz w:val="24"/>
            <w:szCs w:val="24"/>
            <w:lang w:val="en-US"/>
          </w:rPr>
          <w:t>https://ieeexplore.ieee.org/abstract/document/289380</w:t>
        </w:r>
      </w:hyperlink>
      <w:r w:rsidR="00667AB7">
        <w:rPr>
          <w:rFonts w:ascii="Arial" w:hAnsi="Arial" w:cs="Arial"/>
          <w:sz w:val="24"/>
          <w:szCs w:val="24"/>
          <w:lang w:val="en-US"/>
        </w:rPr>
        <w:t xml:space="preserve">  </w:t>
      </w:r>
    </w:p>
    <w:p w14:paraId="286865A8" w14:textId="61DC54EC"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Cervi, G.V. (2022) ‘Why and how does the EU rule global digital policy: An empirical analysis of EU regulatory influence in data protection laws’, </w:t>
      </w:r>
      <w:r w:rsidRPr="006C6FBD">
        <w:rPr>
          <w:rFonts w:ascii="Arial" w:hAnsi="Arial" w:cs="Arial"/>
          <w:i/>
          <w:iCs/>
          <w:sz w:val="24"/>
          <w:szCs w:val="24"/>
          <w:lang w:val="en-US"/>
        </w:rPr>
        <w:t>Digital Society</w:t>
      </w:r>
      <w:r w:rsidRPr="006C6FBD">
        <w:rPr>
          <w:rFonts w:ascii="Arial" w:hAnsi="Arial" w:cs="Arial"/>
          <w:sz w:val="24"/>
          <w:szCs w:val="24"/>
          <w:lang w:val="en-US"/>
        </w:rPr>
        <w:t>, 1(2), p. 18.</w:t>
      </w:r>
      <w:r w:rsidR="00667AB7">
        <w:rPr>
          <w:rFonts w:ascii="Arial" w:hAnsi="Arial" w:cs="Arial"/>
          <w:sz w:val="24"/>
          <w:szCs w:val="24"/>
          <w:lang w:val="en-US"/>
        </w:rPr>
        <w:t xml:space="preserve"> </w:t>
      </w:r>
      <w:hyperlink r:id="rId11" w:history="1">
        <w:r w:rsidR="00667AB7" w:rsidRPr="009A4C6E">
          <w:rPr>
            <w:rStyle w:val="Hyperlink"/>
            <w:rFonts w:ascii="Arial" w:hAnsi="Arial" w:cs="Arial"/>
            <w:sz w:val="24"/>
            <w:szCs w:val="24"/>
            <w:lang w:val="en-US"/>
          </w:rPr>
          <w:t>https://link.springer.com/article/10.1007/s44206-022-00005-3</w:t>
        </w:r>
      </w:hyperlink>
      <w:r w:rsidR="00667AB7">
        <w:rPr>
          <w:rFonts w:ascii="Arial" w:hAnsi="Arial" w:cs="Arial"/>
          <w:sz w:val="24"/>
          <w:szCs w:val="24"/>
          <w:lang w:val="en-US"/>
        </w:rPr>
        <w:t xml:space="preserve"> </w:t>
      </w:r>
    </w:p>
    <w:p w14:paraId="4810A909" w14:textId="21FB632F"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Chen, W. and Wang, L. (2024) ‘The global economic trends and their impact on national economies’, </w:t>
      </w:r>
      <w:r w:rsidRPr="006C6FBD">
        <w:rPr>
          <w:rFonts w:ascii="Arial" w:hAnsi="Arial" w:cs="Arial"/>
          <w:i/>
          <w:iCs/>
          <w:sz w:val="24"/>
          <w:szCs w:val="24"/>
          <w:lang w:val="en-US"/>
        </w:rPr>
        <w:t>International Journal of Accounting, Finance, and Economic Studies</w:t>
      </w:r>
      <w:r w:rsidRPr="006C6FBD">
        <w:rPr>
          <w:rFonts w:ascii="Arial" w:hAnsi="Arial" w:cs="Arial"/>
          <w:sz w:val="24"/>
          <w:szCs w:val="24"/>
          <w:lang w:val="en-US"/>
        </w:rPr>
        <w:t>, 2(1).</w:t>
      </w:r>
      <w:r w:rsidR="00667AB7">
        <w:rPr>
          <w:rFonts w:ascii="Arial" w:hAnsi="Arial" w:cs="Arial"/>
          <w:sz w:val="24"/>
          <w:szCs w:val="24"/>
          <w:lang w:val="en-US"/>
        </w:rPr>
        <w:t xml:space="preserve"> </w:t>
      </w:r>
      <w:hyperlink r:id="rId12" w:history="1">
        <w:r w:rsidR="00667AB7" w:rsidRPr="009A4C6E">
          <w:rPr>
            <w:rStyle w:val="Hyperlink"/>
            <w:rFonts w:ascii="Arial" w:hAnsi="Arial" w:cs="Arial"/>
            <w:sz w:val="24"/>
            <w:szCs w:val="24"/>
            <w:lang w:val="en-US"/>
          </w:rPr>
          <w:t>https://jurnals.net/access/IJAFES/article/view/7</w:t>
        </w:r>
      </w:hyperlink>
      <w:r w:rsidR="00667AB7">
        <w:rPr>
          <w:rFonts w:ascii="Arial" w:hAnsi="Arial" w:cs="Arial"/>
          <w:sz w:val="24"/>
          <w:szCs w:val="24"/>
          <w:lang w:val="en-US"/>
        </w:rPr>
        <w:t xml:space="preserve"> </w:t>
      </w:r>
    </w:p>
    <w:p w14:paraId="4231914A" w14:textId="66B8E903"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Ferreira, E.H. (2016) </w:t>
      </w:r>
      <w:r w:rsidRPr="006C6FBD">
        <w:rPr>
          <w:rFonts w:ascii="Arial" w:hAnsi="Arial" w:cs="Arial"/>
          <w:i/>
          <w:iCs/>
          <w:sz w:val="24"/>
          <w:szCs w:val="24"/>
          <w:lang w:val="en-US"/>
        </w:rPr>
        <w:t>The role of employee value propositions and corporate brand preferences in talent attraction.</w:t>
      </w:r>
      <w:r w:rsidR="00667AB7">
        <w:rPr>
          <w:rFonts w:ascii="Arial" w:hAnsi="Arial" w:cs="Arial"/>
          <w:i/>
          <w:iCs/>
          <w:sz w:val="24"/>
          <w:szCs w:val="24"/>
          <w:lang w:val="en-US"/>
        </w:rPr>
        <w:t xml:space="preserve"> </w:t>
      </w:r>
      <w:hyperlink r:id="rId13" w:history="1">
        <w:r w:rsidR="00667AB7" w:rsidRPr="009A4C6E">
          <w:rPr>
            <w:rStyle w:val="Hyperlink"/>
            <w:rFonts w:ascii="Arial" w:hAnsi="Arial" w:cs="Arial"/>
            <w:i/>
            <w:iCs/>
            <w:sz w:val="24"/>
            <w:szCs w:val="24"/>
            <w:lang w:val="en-US"/>
          </w:rPr>
          <w:t>https://open.uct.ac.za/handle/11427/20950</w:t>
        </w:r>
      </w:hyperlink>
      <w:r w:rsidR="00667AB7">
        <w:rPr>
          <w:rFonts w:ascii="Arial" w:hAnsi="Arial" w:cs="Arial"/>
          <w:i/>
          <w:iCs/>
          <w:sz w:val="24"/>
          <w:szCs w:val="24"/>
          <w:lang w:val="en-US"/>
        </w:rPr>
        <w:t xml:space="preserve"> </w:t>
      </w:r>
    </w:p>
    <w:p w14:paraId="029FA79E" w14:textId="4081DF8C"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Franco, S.F., Graña, J.M., Flacher, D. and Rikap, C. (2023) ‘Producing and using artificial intelligence: What can Europe learn from Siemens’s experience?’, </w:t>
      </w:r>
      <w:r w:rsidRPr="006C6FBD">
        <w:rPr>
          <w:rFonts w:ascii="Arial" w:hAnsi="Arial" w:cs="Arial"/>
          <w:i/>
          <w:iCs/>
          <w:sz w:val="24"/>
          <w:szCs w:val="24"/>
          <w:lang w:val="en-US"/>
        </w:rPr>
        <w:t>Competition &amp; Change</w:t>
      </w:r>
      <w:r w:rsidRPr="006C6FBD">
        <w:rPr>
          <w:rFonts w:ascii="Arial" w:hAnsi="Arial" w:cs="Arial"/>
          <w:sz w:val="24"/>
          <w:szCs w:val="24"/>
          <w:lang w:val="en-US"/>
        </w:rPr>
        <w:t>, 27(2), pp. 302–331.</w:t>
      </w:r>
      <w:r w:rsidR="00667AB7">
        <w:rPr>
          <w:rFonts w:ascii="Arial" w:hAnsi="Arial" w:cs="Arial"/>
          <w:sz w:val="24"/>
          <w:szCs w:val="24"/>
          <w:lang w:val="en-US"/>
        </w:rPr>
        <w:t xml:space="preserve"> </w:t>
      </w:r>
      <w:hyperlink r:id="rId14" w:history="1">
        <w:r w:rsidR="00667AB7" w:rsidRPr="009A4C6E">
          <w:rPr>
            <w:rStyle w:val="Hyperlink"/>
            <w:rFonts w:ascii="Arial" w:hAnsi="Arial" w:cs="Arial"/>
            <w:sz w:val="24"/>
            <w:szCs w:val="24"/>
            <w:lang w:val="en-US"/>
          </w:rPr>
          <w:t>https://journals.sagepub.com/doi/abs/10.1177/10245294221097066</w:t>
        </w:r>
      </w:hyperlink>
      <w:r w:rsidR="00667AB7">
        <w:rPr>
          <w:rFonts w:ascii="Arial" w:hAnsi="Arial" w:cs="Arial"/>
          <w:sz w:val="24"/>
          <w:szCs w:val="24"/>
          <w:lang w:val="en-US"/>
        </w:rPr>
        <w:t xml:space="preserve"> </w:t>
      </w:r>
    </w:p>
    <w:p w14:paraId="41EE02CF" w14:textId="32E97565"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Gruenewald, H. and Mueller, M. (2025) </w:t>
      </w:r>
      <w:r w:rsidRPr="006C6FBD">
        <w:rPr>
          <w:rFonts w:ascii="Arial" w:hAnsi="Arial" w:cs="Arial"/>
          <w:i/>
          <w:iCs/>
          <w:sz w:val="24"/>
          <w:szCs w:val="24"/>
          <w:lang w:val="en-US"/>
        </w:rPr>
        <w:t>Reskilling and upskilling in a globalized economy: essential strategies for workforce transformation.</w:t>
      </w:r>
      <w:r w:rsidRPr="006C6FBD">
        <w:rPr>
          <w:rFonts w:ascii="Arial" w:hAnsi="Arial" w:cs="Arial"/>
          <w:sz w:val="24"/>
          <w:szCs w:val="24"/>
          <w:lang w:val="en-US"/>
        </w:rPr>
        <w:t xml:space="preserve"> Springer Nature.</w:t>
      </w:r>
      <w:r w:rsidR="00667AB7">
        <w:rPr>
          <w:rFonts w:ascii="Arial" w:hAnsi="Arial" w:cs="Arial"/>
          <w:sz w:val="24"/>
          <w:szCs w:val="24"/>
          <w:lang w:val="en-US"/>
        </w:rPr>
        <w:t xml:space="preserve"> </w:t>
      </w:r>
      <w:hyperlink r:id="rId15" w:history="1">
        <w:r w:rsidR="00667AB7" w:rsidRPr="009A4C6E">
          <w:rPr>
            <w:rStyle w:val="Hyperlink"/>
            <w:rFonts w:ascii="Arial" w:hAnsi="Arial" w:cs="Arial"/>
            <w:sz w:val="24"/>
            <w:szCs w:val="24"/>
            <w:lang w:val="en-US"/>
          </w:rPr>
          <w:t>https://books.google.com/books?hl=en&amp;lr=&amp;id=559wEQAAQBAJ&amp;oi=fnd&amp;pg=PR5&amp;dq=Gruenewald,+H.+and+Mueller,+M.+(2025)+Reskilling+and+upskilling+in+a+globalized+economy:+essential+strategies+for+workforce+transformation.+Springer+Nature.&amp;ots=C_UcPygR0X&amp;sig=j0oyTteiPEBYFSwHiMF8E3IrUKM</w:t>
        </w:r>
      </w:hyperlink>
      <w:r w:rsidR="00667AB7">
        <w:rPr>
          <w:rFonts w:ascii="Arial" w:hAnsi="Arial" w:cs="Arial"/>
          <w:sz w:val="24"/>
          <w:szCs w:val="24"/>
          <w:lang w:val="en-US"/>
        </w:rPr>
        <w:t xml:space="preserve"> </w:t>
      </w:r>
    </w:p>
    <w:p w14:paraId="62EE91B2" w14:textId="12A8740A"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Gutterman, A.S. (2022) </w:t>
      </w:r>
      <w:r w:rsidRPr="006C6FBD">
        <w:rPr>
          <w:rFonts w:ascii="Arial" w:hAnsi="Arial" w:cs="Arial"/>
          <w:i/>
          <w:iCs/>
          <w:sz w:val="24"/>
          <w:szCs w:val="24"/>
          <w:lang w:val="en-US"/>
        </w:rPr>
        <w:t>Creating an age-diverse workplace.</w:t>
      </w:r>
      <w:r w:rsidRPr="006C6FBD">
        <w:rPr>
          <w:rFonts w:ascii="Arial" w:hAnsi="Arial" w:cs="Arial"/>
          <w:sz w:val="24"/>
          <w:szCs w:val="24"/>
          <w:lang w:val="en-US"/>
        </w:rPr>
        <w:t xml:space="preserve"> Available at: SSRN 4085736.</w:t>
      </w:r>
      <w:r w:rsidR="00667AB7">
        <w:rPr>
          <w:rFonts w:ascii="Arial" w:hAnsi="Arial" w:cs="Arial"/>
          <w:sz w:val="24"/>
          <w:szCs w:val="24"/>
          <w:lang w:val="en-US"/>
        </w:rPr>
        <w:t xml:space="preserve"> </w:t>
      </w:r>
      <w:hyperlink r:id="rId16" w:history="1">
        <w:r w:rsidR="00667AB7" w:rsidRPr="009A4C6E">
          <w:rPr>
            <w:rStyle w:val="Hyperlink"/>
            <w:rFonts w:ascii="Arial" w:hAnsi="Arial" w:cs="Arial"/>
            <w:sz w:val="24"/>
            <w:szCs w:val="24"/>
            <w:lang w:val="en-US"/>
          </w:rPr>
          <w:t>https://papers.ssrn.com/sol3/papers.cfm?abstract_id=4085736</w:t>
        </w:r>
      </w:hyperlink>
      <w:r w:rsidR="00667AB7">
        <w:rPr>
          <w:rFonts w:ascii="Arial" w:hAnsi="Arial" w:cs="Arial"/>
          <w:sz w:val="24"/>
          <w:szCs w:val="24"/>
          <w:lang w:val="en-US"/>
        </w:rPr>
        <w:t xml:space="preserve"> </w:t>
      </w:r>
    </w:p>
    <w:p w14:paraId="571B06BC" w14:textId="28AE8461"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lastRenderedPageBreak/>
        <w:t xml:space="preserve">Hassan, S.T. (2025) ‘Measuring diversity, equity, and inclusivity in an organisation: scale development for DEI index’, in </w:t>
      </w:r>
      <w:r w:rsidRPr="006C6FBD">
        <w:rPr>
          <w:rFonts w:ascii="Arial" w:hAnsi="Arial" w:cs="Arial"/>
          <w:i/>
          <w:iCs/>
          <w:sz w:val="24"/>
          <w:szCs w:val="24"/>
          <w:lang w:val="en-US"/>
        </w:rPr>
        <w:t>Diversity, AI, and Sustainability for Financial Growth.</w:t>
      </w:r>
      <w:r w:rsidRPr="006C6FBD">
        <w:rPr>
          <w:rFonts w:ascii="Arial" w:hAnsi="Arial" w:cs="Arial"/>
          <w:sz w:val="24"/>
          <w:szCs w:val="24"/>
          <w:lang w:val="en-US"/>
        </w:rPr>
        <w:t xml:space="preserve"> IGI Global Scientific Publishing, pp. 401–416.</w:t>
      </w:r>
      <w:r w:rsidR="00667AB7">
        <w:rPr>
          <w:rFonts w:ascii="Arial" w:hAnsi="Arial" w:cs="Arial"/>
          <w:sz w:val="24"/>
          <w:szCs w:val="24"/>
          <w:lang w:val="en-US"/>
        </w:rPr>
        <w:t xml:space="preserve"> </w:t>
      </w:r>
      <w:hyperlink r:id="rId17" w:history="1">
        <w:r w:rsidR="00667AB7" w:rsidRPr="009A4C6E">
          <w:rPr>
            <w:rStyle w:val="Hyperlink"/>
            <w:rFonts w:ascii="Arial" w:hAnsi="Arial" w:cs="Arial"/>
            <w:sz w:val="24"/>
            <w:szCs w:val="24"/>
            <w:lang w:val="en-US"/>
          </w:rPr>
          <w:t>https://www.igi-global.com/chapter/measuring-diversity-equity-and-inclusivity-in-an-organisation/369117</w:t>
        </w:r>
      </w:hyperlink>
      <w:r w:rsidR="00667AB7">
        <w:rPr>
          <w:rFonts w:ascii="Arial" w:hAnsi="Arial" w:cs="Arial"/>
          <w:sz w:val="24"/>
          <w:szCs w:val="24"/>
          <w:lang w:val="en-US"/>
        </w:rPr>
        <w:t xml:space="preserve"> </w:t>
      </w:r>
    </w:p>
    <w:p w14:paraId="42DE5182" w14:textId="00747549"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Illéssy, M., Huszár, Á. and Makó, C. (2021) ‘Technological development and the labour market: how susceptible are jobs to automation in Hungary in international comparison?’, </w:t>
      </w:r>
      <w:r w:rsidRPr="006C6FBD">
        <w:rPr>
          <w:rFonts w:ascii="Arial" w:hAnsi="Arial" w:cs="Arial"/>
          <w:i/>
          <w:iCs/>
          <w:sz w:val="24"/>
          <w:szCs w:val="24"/>
          <w:lang w:val="en-US"/>
        </w:rPr>
        <w:t>Societies</w:t>
      </w:r>
      <w:r w:rsidRPr="006C6FBD">
        <w:rPr>
          <w:rFonts w:ascii="Arial" w:hAnsi="Arial" w:cs="Arial"/>
          <w:sz w:val="24"/>
          <w:szCs w:val="24"/>
          <w:lang w:val="en-US"/>
        </w:rPr>
        <w:t>, 11(3), p. 93.</w:t>
      </w:r>
      <w:r w:rsidR="00667AB7">
        <w:rPr>
          <w:rFonts w:ascii="Arial" w:hAnsi="Arial" w:cs="Arial"/>
          <w:sz w:val="24"/>
          <w:szCs w:val="24"/>
          <w:lang w:val="en-US"/>
        </w:rPr>
        <w:t xml:space="preserve"> </w:t>
      </w:r>
      <w:hyperlink r:id="rId18" w:history="1">
        <w:r w:rsidR="00667AB7" w:rsidRPr="009A4C6E">
          <w:rPr>
            <w:rStyle w:val="Hyperlink"/>
            <w:rFonts w:ascii="Arial" w:hAnsi="Arial" w:cs="Arial"/>
            <w:sz w:val="24"/>
            <w:szCs w:val="24"/>
            <w:lang w:val="en-US"/>
          </w:rPr>
          <w:t>https://www.mdpi.com/2075-4698/11/3/93</w:t>
        </w:r>
      </w:hyperlink>
      <w:r w:rsidR="00667AB7">
        <w:rPr>
          <w:rFonts w:ascii="Arial" w:hAnsi="Arial" w:cs="Arial"/>
          <w:sz w:val="24"/>
          <w:szCs w:val="24"/>
          <w:lang w:val="en-US"/>
        </w:rPr>
        <w:t xml:space="preserve"> </w:t>
      </w:r>
    </w:p>
    <w:p w14:paraId="65E9C1B0" w14:textId="53359739"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Jacobides, M.G., MacDuffie, J.P. and Tae, J. (2023)</w:t>
      </w:r>
      <w:r w:rsidR="00667AB7">
        <w:rPr>
          <w:rFonts w:ascii="Arial" w:hAnsi="Arial" w:cs="Arial"/>
          <w:sz w:val="24"/>
          <w:szCs w:val="24"/>
          <w:lang w:val="en-US"/>
        </w:rPr>
        <w:t>.</w:t>
      </w:r>
      <w:r w:rsidRPr="006C6FBD">
        <w:rPr>
          <w:rFonts w:ascii="Arial" w:hAnsi="Arial" w:cs="Arial"/>
          <w:sz w:val="24"/>
          <w:szCs w:val="24"/>
          <w:lang w:val="en-US"/>
        </w:rPr>
        <w:t xml:space="preserve"> </w:t>
      </w:r>
      <w:r w:rsidRPr="006C6FBD">
        <w:rPr>
          <w:rFonts w:ascii="Arial" w:hAnsi="Arial" w:cs="Arial"/>
          <w:i/>
          <w:iCs/>
          <w:sz w:val="24"/>
          <w:szCs w:val="24"/>
          <w:lang w:val="en-US"/>
        </w:rPr>
        <w:t>Revisiting disruption: lessons from automobile transformation and mobility innovation.</w:t>
      </w:r>
      <w:r w:rsidRPr="006C6FBD">
        <w:rPr>
          <w:rFonts w:ascii="Arial" w:hAnsi="Arial" w:cs="Arial"/>
          <w:sz w:val="24"/>
          <w:szCs w:val="24"/>
          <w:lang w:val="en-US"/>
        </w:rPr>
        <w:t xml:space="preserve"> White Paper.</w:t>
      </w:r>
      <w:r w:rsidR="00667AB7">
        <w:rPr>
          <w:rFonts w:ascii="Arial" w:hAnsi="Arial" w:cs="Arial"/>
          <w:sz w:val="24"/>
          <w:szCs w:val="24"/>
          <w:lang w:val="en-US"/>
        </w:rPr>
        <w:t xml:space="preserve"> </w:t>
      </w:r>
      <w:hyperlink r:id="rId19" w:history="1">
        <w:r w:rsidR="00667AB7" w:rsidRPr="009A4C6E">
          <w:rPr>
            <w:rStyle w:val="Hyperlink"/>
            <w:rFonts w:ascii="Arial" w:hAnsi="Arial" w:cs="Arial"/>
            <w:sz w:val="24"/>
            <w:szCs w:val="24"/>
            <w:lang w:val="en-US"/>
          </w:rPr>
          <w:t>https://mackinstitute.wharton.upenn.edu/wp-content/uploads/2023/11/revisiting-disruption.pdf</w:t>
        </w:r>
      </w:hyperlink>
      <w:r w:rsidR="00667AB7">
        <w:rPr>
          <w:rFonts w:ascii="Arial" w:hAnsi="Arial" w:cs="Arial"/>
          <w:sz w:val="24"/>
          <w:szCs w:val="24"/>
          <w:lang w:val="en-US"/>
        </w:rPr>
        <w:t xml:space="preserve"> </w:t>
      </w:r>
    </w:p>
    <w:p w14:paraId="53B8787E" w14:textId="5167FD21"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Karr, L.N. and Berdejo, G. (2024) ‘Perspectives and progress on diversity, equity, and inclusion’, </w:t>
      </w:r>
      <w:r w:rsidRPr="006C6FBD">
        <w:rPr>
          <w:rFonts w:ascii="Arial" w:hAnsi="Arial" w:cs="Arial"/>
          <w:i/>
          <w:iCs/>
          <w:sz w:val="24"/>
          <w:szCs w:val="24"/>
          <w:lang w:val="en-US"/>
        </w:rPr>
        <w:t>Journal for Vascular Ultrasound</w:t>
      </w:r>
      <w:r w:rsidRPr="006C6FBD">
        <w:rPr>
          <w:rFonts w:ascii="Arial" w:hAnsi="Arial" w:cs="Arial"/>
          <w:sz w:val="24"/>
          <w:szCs w:val="24"/>
          <w:lang w:val="en-US"/>
        </w:rPr>
        <w:t>, 48(4), pp. 242–248.</w:t>
      </w:r>
      <w:r w:rsidR="00667AB7">
        <w:rPr>
          <w:rFonts w:ascii="Arial" w:hAnsi="Arial" w:cs="Arial"/>
          <w:sz w:val="24"/>
          <w:szCs w:val="24"/>
          <w:lang w:val="en-US"/>
        </w:rPr>
        <w:t xml:space="preserve"> </w:t>
      </w:r>
      <w:hyperlink r:id="rId20" w:history="1">
        <w:r w:rsidR="00667AB7" w:rsidRPr="009A4C6E">
          <w:rPr>
            <w:rStyle w:val="Hyperlink"/>
            <w:rFonts w:ascii="Arial" w:hAnsi="Arial" w:cs="Arial"/>
            <w:sz w:val="24"/>
            <w:szCs w:val="24"/>
            <w:lang w:val="en-US"/>
          </w:rPr>
          <w:t>https://journals.sagepub.com/doi/abs/10.1177/15443167241299802</w:t>
        </w:r>
      </w:hyperlink>
      <w:r w:rsidR="00667AB7">
        <w:rPr>
          <w:rFonts w:ascii="Arial" w:hAnsi="Arial" w:cs="Arial"/>
          <w:sz w:val="24"/>
          <w:szCs w:val="24"/>
          <w:lang w:val="en-US"/>
        </w:rPr>
        <w:t xml:space="preserve"> </w:t>
      </w:r>
    </w:p>
    <w:p w14:paraId="66F367C4" w14:textId="657FD78B"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Kazlauskaitė, E. (2025) </w:t>
      </w:r>
      <w:r w:rsidRPr="006C6FBD">
        <w:rPr>
          <w:rFonts w:ascii="Arial" w:hAnsi="Arial" w:cs="Arial"/>
          <w:i/>
          <w:iCs/>
          <w:sz w:val="24"/>
          <w:szCs w:val="24"/>
          <w:lang w:val="en-US"/>
        </w:rPr>
        <w:t>The influence of digital transformation on human resource management practices in multinational corporations.</w:t>
      </w:r>
      <w:r w:rsidRPr="006C6FBD">
        <w:rPr>
          <w:rFonts w:ascii="Arial" w:hAnsi="Arial" w:cs="Arial"/>
          <w:sz w:val="24"/>
          <w:szCs w:val="24"/>
          <w:lang w:val="en-US"/>
        </w:rPr>
        <w:t xml:space="preserve"> PhD thesis. Vilniaus Universitetas.</w:t>
      </w:r>
      <w:r w:rsidR="00667AB7">
        <w:rPr>
          <w:rFonts w:ascii="Arial" w:hAnsi="Arial" w:cs="Arial"/>
          <w:sz w:val="24"/>
          <w:szCs w:val="24"/>
          <w:lang w:val="en-US"/>
        </w:rPr>
        <w:t xml:space="preserve"> </w:t>
      </w:r>
      <w:hyperlink r:id="rId21" w:history="1">
        <w:r w:rsidR="00667AB7" w:rsidRPr="009A4C6E">
          <w:rPr>
            <w:rStyle w:val="Hyperlink"/>
            <w:rFonts w:ascii="Arial" w:hAnsi="Arial" w:cs="Arial"/>
            <w:sz w:val="24"/>
            <w:szCs w:val="24"/>
            <w:lang w:val="en-US"/>
          </w:rPr>
          <w:t>https://epublications.vu.lt/object/elaba:238881319/</w:t>
        </w:r>
      </w:hyperlink>
      <w:r w:rsidR="00667AB7">
        <w:rPr>
          <w:rFonts w:ascii="Arial" w:hAnsi="Arial" w:cs="Arial"/>
          <w:sz w:val="24"/>
          <w:szCs w:val="24"/>
          <w:lang w:val="en-US"/>
        </w:rPr>
        <w:t xml:space="preserve"> </w:t>
      </w:r>
    </w:p>
    <w:p w14:paraId="22E0BCEC" w14:textId="6CBD6AA9"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Kulkarni, V. and Rai, N. (2023) ‘Generation Z talent management in organisations: an HR perspective’, </w:t>
      </w:r>
      <w:r w:rsidRPr="006C6FBD">
        <w:rPr>
          <w:rFonts w:ascii="Arial" w:hAnsi="Arial" w:cs="Arial"/>
          <w:i/>
          <w:iCs/>
          <w:sz w:val="24"/>
          <w:szCs w:val="24"/>
          <w:lang w:val="en-US"/>
        </w:rPr>
        <w:t>Journal of Survey in Fisheries Sciences</w:t>
      </w:r>
      <w:r w:rsidRPr="006C6FBD">
        <w:rPr>
          <w:rFonts w:ascii="Arial" w:hAnsi="Arial" w:cs="Arial"/>
          <w:sz w:val="24"/>
          <w:szCs w:val="24"/>
          <w:lang w:val="en-US"/>
        </w:rPr>
        <w:t>, 10(1), pp. 1389–1396.</w:t>
      </w:r>
      <w:r w:rsidR="00667AB7">
        <w:rPr>
          <w:rFonts w:ascii="Arial" w:hAnsi="Arial" w:cs="Arial"/>
          <w:sz w:val="24"/>
          <w:szCs w:val="24"/>
          <w:lang w:val="en-US"/>
        </w:rPr>
        <w:t xml:space="preserve"> </w:t>
      </w:r>
      <w:hyperlink r:id="rId22" w:history="1">
        <w:r w:rsidR="00667AB7" w:rsidRPr="009A4C6E">
          <w:rPr>
            <w:rStyle w:val="Hyperlink"/>
            <w:rFonts w:ascii="Arial" w:hAnsi="Arial" w:cs="Arial"/>
            <w:sz w:val="24"/>
            <w:szCs w:val="24"/>
            <w:lang w:val="en-US"/>
          </w:rPr>
          <w:t>https://www.researchgate.net/profile/Vijay-Kulkarni-11/publication/379645371_Generation_Z_Talent_Management_In_Organisations_An_HR_Perspective/links/66617abcde777205a3113144/Generation-Z-Talent-Management-In-Organisations-An-HR-Perspective.pdf</w:t>
        </w:r>
      </w:hyperlink>
      <w:r w:rsidR="00667AB7">
        <w:rPr>
          <w:rFonts w:ascii="Arial" w:hAnsi="Arial" w:cs="Arial"/>
          <w:sz w:val="24"/>
          <w:szCs w:val="24"/>
          <w:lang w:val="en-US"/>
        </w:rPr>
        <w:t xml:space="preserve"> </w:t>
      </w:r>
    </w:p>
    <w:p w14:paraId="22BC60BC" w14:textId="76C68078"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Lapavitsas, C., Meadway, J. and Nicholls, D. (2023) </w:t>
      </w:r>
      <w:r w:rsidRPr="006C6FBD">
        <w:rPr>
          <w:rFonts w:ascii="Arial" w:hAnsi="Arial" w:cs="Arial"/>
          <w:i/>
          <w:iCs/>
          <w:sz w:val="24"/>
          <w:szCs w:val="24"/>
          <w:lang w:val="en-US"/>
        </w:rPr>
        <w:t>The cost of living crisis (and how to get out of it).</w:t>
      </w:r>
      <w:r w:rsidRPr="006C6FBD">
        <w:rPr>
          <w:rFonts w:ascii="Arial" w:hAnsi="Arial" w:cs="Arial"/>
          <w:sz w:val="24"/>
          <w:szCs w:val="24"/>
          <w:lang w:val="en-US"/>
        </w:rPr>
        <w:t xml:space="preserve"> Verso Books.</w:t>
      </w:r>
      <w:r w:rsidR="00667AB7">
        <w:rPr>
          <w:rFonts w:ascii="Arial" w:hAnsi="Arial" w:cs="Arial"/>
          <w:sz w:val="24"/>
          <w:szCs w:val="24"/>
          <w:lang w:val="en-US"/>
        </w:rPr>
        <w:t xml:space="preserve"> </w:t>
      </w:r>
      <w:hyperlink r:id="rId23" w:history="1">
        <w:r w:rsidR="00667AB7" w:rsidRPr="009A4C6E">
          <w:rPr>
            <w:rStyle w:val="Hyperlink"/>
            <w:rFonts w:ascii="Arial" w:hAnsi="Arial" w:cs="Arial"/>
            <w:sz w:val="24"/>
            <w:szCs w:val="24"/>
            <w:lang w:val="en-US"/>
          </w:rPr>
          <w:t>https://books.google.com/books?hl=en&amp;lr=&amp;id=QyCmEAAAQBAJ&amp;oi=fnd&amp;pg=PA1&amp;dq=Lapavitsas,+C.,+Meadway,+J.+and+Nicholls,+D.+(2023)+The+cost+of+living+crisis+(and+how+to+get+out+of+it).+Verso+Books.&amp;ots=vpOGzgfHzN&amp;sig=5PiND-AM0qG2WpZpPLZWUV-Cr9w</w:t>
        </w:r>
      </w:hyperlink>
      <w:r w:rsidR="00667AB7">
        <w:rPr>
          <w:rFonts w:ascii="Arial" w:hAnsi="Arial" w:cs="Arial"/>
          <w:sz w:val="24"/>
          <w:szCs w:val="24"/>
          <w:lang w:val="en-US"/>
        </w:rPr>
        <w:t xml:space="preserve"> </w:t>
      </w:r>
    </w:p>
    <w:p w14:paraId="2FD7CC36" w14:textId="52C193C7"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Lin, C.C. and Lin, Y.L. (2025) ‘The role of happiness in strengthening ESG-driven green HRM practices and organisational sustainability’, </w:t>
      </w:r>
      <w:r w:rsidRPr="006C6FBD">
        <w:rPr>
          <w:rFonts w:ascii="Arial" w:hAnsi="Arial" w:cs="Arial"/>
          <w:i/>
          <w:iCs/>
          <w:sz w:val="24"/>
          <w:szCs w:val="24"/>
          <w:lang w:val="en-US"/>
        </w:rPr>
        <w:t>Advances in Management and Applied Economics</w:t>
      </w:r>
      <w:r w:rsidRPr="006C6FBD">
        <w:rPr>
          <w:rFonts w:ascii="Arial" w:hAnsi="Arial" w:cs="Arial"/>
          <w:sz w:val="24"/>
          <w:szCs w:val="24"/>
          <w:lang w:val="en-US"/>
        </w:rPr>
        <w:t>, 15(3), pp. 1–7.</w:t>
      </w:r>
      <w:r w:rsidR="00667AB7">
        <w:rPr>
          <w:rFonts w:ascii="Arial" w:hAnsi="Arial" w:cs="Arial"/>
          <w:sz w:val="24"/>
          <w:szCs w:val="24"/>
          <w:lang w:val="en-US"/>
        </w:rPr>
        <w:t xml:space="preserve"> </w:t>
      </w:r>
      <w:hyperlink r:id="rId24" w:history="1">
        <w:r w:rsidR="00667AB7" w:rsidRPr="009A4C6E">
          <w:rPr>
            <w:rStyle w:val="Hyperlink"/>
            <w:rFonts w:ascii="Arial" w:hAnsi="Arial" w:cs="Arial"/>
            <w:sz w:val="24"/>
            <w:szCs w:val="24"/>
            <w:lang w:val="en-US"/>
          </w:rPr>
          <w:t>http://www.scienpress.com/Upload/AMAE/Vol%2015_3_7.pdf</w:t>
        </w:r>
      </w:hyperlink>
      <w:r w:rsidR="00667AB7">
        <w:rPr>
          <w:rFonts w:ascii="Arial" w:hAnsi="Arial" w:cs="Arial"/>
          <w:sz w:val="24"/>
          <w:szCs w:val="24"/>
          <w:lang w:val="en-US"/>
        </w:rPr>
        <w:t xml:space="preserve"> </w:t>
      </w:r>
    </w:p>
    <w:p w14:paraId="04C20B23" w14:textId="1C5DDBA1"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lastRenderedPageBreak/>
        <w:t xml:space="preserve">Mer, A. and Virdi, A.S. (2024) ‘Decoding the challenges and skill gaps in small- and medium-sized enterprises in emerging economies: a review and research agenda’, in </w:t>
      </w:r>
      <w:r w:rsidRPr="006C6FBD">
        <w:rPr>
          <w:rFonts w:ascii="Arial" w:hAnsi="Arial" w:cs="Arial"/>
          <w:i/>
          <w:iCs/>
          <w:sz w:val="24"/>
          <w:szCs w:val="24"/>
          <w:lang w:val="en-US"/>
        </w:rPr>
        <w:t>Contemporary Challenges in Social Science Management: Skills Gaps and Shortages in the Labour Market.</w:t>
      </w:r>
      <w:r w:rsidRPr="006C6FBD">
        <w:rPr>
          <w:rFonts w:ascii="Arial" w:hAnsi="Arial" w:cs="Arial"/>
          <w:sz w:val="24"/>
          <w:szCs w:val="24"/>
          <w:lang w:val="en-US"/>
        </w:rPr>
        <w:t xml:space="preserve"> pp. 115–134.</w:t>
      </w:r>
      <w:r w:rsidR="00667AB7">
        <w:rPr>
          <w:rFonts w:ascii="Arial" w:hAnsi="Arial" w:cs="Arial"/>
          <w:sz w:val="24"/>
          <w:szCs w:val="24"/>
          <w:lang w:val="en-US"/>
        </w:rPr>
        <w:t xml:space="preserve"> </w:t>
      </w:r>
      <w:hyperlink r:id="rId25" w:history="1">
        <w:r w:rsidR="00667AB7" w:rsidRPr="009A4C6E">
          <w:rPr>
            <w:rStyle w:val="Hyperlink"/>
            <w:rFonts w:ascii="Arial" w:hAnsi="Arial" w:cs="Arial"/>
            <w:sz w:val="24"/>
            <w:szCs w:val="24"/>
            <w:lang w:val="en-US"/>
          </w:rPr>
          <w:t>https://www.emerald.com/insight/content/doi/10.1108/s1569-37592024000112b007/full/html</w:t>
        </w:r>
      </w:hyperlink>
      <w:r w:rsidR="00667AB7">
        <w:rPr>
          <w:rFonts w:ascii="Arial" w:hAnsi="Arial" w:cs="Arial"/>
          <w:sz w:val="24"/>
          <w:szCs w:val="24"/>
          <w:lang w:val="en-US"/>
        </w:rPr>
        <w:t xml:space="preserve"> </w:t>
      </w:r>
    </w:p>
    <w:p w14:paraId="2331F730" w14:textId="00389293"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Mezzadra, S. and Neilson, B. (2021) ‘The geopolitics of labour’, in </w:t>
      </w:r>
      <w:r w:rsidRPr="006C6FBD">
        <w:rPr>
          <w:rFonts w:ascii="Arial" w:hAnsi="Arial" w:cs="Arial"/>
          <w:i/>
          <w:iCs/>
          <w:sz w:val="24"/>
          <w:szCs w:val="24"/>
          <w:lang w:val="en-US"/>
        </w:rPr>
        <w:t>Handbook of Migration and Global Justice.</w:t>
      </w:r>
      <w:r w:rsidRPr="006C6FBD">
        <w:rPr>
          <w:rFonts w:ascii="Arial" w:hAnsi="Arial" w:cs="Arial"/>
          <w:sz w:val="24"/>
          <w:szCs w:val="24"/>
          <w:lang w:val="en-US"/>
        </w:rPr>
        <w:t xml:space="preserve"> Edward Elgar Publishing, pp. 14–25.</w:t>
      </w:r>
      <w:r w:rsidR="00667AB7">
        <w:rPr>
          <w:rFonts w:ascii="Arial" w:hAnsi="Arial" w:cs="Arial"/>
          <w:sz w:val="24"/>
          <w:szCs w:val="24"/>
          <w:lang w:val="en-US"/>
        </w:rPr>
        <w:t xml:space="preserve"> </w:t>
      </w:r>
      <w:hyperlink r:id="rId26" w:history="1">
        <w:r w:rsidR="00667AB7" w:rsidRPr="009A4C6E">
          <w:rPr>
            <w:rStyle w:val="Hyperlink"/>
            <w:rFonts w:ascii="Arial" w:hAnsi="Arial" w:cs="Arial"/>
            <w:sz w:val="24"/>
            <w:szCs w:val="24"/>
            <w:lang w:val="en-US"/>
          </w:rPr>
          <w:t>https://www.elgaronline.com/edcollchap/edcoll/9781789905656/9781789905656.00009.xml</w:t>
        </w:r>
      </w:hyperlink>
      <w:r w:rsidR="00667AB7">
        <w:rPr>
          <w:rFonts w:ascii="Arial" w:hAnsi="Arial" w:cs="Arial"/>
          <w:sz w:val="24"/>
          <w:szCs w:val="24"/>
          <w:lang w:val="en-US"/>
        </w:rPr>
        <w:t xml:space="preserve"> </w:t>
      </w:r>
    </w:p>
    <w:p w14:paraId="4EE4AC20" w14:textId="0BBE75B1"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Onyekwelu, N.P., Ezeafulukwe, C., Owolabi, O.R., Asuzu, O.F., Bello, B.G. and Onyekwelu, S.C. (2024) ‘Ethics and corporate social responsibility in HR: a comprehensive review of policies and practices’, </w:t>
      </w:r>
      <w:r w:rsidRPr="006C6FBD">
        <w:rPr>
          <w:rFonts w:ascii="Arial" w:hAnsi="Arial" w:cs="Arial"/>
          <w:i/>
          <w:iCs/>
          <w:sz w:val="24"/>
          <w:szCs w:val="24"/>
          <w:lang w:val="en-US"/>
        </w:rPr>
        <w:t>International Journal of Science and Research Archive</w:t>
      </w:r>
      <w:r w:rsidRPr="006C6FBD">
        <w:rPr>
          <w:rFonts w:ascii="Arial" w:hAnsi="Arial" w:cs="Arial"/>
          <w:sz w:val="24"/>
          <w:szCs w:val="24"/>
          <w:lang w:val="en-US"/>
        </w:rPr>
        <w:t>, 11(1), pp. 1294–1303.</w:t>
      </w:r>
      <w:r w:rsidR="00667AB7">
        <w:rPr>
          <w:rFonts w:ascii="Arial" w:hAnsi="Arial" w:cs="Arial"/>
          <w:sz w:val="24"/>
          <w:szCs w:val="24"/>
          <w:lang w:val="en-US"/>
        </w:rPr>
        <w:t xml:space="preserve">  </w:t>
      </w:r>
      <w:hyperlink r:id="rId27" w:history="1">
        <w:r w:rsidR="00667AB7" w:rsidRPr="009A4C6E">
          <w:rPr>
            <w:rStyle w:val="Hyperlink"/>
            <w:rFonts w:ascii="Arial" w:hAnsi="Arial" w:cs="Arial"/>
            <w:sz w:val="24"/>
            <w:szCs w:val="24"/>
            <w:lang w:val="en-US"/>
          </w:rPr>
          <w:t>https://www.researchgate.net/profile/Njideka-Onyekwelu-2/publication/378125988_Ethics_and_corporate_social_responsibility_in_HR_A_comprehensive_review_of_policies_and_practices/links/65c7e6bf1e1ec12eff806bdd/Ethics-and-corporate-social-responsibility-in-HR-A-comprehensive-review-of-policies-and-practices.pdf</w:t>
        </w:r>
      </w:hyperlink>
      <w:r w:rsidR="00667AB7">
        <w:rPr>
          <w:rFonts w:ascii="Arial" w:hAnsi="Arial" w:cs="Arial"/>
          <w:sz w:val="24"/>
          <w:szCs w:val="24"/>
          <w:lang w:val="en-US"/>
        </w:rPr>
        <w:t xml:space="preserve"> </w:t>
      </w:r>
    </w:p>
    <w:p w14:paraId="35AC309A" w14:textId="4FD923BD"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Reiche, B.S., Harzing, A.W. and Tenzer, H. (2022) </w:t>
      </w:r>
      <w:r w:rsidRPr="006C6FBD">
        <w:rPr>
          <w:rFonts w:ascii="Arial" w:hAnsi="Arial" w:cs="Arial"/>
          <w:i/>
          <w:iCs/>
          <w:sz w:val="24"/>
          <w:szCs w:val="24"/>
          <w:lang w:val="en-US"/>
        </w:rPr>
        <w:t>International human resource management.</w:t>
      </w:r>
      <w:r w:rsidR="00667AB7">
        <w:rPr>
          <w:rFonts w:ascii="Arial" w:hAnsi="Arial" w:cs="Arial"/>
          <w:i/>
          <w:iCs/>
          <w:sz w:val="24"/>
          <w:szCs w:val="24"/>
          <w:lang w:val="en-US"/>
        </w:rPr>
        <w:t xml:space="preserve"> </w:t>
      </w:r>
      <w:hyperlink r:id="rId28" w:history="1">
        <w:r w:rsidR="00667AB7" w:rsidRPr="009A4C6E">
          <w:rPr>
            <w:rStyle w:val="Hyperlink"/>
            <w:rFonts w:ascii="Arial" w:hAnsi="Arial" w:cs="Arial"/>
            <w:i/>
            <w:iCs/>
            <w:sz w:val="24"/>
            <w:szCs w:val="24"/>
            <w:lang w:val="en-US"/>
          </w:rPr>
          <w:t>https://www.torrossa.com/gs/resourceProxy?an=5409518&amp;publisher=FZ7200</w:t>
        </w:r>
      </w:hyperlink>
      <w:r w:rsidR="00667AB7">
        <w:rPr>
          <w:rFonts w:ascii="Arial" w:hAnsi="Arial" w:cs="Arial"/>
          <w:i/>
          <w:iCs/>
          <w:sz w:val="24"/>
          <w:szCs w:val="24"/>
          <w:lang w:val="en-US"/>
        </w:rPr>
        <w:t xml:space="preserve"> </w:t>
      </w:r>
    </w:p>
    <w:p w14:paraId="29D149C8" w14:textId="0BD18093"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Safa, A.I. (2023) </w:t>
      </w:r>
      <w:r w:rsidRPr="006C6FBD">
        <w:rPr>
          <w:rFonts w:ascii="Arial" w:hAnsi="Arial" w:cs="Arial"/>
          <w:i/>
          <w:iCs/>
          <w:sz w:val="24"/>
          <w:szCs w:val="24"/>
          <w:lang w:val="en-US"/>
        </w:rPr>
        <w:t>Building an inclusive workplace: how employee branding activities enhance diverse talent acquisition at Unilever Bangladesh Limited.</w:t>
      </w:r>
      <w:r w:rsidR="00667AB7">
        <w:rPr>
          <w:rFonts w:ascii="Arial" w:hAnsi="Arial" w:cs="Arial"/>
          <w:i/>
          <w:iCs/>
          <w:sz w:val="24"/>
          <w:szCs w:val="24"/>
          <w:lang w:val="en-US"/>
        </w:rPr>
        <w:t xml:space="preserve"> </w:t>
      </w:r>
      <w:hyperlink r:id="rId29" w:history="1">
        <w:r w:rsidR="00667AB7" w:rsidRPr="009A4C6E">
          <w:rPr>
            <w:rStyle w:val="Hyperlink"/>
            <w:rFonts w:ascii="Arial" w:hAnsi="Arial" w:cs="Arial"/>
            <w:i/>
            <w:iCs/>
            <w:sz w:val="24"/>
            <w:szCs w:val="24"/>
            <w:lang w:val="en-US"/>
          </w:rPr>
          <w:t>https://dspace.bracu.ac.bd/xmlui/handle/10361/25178</w:t>
        </w:r>
      </w:hyperlink>
      <w:r w:rsidR="00667AB7">
        <w:rPr>
          <w:rFonts w:ascii="Arial" w:hAnsi="Arial" w:cs="Arial"/>
          <w:i/>
          <w:iCs/>
          <w:sz w:val="24"/>
          <w:szCs w:val="24"/>
          <w:lang w:val="en-US"/>
        </w:rPr>
        <w:t xml:space="preserve"> </w:t>
      </w:r>
    </w:p>
    <w:p w14:paraId="5D083C38" w14:textId="11E3E268"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Samuel, S., Meilani, Y.F.C.P., Wanasida, A.S. and Napitupulu, P.E. (2025) </w:t>
      </w:r>
      <w:r w:rsidRPr="006C6FBD">
        <w:rPr>
          <w:rFonts w:ascii="Arial" w:hAnsi="Arial" w:cs="Arial"/>
          <w:i/>
          <w:iCs/>
          <w:sz w:val="24"/>
          <w:szCs w:val="24"/>
          <w:lang w:val="en-US"/>
        </w:rPr>
        <w:t>Human capital in the AI era.</w:t>
      </w:r>
      <w:r w:rsidRPr="006C6FBD">
        <w:rPr>
          <w:rFonts w:ascii="Arial" w:hAnsi="Arial" w:cs="Arial"/>
          <w:sz w:val="24"/>
          <w:szCs w:val="24"/>
          <w:lang w:val="en-US"/>
        </w:rPr>
        <w:t xml:space="preserve"> Penerbit NEM.</w:t>
      </w:r>
      <w:r w:rsidR="00667AB7">
        <w:rPr>
          <w:rFonts w:ascii="Arial" w:hAnsi="Arial" w:cs="Arial"/>
          <w:sz w:val="24"/>
          <w:szCs w:val="24"/>
          <w:lang w:val="en-US"/>
        </w:rPr>
        <w:t xml:space="preserve"> </w:t>
      </w:r>
      <w:hyperlink r:id="rId30" w:history="1">
        <w:r w:rsidR="00667AB7" w:rsidRPr="009A4C6E">
          <w:rPr>
            <w:rStyle w:val="Hyperlink"/>
            <w:rFonts w:ascii="Arial" w:hAnsi="Arial" w:cs="Arial"/>
            <w:sz w:val="24"/>
            <w:szCs w:val="24"/>
            <w:lang w:val="en-US"/>
          </w:rPr>
          <w:t>https://books.google.com/books?hl=en&amp;lr=&amp;id=ypBQEQAAQBAJ&amp;oi=fnd&amp;pg=PR1&amp;dq=Samuel,+S.,+Meilani,+Y.F.C.P.,+Wanasida,+A.S.+and+Napitupulu,+P.E.+(2025)+Human+capital+in+the+AI+era.+Penerbit+NEM.&amp;ots=o7m5LrvF5Q&amp;sig=ALtShDGmb98r5qtx3mOaUfdPvvM</w:t>
        </w:r>
      </w:hyperlink>
      <w:r w:rsidR="00667AB7">
        <w:rPr>
          <w:rFonts w:ascii="Arial" w:hAnsi="Arial" w:cs="Arial"/>
          <w:sz w:val="24"/>
          <w:szCs w:val="24"/>
          <w:lang w:val="en-US"/>
        </w:rPr>
        <w:t xml:space="preserve"> </w:t>
      </w:r>
    </w:p>
    <w:p w14:paraId="1FFB23E3" w14:textId="79A9BA7A"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Sanjay, K. and Khalsa, S.K. (2025) ‘Talent analytics for workforce forecasting, fostering employee engagement, and turnover prediction’, in </w:t>
      </w:r>
      <w:r w:rsidRPr="006C6FBD">
        <w:rPr>
          <w:rFonts w:ascii="Arial" w:hAnsi="Arial" w:cs="Arial"/>
          <w:i/>
          <w:iCs/>
          <w:sz w:val="24"/>
          <w:szCs w:val="24"/>
          <w:lang w:val="en-US"/>
        </w:rPr>
        <w:t>Harnessing Business Intelligence for Modern Talent Management.</w:t>
      </w:r>
      <w:r w:rsidRPr="006C6FBD">
        <w:rPr>
          <w:rFonts w:ascii="Arial" w:hAnsi="Arial" w:cs="Arial"/>
          <w:sz w:val="24"/>
          <w:szCs w:val="24"/>
          <w:lang w:val="en-US"/>
        </w:rPr>
        <w:t xml:space="preserve"> pp. 403–436.</w:t>
      </w:r>
      <w:r w:rsidR="00667AB7">
        <w:rPr>
          <w:rFonts w:ascii="Arial" w:hAnsi="Arial" w:cs="Arial"/>
          <w:sz w:val="24"/>
          <w:szCs w:val="24"/>
          <w:lang w:val="en-US"/>
        </w:rPr>
        <w:t xml:space="preserve"> </w:t>
      </w:r>
      <w:hyperlink r:id="rId31" w:history="1">
        <w:r w:rsidR="00667AB7" w:rsidRPr="009A4C6E">
          <w:rPr>
            <w:rStyle w:val="Hyperlink"/>
            <w:rFonts w:ascii="Arial" w:hAnsi="Arial" w:cs="Arial"/>
            <w:sz w:val="24"/>
            <w:szCs w:val="24"/>
            <w:lang w:val="en-US"/>
          </w:rPr>
          <w:t>https://www.igi-global.com/chapter/talent-analytics-for-workforce-forecasting-fostering-employee-engagement-and-turnover-prediction/383206</w:t>
        </w:r>
      </w:hyperlink>
      <w:r w:rsidR="00667AB7">
        <w:rPr>
          <w:rFonts w:ascii="Arial" w:hAnsi="Arial" w:cs="Arial"/>
          <w:sz w:val="24"/>
          <w:szCs w:val="24"/>
          <w:lang w:val="en-US"/>
        </w:rPr>
        <w:t xml:space="preserve"> </w:t>
      </w:r>
    </w:p>
    <w:p w14:paraId="009C7264" w14:textId="49E4B0C6"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lastRenderedPageBreak/>
        <w:t xml:space="preserve">Saxena, M.P. and Sirohi, N. (2025) ‘Talent acquisition in the gig era: strategies for attracting freelancers’, in </w:t>
      </w:r>
      <w:r w:rsidRPr="006C6FBD">
        <w:rPr>
          <w:rFonts w:ascii="Arial" w:hAnsi="Arial" w:cs="Arial"/>
          <w:i/>
          <w:iCs/>
          <w:sz w:val="24"/>
          <w:szCs w:val="24"/>
          <w:lang w:val="en-US"/>
        </w:rPr>
        <w:t>The Gig Economy Revolution: Rethinking Talent Management.</w:t>
      </w:r>
      <w:r w:rsidRPr="006C6FBD">
        <w:rPr>
          <w:rFonts w:ascii="Arial" w:hAnsi="Arial" w:cs="Arial"/>
          <w:sz w:val="24"/>
          <w:szCs w:val="24"/>
          <w:lang w:val="en-US"/>
        </w:rPr>
        <w:t xml:space="preserve"> p. 86.</w:t>
      </w:r>
      <w:r w:rsidR="00667AB7">
        <w:rPr>
          <w:rFonts w:ascii="Arial" w:hAnsi="Arial" w:cs="Arial"/>
          <w:sz w:val="24"/>
          <w:szCs w:val="24"/>
          <w:lang w:val="en-US"/>
        </w:rPr>
        <w:t xml:space="preserve"> </w:t>
      </w:r>
      <w:hyperlink r:id="rId32" w:history="1">
        <w:r w:rsidR="00667AB7" w:rsidRPr="009A4C6E">
          <w:rPr>
            <w:rStyle w:val="Hyperlink"/>
            <w:rFonts w:ascii="Arial" w:hAnsi="Arial" w:cs="Arial"/>
            <w:sz w:val="24"/>
            <w:szCs w:val="24"/>
            <w:lang w:val="en-US"/>
          </w:rPr>
          <w:t>https://books.google.com/books?hl=en&amp;lr=&amp;id=Gq9bEQAAQBAJ&amp;oi=fnd&amp;pg=PA86&amp;dq=Saxena,+M.P.+and+Sirohi,+N.+(2025)+%E2%80%98Talent+acquisition+in+the+gig+era:+strategies+for+attracting+freelancers%E2%80%99,+in+The+Gig+Economy+Revolution:+Rethinking+Talent+Management.+p.+86.&amp;ots=bok2iz3twL&amp;sig=rvEhBfrCZCxDVM5rgmJreI9TXAg</w:t>
        </w:r>
      </w:hyperlink>
      <w:r w:rsidR="00667AB7">
        <w:rPr>
          <w:rFonts w:ascii="Arial" w:hAnsi="Arial" w:cs="Arial"/>
          <w:sz w:val="24"/>
          <w:szCs w:val="24"/>
          <w:lang w:val="en-US"/>
        </w:rPr>
        <w:t xml:space="preserve"> </w:t>
      </w:r>
    </w:p>
    <w:p w14:paraId="0CDD1F47" w14:textId="18E572A1"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Scalera, V.G. and Perri, A. (2024) ‘High-skilled migrants and cross-border innovation: a multi-level approach to international business policymaking’, in </w:t>
      </w:r>
      <w:r w:rsidRPr="006C6FBD">
        <w:rPr>
          <w:rFonts w:ascii="Arial" w:hAnsi="Arial" w:cs="Arial"/>
          <w:i/>
          <w:iCs/>
          <w:sz w:val="24"/>
          <w:szCs w:val="24"/>
          <w:lang w:val="en-US"/>
        </w:rPr>
        <w:t>Handbook of International Business Policy.</w:t>
      </w:r>
      <w:r w:rsidRPr="006C6FBD">
        <w:rPr>
          <w:rFonts w:ascii="Arial" w:hAnsi="Arial" w:cs="Arial"/>
          <w:sz w:val="24"/>
          <w:szCs w:val="24"/>
          <w:lang w:val="en-US"/>
        </w:rPr>
        <w:t xml:space="preserve"> Edward Elgar Publishing, pp. 442–462.</w:t>
      </w:r>
      <w:r w:rsidR="00667AB7">
        <w:rPr>
          <w:rFonts w:ascii="Arial" w:hAnsi="Arial" w:cs="Arial"/>
          <w:sz w:val="24"/>
          <w:szCs w:val="24"/>
          <w:lang w:val="en-US"/>
        </w:rPr>
        <w:t xml:space="preserve"> </w:t>
      </w:r>
      <w:hyperlink r:id="rId33" w:history="1">
        <w:r w:rsidR="00667AB7" w:rsidRPr="009A4C6E">
          <w:rPr>
            <w:rStyle w:val="Hyperlink"/>
            <w:rFonts w:ascii="Arial" w:hAnsi="Arial" w:cs="Arial"/>
            <w:sz w:val="24"/>
            <w:szCs w:val="24"/>
            <w:lang w:val="en-US"/>
          </w:rPr>
          <w:t>https://www.elgaronline.com/edcollchap/book/9781035308682/book-part-9781035308682-33.xml</w:t>
        </w:r>
      </w:hyperlink>
      <w:r w:rsidR="00667AB7">
        <w:rPr>
          <w:rFonts w:ascii="Arial" w:hAnsi="Arial" w:cs="Arial"/>
          <w:sz w:val="24"/>
          <w:szCs w:val="24"/>
          <w:lang w:val="en-US"/>
        </w:rPr>
        <w:t xml:space="preserve"> </w:t>
      </w:r>
    </w:p>
    <w:p w14:paraId="1A059C12" w14:textId="42CDEDE7"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Shadiev, R., Wang, X. and Huang, Y.M. (2021) ‘Cross-cultural learning in virtual reality environment: facilitating cross-cultural understanding, trait emotional intelligence, and sense of presence’, </w:t>
      </w:r>
      <w:r w:rsidRPr="006C6FBD">
        <w:rPr>
          <w:rFonts w:ascii="Arial" w:hAnsi="Arial" w:cs="Arial"/>
          <w:i/>
          <w:iCs/>
          <w:sz w:val="24"/>
          <w:szCs w:val="24"/>
          <w:lang w:val="en-US"/>
        </w:rPr>
        <w:t>Educational Technology Research and Development</w:t>
      </w:r>
      <w:r w:rsidRPr="006C6FBD">
        <w:rPr>
          <w:rFonts w:ascii="Arial" w:hAnsi="Arial" w:cs="Arial"/>
          <w:sz w:val="24"/>
          <w:szCs w:val="24"/>
          <w:lang w:val="en-US"/>
        </w:rPr>
        <w:t>, 69(5), pp. 2917–2936.</w:t>
      </w:r>
      <w:r w:rsidR="00667AB7">
        <w:rPr>
          <w:rFonts w:ascii="Arial" w:hAnsi="Arial" w:cs="Arial"/>
          <w:sz w:val="24"/>
          <w:szCs w:val="24"/>
          <w:lang w:val="en-US"/>
        </w:rPr>
        <w:t xml:space="preserve"> </w:t>
      </w:r>
      <w:hyperlink r:id="rId34" w:history="1">
        <w:r w:rsidR="00667AB7" w:rsidRPr="009A4C6E">
          <w:rPr>
            <w:rStyle w:val="Hyperlink"/>
            <w:rFonts w:ascii="Arial" w:hAnsi="Arial" w:cs="Arial"/>
            <w:sz w:val="24"/>
            <w:szCs w:val="24"/>
            <w:lang w:val="en-US"/>
          </w:rPr>
          <w:t>https://link.springer.com/article/10.1007/s11423-021-10044-1</w:t>
        </w:r>
      </w:hyperlink>
      <w:r w:rsidR="00667AB7">
        <w:rPr>
          <w:rFonts w:ascii="Arial" w:hAnsi="Arial" w:cs="Arial"/>
          <w:sz w:val="24"/>
          <w:szCs w:val="24"/>
          <w:lang w:val="en-US"/>
        </w:rPr>
        <w:t xml:space="preserve"> </w:t>
      </w:r>
    </w:p>
    <w:p w14:paraId="64412322" w14:textId="20D5124C"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Sousa, B., Ferreira, J.J., Jayantilal, S. and Dabic, M. (2024) ‘Global talent management–talents, mobility and global experiences–a systematic literature review’, </w:t>
      </w:r>
      <w:r w:rsidRPr="006C6FBD">
        <w:rPr>
          <w:rFonts w:ascii="Arial" w:hAnsi="Arial" w:cs="Arial"/>
          <w:i/>
          <w:iCs/>
          <w:sz w:val="24"/>
          <w:szCs w:val="24"/>
          <w:lang w:val="en-US"/>
        </w:rPr>
        <w:t>Journal of Global Mobility: The Home of Expatriate Management Research</w:t>
      </w:r>
      <w:r w:rsidRPr="006C6FBD">
        <w:rPr>
          <w:rFonts w:ascii="Arial" w:hAnsi="Arial" w:cs="Arial"/>
          <w:sz w:val="24"/>
          <w:szCs w:val="24"/>
          <w:lang w:val="en-US"/>
        </w:rPr>
        <w:t>, 12(3), pp. 444–501.</w:t>
      </w:r>
      <w:r w:rsidR="00667AB7">
        <w:rPr>
          <w:rFonts w:ascii="Arial" w:hAnsi="Arial" w:cs="Arial"/>
          <w:sz w:val="24"/>
          <w:szCs w:val="24"/>
          <w:lang w:val="en-US"/>
        </w:rPr>
        <w:t xml:space="preserve">  </w:t>
      </w:r>
      <w:hyperlink r:id="rId35" w:history="1">
        <w:r w:rsidR="00667AB7" w:rsidRPr="009A4C6E">
          <w:rPr>
            <w:rStyle w:val="Hyperlink"/>
            <w:rFonts w:ascii="Arial" w:hAnsi="Arial" w:cs="Arial"/>
            <w:sz w:val="24"/>
            <w:szCs w:val="24"/>
            <w:lang w:val="en-US"/>
          </w:rPr>
          <w:t>https://www.emerald.com/insight/content/doi/10.1108/JGM-03-2023-0018/full/html</w:t>
        </w:r>
      </w:hyperlink>
      <w:r w:rsidR="00667AB7">
        <w:rPr>
          <w:rFonts w:ascii="Arial" w:hAnsi="Arial" w:cs="Arial"/>
          <w:sz w:val="24"/>
          <w:szCs w:val="24"/>
          <w:lang w:val="en-US"/>
        </w:rPr>
        <w:t xml:space="preserve"> </w:t>
      </w:r>
    </w:p>
    <w:p w14:paraId="31EDC793" w14:textId="023B9A42" w:rsidR="005718F9" w:rsidRPr="00667AB7" w:rsidRDefault="005718F9" w:rsidP="005718F9">
      <w:pPr>
        <w:ind w:left="720" w:hanging="720"/>
        <w:jc w:val="both"/>
        <w:rPr>
          <w:rFonts w:ascii="Arial" w:hAnsi="Arial" w:cs="Arial"/>
          <w:sz w:val="24"/>
          <w:szCs w:val="24"/>
          <w:lang w:val="it-IT"/>
        </w:rPr>
      </w:pPr>
      <w:r w:rsidRPr="006C6FBD">
        <w:rPr>
          <w:rFonts w:ascii="Arial" w:hAnsi="Arial" w:cs="Arial"/>
          <w:sz w:val="24"/>
          <w:szCs w:val="24"/>
          <w:lang w:val="en-US"/>
        </w:rPr>
        <w:t xml:space="preserve">Strietska-Ilina, O. and Chun, H.K. (2021) </w:t>
      </w:r>
      <w:r w:rsidRPr="006C6FBD">
        <w:rPr>
          <w:rFonts w:ascii="Arial" w:hAnsi="Arial" w:cs="Arial"/>
          <w:i/>
          <w:iCs/>
          <w:sz w:val="24"/>
          <w:szCs w:val="24"/>
          <w:lang w:val="en-US"/>
        </w:rPr>
        <w:t>Changing demand for skills in digital economies and societies: literature review and case studies from low- and middle-income countries.</w:t>
      </w:r>
      <w:r w:rsidRPr="006C6FBD">
        <w:rPr>
          <w:rFonts w:ascii="Arial" w:hAnsi="Arial" w:cs="Arial"/>
          <w:sz w:val="24"/>
          <w:szCs w:val="24"/>
          <w:lang w:val="en-US"/>
        </w:rPr>
        <w:t xml:space="preserve"> </w:t>
      </w:r>
      <w:r w:rsidRPr="00667AB7">
        <w:rPr>
          <w:rFonts w:ascii="Arial" w:hAnsi="Arial" w:cs="Arial"/>
          <w:sz w:val="24"/>
          <w:szCs w:val="24"/>
          <w:lang w:val="it-IT"/>
        </w:rPr>
        <w:t>ILO.</w:t>
      </w:r>
      <w:r w:rsidR="00667AB7" w:rsidRPr="00667AB7">
        <w:rPr>
          <w:rFonts w:ascii="Arial" w:hAnsi="Arial" w:cs="Arial"/>
          <w:sz w:val="24"/>
          <w:szCs w:val="24"/>
          <w:lang w:val="it-IT"/>
        </w:rPr>
        <w:t xml:space="preserve"> </w:t>
      </w:r>
      <w:hyperlink r:id="rId36" w:history="1">
        <w:r w:rsidR="00667AB7" w:rsidRPr="00667AB7">
          <w:rPr>
            <w:rStyle w:val="Hyperlink"/>
            <w:rFonts w:ascii="Arial" w:hAnsi="Arial" w:cs="Arial"/>
            <w:sz w:val="24"/>
            <w:szCs w:val="24"/>
            <w:lang w:val="it-IT"/>
          </w:rPr>
          <w:t>https://researchrepository.ilo.org/esploro/outputs/book/Changing-demand-for-skills-in-digital/995219272702676</w:t>
        </w:r>
      </w:hyperlink>
      <w:r w:rsidR="00667AB7" w:rsidRPr="00667AB7">
        <w:rPr>
          <w:rFonts w:ascii="Arial" w:hAnsi="Arial" w:cs="Arial"/>
          <w:sz w:val="24"/>
          <w:szCs w:val="24"/>
          <w:lang w:val="it-IT"/>
        </w:rPr>
        <w:t xml:space="preserve"> </w:t>
      </w:r>
    </w:p>
    <w:p w14:paraId="0A0E2A12" w14:textId="7B43C95C"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Subrahmanyam, S. (2025) ‘Employee skillsets in the digital age’, in </w:t>
      </w:r>
      <w:r w:rsidRPr="006C6FBD">
        <w:rPr>
          <w:rFonts w:ascii="Arial" w:hAnsi="Arial" w:cs="Arial"/>
          <w:i/>
          <w:iCs/>
          <w:sz w:val="24"/>
          <w:szCs w:val="24"/>
          <w:lang w:val="en-US"/>
        </w:rPr>
        <w:t>Organizational Sociology in the Digital Age.</w:t>
      </w:r>
      <w:r w:rsidRPr="006C6FBD">
        <w:rPr>
          <w:rFonts w:ascii="Arial" w:hAnsi="Arial" w:cs="Arial"/>
          <w:sz w:val="24"/>
          <w:szCs w:val="24"/>
          <w:lang w:val="en-US"/>
        </w:rPr>
        <w:t xml:space="preserve"> IGI Global Scientific Publishing, pp. 369–388.</w:t>
      </w:r>
      <w:r w:rsidR="00667AB7">
        <w:rPr>
          <w:rFonts w:ascii="Arial" w:hAnsi="Arial" w:cs="Arial"/>
          <w:sz w:val="24"/>
          <w:szCs w:val="24"/>
          <w:lang w:val="en-US"/>
        </w:rPr>
        <w:t xml:space="preserve"> </w:t>
      </w:r>
      <w:hyperlink r:id="rId37" w:history="1">
        <w:r w:rsidR="00667AB7" w:rsidRPr="009A4C6E">
          <w:rPr>
            <w:rStyle w:val="Hyperlink"/>
            <w:rFonts w:ascii="Arial" w:hAnsi="Arial" w:cs="Arial"/>
            <w:sz w:val="24"/>
            <w:szCs w:val="24"/>
            <w:lang w:val="en-US"/>
          </w:rPr>
          <w:t>https://www.igi-global.com/chapter/employee-skillsets-in-the-digital-age/374954</w:t>
        </w:r>
      </w:hyperlink>
      <w:r w:rsidR="00667AB7">
        <w:rPr>
          <w:rFonts w:ascii="Arial" w:hAnsi="Arial" w:cs="Arial"/>
          <w:sz w:val="24"/>
          <w:szCs w:val="24"/>
          <w:lang w:val="en-US"/>
        </w:rPr>
        <w:t xml:space="preserve"> </w:t>
      </w:r>
    </w:p>
    <w:p w14:paraId="5C70BBF2" w14:textId="2972C5BA"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Tasleem, N. (2025) ‘HR technology transformation and the impact of people analytics on workforce management’, </w:t>
      </w:r>
      <w:r w:rsidRPr="006C6FBD">
        <w:rPr>
          <w:rFonts w:ascii="Arial" w:hAnsi="Arial" w:cs="Arial"/>
          <w:i/>
          <w:iCs/>
          <w:sz w:val="24"/>
          <w:szCs w:val="24"/>
          <w:lang w:val="en-US"/>
        </w:rPr>
        <w:t>IRE Journal</w:t>
      </w:r>
      <w:r w:rsidRPr="006C6FBD">
        <w:rPr>
          <w:rFonts w:ascii="Arial" w:hAnsi="Arial" w:cs="Arial"/>
          <w:sz w:val="24"/>
          <w:szCs w:val="24"/>
          <w:lang w:val="en-US"/>
        </w:rPr>
        <w:t>, 8(9), pp. 702–716.</w:t>
      </w:r>
      <w:r w:rsidR="00667AB7">
        <w:rPr>
          <w:rFonts w:ascii="Arial" w:hAnsi="Arial" w:cs="Arial"/>
          <w:sz w:val="24"/>
          <w:szCs w:val="24"/>
          <w:lang w:val="en-US"/>
        </w:rPr>
        <w:t xml:space="preserve"> </w:t>
      </w:r>
      <w:hyperlink r:id="rId38" w:history="1">
        <w:r w:rsidR="00667AB7" w:rsidRPr="009A4C6E">
          <w:rPr>
            <w:rStyle w:val="Hyperlink"/>
            <w:rFonts w:ascii="Arial" w:hAnsi="Arial" w:cs="Arial"/>
            <w:sz w:val="24"/>
            <w:szCs w:val="24"/>
            <w:lang w:val="en-US"/>
          </w:rPr>
          <w:t>https://www.researchgate.net/profile/Nazia-Tasleem/publication/390587245_HR_Technology_Transformation_and_The_Impact_of_People_Analytics_on_Workforce_Management/links/67f570d2e8041142a</w:t>
        </w:r>
        <w:r w:rsidR="00667AB7" w:rsidRPr="009A4C6E">
          <w:rPr>
            <w:rStyle w:val="Hyperlink"/>
            <w:rFonts w:ascii="Arial" w:hAnsi="Arial" w:cs="Arial"/>
            <w:sz w:val="24"/>
            <w:szCs w:val="24"/>
            <w:lang w:val="en-US"/>
          </w:rPr>
          <w:lastRenderedPageBreak/>
          <w:t>16f936a/HR-Technology-Transformation-and-The-Impact-of-People-Analytics-on-Workforce-Management.pdf</w:t>
        </w:r>
      </w:hyperlink>
      <w:r w:rsidR="00667AB7">
        <w:rPr>
          <w:rFonts w:ascii="Arial" w:hAnsi="Arial" w:cs="Arial"/>
          <w:sz w:val="24"/>
          <w:szCs w:val="24"/>
          <w:lang w:val="en-US"/>
        </w:rPr>
        <w:t xml:space="preserve"> </w:t>
      </w:r>
    </w:p>
    <w:p w14:paraId="6BE710B9" w14:textId="67C6E1A0"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Tuitert, I., Marinus, J.D., Dalenberg, J.R. and van’t Veer, J.T. (2024) ‘Digital health technology use across socioeconomic groups prior to and during the COVID-19 pandemic: panel study’, </w:t>
      </w:r>
      <w:r w:rsidRPr="006C6FBD">
        <w:rPr>
          <w:rFonts w:ascii="Arial" w:hAnsi="Arial" w:cs="Arial"/>
          <w:i/>
          <w:iCs/>
          <w:sz w:val="24"/>
          <w:szCs w:val="24"/>
          <w:lang w:val="en-US"/>
        </w:rPr>
        <w:t>JMIR Public Health and Surveillance</w:t>
      </w:r>
      <w:r w:rsidRPr="006C6FBD">
        <w:rPr>
          <w:rFonts w:ascii="Arial" w:hAnsi="Arial" w:cs="Arial"/>
          <w:sz w:val="24"/>
          <w:szCs w:val="24"/>
          <w:lang w:val="en-US"/>
        </w:rPr>
        <w:t>, 10(1), p. e55384.</w:t>
      </w:r>
      <w:r w:rsidR="00667AB7">
        <w:rPr>
          <w:rFonts w:ascii="Arial" w:hAnsi="Arial" w:cs="Arial"/>
          <w:sz w:val="24"/>
          <w:szCs w:val="24"/>
          <w:lang w:val="en-US"/>
        </w:rPr>
        <w:t xml:space="preserve"> </w:t>
      </w:r>
      <w:hyperlink r:id="rId39" w:history="1">
        <w:r w:rsidR="00667AB7" w:rsidRPr="009A4C6E">
          <w:rPr>
            <w:rStyle w:val="Hyperlink"/>
            <w:rFonts w:ascii="Arial" w:hAnsi="Arial" w:cs="Arial"/>
            <w:sz w:val="24"/>
            <w:szCs w:val="24"/>
            <w:lang w:val="en-US"/>
          </w:rPr>
          <w:t>https://publichealth.jmir.org/2024/1/e55384/</w:t>
        </w:r>
      </w:hyperlink>
      <w:r w:rsidR="00667AB7">
        <w:rPr>
          <w:rFonts w:ascii="Arial" w:hAnsi="Arial" w:cs="Arial"/>
          <w:sz w:val="24"/>
          <w:szCs w:val="24"/>
          <w:lang w:val="en-US"/>
        </w:rPr>
        <w:t xml:space="preserve"> </w:t>
      </w:r>
    </w:p>
    <w:p w14:paraId="1A7972EF" w14:textId="6ED2E9C5"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Vidhya, K. (2025) ‘Harnessing AI and digital transformation for strategic HRM enhancing international competitiveness’, in </w:t>
      </w:r>
      <w:r w:rsidRPr="006C6FBD">
        <w:rPr>
          <w:rFonts w:ascii="Arial" w:hAnsi="Arial" w:cs="Arial"/>
          <w:i/>
          <w:iCs/>
          <w:sz w:val="24"/>
          <w:szCs w:val="24"/>
          <w:lang w:val="en-US"/>
        </w:rPr>
        <w:t>Innovative Approaches for International Competitiveness Through Human Resource Management.</w:t>
      </w:r>
      <w:r w:rsidRPr="006C6FBD">
        <w:rPr>
          <w:rFonts w:ascii="Arial" w:hAnsi="Arial" w:cs="Arial"/>
          <w:sz w:val="24"/>
          <w:szCs w:val="24"/>
          <w:lang w:val="en-US"/>
        </w:rPr>
        <w:t xml:space="preserve"> IGI Global Scientific Publishing, pp. 35–70.</w:t>
      </w:r>
      <w:r w:rsidR="00667AB7">
        <w:rPr>
          <w:rFonts w:ascii="Arial" w:hAnsi="Arial" w:cs="Arial"/>
          <w:sz w:val="24"/>
          <w:szCs w:val="24"/>
          <w:lang w:val="en-US"/>
        </w:rPr>
        <w:t xml:space="preserve"> </w:t>
      </w:r>
      <w:hyperlink r:id="rId40" w:history="1">
        <w:r w:rsidR="00667AB7" w:rsidRPr="009A4C6E">
          <w:rPr>
            <w:rStyle w:val="Hyperlink"/>
            <w:rFonts w:ascii="Arial" w:hAnsi="Arial" w:cs="Arial"/>
            <w:sz w:val="24"/>
            <w:szCs w:val="24"/>
            <w:lang w:val="en-US"/>
          </w:rPr>
          <w:t>https://www.igi-global.com/chapter/harnessing-ai-and-digital-transformation-for-strategic-hrm-enhancing-international-competitiveness/379576</w:t>
        </w:r>
      </w:hyperlink>
      <w:r w:rsidR="00667AB7">
        <w:rPr>
          <w:rFonts w:ascii="Arial" w:hAnsi="Arial" w:cs="Arial"/>
          <w:sz w:val="24"/>
          <w:szCs w:val="24"/>
          <w:lang w:val="en-US"/>
        </w:rPr>
        <w:t xml:space="preserve"> </w:t>
      </w:r>
    </w:p>
    <w:p w14:paraId="403AF9B0" w14:textId="33E80378"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Vivek, R. (2022) ‘A systematic review of the consequences of COVID-19 pandemic and expansion of PESTLE framework: time to perceive health environment as a separate dimension’, </w:t>
      </w:r>
      <w:r w:rsidRPr="006C6FBD">
        <w:rPr>
          <w:rFonts w:ascii="Arial" w:hAnsi="Arial" w:cs="Arial"/>
          <w:i/>
          <w:iCs/>
          <w:sz w:val="24"/>
          <w:szCs w:val="24"/>
          <w:lang w:val="en-US"/>
        </w:rPr>
        <w:t>International Economic Policy</w:t>
      </w:r>
      <w:r w:rsidRPr="006C6FBD">
        <w:rPr>
          <w:rFonts w:ascii="Arial" w:hAnsi="Arial" w:cs="Arial"/>
          <w:sz w:val="24"/>
          <w:szCs w:val="24"/>
          <w:lang w:val="en-US"/>
        </w:rPr>
        <w:t>, (37), pp. 55–76.</w:t>
      </w:r>
      <w:r w:rsidR="00667AB7">
        <w:rPr>
          <w:rFonts w:ascii="Arial" w:hAnsi="Arial" w:cs="Arial"/>
          <w:sz w:val="24"/>
          <w:szCs w:val="24"/>
          <w:lang w:val="en-US"/>
        </w:rPr>
        <w:t xml:space="preserve"> </w:t>
      </w:r>
      <w:hyperlink r:id="rId41" w:history="1">
        <w:r w:rsidR="00667AB7" w:rsidRPr="009A4C6E">
          <w:rPr>
            <w:rStyle w:val="Hyperlink"/>
            <w:rFonts w:ascii="Arial" w:hAnsi="Arial" w:cs="Arial"/>
            <w:sz w:val="24"/>
            <w:szCs w:val="24"/>
            <w:lang w:val="en-US"/>
          </w:rPr>
          <w:t>https://ir.kneu.edu.ua/bitstreams/b263b89c-0e2a-4f41-81e6-9c57bb049447/download</w:t>
        </w:r>
      </w:hyperlink>
      <w:r w:rsidR="00667AB7">
        <w:rPr>
          <w:rFonts w:ascii="Arial" w:hAnsi="Arial" w:cs="Arial"/>
          <w:sz w:val="24"/>
          <w:szCs w:val="24"/>
          <w:lang w:val="en-US"/>
        </w:rPr>
        <w:t xml:space="preserve"> </w:t>
      </w:r>
    </w:p>
    <w:p w14:paraId="3189BDFD" w14:textId="4542AE98"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Vrontis, D., Christofi, M., Pereira, V., Tarba, S., Makrides, A. and Trichina, E. (2023) ‘Artificial intelligence, robotics, advanced technologies and human resource management: a systematic review’, </w:t>
      </w:r>
      <w:r w:rsidRPr="006C6FBD">
        <w:rPr>
          <w:rFonts w:ascii="Arial" w:hAnsi="Arial" w:cs="Arial"/>
          <w:i/>
          <w:iCs/>
          <w:sz w:val="24"/>
          <w:szCs w:val="24"/>
          <w:lang w:val="en-US"/>
        </w:rPr>
        <w:t>Artificial Intelligence and International HRM</w:t>
      </w:r>
      <w:r w:rsidRPr="006C6FBD">
        <w:rPr>
          <w:rFonts w:ascii="Arial" w:hAnsi="Arial" w:cs="Arial"/>
          <w:sz w:val="24"/>
          <w:szCs w:val="24"/>
          <w:lang w:val="en-US"/>
        </w:rPr>
        <w:t>, pp. 172–201.</w:t>
      </w:r>
      <w:r w:rsidR="00667AB7">
        <w:rPr>
          <w:rFonts w:ascii="Arial" w:hAnsi="Arial" w:cs="Arial"/>
          <w:sz w:val="24"/>
          <w:szCs w:val="24"/>
          <w:lang w:val="en-US"/>
        </w:rPr>
        <w:t xml:space="preserve"> </w:t>
      </w:r>
      <w:hyperlink r:id="rId42" w:history="1">
        <w:r w:rsidR="00667AB7" w:rsidRPr="009A4C6E">
          <w:rPr>
            <w:rStyle w:val="Hyperlink"/>
            <w:rFonts w:ascii="Arial" w:hAnsi="Arial" w:cs="Arial"/>
            <w:sz w:val="24"/>
            <w:szCs w:val="24"/>
            <w:lang w:val="en-US"/>
          </w:rPr>
          <w:t>https://ir.kneu.edu.ua/bitstreams/b263b89c-0e2a-4f41-81e6-9c57bb049447/download</w:t>
        </w:r>
      </w:hyperlink>
      <w:r w:rsidR="00667AB7">
        <w:rPr>
          <w:rFonts w:ascii="Arial" w:hAnsi="Arial" w:cs="Arial"/>
          <w:sz w:val="24"/>
          <w:szCs w:val="24"/>
          <w:lang w:val="en-US"/>
        </w:rPr>
        <w:t xml:space="preserve"> </w:t>
      </w:r>
    </w:p>
    <w:p w14:paraId="0C4A5FB7" w14:textId="67457A3B"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Walsh, D., Pajón, L., Lawson, K., Hafeez, K., Heath, M. and Court, N. (2025) ‘Increased risks of labour exploitation in the UK following Brexit and the COVID-19 pandemic: perspectives of the agri-food and construction sectors’, </w:t>
      </w:r>
      <w:r w:rsidRPr="006C6FBD">
        <w:rPr>
          <w:rFonts w:ascii="Arial" w:hAnsi="Arial" w:cs="Arial"/>
          <w:i/>
          <w:iCs/>
          <w:sz w:val="24"/>
          <w:szCs w:val="24"/>
          <w:lang w:val="en-US"/>
        </w:rPr>
        <w:t>Journal of Human Trafficking</w:t>
      </w:r>
      <w:r w:rsidRPr="006C6FBD">
        <w:rPr>
          <w:rFonts w:ascii="Arial" w:hAnsi="Arial" w:cs="Arial"/>
          <w:sz w:val="24"/>
          <w:szCs w:val="24"/>
          <w:lang w:val="en-US"/>
        </w:rPr>
        <w:t>, 11(2), pp. 154–169.</w:t>
      </w:r>
      <w:r w:rsidR="00667AB7">
        <w:rPr>
          <w:rFonts w:ascii="Arial" w:hAnsi="Arial" w:cs="Arial"/>
          <w:sz w:val="24"/>
          <w:szCs w:val="24"/>
          <w:lang w:val="en-US"/>
        </w:rPr>
        <w:t xml:space="preserve"> </w:t>
      </w:r>
      <w:hyperlink r:id="rId43" w:history="1">
        <w:r w:rsidR="00667AB7" w:rsidRPr="009A4C6E">
          <w:rPr>
            <w:rStyle w:val="Hyperlink"/>
            <w:rFonts w:ascii="Arial" w:hAnsi="Arial" w:cs="Arial"/>
            <w:sz w:val="24"/>
            <w:szCs w:val="24"/>
            <w:lang w:val="en-US"/>
          </w:rPr>
          <w:t>https://www.tandfonline.com/doi/abs/10.1080/23322705.2022.2079063</w:t>
        </w:r>
      </w:hyperlink>
      <w:r w:rsidR="00667AB7">
        <w:rPr>
          <w:rFonts w:ascii="Arial" w:hAnsi="Arial" w:cs="Arial"/>
          <w:sz w:val="24"/>
          <w:szCs w:val="24"/>
          <w:lang w:val="en-US"/>
        </w:rPr>
        <w:t xml:space="preserve"> </w:t>
      </w:r>
    </w:p>
    <w:p w14:paraId="1C46A9ED" w14:textId="3F3DE1F7"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Yaroshenko, O.M., Smorodynskyi, V.S., Silchenko, S.O., Vetukhova, I.A. and Zaika, D.I. (2023) ‘Retracted: The crisis of labour migration during the Russia-Ukraine war’, </w:t>
      </w:r>
      <w:r w:rsidRPr="006C6FBD">
        <w:rPr>
          <w:rFonts w:ascii="Arial" w:hAnsi="Arial" w:cs="Arial"/>
          <w:i/>
          <w:iCs/>
          <w:sz w:val="24"/>
          <w:szCs w:val="24"/>
          <w:lang w:val="en-US"/>
        </w:rPr>
        <w:t>New Labor Forum</w:t>
      </w:r>
      <w:r w:rsidRPr="006C6FBD">
        <w:rPr>
          <w:rFonts w:ascii="Arial" w:hAnsi="Arial" w:cs="Arial"/>
          <w:sz w:val="24"/>
          <w:szCs w:val="24"/>
          <w:lang w:val="en-US"/>
        </w:rPr>
        <w:t>, 32(3), pp. 80–88.</w:t>
      </w:r>
      <w:r w:rsidR="00667AB7">
        <w:rPr>
          <w:rFonts w:ascii="Arial" w:hAnsi="Arial" w:cs="Arial"/>
          <w:sz w:val="24"/>
          <w:szCs w:val="24"/>
          <w:lang w:val="en-US"/>
        </w:rPr>
        <w:t xml:space="preserve"> </w:t>
      </w:r>
      <w:hyperlink r:id="rId44" w:history="1">
        <w:r w:rsidR="00667AB7" w:rsidRPr="009A4C6E">
          <w:rPr>
            <w:rStyle w:val="Hyperlink"/>
            <w:rFonts w:ascii="Arial" w:hAnsi="Arial" w:cs="Arial"/>
            <w:sz w:val="24"/>
            <w:szCs w:val="24"/>
            <w:lang w:val="en-US"/>
          </w:rPr>
          <w:t>https://journals.sagepub.com/doi/abs/10.1177/10957960231195621</w:t>
        </w:r>
      </w:hyperlink>
      <w:r w:rsidR="00667AB7">
        <w:rPr>
          <w:rFonts w:ascii="Arial" w:hAnsi="Arial" w:cs="Arial"/>
          <w:sz w:val="24"/>
          <w:szCs w:val="24"/>
          <w:lang w:val="en-US"/>
        </w:rPr>
        <w:t xml:space="preserve"> </w:t>
      </w:r>
    </w:p>
    <w:p w14:paraId="5DF1B6A6" w14:textId="4991411A" w:rsidR="005718F9" w:rsidRPr="006C6FBD" w:rsidRDefault="005718F9" w:rsidP="005718F9">
      <w:pPr>
        <w:ind w:left="720" w:hanging="720"/>
        <w:jc w:val="both"/>
        <w:rPr>
          <w:rFonts w:ascii="Arial" w:hAnsi="Arial" w:cs="Arial"/>
          <w:sz w:val="24"/>
          <w:szCs w:val="24"/>
          <w:lang w:val="en-US"/>
        </w:rPr>
      </w:pPr>
      <w:r w:rsidRPr="006C6FBD">
        <w:rPr>
          <w:rFonts w:ascii="Arial" w:hAnsi="Arial" w:cs="Arial"/>
          <w:sz w:val="24"/>
          <w:szCs w:val="24"/>
          <w:lang w:val="en-US"/>
        </w:rPr>
        <w:t xml:space="preserve">Zapata, L., Ibarra, G. and Blancher, P.H. (2024) ‘Engaging new ways of work: the relevance of flexibility and digital tools in a post-COVID-19 era’, </w:t>
      </w:r>
      <w:r w:rsidRPr="006C6FBD">
        <w:rPr>
          <w:rFonts w:ascii="Arial" w:hAnsi="Arial" w:cs="Arial"/>
          <w:i/>
          <w:iCs/>
          <w:sz w:val="24"/>
          <w:szCs w:val="24"/>
          <w:lang w:val="en-US"/>
        </w:rPr>
        <w:t>Journal of Organizational Effectiveness: People and Performance</w:t>
      </w:r>
      <w:r w:rsidRPr="006C6FBD">
        <w:rPr>
          <w:rFonts w:ascii="Arial" w:hAnsi="Arial" w:cs="Arial"/>
          <w:sz w:val="24"/>
          <w:szCs w:val="24"/>
          <w:lang w:val="en-US"/>
        </w:rPr>
        <w:t>, 11(1), pp. 1–17.</w:t>
      </w:r>
      <w:r w:rsidR="00667AB7">
        <w:rPr>
          <w:rFonts w:ascii="Arial" w:hAnsi="Arial" w:cs="Arial"/>
          <w:sz w:val="24"/>
          <w:szCs w:val="24"/>
          <w:lang w:val="en-US"/>
        </w:rPr>
        <w:t xml:space="preserve"> </w:t>
      </w:r>
      <w:hyperlink r:id="rId45" w:history="1">
        <w:r w:rsidR="00667AB7" w:rsidRPr="009A4C6E">
          <w:rPr>
            <w:rStyle w:val="Hyperlink"/>
            <w:rFonts w:ascii="Arial" w:hAnsi="Arial" w:cs="Arial"/>
            <w:sz w:val="24"/>
            <w:szCs w:val="24"/>
            <w:lang w:val="en-US"/>
          </w:rPr>
          <w:t>https://www.emerald.com/insight/content/doi/10.1108/JOEPP-04-2022-0079/full/html</w:t>
        </w:r>
      </w:hyperlink>
      <w:r w:rsidR="00667AB7">
        <w:rPr>
          <w:rFonts w:ascii="Arial" w:hAnsi="Arial" w:cs="Arial"/>
          <w:sz w:val="24"/>
          <w:szCs w:val="24"/>
          <w:lang w:val="en-US"/>
        </w:rPr>
        <w:t xml:space="preserve"> </w:t>
      </w:r>
    </w:p>
    <w:p w14:paraId="186FC967" w14:textId="56ABC358" w:rsidR="008F5580" w:rsidRPr="00667AB7" w:rsidRDefault="005718F9" w:rsidP="00667AB7">
      <w:pPr>
        <w:ind w:left="720" w:hanging="720"/>
        <w:jc w:val="both"/>
        <w:rPr>
          <w:rFonts w:ascii="Arial" w:hAnsi="Arial" w:cs="Arial"/>
          <w:sz w:val="24"/>
          <w:szCs w:val="24"/>
          <w:lang w:val="en-US"/>
        </w:rPr>
      </w:pPr>
      <w:r w:rsidRPr="006C6FBD">
        <w:rPr>
          <w:rFonts w:ascii="Arial" w:hAnsi="Arial" w:cs="Arial"/>
          <w:sz w:val="24"/>
          <w:szCs w:val="24"/>
          <w:lang w:val="en-US"/>
        </w:rPr>
        <w:lastRenderedPageBreak/>
        <w:t xml:space="preserve">Zhaoa, W. (2024) </w:t>
      </w:r>
      <w:r w:rsidRPr="006C6FBD">
        <w:rPr>
          <w:rFonts w:ascii="Arial" w:hAnsi="Arial" w:cs="Arial"/>
          <w:i/>
          <w:iCs/>
          <w:sz w:val="24"/>
          <w:szCs w:val="24"/>
          <w:lang w:val="en-US"/>
        </w:rPr>
        <w:t>The Impact of Artificial Intelligence on Human Resource Management Practices: Opportunities and Challenges.</w:t>
      </w:r>
      <w:r w:rsidR="00667AB7">
        <w:rPr>
          <w:rFonts w:ascii="Arial" w:hAnsi="Arial" w:cs="Arial"/>
          <w:i/>
          <w:iCs/>
          <w:sz w:val="24"/>
          <w:szCs w:val="24"/>
          <w:lang w:val="en-US"/>
        </w:rPr>
        <w:t xml:space="preserve"> </w:t>
      </w:r>
      <w:hyperlink r:id="rId46" w:anchor="page=22" w:history="1">
        <w:r w:rsidR="00667AB7" w:rsidRPr="009A4C6E">
          <w:rPr>
            <w:rStyle w:val="Hyperlink"/>
            <w:rFonts w:ascii="Arial" w:hAnsi="Arial" w:cs="Arial"/>
            <w:i/>
            <w:iCs/>
            <w:sz w:val="24"/>
            <w:szCs w:val="24"/>
            <w:lang w:val="en-US"/>
          </w:rPr>
          <w:t>http://www.nlbaeai.org/static/upload/file/20250804/1754277658828753.pdf#page=22</w:t>
        </w:r>
      </w:hyperlink>
      <w:r w:rsidR="00667AB7">
        <w:rPr>
          <w:rFonts w:ascii="Arial" w:hAnsi="Arial" w:cs="Arial"/>
          <w:i/>
          <w:iCs/>
          <w:sz w:val="24"/>
          <w:szCs w:val="24"/>
          <w:lang w:val="en-US"/>
        </w:rPr>
        <w:t xml:space="preserve"> </w:t>
      </w:r>
    </w:p>
    <w:sectPr w:rsidR="008F5580" w:rsidRPr="00667AB7">
      <w:headerReference w:type="default" r:id="rId47"/>
      <w:footerReference w:type="defaul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80926" w14:textId="77777777" w:rsidR="00974E4B" w:rsidRDefault="00974E4B" w:rsidP="005718F9">
      <w:pPr>
        <w:spacing w:after="0" w:line="240" w:lineRule="auto"/>
      </w:pPr>
      <w:r>
        <w:separator/>
      </w:r>
    </w:p>
  </w:endnote>
  <w:endnote w:type="continuationSeparator" w:id="0">
    <w:p w14:paraId="543956E2" w14:textId="77777777" w:rsidR="00974E4B" w:rsidRDefault="00974E4B" w:rsidP="00571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754459"/>
      <w:docPartObj>
        <w:docPartGallery w:val="Page Numbers (Bottom of Page)"/>
        <w:docPartUnique/>
      </w:docPartObj>
    </w:sdtPr>
    <w:sdtEndPr>
      <w:rPr>
        <w:noProof/>
      </w:rPr>
    </w:sdtEndPr>
    <w:sdtContent>
      <w:p w14:paraId="5AA451BF" w14:textId="56101B07" w:rsidR="005718F9" w:rsidRDefault="005718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1308B7" w14:textId="77777777" w:rsidR="005718F9" w:rsidRDefault="00571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B0F1D" w14:textId="77777777" w:rsidR="00974E4B" w:rsidRDefault="00974E4B" w:rsidP="005718F9">
      <w:pPr>
        <w:spacing w:after="0" w:line="240" w:lineRule="auto"/>
      </w:pPr>
      <w:r>
        <w:separator/>
      </w:r>
    </w:p>
  </w:footnote>
  <w:footnote w:type="continuationSeparator" w:id="0">
    <w:p w14:paraId="7E93AF6E" w14:textId="77777777" w:rsidR="00974E4B" w:rsidRDefault="00974E4B" w:rsidP="00571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34B5" w14:textId="66F287D2" w:rsidR="00790A0C" w:rsidRDefault="00790A0C">
    <w:pPr>
      <w:pStyle w:val="Header"/>
    </w:pPr>
    <w:r>
      <w:rPr>
        <w:noProof/>
      </w:rPr>
      <w:drawing>
        <wp:inline distT="0" distB="0" distL="0" distR="0" wp14:anchorId="01517A5B" wp14:editId="1BB30DD5">
          <wp:extent cx="1038225" cy="406727"/>
          <wp:effectExtent l="0" t="0" r="0" b="0"/>
          <wp:docPr id="1110703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03494" name=""/>
                  <pic:cNvPicPr/>
                </pic:nvPicPr>
                <pic:blipFill>
                  <a:blip r:embed="rId1"/>
                  <a:stretch>
                    <a:fillRect/>
                  </a:stretch>
                </pic:blipFill>
                <pic:spPr>
                  <a:xfrm>
                    <a:off x="0" y="0"/>
                    <a:ext cx="1051272" cy="4118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1DF"/>
    <w:multiLevelType w:val="multilevel"/>
    <w:tmpl w:val="2E80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02614"/>
    <w:multiLevelType w:val="multilevel"/>
    <w:tmpl w:val="1CAA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4243B"/>
    <w:multiLevelType w:val="multilevel"/>
    <w:tmpl w:val="4CB0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C01BE"/>
    <w:multiLevelType w:val="multilevel"/>
    <w:tmpl w:val="1BD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F3FD8"/>
    <w:multiLevelType w:val="multilevel"/>
    <w:tmpl w:val="E6F2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A1E76"/>
    <w:multiLevelType w:val="hybridMultilevel"/>
    <w:tmpl w:val="4CF4B0F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DB041E"/>
    <w:multiLevelType w:val="multilevel"/>
    <w:tmpl w:val="3D544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C6FEE"/>
    <w:multiLevelType w:val="multilevel"/>
    <w:tmpl w:val="74C2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E10A5"/>
    <w:multiLevelType w:val="multilevel"/>
    <w:tmpl w:val="57BE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0B3F24"/>
    <w:multiLevelType w:val="multilevel"/>
    <w:tmpl w:val="332E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1C311F"/>
    <w:multiLevelType w:val="multilevel"/>
    <w:tmpl w:val="6FBC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0A2DB2"/>
    <w:multiLevelType w:val="multilevel"/>
    <w:tmpl w:val="7826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BA763F"/>
    <w:multiLevelType w:val="multilevel"/>
    <w:tmpl w:val="660C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A331A5"/>
    <w:multiLevelType w:val="multilevel"/>
    <w:tmpl w:val="6BDE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80632"/>
    <w:multiLevelType w:val="multilevel"/>
    <w:tmpl w:val="CDE2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457ED"/>
    <w:multiLevelType w:val="multilevel"/>
    <w:tmpl w:val="BE0A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C16283"/>
    <w:multiLevelType w:val="multilevel"/>
    <w:tmpl w:val="F848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837E42"/>
    <w:multiLevelType w:val="multilevel"/>
    <w:tmpl w:val="DBF2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F14246"/>
    <w:multiLevelType w:val="multilevel"/>
    <w:tmpl w:val="9170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BD5335"/>
    <w:multiLevelType w:val="multilevel"/>
    <w:tmpl w:val="E40C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736A34"/>
    <w:multiLevelType w:val="multilevel"/>
    <w:tmpl w:val="1AE0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186593"/>
    <w:multiLevelType w:val="multilevel"/>
    <w:tmpl w:val="0358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FC512E"/>
    <w:multiLevelType w:val="multilevel"/>
    <w:tmpl w:val="241E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AB7049"/>
    <w:multiLevelType w:val="multilevel"/>
    <w:tmpl w:val="FFE82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413C3E"/>
    <w:multiLevelType w:val="multilevel"/>
    <w:tmpl w:val="9A62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956847">
    <w:abstractNumId w:val="16"/>
  </w:num>
  <w:num w:numId="2" w16cid:durableId="1729914155">
    <w:abstractNumId w:val="23"/>
  </w:num>
  <w:num w:numId="3" w16cid:durableId="1078163722">
    <w:abstractNumId w:val="19"/>
  </w:num>
  <w:num w:numId="4" w16cid:durableId="153961450">
    <w:abstractNumId w:val="14"/>
  </w:num>
  <w:num w:numId="5" w16cid:durableId="1206211173">
    <w:abstractNumId w:val="7"/>
  </w:num>
  <w:num w:numId="6" w16cid:durableId="1548370945">
    <w:abstractNumId w:val="15"/>
  </w:num>
  <w:num w:numId="7" w16cid:durableId="115998856">
    <w:abstractNumId w:val="4"/>
  </w:num>
  <w:num w:numId="8" w16cid:durableId="1633362200">
    <w:abstractNumId w:val="2"/>
  </w:num>
  <w:num w:numId="9" w16cid:durableId="642780406">
    <w:abstractNumId w:val="17"/>
  </w:num>
  <w:num w:numId="10" w16cid:durableId="1951349145">
    <w:abstractNumId w:val="21"/>
  </w:num>
  <w:num w:numId="11" w16cid:durableId="1100685434">
    <w:abstractNumId w:val="18"/>
  </w:num>
  <w:num w:numId="12" w16cid:durableId="1028220128">
    <w:abstractNumId w:val="3"/>
  </w:num>
  <w:num w:numId="13" w16cid:durableId="1985625743">
    <w:abstractNumId w:val="12"/>
  </w:num>
  <w:num w:numId="14" w16cid:durableId="921253772">
    <w:abstractNumId w:val="8"/>
  </w:num>
  <w:num w:numId="15" w16cid:durableId="1341196022">
    <w:abstractNumId w:val="13"/>
  </w:num>
  <w:num w:numId="16" w16cid:durableId="175849255">
    <w:abstractNumId w:val="11"/>
  </w:num>
  <w:num w:numId="17" w16cid:durableId="1231119639">
    <w:abstractNumId w:val="22"/>
  </w:num>
  <w:num w:numId="18" w16cid:durableId="1122041875">
    <w:abstractNumId w:val="0"/>
  </w:num>
  <w:num w:numId="19" w16cid:durableId="1103383386">
    <w:abstractNumId w:val="1"/>
  </w:num>
  <w:num w:numId="20" w16cid:durableId="1359965560">
    <w:abstractNumId w:val="24"/>
  </w:num>
  <w:num w:numId="21" w16cid:durableId="1582831867">
    <w:abstractNumId w:val="20"/>
  </w:num>
  <w:num w:numId="22" w16cid:durableId="1871792887">
    <w:abstractNumId w:val="6"/>
  </w:num>
  <w:num w:numId="23" w16cid:durableId="443968017">
    <w:abstractNumId w:val="10"/>
  </w:num>
  <w:num w:numId="24" w16cid:durableId="635574210">
    <w:abstractNumId w:val="5"/>
  </w:num>
  <w:num w:numId="25" w16cid:durableId="13701043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MLO0NDExNjW0NDG0MDdX0lEKTi0uzszPAykwrAUA8SEP1iwAAAA="/>
  </w:docVars>
  <w:rsids>
    <w:rsidRoot w:val="00EF1699"/>
    <w:rsid w:val="000A77C5"/>
    <w:rsid w:val="00147A4F"/>
    <w:rsid w:val="0018583E"/>
    <w:rsid w:val="001877DB"/>
    <w:rsid w:val="001E0FAD"/>
    <w:rsid w:val="003816B9"/>
    <w:rsid w:val="00404C10"/>
    <w:rsid w:val="005718F9"/>
    <w:rsid w:val="005F3580"/>
    <w:rsid w:val="00667AB7"/>
    <w:rsid w:val="00695F80"/>
    <w:rsid w:val="006A6F38"/>
    <w:rsid w:val="006C6FBD"/>
    <w:rsid w:val="00790A0C"/>
    <w:rsid w:val="008F5580"/>
    <w:rsid w:val="00974E4B"/>
    <w:rsid w:val="00986F69"/>
    <w:rsid w:val="009A1BD1"/>
    <w:rsid w:val="00A370AE"/>
    <w:rsid w:val="00BE78C4"/>
    <w:rsid w:val="00C2511C"/>
    <w:rsid w:val="00C9731C"/>
    <w:rsid w:val="00D16054"/>
    <w:rsid w:val="00D53368"/>
    <w:rsid w:val="00DC435F"/>
    <w:rsid w:val="00EA5847"/>
    <w:rsid w:val="00EF1699"/>
    <w:rsid w:val="00FD1FDD"/>
    <w:rsid w:val="00FF0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779BF"/>
  <w15:chartTrackingRefBased/>
  <w15:docId w15:val="{B3E46B54-FCEC-4FBF-A4C6-46CC889E4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169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F169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F169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F169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F169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F1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699"/>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EF1699"/>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EF1699"/>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EF1699"/>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EF1699"/>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EF169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F169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F169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F169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F1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9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F169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9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F16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1699"/>
    <w:rPr>
      <w:i/>
      <w:iCs/>
      <w:color w:val="404040" w:themeColor="text1" w:themeTint="BF"/>
      <w:lang w:val="en-GB"/>
    </w:rPr>
  </w:style>
  <w:style w:type="paragraph" w:styleId="ListParagraph">
    <w:name w:val="List Paragraph"/>
    <w:basedOn w:val="Normal"/>
    <w:uiPriority w:val="34"/>
    <w:qFormat/>
    <w:rsid w:val="00EF1699"/>
    <w:pPr>
      <w:ind w:left="720"/>
      <w:contextualSpacing/>
    </w:pPr>
  </w:style>
  <w:style w:type="character" w:styleId="IntenseEmphasis">
    <w:name w:val="Intense Emphasis"/>
    <w:basedOn w:val="DefaultParagraphFont"/>
    <w:uiPriority w:val="21"/>
    <w:qFormat/>
    <w:rsid w:val="00EF1699"/>
    <w:rPr>
      <w:i/>
      <w:iCs/>
      <w:color w:val="365F91" w:themeColor="accent1" w:themeShade="BF"/>
    </w:rPr>
  </w:style>
  <w:style w:type="paragraph" w:styleId="IntenseQuote">
    <w:name w:val="Intense Quote"/>
    <w:basedOn w:val="Normal"/>
    <w:next w:val="Normal"/>
    <w:link w:val="IntenseQuoteChar"/>
    <w:uiPriority w:val="30"/>
    <w:qFormat/>
    <w:rsid w:val="00EF169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F1699"/>
    <w:rPr>
      <w:i/>
      <w:iCs/>
      <w:color w:val="365F91" w:themeColor="accent1" w:themeShade="BF"/>
      <w:lang w:val="en-GB"/>
    </w:rPr>
  </w:style>
  <w:style w:type="character" w:styleId="IntenseReference">
    <w:name w:val="Intense Reference"/>
    <w:basedOn w:val="DefaultParagraphFont"/>
    <w:uiPriority w:val="32"/>
    <w:qFormat/>
    <w:rsid w:val="00EF1699"/>
    <w:rPr>
      <w:b/>
      <w:bCs/>
      <w:smallCaps/>
      <w:color w:val="365F91" w:themeColor="accent1" w:themeShade="BF"/>
      <w:spacing w:val="5"/>
    </w:rPr>
  </w:style>
  <w:style w:type="table" w:styleId="TableGrid">
    <w:name w:val="Table Grid"/>
    <w:basedOn w:val="TableNormal"/>
    <w:uiPriority w:val="59"/>
    <w:rsid w:val="00EF1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1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8F9"/>
    <w:rPr>
      <w:lang w:val="en-GB"/>
    </w:rPr>
  </w:style>
  <w:style w:type="paragraph" w:styleId="Footer">
    <w:name w:val="footer"/>
    <w:basedOn w:val="Normal"/>
    <w:link w:val="FooterChar"/>
    <w:uiPriority w:val="99"/>
    <w:unhideWhenUsed/>
    <w:rsid w:val="00571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8F9"/>
    <w:rPr>
      <w:lang w:val="en-GB"/>
    </w:rPr>
  </w:style>
  <w:style w:type="paragraph" w:styleId="TOCHeading">
    <w:name w:val="TOC Heading"/>
    <w:basedOn w:val="Heading1"/>
    <w:next w:val="Normal"/>
    <w:uiPriority w:val="39"/>
    <w:unhideWhenUsed/>
    <w:qFormat/>
    <w:rsid w:val="005718F9"/>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5718F9"/>
    <w:pPr>
      <w:spacing w:after="100"/>
    </w:pPr>
  </w:style>
  <w:style w:type="paragraph" w:styleId="TOC2">
    <w:name w:val="toc 2"/>
    <w:basedOn w:val="Normal"/>
    <w:next w:val="Normal"/>
    <w:autoRedefine/>
    <w:uiPriority w:val="39"/>
    <w:unhideWhenUsed/>
    <w:rsid w:val="005718F9"/>
    <w:pPr>
      <w:spacing w:after="100"/>
      <w:ind w:left="220"/>
    </w:pPr>
  </w:style>
  <w:style w:type="character" w:styleId="Hyperlink">
    <w:name w:val="Hyperlink"/>
    <w:basedOn w:val="DefaultParagraphFont"/>
    <w:uiPriority w:val="99"/>
    <w:unhideWhenUsed/>
    <w:rsid w:val="005718F9"/>
    <w:rPr>
      <w:color w:val="0000FF" w:themeColor="hyperlink"/>
      <w:u w:val="single"/>
    </w:rPr>
  </w:style>
  <w:style w:type="character" w:styleId="UnresolvedMention">
    <w:name w:val="Unresolved Mention"/>
    <w:basedOn w:val="DefaultParagraphFont"/>
    <w:uiPriority w:val="99"/>
    <w:semiHidden/>
    <w:unhideWhenUsed/>
    <w:rsid w:val="00667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uct.ac.za/handle/11427/20950" TargetMode="External"/><Relationship Id="rId18" Type="http://schemas.openxmlformats.org/officeDocument/2006/relationships/hyperlink" Target="https://www.mdpi.com/2075-4698/11/3/93" TargetMode="External"/><Relationship Id="rId26" Type="http://schemas.openxmlformats.org/officeDocument/2006/relationships/hyperlink" Target="https://www.elgaronline.com/edcollchap/edcoll/9781789905656/9781789905656.00009.xml" TargetMode="External"/><Relationship Id="rId39" Type="http://schemas.openxmlformats.org/officeDocument/2006/relationships/hyperlink" Target="https://publichealth.jmir.org/2024/1/e55384/" TargetMode="External"/><Relationship Id="rId21" Type="http://schemas.openxmlformats.org/officeDocument/2006/relationships/hyperlink" Target="https://epublications.vu.lt/object/elaba:238881319/" TargetMode="External"/><Relationship Id="rId34" Type="http://schemas.openxmlformats.org/officeDocument/2006/relationships/hyperlink" Target="https://link.springer.com/article/10.1007/s11423-021-10044-1" TargetMode="External"/><Relationship Id="rId42" Type="http://schemas.openxmlformats.org/officeDocument/2006/relationships/hyperlink" Target="https://ir.kneu.edu.ua/bitstreams/b263b89c-0e2a-4f41-81e6-9c57bb049447/download"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apers.ssrn.com/sol3/papers.cfm?abstract_id=4085736" TargetMode="External"/><Relationship Id="rId29" Type="http://schemas.openxmlformats.org/officeDocument/2006/relationships/hyperlink" Target="https://dspace.bracu.ac.bd/xmlui/handle/10361/25178" TargetMode="External"/><Relationship Id="rId11" Type="http://schemas.openxmlformats.org/officeDocument/2006/relationships/hyperlink" Target="https://link.springer.com/article/10.1007/s44206-022-00005-3" TargetMode="External"/><Relationship Id="rId24" Type="http://schemas.openxmlformats.org/officeDocument/2006/relationships/hyperlink" Target="http://www.scienpress.com/Upload/AMAE/Vol%2015_3_7.pdf" TargetMode="External"/><Relationship Id="rId32" Type="http://schemas.openxmlformats.org/officeDocument/2006/relationships/hyperlink" Target="https://books.google.com/books?hl=en&amp;lr=&amp;id=Gq9bEQAAQBAJ&amp;oi=fnd&amp;pg=PA86&amp;dq=Saxena,+M.P.+and+Sirohi,+N.+(2025)+%E2%80%98Talent+acquisition+in+the+gig+era:+strategies+for+attracting+freelancers%E2%80%99,+in+The+Gig+Economy+Revolution:+Rethinking+Talent+Management.+p.+86.&amp;ots=bok2iz3twL&amp;sig=rvEhBfrCZCxDVM5rgmJreI9TXAg" TargetMode="External"/><Relationship Id="rId37" Type="http://schemas.openxmlformats.org/officeDocument/2006/relationships/hyperlink" Target="https://www.igi-global.com/chapter/employee-skillsets-in-the-digital-age/374954" TargetMode="External"/><Relationship Id="rId40" Type="http://schemas.openxmlformats.org/officeDocument/2006/relationships/hyperlink" Target="https://www.igi-global.com/chapter/harnessing-ai-and-digital-transformation-for-strategic-hrm-enhancing-international-competitiveness/379576" TargetMode="External"/><Relationship Id="rId45" Type="http://schemas.openxmlformats.org/officeDocument/2006/relationships/hyperlink" Target="https://www.emerald.com/insight/content/doi/10.1108/JOEPP-04-2022-0079/full/html" TargetMode="External"/><Relationship Id="rId5" Type="http://schemas.openxmlformats.org/officeDocument/2006/relationships/webSettings" Target="webSettings.xml"/><Relationship Id="rId15" Type="http://schemas.openxmlformats.org/officeDocument/2006/relationships/hyperlink" Target="https://books.google.com/books?hl=en&amp;lr=&amp;id=559wEQAAQBAJ&amp;oi=fnd&amp;pg=PR5&amp;dq=Gruenewald,+H.+and+Mueller,+M.+(2025)+Reskilling+and+upskilling+in+a+globalized+economy:+essential+strategies+for+workforce+transformation.+Springer+Nature.&amp;ots=C_UcPygR0X&amp;sig=j0oyTteiPEBYFSwHiMF8E3IrUKM" TargetMode="External"/><Relationship Id="rId23" Type="http://schemas.openxmlformats.org/officeDocument/2006/relationships/hyperlink" Target="https://books.google.com/books?hl=en&amp;lr=&amp;id=QyCmEAAAQBAJ&amp;oi=fnd&amp;pg=PA1&amp;dq=Lapavitsas,+C.,+Meadway,+J.+and+Nicholls,+D.+(2023)+The+cost+of+living+crisis+(and+how+to+get+out+of+it).+Verso+Books.&amp;ots=vpOGzgfHzN&amp;sig=5PiND-AM0qG2WpZpPLZWUV-Cr9w" TargetMode="External"/><Relationship Id="rId28" Type="http://schemas.openxmlformats.org/officeDocument/2006/relationships/hyperlink" Target="https://www.torrossa.com/gs/resourceProxy?an=5409518&amp;publisher=FZ7200" TargetMode="External"/><Relationship Id="rId36" Type="http://schemas.openxmlformats.org/officeDocument/2006/relationships/hyperlink" Target="https://researchrepository.ilo.org/esploro/outputs/book/Changing-demand-for-skills-in-digital/995219272702676" TargetMode="External"/><Relationship Id="rId49" Type="http://schemas.openxmlformats.org/officeDocument/2006/relationships/fontTable" Target="fontTable.xml"/><Relationship Id="rId10" Type="http://schemas.openxmlformats.org/officeDocument/2006/relationships/hyperlink" Target="https://ieeexplore.ieee.org/abstract/document/289380" TargetMode="External"/><Relationship Id="rId19" Type="http://schemas.openxmlformats.org/officeDocument/2006/relationships/hyperlink" Target="https://mackinstitute.wharton.upenn.edu/wp-content/uploads/2023/11/revisiting-disruption.pdf" TargetMode="External"/><Relationship Id="rId31" Type="http://schemas.openxmlformats.org/officeDocument/2006/relationships/hyperlink" Target="https://www.igi-global.com/chapter/talent-analytics-for-workforce-forecasting-fostering-employee-engagement-and-turnover-prediction/383206" TargetMode="External"/><Relationship Id="rId44" Type="http://schemas.openxmlformats.org/officeDocument/2006/relationships/hyperlink" Target="https://journals.sagepub.com/doi/abs/10.1177/10957960231195621" TargetMode="External"/><Relationship Id="rId4" Type="http://schemas.openxmlformats.org/officeDocument/2006/relationships/settings" Target="settings.xml"/><Relationship Id="rId9" Type="http://schemas.openxmlformats.org/officeDocument/2006/relationships/hyperlink" Target="https://www.emerald.com/insight/content/doi/10.1108/TLO-03-2024-0099/full/html" TargetMode="External"/><Relationship Id="rId14" Type="http://schemas.openxmlformats.org/officeDocument/2006/relationships/hyperlink" Target="https://journals.sagepub.com/doi/abs/10.1177/10245294221097066" TargetMode="External"/><Relationship Id="rId22" Type="http://schemas.openxmlformats.org/officeDocument/2006/relationships/hyperlink" Target="https://www.researchgate.net/profile/Vijay-Kulkarni-11/publication/379645371_Generation_Z_Talent_Management_In_Organisations_An_HR_Perspective/links/66617abcde777205a3113144/Generation-Z-Talent-Management-In-Organisations-An-HR-Perspective.pdf" TargetMode="External"/><Relationship Id="rId27" Type="http://schemas.openxmlformats.org/officeDocument/2006/relationships/hyperlink" Target="https://www.researchgate.net/profile/Njideka-Onyekwelu-2/publication/378125988_Ethics_and_corporate_social_responsibility_in_HR_A_comprehensive_review_of_policies_and_practices/links/65c7e6bf1e1ec12eff806bdd/Ethics-and-corporate-social-responsibility-in-HR-A-comprehensive-review-of-policies-and-practices.pdf" TargetMode="External"/><Relationship Id="rId30" Type="http://schemas.openxmlformats.org/officeDocument/2006/relationships/hyperlink" Target="https://books.google.com/books?hl=en&amp;lr=&amp;id=ypBQEQAAQBAJ&amp;oi=fnd&amp;pg=PR1&amp;dq=Samuel,+S.,+Meilani,+Y.F.C.P.,+Wanasida,+A.S.+and+Napitupulu,+P.E.+(2025)+Human+capital+in+the+AI+era.+Penerbit+NEM.&amp;ots=o7m5LrvF5Q&amp;sig=ALtShDGmb98r5qtx3mOaUfdPvvM" TargetMode="External"/><Relationship Id="rId35" Type="http://schemas.openxmlformats.org/officeDocument/2006/relationships/hyperlink" Target="https://www.emerald.com/insight/content/doi/10.1108/JGM-03-2023-0018/full/html" TargetMode="External"/><Relationship Id="rId43" Type="http://schemas.openxmlformats.org/officeDocument/2006/relationships/hyperlink" Target="https://www.tandfonline.com/doi/abs/10.1080/23322705.2022.2079063" TargetMode="External"/><Relationship Id="rId48" Type="http://schemas.openxmlformats.org/officeDocument/2006/relationships/footer" Target="footer1.xml"/><Relationship Id="rId8" Type="http://schemas.openxmlformats.org/officeDocument/2006/relationships/hyperlink" Target="https://www.emerald.com/insight/content/doi/10.1108/JSTPM-08-2021-0122/full/html" TargetMode="External"/><Relationship Id="rId3" Type="http://schemas.openxmlformats.org/officeDocument/2006/relationships/styles" Target="styles.xml"/><Relationship Id="rId12" Type="http://schemas.openxmlformats.org/officeDocument/2006/relationships/hyperlink" Target="https://jurnals.net/access/IJAFES/article/view/7" TargetMode="External"/><Relationship Id="rId17" Type="http://schemas.openxmlformats.org/officeDocument/2006/relationships/hyperlink" Target="https://www.igi-global.com/chapter/measuring-diversity-equity-and-inclusivity-in-an-organisation/369117" TargetMode="External"/><Relationship Id="rId25" Type="http://schemas.openxmlformats.org/officeDocument/2006/relationships/hyperlink" Target="https://www.emerald.com/insight/content/doi/10.1108/s1569-37592024000112b007/full/html" TargetMode="External"/><Relationship Id="rId33" Type="http://schemas.openxmlformats.org/officeDocument/2006/relationships/hyperlink" Target="https://www.elgaronline.com/edcollchap/book/9781035308682/book-part-9781035308682-33.xml" TargetMode="External"/><Relationship Id="rId38" Type="http://schemas.openxmlformats.org/officeDocument/2006/relationships/hyperlink" Target="https://www.researchgate.net/profile/Nazia-Tasleem/publication/390587245_HR_Technology_Transformation_and_The_Impact_of_People_Analytics_on_Workforce_Management/links/67f570d2e8041142a16f936a/HR-Technology-Transformation-and-The-Impact-of-People-Analytics-on-Workforce-Management.pdf" TargetMode="External"/><Relationship Id="rId46" Type="http://schemas.openxmlformats.org/officeDocument/2006/relationships/hyperlink" Target="http://www.nlbaeai.org/static/upload/file/20250804/1754277658828753.pdf" TargetMode="External"/><Relationship Id="rId20" Type="http://schemas.openxmlformats.org/officeDocument/2006/relationships/hyperlink" Target="https://journals.sagepub.com/doi/abs/10.1177/15443167241299802" TargetMode="External"/><Relationship Id="rId41" Type="http://schemas.openxmlformats.org/officeDocument/2006/relationships/hyperlink" Target="https://ir.kneu.edu.ua/bitstreams/b263b89c-0e2a-4f41-81e6-9c57bb049447/download"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15D21-FE3E-4DD7-8D12-A4F3BF7D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19</Pages>
  <Words>5833</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Mohmedkaif Hamidali MANSURI (2321459)</cp:lastModifiedBy>
  <cp:revision>11</cp:revision>
  <dcterms:created xsi:type="dcterms:W3CDTF">2025-11-07T12:46:00Z</dcterms:created>
  <dcterms:modified xsi:type="dcterms:W3CDTF">2025-11-14T10:53:00Z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2bb4d969-8f95-4bf2-a1de-3c9281505024</vt:lpwstr>
  </property>
  <property fmtid="{D5CDD505-2E9C-101B-9397-08002B2CF9AE}" pid="3" name="MSIP_Label_defa4170-0d19-0005-0004-bc88714345d2_Enabled">
    <vt:lpwstr>true</vt:lpwstr>
  </property>
  <property fmtid="{D5CDD505-2E9C-101B-9397-08002B2CF9AE}" pid="4" name="MSIP_Label_defa4170-0d19-0005-0004-bc88714345d2_SetDate">
    <vt:lpwstr>2025-11-07T13:06:35Z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7fd665b8-d161-4685-9b7d-49aaffb2a8f5</vt:lpwstr>
  </property>
  <property fmtid="{D5CDD505-2E9C-101B-9397-08002B2CF9AE}" pid="8" name="MSIP_Label_defa4170-0d19-0005-0004-bc88714345d2_ActionId">
    <vt:lpwstr>126b5983-f029-405e-b24b-b213d5c5a54b</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