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F927A1" w:rsidRPr="005D3F07" w14:paraId="68CAA39D" w14:textId="77777777" w:rsidTr="00E60F83">
        <w:tc>
          <w:tcPr>
            <w:tcW w:w="10768" w:type="dxa"/>
            <w:shd w:val="clear" w:color="auto" w:fill="auto"/>
          </w:tcPr>
          <w:p w14:paraId="4B0EA7AD" w14:textId="77777777" w:rsidR="00861DA7" w:rsidRPr="00861DA7" w:rsidRDefault="00861DA7" w:rsidP="00861DA7">
            <w:pPr>
              <w:overflowPunct/>
              <w:autoSpaceDE/>
              <w:adjustRightInd/>
              <w:ind w:right="-957"/>
              <w:textAlignment w:val="auto"/>
              <w:rPr>
                <w:rFonts w:ascii="Times New Roman" w:hAnsi="Times New Roman" w:cs="Times New Roman"/>
                <w:b/>
                <w:color w:val="auto"/>
                <w:sz w:val="48"/>
              </w:rPr>
            </w:pPr>
            <w:r w:rsidRPr="00861DA7">
              <w:rPr>
                <w:rFonts w:ascii="Times New Roman" w:hAnsi="Times New Roman" w:cs="Times New Roman"/>
                <w:b/>
                <w:color w:val="auto"/>
                <w:sz w:val="48"/>
              </w:rPr>
              <w:t xml:space="preserve">Learner’s name: </w:t>
            </w:r>
            <w:r w:rsidRPr="00861DA7">
              <w:rPr>
                <w:rFonts w:ascii="Times New Roman" w:hAnsi="Times New Roman" w:cs="Times New Roman"/>
                <w:bCs/>
                <w:color w:val="auto"/>
                <w:sz w:val="48"/>
              </w:rPr>
              <w:t>Nia Cuffin</w:t>
            </w:r>
          </w:p>
          <w:p w14:paraId="0C436E18" w14:textId="77777777" w:rsidR="00861DA7" w:rsidRPr="00861DA7" w:rsidRDefault="00861DA7" w:rsidP="00861DA7">
            <w:pPr>
              <w:overflowPunct/>
              <w:autoSpaceDE/>
              <w:adjustRightInd/>
              <w:ind w:right="-957"/>
              <w:textAlignment w:val="auto"/>
              <w:rPr>
                <w:rFonts w:ascii="Times New Roman" w:hAnsi="Times New Roman" w:cs="Times New Roman"/>
                <w:b/>
                <w:color w:val="auto"/>
                <w:sz w:val="48"/>
              </w:rPr>
            </w:pPr>
          </w:p>
          <w:p w14:paraId="11E344D2" w14:textId="77777777" w:rsidR="00861DA7" w:rsidRPr="00861DA7" w:rsidRDefault="00861DA7" w:rsidP="00861DA7">
            <w:pPr>
              <w:overflowPunct/>
              <w:autoSpaceDE/>
              <w:adjustRightInd/>
              <w:ind w:right="-957"/>
              <w:textAlignment w:val="auto"/>
              <w:rPr>
                <w:rFonts w:ascii="Times New Roman" w:hAnsi="Times New Roman" w:cs="Times New Roman"/>
                <w:bCs/>
                <w:color w:val="auto"/>
                <w:sz w:val="48"/>
              </w:rPr>
            </w:pPr>
            <w:r w:rsidRPr="00861DA7">
              <w:rPr>
                <w:rFonts w:ascii="Times New Roman" w:hAnsi="Times New Roman" w:cs="Times New Roman"/>
                <w:b/>
                <w:color w:val="auto"/>
                <w:sz w:val="48"/>
              </w:rPr>
              <w:t xml:space="preserve">Email address: </w:t>
            </w:r>
            <w:r w:rsidRPr="00861DA7">
              <w:rPr>
                <w:rFonts w:ascii="Times New Roman" w:hAnsi="Times New Roman" w:cs="Times New Roman"/>
                <w:bCs/>
                <w:color w:val="auto"/>
                <w:sz w:val="48"/>
              </w:rPr>
              <w:t>niacuffin@yahoo.co.uk</w:t>
            </w:r>
          </w:p>
          <w:p w14:paraId="56D3E54F" w14:textId="77777777" w:rsidR="00861DA7" w:rsidRPr="00861DA7" w:rsidRDefault="00861DA7" w:rsidP="00861DA7">
            <w:pPr>
              <w:overflowPunct/>
              <w:autoSpaceDE/>
              <w:adjustRightInd/>
              <w:ind w:right="-957"/>
              <w:textAlignment w:val="auto"/>
              <w:rPr>
                <w:rFonts w:ascii="Times New Roman" w:hAnsi="Times New Roman" w:cs="Times New Roman"/>
                <w:bCs/>
                <w:color w:val="auto"/>
                <w:sz w:val="48"/>
              </w:rPr>
            </w:pPr>
          </w:p>
          <w:p w14:paraId="1A10EA4F" w14:textId="77777777" w:rsidR="00861DA7" w:rsidRPr="00861DA7" w:rsidRDefault="00861DA7" w:rsidP="00861DA7">
            <w:pPr>
              <w:overflowPunct/>
              <w:autoSpaceDE/>
              <w:adjustRightInd/>
              <w:ind w:right="-957"/>
              <w:textAlignment w:val="auto"/>
              <w:rPr>
                <w:rFonts w:ascii="Times New Roman" w:hAnsi="Times New Roman" w:cs="Times New Roman"/>
                <w:b/>
                <w:color w:val="auto"/>
                <w:sz w:val="48"/>
              </w:rPr>
            </w:pPr>
            <w:r w:rsidRPr="00861DA7">
              <w:rPr>
                <w:rFonts w:ascii="Times New Roman" w:hAnsi="Times New Roman" w:cs="Times New Roman"/>
                <w:b/>
                <w:color w:val="auto"/>
                <w:sz w:val="48"/>
              </w:rPr>
              <w:t>Learner’s University Registration Number:</w:t>
            </w:r>
            <w:r w:rsidRPr="00861DA7">
              <w:t xml:space="preserve"> </w:t>
            </w:r>
            <w:r w:rsidRPr="00861DA7">
              <w:rPr>
                <w:rFonts w:ascii="Times New Roman" w:hAnsi="Times New Roman" w:cs="Times New Roman"/>
                <w:bCs/>
                <w:color w:val="auto"/>
                <w:sz w:val="48"/>
              </w:rPr>
              <w:t>2126391</w:t>
            </w:r>
          </w:p>
          <w:p w14:paraId="15F98DAD" w14:textId="77777777" w:rsidR="00861DA7" w:rsidRPr="00861DA7" w:rsidRDefault="00861DA7" w:rsidP="00861DA7">
            <w:pPr>
              <w:overflowPunct/>
              <w:autoSpaceDE/>
              <w:adjustRightInd/>
              <w:ind w:right="-957"/>
              <w:textAlignment w:val="auto"/>
              <w:rPr>
                <w:rFonts w:ascii="Times New Roman" w:hAnsi="Times New Roman" w:cs="Times New Roman"/>
                <w:b/>
                <w:color w:val="auto"/>
                <w:sz w:val="48"/>
              </w:rPr>
            </w:pPr>
          </w:p>
          <w:p w14:paraId="5F84129B" w14:textId="21BCE96F" w:rsidR="0085230E" w:rsidRPr="005D3F07" w:rsidRDefault="00861DA7" w:rsidP="00861DA7">
            <w:pPr>
              <w:overflowPunct/>
              <w:autoSpaceDE/>
              <w:autoSpaceDN/>
              <w:adjustRightInd/>
              <w:ind w:right="-957"/>
              <w:textAlignment w:val="auto"/>
              <w:rPr>
                <w:rFonts w:ascii="Times New Roman" w:hAnsi="Times New Roman" w:cs="Times New Roman"/>
                <w:b/>
                <w:color w:val="auto"/>
                <w:sz w:val="48"/>
              </w:rPr>
            </w:pPr>
            <w:r w:rsidRPr="00861DA7">
              <w:rPr>
                <w:rFonts w:ascii="Times New Roman" w:hAnsi="Times New Roman" w:cs="Times New Roman"/>
                <w:b/>
                <w:color w:val="auto"/>
                <w:sz w:val="48"/>
              </w:rPr>
              <w:t>Cohort: 18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w:t>
      </w:r>
      <w:proofErr w:type="gramStart"/>
      <w:r w:rsidR="00D60F88" w:rsidRPr="00706BB5">
        <w:rPr>
          <w:i/>
          <w:iCs/>
          <w:sz w:val="24"/>
          <w:szCs w:val="24"/>
        </w:rPr>
        <w:t>children</w:t>
      </w:r>
      <w:proofErr w:type="gramEnd"/>
      <w:r w:rsidR="00D60F88" w:rsidRPr="00706BB5">
        <w:rPr>
          <w:i/>
          <w:iCs/>
          <w:sz w:val="24"/>
          <w:szCs w:val="24"/>
        </w:rPr>
        <w:t xml:space="preserve">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0318E819" w14:textId="77777777" w:rsidR="00FC0334" w:rsidRDefault="00FC0334" w:rsidP="00FF7EBB">
            <w:pPr>
              <w:jc w:val="both"/>
              <w:rPr>
                <w:sz w:val="24"/>
                <w:szCs w:val="24"/>
              </w:rPr>
            </w:pPr>
          </w:p>
          <w:p w14:paraId="6D8CB8AF" w14:textId="4052F3E4" w:rsidR="00FC0334" w:rsidRDefault="008A2654" w:rsidP="00FF7EBB">
            <w:pPr>
              <w:jc w:val="both"/>
              <w:rPr>
                <w:sz w:val="24"/>
                <w:szCs w:val="24"/>
              </w:rPr>
            </w:pPr>
            <w:r w:rsidRPr="008A2654">
              <w:rPr>
                <w:sz w:val="24"/>
                <w:szCs w:val="24"/>
              </w:rPr>
              <w:t>500 words (+/- 10%: include your actual word count at the end of each section).</w:t>
            </w:r>
          </w:p>
          <w:p w14:paraId="49633B08" w14:textId="7EDC8D80" w:rsidR="008A2654" w:rsidRDefault="008A2654" w:rsidP="00FF7EBB">
            <w:pPr>
              <w:jc w:val="both"/>
              <w:rPr>
                <w:sz w:val="24"/>
                <w:szCs w:val="24"/>
              </w:rPr>
            </w:pPr>
          </w:p>
          <w:p w14:paraId="1E5F6FA3" w14:textId="77777777" w:rsidR="00E90DF2" w:rsidRPr="00E90DF2" w:rsidRDefault="00E90DF2" w:rsidP="00E90DF2">
            <w:pPr>
              <w:overflowPunct/>
              <w:autoSpaceDE/>
              <w:autoSpaceDN/>
              <w:adjustRightInd/>
              <w:spacing w:after="160" w:line="259" w:lineRule="auto"/>
              <w:textAlignment w:val="auto"/>
              <w:rPr>
                <w:bCs/>
                <w:sz w:val="24"/>
                <w:szCs w:val="24"/>
              </w:rPr>
            </w:pPr>
          </w:p>
          <w:p w14:paraId="4E4A7CAE" w14:textId="77777777" w:rsidR="00E90DF2" w:rsidRPr="00E90DF2" w:rsidRDefault="00E90DF2" w:rsidP="00E90DF2">
            <w:pPr>
              <w:overflowPunct/>
              <w:autoSpaceDE/>
              <w:autoSpaceDN/>
              <w:adjustRightInd/>
              <w:spacing w:after="160" w:line="259" w:lineRule="auto"/>
              <w:textAlignment w:val="auto"/>
              <w:rPr>
                <w:bCs/>
                <w:sz w:val="24"/>
                <w:szCs w:val="24"/>
              </w:rPr>
            </w:pPr>
            <w:r w:rsidRPr="00E90DF2">
              <w:rPr>
                <w:bCs/>
                <w:sz w:val="24"/>
                <w:szCs w:val="24"/>
              </w:rPr>
              <w:t>The Human Rights Act (1998) states that ‘</w:t>
            </w:r>
            <w:r w:rsidRPr="00E90DF2">
              <w:rPr>
                <w:bCs/>
                <w:i/>
                <w:iCs/>
                <w:sz w:val="24"/>
                <w:szCs w:val="24"/>
              </w:rPr>
              <w:t>No one shall be subjected to torture or to inhuman or degrading treatment or punishment’ and the ‘right to enjoy private, family and home life’</w:t>
            </w:r>
            <w:r w:rsidRPr="00E90DF2">
              <w:rPr>
                <w:bCs/>
                <w:sz w:val="24"/>
                <w:szCs w:val="24"/>
              </w:rPr>
              <w:t>.</w:t>
            </w:r>
          </w:p>
          <w:p w14:paraId="1A9E0F75" w14:textId="77777777" w:rsidR="00E90DF2" w:rsidRPr="00E90DF2" w:rsidRDefault="00E90DF2" w:rsidP="00E90DF2">
            <w:pPr>
              <w:overflowPunct/>
              <w:autoSpaceDE/>
              <w:autoSpaceDN/>
              <w:adjustRightInd/>
              <w:spacing w:after="160" w:line="259" w:lineRule="auto"/>
              <w:textAlignment w:val="auto"/>
              <w:rPr>
                <w:bCs/>
                <w:sz w:val="24"/>
                <w:szCs w:val="24"/>
              </w:rPr>
            </w:pPr>
          </w:p>
          <w:p w14:paraId="3CC3B2BA" w14:textId="77777777" w:rsidR="00E90DF2" w:rsidRPr="00E90DF2" w:rsidRDefault="00E90DF2" w:rsidP="00E90DF2">
            <w:pPr>
              <w:overflowPunct/>
              <w:autoSpaceDE/>
              <w:autoSpaceDN/>
              <w:adjustRightInd/>
              <w:spacing w:after="160" w:line="259" w:lineRule="auto"/>
              <w:textAlignment w:val="auto"/>
              <w:rPr>
                <w:bCs/>
                <w:sz w:val="24"/>
                <w:szCs w:val="24"/>
              </w:rPr>
            </w:pPr>
            <w:r w:rsidRPr="00E90DF2">
              <w:rPr>
                <w:bCs/>
                <w:sz w:val="24"/>
                <w:szCs w:val="24"/>
              </w:rPr>
              <w:t xml:space="preserve">The Social Services and Well-being [Wales] Act (2014) introduced the first legal framework for safeguarding adults in Wales (Williams, 2017). Part 7 of the Act focuses on safeguarding. However, it is prevalent through the Act with protection from abuse and neglect forming part of the definition of ‘Well-being’. When exercising safeguarding functions of the Act (2014) due regard is given to the United Nations Principles for Older Persons. </w:t>
            </w:r>
          </w:p>
          <w:p w14:paraId="3AAC5E64" w14:textId="77777777" w:rsidR="00E90DF2" w:rsidRPr="00E90DF2" w:rsidRDefault="00E90DF2" w:rsidP="00E90DF2">
            <w:pPr>
              <w:overflowPunct/>
              <w:autoSpaceDE/>
              <w:autoSpaceDN/>
              <w:adjustRightInd/>
              <w:spacing w:after="160" w:line="259" w:lineRule="auto"/>
              <w:textAlignment w:val="auto"/>
              <w:rPr>
                <w:bCs/>
                <w:sz w:val="24"/>
                <w:szCs w:val="24"/>
              </w:rPr>
            </w:pPr>
          </w:p>
          <w:p w14:paraId="01ADED7C" w14:textId="7D88FA73" w:rsidR="00E90DF2" w:rsidRPr="00E90DF2" w:rsidRDefault="00E90DF2" w:rsidP="00E90DF2">
            <w:pPr>
              <w:overflowPunct/>
              <w:autoSpaceDE/>
              <w:autoSpaceDN/>
              <w:adjustRightInd/>
              <w:spacing w:after="160" w:line="259" w:lineRule="auto"/>
              <w:textAlignment w:val="auto"/>
              <w:rPr>
                <w:bCs/>
                <w:sz w:val="24"/>
                <w:szCs w:val="24"/>
              </w:rPr>
            </w:pPr>
            <w:r w:rsidRPr="00E90DF2">
              <w:rPr>
                <w:bCs/>
                <w:sz w:val="24"/>
                <w:szCs w:val="24"/>
              </w:rPr>
              <w:t>The Act (2014) and its associated Regulations and Codes of Practice imposes duties on practitioners to safeguard ‘</w:t>
            </w:r>
            <w:r w:rsidRPr="004F0C21">
              <w:rPr>
                <w:bCs/>
                <w:i/>
                <w:iCs/>
                <w:sz w:val="24"/>
                <w:szCs w:val="24"/>
              </w:rPr>
              <w:t>adults at risk’</w:t>
            </w:r>
            <w:r w:rsidRPr="00E90DF2">
              <w:rPr>
                <w:bCs/>
                <w:sz w:val="24"/>
                <w:szCs w:val="24"/>
              </w:rPr>
              <w:t xml:space="preserve"> from abuse or neglect (Social Care Wales, 2022). The Wales Safeguarding Procedures guides practitioners on how to use the Act (2014) and the Working Together to Safeguard People Guidance (Welsh Government, 2019). Welsh Government statistics for 2015-2016 show that referrals had increased by 11% from the previous year demonstrating that the implementation of the Act was necessary to safeguard adults in Wales (Williams, 2017).</w:t>
            </w:r>
          </w:p>
          <w:p w14:paraId="087C68A5" w14:textId="77777777" w:rsidR="00E90DF2" w:rsidRPr="00E90DF2" w:rsidRDefault="00E90DF2" w:rsidP="00E90DF2">
            <w:pPr>
              <w:overflowPunct/>
              <w:autoSpaceDE/>
              <w:autoSpaceDN/>
              <w:adjustRightInd/>
              <w:spacing w:after="160" w:line="259" w:lineRule="auto"/>
              <w:textAlignment w:val="auto"/>
              <w:rPr>
                <w:bCs/>
                <w:sz w:val="24"/>
                <w:szCs w:val="24"/>
              </w:rPr>
            </w:pPr>
          </w:p>
          <w:p w14:paraId="27C73712" w14:textId="7938304D" w:rsidR="00E90DF2" w:rsidRPr="004F0C21" w:rsidRDefault="00E90DF2" w:rsidP="00E90DF2">
            <w:pPr>
              <w:overflowPunct/>
              <w:autoSpaceDE/>
              <w:autoSpaceDN/>
              <w:adjustRightInd/>
              <w:spacing w:after="160" w:line="259" w:lineRule="auto"/>
              <w:textAlignment w:val="auto"/>
              <w:rPr>
                <w:bCs/>
                <w:i/>
                <w:iCs/>
                <w:sz w:val="24"/>
                <w:szCs w:val="24"/>
              </w:rPr>
            </w:pPr>
            <w:r w:rsidRPr="00E90DF2">
              <w:rPr>
                <w:bCs/>
                <w:sz w:val="24"/>
                <w:szCs w:val="24"/>
              </w:rPr>
              <w:t xml:space="preserve">The Act (2014) describes an ‘adult at risk’ as </w:t>
            </w:r>
            <w:r w:rsidR="004F0C21">
              <w:rPr>
                <w:bCs/>
                <w:sz w:val="24"/>
                <w:szCs w:val="24"/>
              </w:rPr>
              <w:t>‘</w:t>
            </w:r>
            <w:r w:rsidRPr="004F0C21">
              <w:rPr>
                <w:bCs/>
                <w:i/>
                <w:iCs/>
                <w:sz w:val="24"/>
                <w:szCs w:val="24"/>
              </w:rPr>
              <w:t xml:space="preserve">someone who is aged 18 or over, experiencing or is at risk of abuse or neglect, has care and support need and </w:t>
            </w:r>
            <w:proofErr w:type="gramStart"/>
            <w:r w:rsidRPr="004F0C21">
              <w:rPr>
                <w:bCs/>
                <w:i/>
                <w:iCs/>
                <w:sz w:val="24"/>
                <w:szCs w:val="24"/>
              </w:rPr>
              <w:t>as a result of</w:t>
            </w:r>
            <w:proofErr w:type="gramEnd"/>
            <w:r w:rsidRPr="004F0C21">
              <w:rPr>
                <w:bCs/>
                <w:i/>
                <w:iCs/>
                <w:sz w:val="24"/>
                <w:szCs w:val="24"/>
              </w:rPr>
              <w:t xml:space="preserve"> those needs is unable to protect themselves</w:t>
            </w:r>
            <w:r w:rsidR="004F0C21">
              <w:rPr>
                <w:bCs/>
                <w:sz w:val="24"/>
                <w:szCs w:val="24"/>
              </w:rPr>
              <w:t>’</w:t>
            </w:r>
            <w:r w:rsidRPr="00E90DF2">
              <w:rPr>
                <w:bCs/>
                <w:sz w:val="24"/>
                <w:szCs w:val="24"/>
              </w:rPr>
              <w:t xml:space="preserve"> (United Kingdom Government, 2014). ‘</w:t>
            </w:r>
            <w:r w:rsidRPr="004F0C21">
              <w:rPr>
                <w:bCs/>
                <w:i/>
                <w:iCs/>
                <w:sz w:val="24"/>
                <w:szCs w:val="24"/>
              </w:rPr>
              <w:t>Abus</w:t>
            </w:r>
            <w:r w:rsidRPr="00E90DF2">
              <w:rPr>
                <w:bCs/>
                <w:sz w:val="24"/>
                <w:szCs w:val="24"/>
              </w:rPr>
              <w:t xml:space="preserve">e’ is defined as </w:t>
            </w:r>
            <w:r w:rsidR="004F0C21">
              <w:rPr>
                <w:bCs/>
                <w:sz w:val="24"/>
                <w:szCs w:val="24"/>
              </w:rPr>
              <w:lastRenderedPageBreak/>
              <w:t>‘</w:t>
            </w:r>
            <w:r w:rsidRPr="004F0C21">
              <w:rPr>
                <w:bCs/>
                <w:i/>
                <w:iCs/>
                <w:sz w:val="24"/>
                <w:szCs w:val="24"/>
              </w:rPr>
              <w:t>physical, sexual, psychological, emotional or financial abuse</w:t>
            </w:r>
            <w:r w:rsidR="004F0C21">
              <w:rPr>
                <w:bCs/>
                <w:sz w:val="24"/>
                <w:szCs w:val="24"/>
              </w:rPr>
              <w:t>’</w:t>
            </w:r>
            <w:r w:rsidRPr="00E90DF2">
              <w:rPr>
                <w:bCs/>
                <w:sz w:val="24"/>
                <w:szCs w:val="24"/>
              </w:rPr>
              <w:t>. In addition, ‘</w:t>
            </w:r>
            <w:r w:rsidRPr="004F0C21">
              <w:rPr>
                <w:bCs/>
                <w:i/>
                <w:iCs/>
                <w:sz w:val="24"/>
                <w:szCs w:val="24"/>
              </w:rPr>
              <w:t>neglect</w:t>
            </w:r>
            <w:r w:rsidRPr="00E90DF2">
              <w:rPr>
                <w:bCs/>
                <w:sz w:val="24"/>
                <w:szCs w:val="24"/>
              </w:rPr>
              <w:t xml:space="preserve">” is </w:t>
            </w:r>
            <w:r w:rsidR="004F0C21">
              <w:rPr>
                <w:bCs/>
                <w:sz w:val="24"/>
                <w:szCs w:val="24"/>
              </w:rPr>
              <w:t>‘</w:t>
            </w:r>
            <w:r w:rsidRPr="004F0C21">
              <w:rPr>
                <w:bCs/>
                <w:i/>
                <w:iCs/>
                <w:sz w:val="24"/>
                <w:szCs w:val="24"/>
              </w:rPr>
              <w:t>the failure to meet a person's basic physical, emotional, social or psychological needs, which is likely to result in an impairment of the person's well-being</w:t>
            </w:r>
            <w:r w:rsidR="004F0C21" w:rsidRPr="004F0C21">
              <w:rPr>
                <w:bCs/>
                <w:i/>
                <w:iCs/>
                <w:sz w:val="24"/>
                <w:szCs w:val="24"/>
              </w:rPr>
              <w:t>’</w:t>
            </w:r>
            <w:r w:rsidRPr="004F0C21">
              <w:rPr>
                <w:bCs/>
                <w:i/>
                <w:iCs/>
                <w:sz w:val="24"/>
                <w:szCs w:val="24"/>
              </w:rPr>
              <w:t>.</w:t>
            </w:r>
          </w:p>
          <w:p w14:paraId="20986FB2" w14:textId="77777777" w:rsidR="00E90DF2" w:rsidRPr="00E90DF2" w:rsidRDefault="00E90DF2" w:rsidP="00E90DF2">
            <w:pPr>
              <w:overflowPunct/>
              <w:autoSpaceDE/>
              <w:autoSpaceDN/>
              <w:adjustRightInd/>
              <w:spacing w:after="160" w:line="259" w:lineRule="auto"/>
              <w:textAlignment w:val="auto"/>
              <w:rPr>
                <w:bCs/>
                <w:sz w:val="24"/>
                <w:szCs w:val="24"/>
              </w:rPr>
            </w:pPr>
          </w:p>
          <w:p w14:paraId="1301B2CE" w14:textId="7ECC35AA" w:rsidR="00E90DF2" w:rsidRPr="00E90DF2" w:rsidRDefault="00E90DF2" w:rsidP="00E90DF2">
            <w:pPr>
              <w:overflowPunct/>
              <w:autoSpaceDE/>
              <w:autoSpaceDN/>
              <w:adjustRightInd/>
              <w:spacing w:after="160" w:line="259" w:lineRule="auto"/>
              <w:textAlignment w:val="auto"/>
              <w:rPr>
                <w:bCs/>
                <w:sz w:val="24"/>
                <w:szCs w:val="24"/>
              </w:rPr>
            </w:pPr>
            <w:r w:rsidRPr="00E90DF2">
              <w:rPr>
                <w:bCs/>
                <w:sz w:val="24"/>
                <w:szCs w:val="24"/>
              </w:rPr>
              <w:t>Relevant partners of a Local Authority must inform the Local Authority if they suspect that a person is an adult at risk (United Kingdom Government, 2014). Where there is reasonable cause to suspect that an adult is at risk, the Local Authority must then make all necessary enquiries to decide what action is needed. The Act does not specify how the enquiry should be undertaken; however, it is a requirement of the Act that the findings must be recorded in a care and support plan.</w:t>
            </w:r>
          </w:p>
          <w:p w14:paraId="43354E55" w14:textId="77777777" w:rsidR="00E90DF2" w:rsidRPr="00E90DF2" w:rsidRDefault="00E90DF2" w:rsidP="00E90DF2">
            <w:pPr>
              <w:overflowPunct/>
              <w:autoSpaceDE/>
              <w:autoSpaceDN/>
              <w:adjustRightInd/>
              <w:spacing w:after="160" w:line="259" w:lineRule="auto"/>
              <w:textAlignment w:val="auto"/>
              <w:rPr>
                <w:bCs/>
                <w:sz w:val="24"/>
                <w:szCs w:val="24"/>
              </w:rPr>
            </w:pPr>
          </w:p>
          <w:p w14:paraId="6F0AEBA1" w14:textId="1E9461F4" w:rsidR="00E90DF2" w:rsidRDefault="00E90DF2" w:rsidP="00E90DF2">
            <w:pPr>
              <w:overflowPunct/>
              <w:autoSpaceDE/>
              <w:autoSpaceDN/>
              <w:adjustRightInd/>
              <w:spacing w:after="160" w:line="259" w:lineRule="auto"/>
              <w:textAlignment w:val="auto"/>
              <w:rPr>
                <w:bCs/>
                <w:sz w:val="24"/>
                <w:szCs w:val="24"/>
              </w:rPr>
            </w:pPr>
            <w:r w:rsidRPr="00E90DF2">
              <w:rPr>
                <w:bCs/>
                <w:sz w:val="24"/>
                <w:szCs w:val="24"/>
              </w:rPr>
              <w:t xml:space="preserve">The purpose of the Mental Capacity Act (2005) is to empower and protect a person aged 16 and over who are in receipt of care, treatment and support and are unable to make all or some decisions for themselves (NHS, 2021). Its main principles are to always assume capacity and a person has the right to make unwise decisions. If a person is deemed to lack capacity to make a particular decision a best interest meeting is held to decide what is in their best interests. Consideration is given to future capacity, past and present wishes and feelings, </w:t>
            </w:r>
            <w:proofErr w:type="gramStart"/>
            <w:r w:rsidRPr="00E90DF2">
              <w:rPr>
                <w:bCs/>
                <w:sz w:val="24"/>
                <w:szCs w:val="24"/>
              </w:rPr>
              <w:t>beliefs</w:t>
            </w:r>
            <w:proofErr w:type="gramEnd"/>
            <w:r w:rsidRPr="00E90DF2">
              <w:rPr>
                <w:bCs/>
                <w:sz w:val="24"/>
                <w:szCs w:val="24"/>
              </w:rPr>
              <w:t xml:space="preserve"> and values likely to influence their decision (Social Care Wales, 2018). </w:t>
            </w:r>
          </w:p>
          <w:p w14:paraId="3D7E7D4C" w14:textId="77777777" w:rsidR="00E90DF2" w:rsidRPr="00E90DF2" w:rsidRDefault="00E90DF2" w:rsidP="00E90DF2">
            <w:pPr>
              <w:overflowPunct/>
              <w:autoSpaceDE/>
              <w:autoSpaceDN/>
              <w:adjustRightInd/>
              <w:spacing w:after="160" w:line="259" w:lineRule="auto"/>
              <w:textAlignment w:val="auto"/>
              <w:rPr>
                <w:bCs/>
                <w:sz w:val="24"/>
                <w:szCs w:val="24"/>
              </w:rPr>
            </w:pPr>
          </w:p>
          <w:p w14:paraId="10FE726E" w14:textId="77777777" w:rsidR="00E90DF2" w:rsidRPr="00E90DF2" w:rsidRDefault="00E90DF2" w:rsidP="00E90DF2">
            <w:pPr>
              <w:overflowPunct/>
              <w:autoSpaceDE/>
              <w:autoSpaceDN/>
              <w:adjustRightInd/>
              <w:spacing w:after="160" w:line="259" w:lineRule="auto"/>
              <w:textAlignment w:val="auto"/>
              <w:rPr>
                <w:bCs/>
                <w:sz w:val="24"/>
                <w:szCs w:val="24"/>
              </w:rPr>
            </w:pPr>
            <w:r w:rsidRPr="00E90DF2">
              <w:rPr>
                <w:bCs/>
                <w:sz w:val="24"/>
                <w:szCs w:val="24"/>
              </w:rPr>
              <w:t>Language preference is vital to the assessment process and therefore the Active Offer must be embedded in practice (Welsh Government, 2022).</w:t>
            </w:r>
          </w:p>
          <w:p w14:paraId="0C78B204" w14:textId="77777777" w:rsidR="00E90DF2" w:rsidRPr="00E90DF2" w:rsidRDefault="00E90DF2" w:rsidP="00E90DF2">
            <w:pPr>
              <w:overflowPunct/>
              <w:autoSpaceDE/>
              <w:autoSpaceDN/>
              <w:adjustRightInd/>
              <w:spacing w:after="160" w:line="259" w:lineRule="auto"/>
              <w:textAlignment w:val="auto"/>
              <w:rPr>
                <w:bCs/>
                <w:sz w:val="24"/>
                <w:szCs w:val="24"/>
              </w:rPr>
            </w:pPr>
          </w:p>
          <w:p w14:paraId="3735437B" w14:textId="3899942B" w:rsidR="00922D23" w:rsidRDefault="00E90DF2" w:rsidP="00E90DF2">
            <w:pPr>
              <w:overflowPunct/>
              <w:autoSpaceDE/>
              <w:autoSpaceDN/>
              <w:adjustRightInd/>
              <w:spacing w:after="160" w:line="259" w:lineRule="auto"/>
              <w:textAlignment w:val="auto"/>
              <w:rPr>
                <w:bCs/>
                <w:sz w:val="24"/>
                <w:szCs w:val="24"/>
              </w:rPr>
            </w:pPr>
            <w:r w:rsidRPr="00E90DF2">
              <w:rPr>
                <w:bCs/>
                <w:sz w:val="24"/>
                <w:szCs w:val="24"/>
              </w:rPr>
              <w:t>Safeguarding Adults drive the strategic regional approach of social services in close collaboration with health (Welsh Government, 2021). The National Safeguarding Training Standards (2022) provide consistency in safeguarding training, learning and development for practitioners across Wales.</w:t>
            </w:r>
          </w:p>
          <w:p w14:paraId="76D5FB00" w14:textId="77777777" w:rsidR="00E90DF2" w:rsidRPr="00922D23" w:rsidRDefault="00E90DF2" w:rsidP="00E90DF2">
            <w:pPr>
              <w:overflowPunct/>
              <w:autoSpaceDE/>
              <w:autoSpaceDN/>
              <w:adjustRightInd/>
              <w:spacing w:after="160" w:line="259" w:lineRule="auto"/>
              <w:textAlignment w:val="auto"/>
              <w:rPr>
                <w:bCs/>
                <w:sz w:val="24"/>
                <w:szCs w:val="24"/>
              </w:rPr>
            </w:pPr>
          </w:p>
          <w:p w14:paraId="03BD6D93" w14:textId="097E8DCB" w:rsidR="00906D64" w:rsidRPr="00906D64" w:rsidRDefault="00906D64" w:rsidP="00906D64">
            <w:pPr>
              <w:overflowPunct/>
              <w:autoSpaceDE/>
              <w:autoSpaceDN/>
              <w:adjustRightInd/>
              <w:spacing w:after="160" w:line="259" w:lineRule="auto"/>
              <w:textAlignment w:val="auto"/>
              <w:rPr>
                <w:bCs/>
                <w:sz w:val="24"/>
                <w:szCs w:val="24"/>
              </w:rPr>
            </w:pPr>
            <w:r w:rsidRPr="00906D64">
              <w:rPr>
                <w:b/>
                <w:sz w:val="24"/>
                <w:szCs w:val="24"/>
              </w:rPr>
              <w:t xml:space="preserve">Word count: </w:t>
            </w:r>
            <w:r w:rsidR="00E90DF2" w:rsidRPr="00E90DF2">
              <w:rPr>
                <w:bCs/>
                <w:sz w:val="24"/>
                <w:szCs w:val="24"/>
              </w:rPr>
              <w:t>52</w:t>
            </w:r>
            <w:r w:rsidR="004F0C21">
              <w:rPr>
                <w:bCs/>
                <w:sz w:val="24"/>
                <w:szCs w:val="24"/>
              </w:rPr>
              <w:t>2</w:t>
            </w: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BA3DD84" w14:textId="68813884"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40621C56" w14:textId="77777777" w:rsidR="008D74E2" w:rsidRDefault="008D74E2" w:rsidP="00FC0334">
            <w:pPr>
              <w:jc w:val="both"/>
              <w:rPr>
                <w:i/>
                <w:sz w:val="24"/>
                <w:szCs w:val="24"/>
              </w:rPr>
            </w:pPr>
          </w:p>
          <w:p w14:paraId="5470ED10" w14:textId="0B435E80" w:rsidR="008D74E2" w:rsidRDefault="008D74E2" w:rsidP="00FC0334">
            <w:pPr>
              <w:jc w:val="both"/>
              <w:rPr>
                <w:i/>
                <w:sz w:val="24"/>
                <w:szCs w:val="24"/>
              </w:rPr>
            </w:pPr>
          </w:p>
          <w:p w14:paraId="677D5C50" w14:textId="77777777" w:rsidR="008D74E2" w:rsidRPr="008D74E2" w:rsidRDefault="008D74E2" w:rsidP="008D74E2">
            <w:pPr>
              <w:jc w:val="both"/>
              <w:rPr>
                <w:iCs/>
                <w:sz w:val="24"/>
                <w:szCs w:val="24"/>
              </w:rPr>
            </w:pPr>
            <w:r w:rsidRPr="008D74E2">
              <w:rPr>
                <w:iCs/>
                <w:sz w:val="24"/>
                <w:szCs w:val="24"/>
              </w:rPr>
              <w:lastRenderedPageBreak/>
              <w:t>Safeguarding is the concept of protecting children and adults from abuse or neglect and educating people to recognise the signs and dangers (Social Care Wales, 2022). The Social Services and Well Being [Wales] Act (2014) provides the framework for care and support of both children and adults in Wales. The Act defines an ‘adult at risk’ and ‘child risk’ as an individual who is experiencing or is at risk of abuse or neglect and has needs for care and support. However, in the case of an adult at risk the Act (2014) goes further stating that ‘as a result of those needs is unable to protect himself or herself against the abuse or neglect or the risk of it’.</w:t>
            </w:r>
          </w:p>
          <w:p w14:paraId="4F4B4AEB" w14:textId="77777777" w:rsidR="008D74E2" w:rsidRPr="008D74E2" w:rsidRDefault="008D74E2" w:rsidP="008D74E2">
            <w:pPr>
              <w:jc w:val="both"/>
              <w:rPr>
                <w:iCs/>
                <w:sz w:val="24"/>
                <w:szCs w:val="24"/>
              </w:rPr>
            </w:pPr>
          </w:p>
          <w:p w14:paraId="1685FBC1" w14:textId="77777777" w:rsidR="008D74E2" w:rsidRPr="008D74E2" w:rsidRDefault="008D74E2" w:rsidP="008D74E2">
            <w:pPr>
              <w:jc w:val="both"/>
              <w:rPr>
                <w:iCs/>
                <w:sz w:val="24"/>
                <w:szCs w:val="24"/>
              </w:rPr>
            </w:pPr>
            <w:r w:rsidRPr="008D74E2">
              <w:rPr>
                <w:iCs/>
                <w:sz w:val="24"/>
                <w:szCs w:val="24"/>
              </w:rPr>
              <w:t>Whilst the Act (2014) places a duty on Local Authorities to make enquiries where there is reasonable cause to suspect an adult at risk, it is the Children Act (1989) and Children Act (2004) that are the principal pieces of legislation which makes provision about the safeguarding and promotion of the welfare of children. Section 47 of The Children Act (1989) imposes a duty on practitioners to investigate where there is reasonable cause to suspect that a is suffering, or is likely to suffer, significant harm.</w:t>
            </w:r>
          </w:p>
          <w:p w14:paraId="2D17E18C" w14:textId="77777777" w:rsidR="008D74E2" w:rsidRPr="008D74E2" w:rsidRDefault="008D74E2" w:rsidP="008D74E2">
            <w:pPr>
              <w:jc w:val="both"/>
              <w:rPr>
                <w:iCs/>
                <w:sz w:val="24"/>
                <w:szCs w:val="24"/>
              </w:rPr>
            </w:pPr>
          </w:p>
          <w:p w14:paraId="083487D0" w14:textId="77777777" w:rsidR="008D74E2" w:rsidRPr="008D74E2" w:rsidRDefault="008D74E2" w:rsidP="008D74E2">
            <w:pPr>
              <w:jc w:val="both"/>
              <w:rPr>
                <w:iCs/>
                <w:sz w:val="24"/>
                <w:szCs w:val="24"/>
              </w:rPr>
            </w:pPr>
            <w:r w:rsidRPr="008D74E2">
              <w:rPr>
                <w:iCs/>
                <w:sz w:val="24"/>
                <w:szCs w:val="24"/>
              </w:rPr>
              <w:t>Capacity and consent are two big differences between children and adult work. The Mental Capacity Act (2005) protects and empowers adults with the concept that capacity is presumed and that they can make unwise decisions. Children, on the other hand, are presumed to lack capacity because of their age and therefore need protecting (</w:t>
            </w:r>
            <w:proofErr w:type="spellStart"/>
            <w:r w:rsidRPr="008D74E2">
              <w:rPr>
                <w:iCs/>
                <w:sz w:val="24"/>
                <w:szCs w:val="24"/>
              </w:rPr>
              <w:t>Mantell</w:t>
            </w:r>
            <w:proofErr w:type="spellEnd"/>
            <w:r w:rsidRPr="008D74E2">
              <w:rPr>
                <w:iCs/>
                <w:sz w:val="24"/>
                <w:szCs w:val="24"/>
              </w:rPr>
              <w:t xml:space="preserve"> et al, 2008).</w:t>
            </w:r>
          </w:p>
          <w:p w14:paraId="624AE2C5" w14:textId="77777777" w:rsidR="008D74E2" w:rsidRPr="008D74E2" w:rsidRDefault="008D74E2" w:rsidP="008D74E2">
            <w:pPr>
              <w:jc w:val="both"/>
              <w:rPr>
                <w:iCs/>
                <w:sz w:val="24"/>
                <w:szCs w:val="24"/>
              </w:rPr>
            </w:pPr>
          </w:p>
          <w:p w14:paraId="6DEA7FD9" w14:textId="0EE5D6CD" w:rsidR="008D74E2" w:rsidRDefault="008D74E2" w:rsidP="008D74E2">
            <w:pPr>
              <w:jc w:val="both"/>
              <w:rPr>
                <w:iCs/>
                <w:sz w:val="24"/>
                <w:szCs w:val="24"/>
              </w:rPr>
            </w:pPr>
            <w:r w:rsidRPr="008D74E2">
              <w:rPr>
                <w:iCs/>
                <w:sz w:val="24"/>
                <w:szCs w:val="24"/>
              </w:rPr>
              <w:t xml:space="preserve">Similarly, an adult </w:t>
            </w:r>
            <w:proofErr w:type="gramStart"/>
            <w:r w:rsidRPr="008D74E2">
              <w:rPr>
                <w:iCs/>
                <w:sz w:val="24"/>
                <w:szCs w:val="24"/>
              </w:rPr>
              <w:t>is considered to be</w:t>
            </w:r>
            <w:proofErr w:type="gramEnd"/>
            <w:r w:rsidRPr="008D74E2">
              <w:rPr>
                <w:iCs/>
                <w:sz w:val="24"/>
                <w:szCs w:val="24"/>
              </w:rPr>
              <w:t xml:space="preserve"> able to give informed consent (which is assessed by age and mental capacity) (</w:t>
            </w:r>
            <w:proofErr w:type="spellStart"/>
            <w:r w:rsidRPr="008D74E2">
              <w:rPr>
                <w:iCs/>
                <w:sz w:val="24"/>
                <w:szCs w:val="24"/>
              </w:rPr>
              <w:t>Mantell</w:t>
            </w:r>
            <w:proofErr w:type="spellEnd"/>
            <w:r w:rsidRPr="008D74E2">
              <w:rPr>
                <w:iCs/>
                <w:sz w:val="24"/>
                <w:szCs w:val="24"/>
              </w:rPr>
              <w:t xml:space="preserve"> et al, 2008). However, it is the parent who gives consent on behalf of their child. Case law demonstrates that historically children have had to evidence their capacity to make their own decision. In the 1980’s there was a legal case which looked at whether doctors should be able to give contraceptive advice or treatment to young people under 16-years-old without parental consent. (NSPCC 2022). Gillick competency and Fraser guidelines are two guidelines which are now used to balance the need to listen to children's wishes with the responsibility to keep them safe. Gillick competency applies mainly to medical </w:t>
            </w:r>
            <w:proofErr w:type="gramStart"/>
            <w:r w:rsidRPr="008D74E2">
              <w:rPr>
                <w:iCs/>
                <w:sz w:val="24"/>
                <w:szCs w:val="24"/>
              </w:rPr>
              <w:t>advice</w:t>
            </w:r>
            <w:proofErr w:type="gramEnd"/>
            <w:r w:rsidRPr="008D74E2">
              <w:rPr>
                <w:iCs/>
                <w:sz w:val="24"/>
                <w:szCs w:val="24"/>
              </w:rPr>
              <w:t xml:space="preserve"> but it is also used by practitioners in other settings. The Fraser guidelines apply specifically to advice and treatment about contraception and sexual health. </w:t>
            </w:r>
          </w:p>
          <w:p w14:paraId="226E3BDC" w14:textId="77777777" w:rsidR="008D74E2" w:rsidRPr="008D74E2" w:rsidRDefault="008D74E2" w:rsidP="008D74E2">
            <w:pPr>
              <w:jc w:val="both"/>
              <w:rPr>
                <w:iCs/>
                <w:sz w:val="24"/>
                <w:szCs w:val="24"/>
              </w:rPr>
            </w:pPr>
          </w:p>
          <w:p w14:paraId="58379154" w14:textId="77777777" w:rsidR="008D74E2" w:rsidRPr="008D74E2" w:rsidRDefault="008D74E2" w:rsidP="008D74E2">
            <w:pPr>
              <w:jc w:val="both"/>
              <w:rPr>
                <w:iCs/>
                <w:sz w:val="24"/>
                <w:szCs w:val="24"/>
              </w:rPr>
            </w:pPr>
          </w:p>
          <w:p w14:paraId="66CF3A20" w14:textId="79FB2209" w:rsidR="008D74E2" w:rsidRDefault="008D74E2" w:rsidP="008D74E2">
            <w:pPr>
              <w:jc w:val="both"/>
              <w:rPr>
                <w:iCs/>
                <w:sz w:val="24"/>
                <w:szCs w:val="24"/>
              </w:rPr>
            </w:pPr>
            <w:r w:rsidRPr="008D74E2">
              <w:rPr>
                <w:b/>
                <w:bCs/>
                <w:iCs/>
                <w:sz w:val="24"/>
                <w:szCs w:val="24"/>
              </w:rPr>
              <w:t>Word Count:</w:t>
            </w:r>
            <w:r w:rsidRPr="008D74E2">
              <w:rPr>
                <w:iCs/>
                <w:sz w:val="24"/>
                <w:szCs w:val="24"/>
              </w:rPr>
              <w:t xml:space="preserve"> 407</w:t>
            </w:r>
          </w:p>
          <w:p w14:paraId="08760B3D" w14:textId="77777777" w:rsidR="00FC0334" w:rsidRPr="006108C9" w:rsidRDefault="00FC0334" w:rsidP="00922D23">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0C21"/>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0AE4"/>
    <w:rsid w:val="00521123"/>
    <w:rsid w:val="00521221"/>
    <w:rsid w:val="0052250B"/>
    <w:rsid w:val="005305C6"/>
    <w:rsid w:val="00540EEC"/>
    <w:rsid w:val="005414F4"/>
    <w:rsid w:val="00546187"/>
    <w:rsid w:val="00547B11"/>
    <w:rsid w:val="00551A73"/>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2B5C"/>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07C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1DA7"/>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265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4E2"/>
    <w:rsid w:val="008D778A"/>
    <w:rsid w:val="008D78C9"/>
    <w:rsid w:val="008E3195"/>
    <w:rsid w:val="008E5A35"/>
    <w:rsid w:val="008F127E"/>
    <w:rsid w:val="008F32D9"/>
    <w:rsid w:val="00902A65"/>
    <w:rsid w:val="00903932"/>
    <w:rsid w:val="00906D64"/>
    <w:rsid w:val="009079BD"/>
    <w:rsid w:val="00912BD9"/>
    <w:rsid w:val="00916FB2"/>
    <w:rsid w:val="00920E5B"/>
    <w:rsid w:val="00922D23"/>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4D6A"/>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7CB"/>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524"/>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0F83"/>
    <w:rsid w:val="00E6746C"/>
    <w:rsid w:val="00E7086E"/>
    <w:rsid w:val="00E71248"/>
    <w:rsid w:val="00E73C41"/>
    <w:rsid w:val="00E75911"/>
    <w:rsid w:val="00E7598F"/>
    <w:rsid w:val="00E76F60"/>
    <w:rsid w:val="00E812B5"/>
    <w:rsid w:val="00E83D90"/>
    <w:rsid w:val="00E83F91"/>
    <w:rsid w:val="00E86299"/>
    <w:rsid w:val="00E90DF2"/>
    <w:rsid w:val="00E9107A"/>
    <w:rsid w:val="00E91F62"/>
    <w:rsid w:val="00E929FD"/>
    <w:rsid w:val="00E93240"/>
    <w:rsid w:val="00E94367"/>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20C4"/>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4A65"/>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8A26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89494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1136</Words>
  <Characters>5929</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Nia Cuffin</cp:lastModifiedBy>
  <cp:revision>2</cp:revision>
  <cp:lastPrinted>2020-02-11T19:20:00Z</cp:lastPrinted>
  <dcterms:created xsi:type="dcterms:W3CDTF">2023-02-22T21:40:00Z</dcterms:created>
  <dcterms:modified xsi:type="dcterms:W3CDTF">2023-02-22T21:40:00Z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