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12B0F" w14:textId="7E3D704B" w:rsidR="001E23F2" w:rsidRDefault="001E23F2" w:rsidP="001E23F2">
      <w:pPr>
        <w:spacing w:line="276" w:lineRule="auto"/>
        <w:rPr>
          <w:sz w:val="32"/>
          <w:szCs w:val="32"/>
          <w:lang w:val="en-US"/>
        </w:rPr>
      </w:pPr>
    </w:p>
    <w:p w14:paraId="1609DD6B" w14:textId="13800234" w:rsidR="001E23F2" w:rsidRDefault="001E23F2" w:rsidP="001E23F2">
      <w:pPr>
        <w:spacing w:line="276" w:lineRule="auto"/>
        <w:rPr>
          <w:sz w:val="32"/>
          <w:szCs w:val="32"/>
          <w:lang w:val="en-US"/>
        </w:rPr>
      </w:pPr>
    </w:p>
    <w:p w14:paraId="30E13E70" w14:textId="4C251558" w:rsidR="001E23F2" w:rsidRDefault="001E23F2" w:rsidP="001E23F2">
      <w:pPr>
        <w:spacing w:line="276" w:lineRule="auto"/>
        <w:rPr>
          <w:sz w:val="32"/>
          <w:szCs w:val="32"/>
          <w:lang w:val="en-US"/>
        </w:rPr>
      </w:pPr>
    </w:p>
    <w:p w14:paraId="45B0B5D2" w14:textId="59C485E3" w:rsidR="001E23F2" w:rsidRDefault="001E23F2" w:rsidP="001E23F2">
      <w:pPr>
        <w:spacing w:line="276" w:lineRule="auto"/>
        <w:rPr>
          <w:sz w:val="32"/>
          <w:szCs w:val="32"/>
          <w:lang w:val="en-US"/>
        </w:rPr>
      </w:pPr>
    </w:p>
    <w:p w14:paraId="63513D2A" w14:textId="3EA45D15" w:rsidR="001E23F2" w:rsidRDefault="001E23F2" w:rsidP="001E23F2">
      <w:pPr>
        <w:spacing w:line="276" w:lineRule="auto"/>
        <w:rPr>
          <w:sz w:val="32"/>
          <w:szCs w:val="32"/>
          <w:lang w:val="en-US"/>
        </w:rPr>
      </w:pPr>
    </w:p>
    <w:p w14:paraId="4293CCE4" w14:textId="77777777" w:rsidR="001E23F2" w:rsidRDefault="001E23F2" w:rsidP="001E23F2">
      <w:pPr>
        <w:spacing w:line="276" w:lineRule="auto"/>
        <w:rPr>
          <w:sz w:val="32"/>
          <w:szCs w:val="32"/>
          <w:lang w:val="en-US"/>
        </w:rPr>
      </w:pPr>
    </w:p>
    <w:p w14:paraId="49854A54" w14:textId="19815774" w:rsidR="001E23F2" w:rsidRDefault="001E23F2" w:rsidP="001E23F2">
      <w:pPr>
        <w:spacing w:line="276" w:lineRule="auto"/>
        <w:rPr>
          <w:sz w:val="32"/>
          <w:szCs w:val="32"/>
          <w:lang w:val="en-US"/>
        </w:rPr>
      </w:pPr>
    </w:p>
    <w:p w14:paraId="1204B5F0" w14:textId="77777777" w:rsidR="001E23F2" w:rsidRDefault="001E23F2" w:rsidP="001E23F2">
      <w:pPr>
        <w:spacing w:line="276" w:lineRule="auto"/>
        <w:rPr>
          <w:sz w:val="32"/>
          <w:szCs w:val="32"/>
          <w:lang w:val="en-US"/>
        </w:rPr>
      </w:pPr>
    </w:p>
    <w:p w14:paraId="6A4DA8ED" w14:textId="77777777" w:rsidR="001E23F2" w:rsidRDefault="001E23F2" w:rsidP="001E23F2">
      <w:pPr>
        <w:spacing w:line="276" w:lineRule="auto"/>
        <w:rPr>
          <w:sz w:val="32"/>
          <w:szCs w:val="32"/>
          <w:lang w:val="en-US"/>
        </w:rPr>
      </w:pPr>
      <w:r w:rsidRPr="00353004">
        <w:rPr>
          <w:sz w:val="32"/>
          <w:szCs w:val="32"/>
          <w:lang w:val="en-US"/>
        </w:rPr>
        <w:t>TITLE: LEGAL ISSUES – FIRE SAFETY IN THE HOTEL INDUSTRY</w:t>
      </w:r>
    </w:p>
    <w:p w14:paraId="40567B11" w14:textId="77777777" w:rsidR="001E23F2" w:rsidRDefault="001E23F2" w:rsidP="001E23F2">
      <w:pPr>
        <w:spacing w:line="276" w:lineRule="auto"/>
        <w:rPr>
          <w:sz w:val="32"/>
          <w:szCs w:val="32"/>
          <w:lang w:val="en-US"/>
        </w:rPr>
      </w:pPr>
    </w:p>
    <w:p w14:paraId="50BC1564" w14:textId="77777777" w:rsidR="001E23F2" w:rsidRDefault="001E23F2" w:rsidP="001E23F2">
      <w:pPr>
        <w:spacing w:line="276" w:lineRule="auto"/>
        <w:rPr>
          <w:sz w:val="32"/>
          <w:szCs w:val="32"/>
          <w:lang w:val="en-US"/>
        </w:rPr>
      </w:pPr>
    </w:p>
    <w:p w14:paraId="5A8D6B7A" w14:textId="77777777" w:rsidR="001E23F2" w:rsidRDefault="001E23F2" w:rsidP="001E23F2">
      <w:pPr>
        <w:spacing w:line="276" w:lineRule="auto"/>
        <w:rPr>
          <w:sz w:val="32"/>
          <w:szCs w:val="32"/>
          <w:lang w:val="en-US"/>
        </w:rPr>
      </w:pPr>
    </w:p>
    <w:p w14:paraId="7E611277" w14:textId="77777777" w:rsidR="001E23F2" w:rsidRDefault="001E23F2" w:rsidP="001E23F2">
      <w:pPr>
        <w:spacing w:line="276" w:lineRule="auto"/>
        <w:rPr>
          <w:sz w:val="32"/>
          <w:szCs w:val="32"/>
          <w:lang w:val="en-US"/>
        </w:rPr>
      </w:pPr>
    </w:p>
    <w:p w14:paraId="6D0E55B1" w14:textId="77777777" w:rsidR="001E23F2" w:rsidRDefault="001E23F2" w:rsidP="001E23F2">
      <w:pPr>
        <w:spacing w:line="276" w:lineRule="auto"/>
        <w:rPr>
          <w:sz w:val="32"/>
          <w:szCs w:val="32"/>
          <w:lang w:val="en-US"/>
        </w:rPr>
      </w:pPr>
    </w:p>
    <w:p w14:paraId="59FA47E2" w14:textId="77777777" w:rsidR="001E23F2" w:rsidRDefault="001E23F2" w:rsidP="001E23F2">
      <w:pPr>
        <w:spacing w:line="276" w:lineRule="auto"/>
        <w:rPr>
          <w:sz w:val="32"/>
          <w:szCs w:val="32"/>
          <w:lang w:val="en-US"/>
        </w:rPr>
      </w:pPr>
    </w:p>
    <w:p w14:paraId="71A4882F" w14:textId="77777777" w:rsidR="001E23F2" w:rsidRDefault="001E23F2" w:rsidP="001E23F2">
      <w:pPr>
        <w:spacing w:line="276" w:lineRule="auto"/>
        <w:rPr>
          <w:sz w:val="32"/>
          <w:szCs w:val="32"/>
          <w:lang w:val="en-US"/>
        </w:rPr>
      </w:pPr>
    </w:p>
    <w:p w14:paraId="5009602B" w14:textId="77777777" w:rsidR="001E23F2" w:rsidRDefault="001E23F2" w:rsidP="001E23F2">
      <w:pPr>
        <w:spacing w:line="276" w:lineRule="auto"/>
        <w:rPr>
          <w:sz w:val="32"/>
          <w:szCs w:val="32"/>
          <w:lang w:val="en-US"/>
        </w:rPr>
      </w:pPr>
    </w:p>
    <w:p w14:paraId="12BB3D72" w14:textId="77777777" w:rsidR="001E23F2" w:rsidRDefault="001E23F2" w:rsidP="001E23F2">
      <w:pPr>
        <w:spacing w:line="276" w:lineRule="auto"/>
        <w:rPr>
          <w:sz w:val="32"/>
          <w:szCs w:val="32"/>
          <w:lang w:val="en-US"/>
        </w:rPr>
      </w:pPr>
    </w:p>
    <w:p w14:paraId="34310080" w14:textId="77777777" w:rsidR="001E23F2" w:rsidRDefault="001E23F2" w:rsidP="001E23F2">
      <w:pPr>
        <w:spacing w:line="276" w:lineRule="auto"/>
        <w:rPr>
          <w:sz w:val="32"/>
          <w:szCs w:val="32"/>
          <w:lang w:val="en-US"/>
        </w:rPr>
      </w:pPr>
    </w:p>
    <w:p w14:paraId="56ED1048" w14:textId="77777777" w:rsidR="001E23F2" w:rsidRDefault="001E23F2" w:rsidP="001E23F2">
      <w:pPr>
        <w:spacing w:line="276" w:lineRule="auto"/>
        <w:rPr>
          <w:sz w:val="32"/>
          <w:szCs w:val="32"/>
          <w:lang w:val="en-US"/>
        </w:rPr>
      </w:pPr>
      <w:r>
        <w:rPr>
          <w:sz w:val="32"/>
          <w:szCs w:val="32"/>
          <w:lang w:val="en-US"/>
        </w:rPr>
        <w:t>NAME: KALLE DITOU</w:t>
      </w:r>
    </w:p>
    <w:p w14:paraId="5F967591" w14:textId="77777777" w:rsidR="001E23F2" w:rsidRDefault="001E23F2" w:rsidP="001E23F2">
      <w:pPr>
        <w:spacing w:line="276" w:lineRule="auto"/>
        <w:rPr>
          <w:sz w:val="32"/>
          <w:szCs w:val="32"/>
          <w:lang w:val="en-US"/>
        </w:rPr>
      </w:pPr>
      <w:r>
        <w:rPr>
          <w:sz w:val="32"/>
          <w:szCs w:val="32"/>
          <w:lang w:val="en-US"/>
        </w:rPr>
        <w:t>ID NUMBER: 2029083</w:t>
      </w:r>
    </w:p>
    <w:p w14:paraId="2A292C98" w14:textId="77777777" w:rsidR="001E23F2" w:rsidRDefault="001E23F2" w:rsidP="001E23F2">
      <w:pPr>
        <w:spacing w:line="276" w:lineRule="auto"/>
        <w:rPr>
          <w:sz w:val="32"/>
          <w:szCs w:val="32"/>
          <w:lang w:val="en-US"/>
        </w:rPr>
      </w:pPr>
      <w:r>
        <w:rPr>
          <w:sz w:val="32"/>
          <w:szCs w:val="32"/>
          <w:lang w:val="en-US"/>
        </w:rPr>
        <w:t>MODULE TITLE: BUSINESS SKILLS BMI4001</w:t>
      </w:r>
    </w:p>
    <w:p w14:paraId="08A092CC" w14:textId="77777777" w:rsidR="001E23F2" w:rsidRDefault="001E23F2" w:rsidP="001E23F2">
      <w:pPr>
        <w:spacing w:line="276" w:lineRule="auto"/>
        <w:rPr>
          <w:sz w:val="32"/>
          <w:szCs w:val="32"/>
          <w:lang w:val="en-US"/>
        </w:rPr>
      </w:pPr>
      <w:r>
        <w:rPr>
          <w:sz w:val="32"/>
          <w:szCs w:val="32"/>
          <w:lang w:val="en-US"/>
        </w:rPr>
        <w:t>LECTURE’S NAME: DEBORAH LLOYD</w:t>
      </w:r>
    </w:p>
    <w:p w14:paraId="132C4BD7" w14:textId="77777777" w:rsidR="001E23F2" w:rsidRDefault="001E23F2" w:rsidP="001E23F2">
      <w:pPr>
        <w:spacing w:line="276" w:lineRule="auto"/>
        <w:rPr>
          <w:sz w:val="32"/>
          <w:szCs w:val="32"/>
          <w:lang w:val="en-US"/>
        </w:rPr>
      </w:pPr>
      <w:r>
        <w:rPr>
          <w:sz w:val="32"/>
          <w:szCs w:val="32"/>
          <w:lang w:val="en-US"/>
        </w:rPr>
        <w:t>WORD COUNT: 382</w:t>
      </w:r>
    </w:p>
    <w:p w14:paraId="256645A2" w14:textId="77777777" w:rsidR="001E23F2" w:rsidRDefault="001E23F2" w:rsidP="001E23F2">
      <w:pPr>
        <w:spacing w:line="276" w:lineRule="auto"/>
        <w:rPr>
          <w:sz w:val="32"/>
          <w:szCs w:val="32"/>
          <w:lang w:val="en-US"/>
        </w:rPr>
      </w:pPr>
    </w:p>
    <w:p w14:paraId="5F8A191D" w14:textId="77777777" w:rsidR="001E23F2" w:rsidRDefault="001E23F2" w:rsidP="001E23F2">
      <w:pPr>
        <w:spacing w:line="276" w:lineRule="auto"/>
        <w:rPr>
          <w:sz w:val="32"/>
          <w:szCs w:val="32"/>
          <w:lang w:val="en-US"/>
        </w:rPr>
      </w:pPr>
    </w:p>
    <w:p w14:paraId="4FF24F64" w14:textId="77777777" w:rsidR="001E23F2" w:rsidRPr="003E2C58" w:rsidRDefault="001E23F2" w:rsidP="001E23F2">
      <w:pPr>
        <w:spacing w:line="276" w:lineRule="auto"/>
        <w:rPr>
          <w:sz w:val="32"/>
          <w:szCs w:val="32"/>
          <w:lang w:val="en-US"/>
        </w:rPr>
      </w:pPr>
    </w:p>
    <w:p w14:paraId="1DDC91B6" w14:textId="77777777" w:rsidR="001E23F2" w:rsidRDefault="001E23F2" w:rsidP="001E23F2">
      <w:pPr>
        <w:spacing w:line="276" w:lineRule="auto"/>
        <w:rPr>
          <w:lang w:val="en-US"/>
        </w:rPr>
      </w:pPr>
    </w:p>
    <w:p w14:paraId="31CEB98D" w14:textId="77777777" w:rsidR="001E23F2" w:rsidRDefault="001E23F2" w:rsidP="001E23F2">
      <w:pPr>
        <w:spacing w:line="276" w:lineRule="auto"/>
        <w:rPr>
          <w:color w:val="000000"/>
          <w:sz w:val="20"/>
          <w:szCs w:val="20"/>
        </w:rPr>
      </w:pPr>
      <w:r>
        <w:rPr>
          <w:lang w:val="en-US"/>
        </w:rPr>
        <w:lastRenderedPageBreak/>
        <w:t xml:space="preserve">The government of England and Wales devised a fire safety framework known as The Regulatory Reform (Fire safety) order 2005 whereby businesses are responsible for ensuring all their employees are adequately trained in fire safety measures, and the premises reach the required standards. Hotels are at a risk of litigation in the case whereby fire safety rules and regulations are not properly adhered to. </w:t>
      </w:r>
      <w:hyperlink r:id="rId5" w:history="1">
        <w:r w:rsidRPr="00E824DD">
          <w:rPr>
            <w:rStyle w:val="Hyperlink"/>
            <w:sz w:val="20"/>
            <w:szCs w:val="20"/>
          </w:rPr>
          <w:t>www.london-fire.gov.uk</w:t>
        </w:r>
      </w:hyperlink>
    </w:p>
    <w:p w14:paraId="62B1262B" w14:textId="77777777" w:rsidR="001E23F2" w:rsidRDefault="001E23F2" w:rsidP="001E23F2">
      <w:pPr>
        <w:spacing w:line="276" w:lineRule="auto"/>
        <w:rPr>
          <w:color w:val="000000"/>
          <w:sz w:val="20"/>
          <w:szCs w:val="20"/>
        </w:rPr>
      </w:pPr>
    </w:p>
    <w:p w14:paraId="4112388E" w14:textId="77777777" w:rsidR="001E23F2" w:rsidRDefault="001E23F2" w:rsidP="001E23F2">
      <w:pPr>
        <w:spacing w:line="276" w:lineRule="auto"/>
        <w:rPr>
          <w:lang w:val="en-US"/>
        </w:rPr>
      </w:pPr>
    </w:p>
    <w:p w14:paraId="73107FDE" w14:textId="77777777" w:rsidR="001E23F2" w:rsidRDefault="001E23F2" w:rsidP="001E23F2">
      <w:pPr>
        <w:spacing w:line="276" w:lineRule="auto"/>
        <w:rPr>
          <w:lang w:val="en-US"/>
        </w:rPr>
      </w:pPr>
      <w:r>
        <w:rPr>
          <w:lang w:val="en-US"/>
        </w:rPr>
        <w:t xml:space="preserve">The 2005 regulatory reform order of fire safety allows the government to visit and inspect hotels to ensure fire safety risks are minimized. To pass a fire safety inspection, hotels </w:t>
      </w:r>
      <w:proofErr w:type="gramStart"/>
      <w:r>
        <w:rPr>
          <w:lang w:val="en-US"/>
        </w:rPr>
        <w:t>have to</w:t>
      </w:r>
      <w:proofErr w:type="gramEnd"/>
      <w:r>
        <w:rPr>
          <w:lang w:val="en-US"/>
        </w:rPr>
        <w:t xml:space="preserve"> meet a set of guidelines, rules and responsibilities which aims to ensure and measure the buildings own fire safety features and the employee’s awareness and training in handling an episode.</w:t>
      </w:r>
    </w:p>
    <w:p w14:paraId="5B065125" w14:textId="77777777" w:rsidR="001E23F2" w:rsidRDefault="001E23F2" w:rsidP="001E23F2">
      <w:pPr>
        <w:spacing w:line="276" w:lineRule="auto"/>
        <w:rPr>
          <w:lang w:val="en-US"/>
        </w:rPr>
      </w:pPr>
    </w:p>
    <w:p w14:paraId="1C63EF0E" w14:textId="77777777" w:rsidR="001E23F2" w:rsidRDefault="001E23F2" w:rsidP="001E23F2">
      <w:pPr>
        <w:spacing w:line="276" w:lineRule="auto"/>
        <w:rPr>
          <w:color w:val="000000"/>
          <w:sz w:val="20"/>
          <w:szCs w:val="20"/>
        </w:rPr>
      </w:pPr>
      <w:r>
        <w:rPr>
          <w:lang w:val="en-US"/>
        </w:rPr>
        <w:t>The most essential aspect in fire safety for hotels is the extent at which the establishment reduces or eliminates the risks of fires in a practical method. According to United Kingdom government, the leading cause of fire break out incidents is electrical appliances.</w:t>
      </w:r>
      <w:r w:rsidRPr="006D3A26">
        <w:rPr>
          <w:color w:val="000000"/>
          <w:sz w:val="20"/>
          <w:szCs w:val="20"/>
        </w:rPr>
        <w:t xml:space="preserve"> </w:t>
      </w:r>
      <w:hyperlink r:id="rId6" w:history="1">
        <w:r w:rsidRPr="00E824DD">
          <w:rPr>
            <w:rStyle w:val="Hyperlink"/>
            <w:sz w:val="20"/>
            <w:szCs w:val="20"/>
          </w:rPr>
          <w:t>www.morganclark.co.uk</w:t>
        </w:r>
      </w:hyperlink>
      <w:r>
        <w:rPr>
          <w:color w:val="000000"/>
          <w:sz w:val="20"/>
          <w:szCs w:val="20"/>
        </w:rPr>
        <w:t xml:space="preserve"> </w:t>
      </w:r>
    </w:p>
    <w:p w14:paraId="40D6B42B" w14:textId="77777777" w:rsidR="001E23F2" w:rsidRDefault="001E23F2" w:rsidP="001E23F2">
      <w:pPr>
        <w:spacing w:line="276" w:lineRule="auto"/>
        <w:rPr>
          <w:color w:val="000000"/>
          <w:sz w:val="20"/>
          <w:szCs w:val="20"/>
        </w:rPr>
      </w:pPr>
      <w:r>
        <w:rPr>
          <w:color w:val="000000"/>
          <w:sz w:val="20"/>
          <w:szCs w:val="20"/>
        </w:rPr>
        <w:t xml:space="preserve">Furthermore, high load customers in hotel can increase the risk of fire and high use of flammable materials (Flaherty, </w:t>
      </w:r>
      <w:proofErr w:type="spellStart"/>
      <w:r>
        <w:rPr>
          <w:color w:val="000000"/>
          <w:sz w:val="20"/>
          <w:szCs w:val="20"/>
        </w:rPr>
        <w:t>Hession</w:t>
      </w:r>
      <w:proofErr w:type="spellEnd"/>
      <w:r>
        <w:rPr>
          <w:color w:val="000000"/>
          <w:sz w:val="20"/>
          <w:szCs w:val="20"/>
        </w:rPr>
        <w:t xml:space="preserve"> and Cuggy,2016).</w:t>
      </w:r>
    </w:p>
    <w:p w14:paraId="07CAA56C" w14:textId="77777777" w:rsidR="001E23F2" w:rsidRDefault="001E23F2" w:rsidP="001E23F2">
      <w:pPr>
        <w:spacing w:line="276" w:lineRule="auto"/>
        <w:rPr>
          <w:lang w:val="en-US"/>
        </w:rPr>
      </w:pPr>
      <w:r>
        <w:rPr>
          <w:lang w:val="en-US"/>
        </w:rPr>
        <w:t xml:space="preserve"> Over 50% of accidental fires are started or caused by either domestic appliance or by negligence hence hotels have a legal obligation of preventing such risks by; ensuring power outlets are in a safe location where there’s no risk of accidental contact of power outlet with water. Taking additional measures and caution where explosive or flammable materials have been used. The use of smoke detectors and smoke alarms to signal a fire in case of one. Clear and coherent fire exit routes are to be put in place all over a hotel’s premises. </w:t>
      </w:r>
    </w:p>
    <w:p w14:paraId="0438E4DF" w14:textId="77777777" w:rsidR="001E23F2" w:rsidRDefault="001E23F2" w:rsidP="001E23F2">
      <w:pPr>
        <w:spacing w:line="276" w:lineRule="auto"/>
        <w:rPr>
          <w:lang w:val="en-US"/>
        </w:rPr>
      </w:pPr>
      <w:r>
        <w:rPr>
          <w:lang w:val="en-US"/>
        </w:rPr>
        <w:t xml:space="preserve">However, the evacuation of disabled remains a huge concerns due to insufficient regulations </w:t>
      </w:r>
      <w:proofErr w:type="gramStart"/>
      <w:r>
        <w:rPr>
          <w:lang w:val="en-US"/>
        </w:rPr>
        <w:t>and  lack</w:t>
      </w:r>
      <w:proofErr w:type="gramEnd"/>
      <w:r>
        <w:rPr>
          <w:lang w:val="en-US"/>
        </w:rPr>
        <w:t xml:space="preserve"> of government involvement. A new policy will order hotels to establish a safe evacuation for disabled (</w:t>
      </w:r>
      <w:proofErr w:type="spellStart"/>
      <w:r>
        <w:rPr>
          <w:lang w:val="en-US"/>
        </w:rPr>
        <w:t>Egodage</w:t>
      </w:r>
      <w:proofErr w:type="spellEnd"/>
      <w:r>
        <w:rPr>
          <w:lang w:val="en-US"/>
        </w:rPr>
        <w:t xml:space="preserve">, </w:t>
      </w:r>
      <w:proofErr w:type="spellStart"/>
      <w:r>
        <w:rPr>
          <w:lang w:val="en-US"/>
        </w:rPr>
        <w:t>Abdeen</w:t>
      </w:r>
      <w:proofErr w:type="spellEnd"/>
      <w:r>
        <w:rPr>
          <w:lang w:val="en-US"/>
        </w:rPr>
        <w:t xml:space="preserve"> and sridarran,2020).</w:t>
      </w:r>
    </w:p>
    <w:p w14:paraId="15B1012D" w14:textId="77777777" w:rsidR="001E23F2" w:rsidRDefault="001E23F2" w:rsidP="001E23F2">
      <w:pPr>
        <w:spacing w:line="276" w:lineRule="auto"/>
        <w:rPr>
          <w:lang w:val="en-US"/>
        </w:rPr>
      </w:pPr>
      <w:r>
        <w:rPr>
          <w:lang w:val="en-US"/>
        </w:rPr>
        <w:t>The failure to adhere to these set of guidelines can lead to ligations for a hotel establishment in the event of a fire whereby a hotel can be appealed for negligence. More-ever, the hotel industry runs the risks of losing the appropriate licensing required for running a business due to inadequate adherence to fire safety laws and responsibilities.</w:t>
      </w:r>
    </w:p>
    <w:p w14:paraId="4286DDBC" w14:textId="77777777" w:rsidR="001E23F2" w:rsidRDefault="001E23F2" w:rsidP="001E23F2">
      <w:pPr>
        <w:rPr>
          <w:lang w:val="en-US"/>
        </w:rPr>
      </w:pPr>
    </w:p>
    <w:p w14:paraId="4AF54C97" w14:textId="77777777" w:rsidR="001E23F2" w:rsidRDefault="001E23F2" w:rsidP="001E23F2">
      <w:pPr>
        <w:rPr>
          <w:lang w:val="en-US"/>
        </w:rPr>
      </w:pPr>
    </w:p>
    <w:p w14:paraId="3F8807C9" w14:textId="77777777" w:rsidR="001E23F2" w:rsidRDefault="001E23F2" w:rsidP="001E23F2">
      <w:pPr>
        <w:rPr>
          <w:lang w:val="en-US"/>
        </w:rPr>
      </w:pPr>
    </w:p>
    <w:p w14:paraId="609F7612" w14:textId="77777777" w:rsidR="001E23F2" w:rsidRDefault="001E23F2" w:rsidP="001E23F2">
      <w:pPr>
        <w:rPr>
          <w:lang w:val="en-US"/>
        </w:rPr>
      </w:pPr>
    </w:p>
    <w:p w14:paraId="60817863" w14:textId="77777777" w:rsidR="001E23F2" w:rsidRDefault="001E23F2" w:rsidP="001E23F2">
      <w:pPr>
        <w:rPr>
          <w:lang w:val="en-US"/>
        </w:rPr>
      </w:pPr>
    </w:p>
    <w:p w14:paraId="61F464B9" w14:textId="77777777" w:rsidR="001E23F2" w:rsidRDefault="001E23F2" w:rsidP="001E23F2">
      <w:pPr>
        <w:rPr>
          <w:lang w:val="en-US"/>
        </w:rPr>
      </w:pPr>
    </w:p>
    <w:p w14:paraId="77C90996" w14:textId="77777777" w:rsidR="001E23F2" w:rsidRDefault="001E23F2" w:rsidP="001E23F2">
      <w:pPr>
        <w:rPr>
          <w:lang w:val="en-US"/>
        </w:rPr>
      </w:pPr>
    </w:p>
    <w:p w14:paraId="7681AD69" w14:textId="77777777" w:rsidR="001E23F2" w:rsidRDefault="001E23F2" w:rsidP="001E23F2">
      <w:pPr>
        <w:rPr>
          <w:lang w:val="en-US"/>
        </w:rPr>
      </w:pPr>
    </w:p>
    <w:p w14:paraId="67E680F7" w14:textId="77777777" w:rsidR="001E23F2" w:rsidRDefault="001E23F2" w:rsidP="001E23F2">
      <w:pPr>
        <w:rPr>
          <w:lang w:val="en-US"/>
        </w:rPr>
      </w:pPr>
      <w:r>
        <w:rPr>
          <w:lang w:val="en-US"/>
        </w:rPr>
        <w:t>References:</w:t>
      </w:r>
    </w:p>
    <w:p w14:paraId="10EE6C42" w14:textId="77777777" w:rsidR="001E23F2" w:rsidRDefault="001E23F2" w:rsidP="001E23F2">
      <w:pPr>
        <w:pStyle w:val="NormalWeb"/>
        <w:numPr>
          <w:ilvl w:val="0"/>
          <w:numId w:val="1"/>
        </w:numPr>
        <w:rPr>
          <w:color w:val="000000"/>
          <w:sz w:val="20"/>
          <w:szCs w:val="20"/>
        </w:rPr>
      </w:pPr>
      <w:r w:rsidRPr="009146ED">
        <w:rPr>
          <w:color w:val="000000"/>
          <w:sz w:val="20"/>
          <w:szCs w:val="20"/>
        </w:rPr>
        <w:t>Clark, M. (2019)</w:t>
      </w:r>
      <w:r w:rsidRPr="009146ED">
        <w:rPr>
          <w:rStyle w:val="apple-converted-space"/>
          <w:color w:val="000000"/>
          <w:sz w:val="20"/>
          <w:szCs w:val="20"/>
        </w:rPr>
        <w:t> </w:t>
      </w:r>
      <w:r w:rsidRPr="009146ED">
        <w:rPr>
          <w:i/>
          <w:iCs/>
          <w:color w:val="000000"/>
          <w:sz w:val="20"/>
          <w:szCs w:val="20"/>
        </w:rPr>
        <w:t>UK house fire statistics</w:t>
      </w:r>
      <w:r w:rsidRPr="009146ED">
        <w:rPr>
          <w:rStyle w:val="apple-converted-space"/>
          <w:color w:val="000000"/>
          <w:sz w:val="20"/>
          <w:szCs w:val="20"/>
        </w:rPr>
        <w:t> </w:t>
      </w:r>
      <w:r w:rsidRPr="009146ED">
        <w:rPr>
          <w:color w:val="000000"/>
          <w:sz w:val="20"/>
          <w:szCs w:val="20"/>
        </w:rPr>
        <w:t>[Preprint]. Available at: https://www.morganclark.co.uk/about-us/blog/uk-house-fire-statistics/ (Accessed: February 18, 2023).</w:t>
      </w:r>
    </w:p>
    <w:p w14:paraId="25BBE25D" w14:textId="77777777" w:rsidR="001E23F2" w:rsidRDefault="001E23F2" w:rsidP="001E23F2">
      <w:pPr>
        <w:pStyle w:val="NormalWeb"/>
        <w:numPr>
          <w:ilvl w:val="0"/>
          <w:numId w:val="1"/>
        </w:numPr>
        <w:rPr>
          <w:rStyle w:val="apple-converted-space"/>
          <w:color w:val="000000"/>
          <w:sz w:val="20"/>
          <w:szCs w:val="20"/>
        </w:rPr>
      </w:pPr>
      <w:proofErr w:type="spellStart"/>
      <w:r>
        <w:rPr>
          <w:color w:val="000000"/>
          <w:sz w:val="20"/>
          <w:szCs w:val="20"/>
        </w:rPr>
        <w:t>Egodage</w:t>
      </w:r>
      <w:proofErr w:type="spellEnd"/>
      <w:r>
        <w:rPr>
          <w:color w:val="000000"/>
          <w:sz w:val="20"/>
          <w:szCs w:val="20"/>
        </w:rPr>
        <w:t xml:space="preserve">, </w:t>
      </w:r>
      <w:proofErr w:type="spellStart"/>
      <w:r>
        <w:rPr>
          <w:color w:val="000000"/>
          <w:sz w:val="20"/>
          <w:szCs w:val="20"/>
        </w:rPr>
        <w:t>Abdeen</w:t>
      </w:r>
      <w:proofErr w:type="spellEnd"/>
      <w:r>
        <w:rPr>
          <w:color w:val="000000"/>
          <w:sz w:val="20"/>
          <w:szCs w:val="20"/>
        </w:rPr>
        <w:t xml:space="preserve">, </w:t>
      </w:r>
      <w:proofErr w:type="gramStart"/>
      <w:r>
        <w:rPr>
          <w:color w:val="000000"/>
          <w:sz w:val="20"/>
          <w:szCs w:val="20"/>
        </w:rPr>
        <w:t>F,N</w:t>
      </w:r>
      <w:proofErr w:type="gramEnd"/>
      <w:r>
        <w:rPr>
          <w:color w:val="000000"/>
          <w:sz w:val="20"/>
          <w:szCs w:val="20"/>
        </w:rPr>
        <w:t xml:space="preserve">, &amp; </w:t>
      </w:r>
      <w:proofErr w:type="spellStart"/>
      <w:r>
        <w:rPr>
          <w:color w:val="000000"/>
          <w:sz w:val="20"/>
          <w:szCs w:val="20"/>
        </w:rPr>
        <w:t>Sridarran</w:t>
      </w:r>
      <w:proofErr w:type="spellEnd"/>
      <w:r>
        <w:rPr>
          <w:color w:val="000000"/>
          <w:sz w:val="20"/>
          <w:szCs w:val="20"/>
        </w:rPr>
        <w:t>, P. (2020). Fire emergency evacuation procedures for</w:t>
      </w:r>
      <w:r w:rsidRPr="009146ED">
        <w:rPr>
          <w:rStyle w:val="apple-converted-space"/>
          <w:color w:val="000000"/>
          <w:sz w:val="20"/>
          <w:szCs w:val="20"/>
        </w:rPr>
        <w:t> </w:t>
      </w:r>
      <w:proofErr w:type="gramStart"/>
      <w:r>
        <w:rPr>
          <w:rStyle w:val="apple-converted-space"/>
          <w:color w:val="000000"/>
          <w:sz w:val="20"/>
          <w:szCs w:val="20"/>
        </w:rPr>
        <w:t>differently-abled</w:t>
      </w:r>
      <w:proofErr w:type="gramEnd"/>
      <w:r>
        <w:rPr>
          <w:rStyle w:val="apple-converted-space"/>
          <w:color w:val="000000"/>
          <w:sz w:val="20"/>
          <w:szCs w:val="20"/>
        </w:rPr>
        <w:t xml:space="preserve"> community in high-rise buildings. </w:t>
      </w:r>
      <w:r w:rsidRPr="002C28CA">
        <w:rPr>
          <w:rStyle w:val="apple-converted-space"/>
          <w:i/>
          <w:iCs/>
          <w:color w:val="000000"/>
          <w:sz w:val="20"/>
          <w:szCs w:val="20"/>
        </w:rPr>
        <w:t>Journal of facilities Management</w:t>
      </w:r>
      <w:r>
        <w:rPr>
          <w:rStyle w:val="apple-converted-space"/>
          <w:color w:val="000000"/>
          <w:sz w:val="20"/>
          <w:szCs w:val="20"/>
        </w:rPr>
        <w:t xml:space="preserve">, 18(5), 505-519. </w:t>
      </w:r>
      <w:hyperlink r:id="rId7" w:history="1">
        <w:r w:rsidRPr="00A05B89">
          <w:rPr>
            <w:rStyle w:val="Hyperlink"/>
            <w:sz w:val="20"/>
            <w:szCs w:val="20"/>
          </w:rPr>
          <w:t>https://doi.org/10.1108/JFM-07-2020-0043</w:t>
        </w:r>
      </w:hyperlink>
    </w:p>
    <w:p w14:paraId="33E7E114" w14:textId="77777777" w:rsidR="001E23F2" w:rsidRDefault="001E23F2" w:rsidP="001E23F2">
      <w:pPr>
        <w:pStyle w:val="NormalWeb"/>
        <w:numPr>
          <w:ilvl w:val="0"/>
          <w:numId w:val="1"/>
        </w:numPr>
        <w:rPr>
          <w:color w:val="000000"/>
          <w:sz w:val="20"/>
          <w:szCs w:val="20"/>
        </w:rPr>
      </w:pPr>
      <w:r>
        <w:rPr>
          <w:color w:val="000000"/>
          <w:sz w:val="20"/>
          <w:szCs w:val="20"/>
        </w:rPr>
        <w:t xml:space="preserve">Flaherty, </w:t>
      </w:r>
      <w:proofErr w:type="spellStart"/>
      <w:proofErr w:type="gramStart"/>
      <w:r>
        <w:rPr>
          <w:color w:val="000000"/>
          <w:sz w:val="20"/>
          <w:szCs w:val="20"/>
        </w:rPr>
        <w:t>Hession,M</w:t>
      </w:r>
      <w:proofErr w:type="spellEnd"/>
      <w:proofErr w:type="gramEnd"/>
      <w:r>
        <w:rPr>
          <w:color w:val="000000"/>
          <w:sz w:val="20"/>
          <w:szCs w:val="20"/>
        </w:rPr>
        <w:t xml:space="preserve">, &amp; </w:t>
      </w:r>
      <w:proofErr w:type="spellStart"/>
      <w:r>
        <w:rPr>
          <w:color w:val="000000"/>
          <w:sz w:val="20"/>
          <w:szCs w:val="20"/>
        </w:rPr>
        <w:t>cuggy</w:t>
      </w:r>
      <w:proofErr w:type="spellEnd"/>
      <w:r>
        <w:rPr>
          <w:color w:val="000000"/>
          <w:sz w:val="20"/>
          <w:szCs w:val="20"/>
        </w:rPr>
        <w:t xml:space="preserve">, C. (2016). Hotel Fire Safety for International Travellers. </w:t>
      </w:r>
      <w:r w:rsidRPr="00452C00">
        <w:rPr>
          <w:i/>
          <w:iCs/>
          <w:color w:val="000000"/>
          <w:sz w:val="20"/>
          <w:szCs w:val="20"/>
        </w:rPr>
        <w:t>Travel Medicine and Infectious Disease</w:t>
      </w:r>
      <w:r>
        <w:rPr>
          <w:color w:val="000000"/>
          <w:sz w:val="20"/>
          <w:szCs w:val="20"/>
        </w:rPr>
        <w:t xml:space="preserve">, 14(5), 529-530. </w:t>
      </w:r>
      <w:hyperlink r:id="rId8" w:history="1">
        <w:r w:rsidRPr="00A05B89">
          <w:rPr>
            <w:rStyle w:val="Hyperlink"/>
            <w:sz w:val="20"/>
            <w:szCs w:val="20"/>
          </w:rPr>
          <w:t>https://doi.org/10.1016/j.tmaid.2016.05.011</w:t>
        </w:r>
      </w:hyperlink>
    </w:p>
    <w:p w14:paraId="61B28731" w14:textId="77777777" w:rsidR="001E23F2" w:rsidRPr="009146ED" w:rsidRDefault="001E23F2" w:rsidP="001E23F2">
      <w:pPr>
        <w:pStyle w:val="NormalWeb"/>
        <w:numPr>
          <w:ilvl w:val="0"/>
          <w:numId w:val="1"/>
        </w:numPr>
        <w:rPr>
          <w:color w:val="000000"/>
          <w:sz w:val="20"/>
          <w:szCs w:val="20"/>
        </w:rPr>
      </w:pPr>
      <w:r w:rsidRPr="009146ED">
        <w:rPr>
          <w:i/>
          <w:iCs/>
          <w:color w:val="000000"/>
          <w:sz w:val="20"/>
          <w:szCs w:val="20"/>
        </w:rPr>
        <w:t>The Regulatory Reform (Fire Safety) Order 2005 - Fire Safety Law</w:t>
      </w:r>
      <w:r w:rsidRPr="009146ED">
        <w:rPr>
          <w:rStyle w:val="apple-converted-space"/>
          <w:color w:val="000000"/>
          <w:sz w:val="20"/>
          <w:szCs w:val="20"/>
        </w:rPr>
        <w:t> </w:t>
      </w:r>
      <w:r w:rsidRPr="009146ED">
        <w:rPr>
          <w:color w:val="000000"/>
          <w:sz w:val="20"/>
          <w:szCs w:val="20"/>
        </w:rPr>
        <w:t>(no date)</w:t>
      </w:r>
      <w:r w:rsidRPr="009146ED">
        <w:rPr>
          <w:rStyle w:val="apple-converted-space"/>
          <w:color w:val="000000"/>
          <w:sz w:val="20"/>
          <w:szCs w:val="20"/>
        </w:rPr>
        <w:t> </w:t>
      </w:r>
      <w:r w:rsidRPr="009146ED">
        <w:rPr>
          <w:i/>
          <w:iCs/>
          <w:color w:val="000000"/>
          <w:sz w:val="20"/>
          <w:szCs w:val="20"/>
        </w:rPr>
        <w:t>The Regulatory Reform (Fire Safety) Order 2005 - Fire safety law | London Fire Brigade</w:t>
      </w:r>
      <w:r w:rsidRPr="009146ED">
        <w:rPr>
          <w:color w:val="000000"/>
          <w:sz w:val="20"/>
          <w:szCs w:val="20"/>
        </w:rPr>
        <w:t>. Available at: https://www.london-fire.gov.uk/safety/the-workplace/fire-safety-law-explained/ (Accessed: February 20, 2023).</w:t>
      </w:r>
      <w:r w:rsidRPr="009146ED">
        <w:rPr>
          <w:rStyle w:val="apple-converted-space"/>
          <w:color w:val="000000"/>
          <w:sz w:val="20"/>
          <w:szCs w:val="20"/>
        </w:rPr>
        <w:t> </w:t>
      </w:r>
    </w:p>
    <w:p w14:paraId="18F95538" w14:textId="77777777" w:rsidR="001E23F2" w:rsidRDefault="001E23F2" w:rsidP="001E23F2">
      <w:pPr>
        <w:rPr>
          <w:lang w:val="en-US"/>
        </w:rPr>
      </w:pPr>
    </w:p>
    <w:p w14:paraId="304706D5" w14:textId="77777777" w:rsidR="001E23F2" w:rsidRPr="009146ED" w:rsidRDefault="001E23F2" w:rsidP="001E23F2">
      <w:pPr>
        <w:pStyle w:val="NormalWeb"/>
        <w:ind w:left="567" w:hanging="567"/>
        <w:rPr>
          <w:rFonts w:asciiTheme="minorHAnsi" w:hAnsiTheme="minorHAnsi" w:cstheme="minorHAnsi"/>
          <w:color w:val="000000"/>
          <w:sz w:val="20"/>
          <w:szCs w:val="20"/>
          <w:lang w:val="en-US"/>
        </w:rPr>
      </w:pPr>
    </w:p>
    <w:p w14:paraId="2FDDE9C7" w14:textId="77777777" w:rsidR="001E23F2" w:rsidRPr="006455DC" w:rsidRDefault="001E23F2" w:rsidP="001E23F2">
      <w:pPr>
        <w:rPr>
          <w:lang w:val="en-US"/>
        </w:rPr>
      </w:pPr>
    </w:p>
    <w:p w14:paraId="6F5E4D4F" w14:textId="77777777" w:rsidR="001E23F2" w:rsidRDefault="001E23F2" w:rsidP="001E23F2"/>
    <w:p w14:paraId="0FC8BD9F" w14:textId="77777777" w:rsidR="001E23F2" w:rsidRDefault="001E23F2" w:rsidP="001E23F2"/>
    <w:p w14:paraId="0C39A071" w14:textId="77777777" w:rsidR="00364716" w:rsidRDefault="00364716"/>
    <w:sectPr w:rsidR="0036471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9D0A07"/>
    <w:multiLevelType w:val="hybridMultilevel"/>
    <w:tmpl w:val="C5DC3C78"/>
    <w:lvl w:ilvl="0" w:tplc="3C32CB1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9168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3F2"/>
    <w:rsid w:val="001E23F2"/>
    <w:rsid w:val="00364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634CF"/>
  <w15:chartTrackingRefBased/>
  <w15:docId w15:val="{0B94DD94-C93D-4843-91C3-3D0F3D182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3F2"/>
    <w:pPr>
      <w:spacing w:after="0" w:line="240" w:lineRule="auto"/>
    </w:pPr>
    <w:rPr>
      <w:sz w:val="24"/>
      <w:szCs w:val="24"/>
      <w:lang w:val="en-A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23F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E23F2"/>
  </w:style>
  <w:style w:type="character" w:styleId="Hyperlink">
    <w:name w:val="Hyperlink"/>
    <w:basedOn w:val="DefaultParagraphFont"/>
    <w:uiPriority w:val="99"/>
    <w:unhideWhenUsed/>
    <w:rsid w:val="001E23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maid.2016.05.011" TargetMode="External"/><Relationship Id="rId3" Type="http://schemas.openxmlformats.org/officeDocument/2006/relationships/settings" Target="settings.xml"/><Relationship Id="rId7" Type="http://schemas.openxmlformats.org/officeDocument/2006/relationships/hyperlink" Target="https://doi.org/10.1108/JFM-07-2020-004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organclark.co.uk" TargetMode="External"/><Relationship Id="rId5" Type="http://schemas.openxmlformats.org/officeDocument/2006/relationships/hyperlink" Target="http://www.london-fire.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550</Words>
  <Characters>3140</Characters>
  <Application>Microsoft Office Word</Application>
  <DocSecurity>0</DocSecurity>
  <Lines>26</Lines>
  <Paragraphs>7</Paragraphs>
  <ScaleCrop>false</ScaleCrop>
  <Company/>
  <LinksUpToDate>false</LinksUpToDate>
  <CharactersWithSpaces>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2</cp:revision>
  <dcterms:created xsi:type="dcterms:W3CDTF">2023-02-21T13:52:00Z</dcterms:created>
  <dcterms:modified xsi:type="dcterms:W3CDTF">2023-02-21T13:52:00Z</dcterms:modified>
</cp:coreProperties>
</file>