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bCs w:val="0"/>
          <w:i w:val="0"/>
          <w:iCs w:val="0"/>
          <w:smallCaps w:val="0"/>
          <w:strike w:val="0"/>
          <w:color w:val="000000"/>
          <w:sz w:val="21"/>
          <w:szCs w:val="21"/>
          <w:u w:val="none"/>
          <w:shd w:fill="auto" w:val="clear"/>
          <w:vertAlign w:val="baseline"/>
        </w:rPr>
        <w:drawing>
          <wp:inline distB="0" distT="0" distL="114300" distR="114300">
            <wp:extent cx="1908175" cy="635635"/>
            <wp:effectExtent b="0" l="0" r="0" t="0"/>
            <wp:docPr id="1029"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iCs w:val="0"/>
          <w:smallCaps w:val="0"/>
          <w:strike w:val="0"/>
          <w:color w:val="000000"/>
          <w:sz w:val="28"/>
          <w:szCs w:val="28"/>
          <w:u w:val="none"/>
          <w:shd w:fill="auto" w:val="clear"/>
          <w:vertAlign w:val="baseline"/>
        </w:rPr>
      </w:pPr>
      <w:r w:rsidDel="00000000" w:rsidR="00000000" w:rsidRPr="00000000">
        <w:rPr>
          <w:b w:val="1"/>
          <w:bCs w:val="1"/>
          <w:i w:val="0"/>
          <w:iCs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iCs w:val="0"/>
          <w:smallCaps w:val="0"/>
          <w:strike w:val="0"/>
          <w:color w:val="000000"/>
          <w:sz w:val="28"/>
          <w:szCs w:val="28"/>
          <w:u w:val="none"/>
          <w:shd w:fill="auto" w:val="clear"/>
          <w:vertAlign w:val="baseline"/>
        </w:rPr>
      </w:pPr>
      <w:r w:rsidDel="00000000" w:rsidR="00000000" w:rsidRPr="00000000">
        <w:rPr>
          <w:b w:val="1"/>
          <w:bCs w:val="1"/>
          <w:i w:val="0"/>
          <w:iCs w:val="0"/>
          <w:smallCaps w:val="0"/>
          <w:strike w:val="0"/>
          <w:color w:val="000000"/>
          <w:sz w:val="28"/>
          <w:szCs w:val="28"/>
          <w:u w:val="none"/>
          <w:shd w:fill="auto" w:val="clear"/>
          <w:vertAlign w:val="baseline"/>
          <w:rtl w:val="0"/>
        </w:rPr>
        <w:t xml:space="preserve">Assignment cover sheet &amp; feedback form</w:t>
      </w:r>
      <w:r w:rsidDel="00000000" w:rsidR="00000000" w:rsidRPr="00000000">
        <w:rPr>
          <w:rtl w:val="0"/>
        </w:rPr>
      </w:r>
    </w:p>
    <w:p w:rsidR="00000000" w:rsidDel="00000000" w:rsidP="00000000" w:rsidRDefault="00000000" w:rsidRPr="00000000" w14:paraId="00000006">
      <w:pPr>
        <w:pStyle w:val="Heading3"/>
        <w:ind w:firstLine="720"/>
        <w:jc w:val="center"/>
        <w:rPr>
          <w:vertAlign w:val="baseline"/>
        </w:rPr>
      </w:pPr>
      <w:r w:rsidDel="00000000" w:rsidR="00000000" w:rsidRPr="00000000">
        <w:rPr>
          <w:rtl w:val="0"/>
        </w:rPr>
      </w:r>
    </w:p>
    <w:p w:rsidR="00000000" w:rsidDel="00000000" w:rsidP="00000000" w:rsidRDefault="00000000" w:rsidRPr="00000000" w14:paraId="00000007">
      <w:pPr>
        <w:pStyle w:val="Heading3"/>
        <w:ind w:firstLine="720"/>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the student</w:t>
            </w:r>
            <w:r w:rsidDel="00000000" w:rsidR="00000000" w:rsidRPr="00000000">
              <w:rPr>
                <w:i w:val="0"/>
                <w:iCs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Student Name:</w:t>
            </w:r>
            <w:r w:rsidDel="00000000" w:rsidR="00000000" w:rsidRPr="00000000">
              <w:rPr>
                <w:sz w:val="22"/>
                <w:szCs w:val="22"/>
                <w:rtl w:val="0"/>
              </w:rPr>
              <w:t xml:space="preserve"> Costantino Toth</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Module code: HPCA7015</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pPr>
            <w:r w:rsidDel="00000000" w:rsidR="00000000" w:rsidRPr="00000000">
              <w:rPr>
                <w:i w:val="0"/>
                <w:iCs w:val="0"/>
                <w:smallCaps w:val="0"/>
                <w:strike w:val="0"/>
                <w:color w:val="000000"/>
                <w:sz w:val="22"/>
                <w:szCs w:val="22"/>
                <w:u w:val="none"/>
                <w:shd w:fill="auto" w:val="clear"/>
                <w:vertAlign w:val="baseline"/>
                <w:rtl w:val="0"/>
              </w:rPr>
              <w:t xml:space="preserve">Module title: </w:t>
            </w:r>
            <w:r w:rsidDel="00000000" w:rsidR="00000000" w:rsidRPr="00000000">
              <w:rPr>
                <w:rtl w:val="0"/>
              </w:rPr>
              <w:t xml:space="preserve">Foundations in Cultural Astronomy and Astrology</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sz w:val="22"/>
                <w:szCs w:val="22"/>
              </w:rPr>
            </w:pPr>
            <w:r w:rsidDel="00000000" w:rsidR="00000000" w:rsidRPr="00000000">
              <w:rPr>
                <w:sz w:val="22"/>
                <w:szCs w:val="22"/>
                <w:rtl w:val="0"/>
              </w:rPr>
              <w:t xml:space="preserve">2430606</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Module tutor: Nicholas Campion, Dawn Collins, </w:t>
            </w:r>
            <w:r w:rsidDel="00000000" w:rsidR="00000000" w:rsidRPr="00000000">
              <w:rPr>
                <w:sz w:val="22"/>
                <w:szCs w:val="22"/>
                <w:rtl w:val="0"/>
              </w:rPr>
              <w:t xml:space="preserve">Wendy Stacey–Alidina</w:t>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Assignment due date: November </w:t>
            </w:r>
            <w:r w:rsidDel="00000000" w:rsidR="00000000" w:rsidRPr="00000000">
              <w:rPr>
                <w:sz w:val="22"/>
                <w:szCs w:val="22"/>
                <w:rtl w:val="0"/>
              </w:rPr>
              <w:t xml:space="preserve">27, </w:t>
            </w:r>
            <w:r w:rsidDel="00000000" w:rsidR="00000000" w:rsidRPr="00000000">
              <w:rPr>
                <w:i w:val="0"/>
                <w:iCs w:val="0"/>
                <w:smallCaps w:val="0"/>
                <w:strike w:val="0"/>
                <w:color w:val="000000"/>
                <w:sz w:val="22"/>
                <w:szCs w:val="22"/>
                <w:u w:val="none"/>
                <w:shd w:fill="auto" w:val="clear"/>
                <w:vertAlign w:val="baseline"/>
                <w:rtl w:val="0"/>
              </w:rPr>
              <w:t xml:space="preserve">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6">
            <w:pPr>
              <w:rPr>
                <w:sz w:val="22"/>
                <w:szCs w:val="22"/>
                <w:vertAlign w:val="baseline"/>
              </w:rPr>
            </w:pPr>
            <w:r w:rsidDel="00000000" w:rsidR="00000000" w:rsidRPr="00000000">
              <w:rPr>
                <w:sz w:val="22"/>
                <w:szCs w:val="22"/>
                <w:vertAlign w:val="baseline"/>
                <w:rtl w:val="0"/>
              </w:rPr>
              <w:t xml:space="preserve">If your module has multiple submissions please indicate which piece of work this is.</w:t>
            </w:r>
          </w:p>
          <w:p w:rsidR="00000000" w:rsidDel="00000000" w:rsidP="00000000" w:rsidRDefault="00000000" w:rsidRPr="00000000" w14:paraId="00000027">
            <w:pPr>
              <w:rPr>
                <w:sz w:val="22"/>
                <w:szCs w:val="22"/>
                <w:vertAlign w:val="baseline"/>
              </w:rPr>
            </w:pPr>
            <w:r w:rsidDel="00000000" w:rsidR="00000000" w:rsidRPr="00000000">
              <w:rPr>
                <w:rtl w:val="0"/>
              </w:rPr>
            </w:r>
          </w:p>
          <w:p w:rsidR="00000000" w:rsidDel="00000000" w:rsidP="00000000" w:rsidRDefault="00000000" w:rsidRPr="00000000" w14:paraId="00000028">
            <w:pPr>
              <w:rPr>
                <w:sz w:val="22"/>
                <w:szCs w:val="22"/>
                <w:vertAlign w:val="baseline"/>
              </w:rPr>
            </w:pPr>
            <w:r w:rsidDel="00000000" w:rsidR="00000000" w:rsidRPr="00000000">
              <w:rPr>
                <w:sz w:val="22"/>
                <w:szCs w:val="22"/>
                <w:vertAlign w:val="baseline"/>
                <w:rtl w:val="0"/>
              </w:rPr>
              <w:t xml:space="preserve">1</w:t>
            </w:r>
            <w:r w:rsidDel="00000000" w:rsidR="00000000" w:rsidRPr="00000000">
              <w:rPr>
                <w:sz w:val="22"/>
                <w:szCs w:val="22"/>
                <w:vertAlign w:val="superscript"/>
                <w:rtl w:val="0"/>
              </w:rPr>
              <w:t xml:space="preserve">st </w:t>
            </w:r>
            <w:bookmarkStart w:colFirst="0" w:colLast="0" w:name="bookmark=id.ax1553x2wu2s" w:id="0"/>
            <w:bookmarkEnd w:id="0"/>
            <w:r w:rsidDel="00000000" w:rsidR="00000000" w:rsidRPr="00000000">
              <w:rPr>
                <w:sz w:val="22"/>
                <w:szCs w:val="22"/>
                <w:vertAlign w:val="baseline"/>
                <w:rtl w:val="0"/>
              </w:rPr>
              <w:t xml:space="preserve">☐    2</w:t>
            </w:r>
            <w:r w:rsidDel="00000000" w:rsidR="00000000" w:rsidRPr="00000000">
              <w:rPr>
                <w:sz w:val="22"/>
                <w:szCs w:val="22"/>
                <w:vertAlign w:val="superscript"/>
                <w:rtl w:val="0"/>
              </w:rPr>
              <w:t xml:space="preserve">nd</w:t>
            </w:r>
            <w:r w:rsidDel="00000000" w:rsidR="00000000" w:rsidRPr="00000000">
              <w:rPr>
                <w:sz w:val="22"/>
                <w:szCs w:val="22"/>
                <w:vertAlign w:val="baseline"/>
                <w:rtl w:val="0"/>
              </w:rPr>
              <w:t xml:space="preserve">  </w:t>
            </w:r>
            <w:bookmarkStart w:colFirst="0" w:colLast="0" w:name="bookmark=id.uplrimnmgg5d" w:id="1"/>
            <w:bookmarkEnd w:id="1"/>
            <w:r w:rsidDel="00000000" w:rsidR="00000000" w:rsidRPr="00000000">
              <w:rPr>
                <w:sz w:val="22"/>
                <w:szCs w:val="22"/>
                <w:vertAlign w:val="baseline"/>
                <w:rtl w:val="0"/>
              </w:rPr>
              <w:t xml:space="preserve">☐     3</w:t>
            </w:r>
            <w:r w:rsidDel="00000000" w:rsidR="00000000" w:rsidRPr="00000000">
              <w:rPr>
                <w:sz w:val="22"/>
                <w:szCs w:val="22"/>
                <w:vertAlign w:val="superscript"/>
                <w:rtl w:val="0"/>
              </w:rPr>
              <w:t xml:space="preserve">rd</w:t>
            </w:r>
            <w:r w:rsidDel="00000000" w:rsidR="00000000" w:rsidRPr="00000000">
              <w:rPr>
                <w:sz w:val="22"/>
                <w:szCs w:val="22"/>
                <w:vertAlign w:val="baseline"/>
                <w:rtl w:val="0"/>
              </w:rPr>
              <w:t xml:space="preserve">  </w:t>
            </w:r>
            <w:bookmarkStart w:colFirst="0" w:colLast="0" w:name="bookmark=id.2b05yefjk6gs" w:id="2"/>
            <w:bookmarkEnd w:id="2"/>
            <w:r w:rsidDel="00000000" w:rsidR="00000000" w:rsidRPr="00000000">
              <w:rPr>
                <w:sz w:val="22"/>
                <w:szCs w:val="22"/>
                <w:vertAlign w:val="baseline"/>
                <w:rtl w:val="0"/>
              </w:rPr>
              <w:t xml:space="preserve">☐      4</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3ju1b7gaujc4" w:id="3"/>
            <w:bookmarkEnd w:id="3"/>
            <w:r w:rsidDel="00000000" w:rsidR="00000000" w:rsidRPr="00000000">
              <w:rPr>
                <w:sz w:val="22"/>
                <w:szCs w:val="22"/>
                <w:vertAlign w:val="baseline"/>
                <w:rtl w:val="0"/>
              </w:rPr>
              <w:t xml:space="preserve">☐      5</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c94d3xof6o8g" w:id="4"/>
            <w:bookmarkEnd w:id="4"/>
            <w:r w:rsidDel="00000000" w:rsidR="00000000" w:rsidRPr="00000000">
              <w:rPr>
                <w:sz w:val="22"/>
                <w:szCs w:val="22"/>
                <w:vertAlign w:val="baseline"/>
                <w:rtl w:val="0"/>
              </w:rPr>
              <w:t xml:space="preserve">☐      6</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y0acuvfrufot" w:id="5"/>
            <w:bookmarkEnd w:id="5"/>
            <w:r w:rsidDel="00000000" w:rsidR="00000000" w:rsidRPr="00000000">
              <w:rPr>
                <w:sz w:val="22"/>
                <w:szCs w:val="22"/>
                <w:vertAlign w:val="baseline"/>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Signed …………Costantino Toth…………………………………………………</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44"/>
                <w:szCs w:val="4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Email submission: if you are submitting this form via email, please tick this box </w:t>
            </w:r>
            <w:sdt>
              <w:sdtPr>
                <w:id w:val="-1568087732"/>
                <w:tag w:val="goog_rdk_0"/>
              </w:sdtPr>
              <w:sdtContent>
                <w:r w:rsidDel="00000000" w:rsidR="00000000" w:rsidRPr="00000000">
                  <w:rPr>
                    <w:rFonts w:ascii="Gungsuh" w:cs="Gungsuh" w:eastAsia="Gungsuh" w:hAnsi="Gungsuh"/>
                    <w:b w:val="1"/>
                    <w:bCs w:val="1"/>
                    <w:sz w:val="44"/>
                    <w:szCs w:val="44"/>
                    <w:rtl w:val="0"/>
                  </w:rPr>
                  <w:t xml:space="preserve">√</w:t>
                </w:r>
              </w:sdtContent>
            </w:sdt>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5">
            <w:pPr>
              <w:rPr>
                <w:vertAlign w:val="baseline"/>
              </w:rPr>
            </w:pPr>
            <w:r w:rsidDel="00000000" w:rsidR="00000000" w:rsidRPr="00000000">
              <w:rPr>
                <w:rtl w:val="0"/>
              </w:rPr>
            </w:r>
          </w:p>
          <w:p w:rsidR="00000000" w:rsidDel="00000000" w:rsidP="00000000" w:rsidRDefault="00000000" w:rsidRPr="00000000" w14:paraId="00000036">
            <w:pPr>
              <w:rPr>
                <w:vertAlign w:val="baseline"/>
              </w:rPr>
            </w:pPr>
            <w:r w:rsidDel="00000000" w:rsidR="00000000" w:rsidRPr="00000000">
              <w:rPr>
                <w:b w:val="1"/>
                <w:bCs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7">
                  <w:pPr>
                    <w:rPr>
                      <w:sz w:val="20"/>
                      <w:szCs w:val="20"/>
                      <w:vertAlign w:val="baseline"/>
                    </w:rPr>
                  </w:pPr>
                  <w:r w:rsidDel="00000000" w:rsidR="00000000" w:rsidRPr="00000000">
                    <w:rPr>
                      <w:rtl w:val="0"/>
                    </w:rPr>
                  </w:r>
                </w:p>
                <w:p w:rsidR="00000000" w:rsidDel="00000000" w:rsidP="00000000" w:rsidRDefault="00000000" w:rsidRPr="00000000" w14:paraId="00000038">
                  <w:pPr>
                    <w:rPr>
                      <w:sz w:val="20"/>
                      <w:szCs w:val="20"/>
                      <w:vertAlign w:val="baseline"/>
                    </w:rPr>
                  </w:pPr>
                  <w:r w:rsidDel="00000000" w:rsidR="00000000" w:rsidRPr="00000000">
                    <w:rPr>
                      <w:sz w:val="20"/>
                      <w:szCs w:val="20"/>
                      <w:vertAlign w:val="baseline"/>
                      <w:rtl w:val="0"/>
                    </w:rPr>
                    <w:t xml:space="preserve">1</w:t>
                  </w:r>
                  <w:r w:rsidDel="00000000" w:rsidR="00000000" w:rsidRPr="00000000">
                    <w:rPr>
                      <w:sz w:val="20"/>
                      <w:szCs w:val="20"/>
                      <w:vertAlign w:val="superscript"/>
                      <w:rtl w:val="0"/>
                    </w:rPr>
                    <w:t xml:space="preserve">st</w:t>
                  </w:r>
                  <w:r w:rsidDel="00000000" w:rsidR="00000000" w:rsidRPr="00000000">
                    <w:rPr>
                      <w:sz w:val="20"/>
                      <w:szCs w:val="20"/>
                      <w:vertAlign w:val="baseline"/>
                      <w:rtl w:val="0"/>
                    </w:rPr>
                    <w:t xml:space="preserve"> Marker’s Provisional mark</w:t>
                  </w:r>
                </w:p>
              </w:tc>
              <w:tc>
                <w:tcPr>
                  <w:vAlign w:val="top"/>
                </w:tcPr>
                <w:p w:rsidR="00000000" w:rsidDel="00000000" w:rsidP="00000000" w:rsidRDefault="00000000" w:rsidRPr="00000000" w14:paraId="00000039">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A">
                  <w:pPr>
                    <w:rPr>
                      <w:sz w:val="20"/>
                      <w:szCs w:val="20"/>
                      <w:vertAlign w:val="baseline"/>
                    </w:rPr>
                  </w:pPr>
                  <w:r w:rsidDel="00000000" w:rsidR="00000000" w:rsidRPr="00000000">
                    <w:rPr>
                      <w:rtl w:val="0"/>
                    </w:rPr>
                  </w:r>
                </w:p>
                <w:p w:rsidR="00000000" w:rsidDel="00000000" w:rsidP="00000000" w:rsidRDefault="00000000" w:rsidRPr="00000000" w14:paraId="0000003B">
                  <w:pPr>
                    <w:rPr>
                      <w:sz w:val="20"/>
                      <w:szCs w:val="20"/>
                      <w:vertAlign w:val="baseline"/>
                    </w:rPr>
                  </w:pPr>
                  <w:r w:rsidDel="00000000" w:rsidR="00000000" w:rsidRPr="00000000">
                    <w:rPr>
                      <w:sz w:val="20"/>
                      <w:szCs w:val="20"/>
                      <w:vertAlign w:val="baseline"/>
                      <w:rtl w:val="0"/>
                    </w:rPr>
                    <w:t xml:space="preserve">2</w:t>
                  </w:r>
                  <w:r w:rsidDel="00000000" w:rsidR="00000000" w:rsidRPr="00000000">
                    <w:rPr>
                      <w:sz w:val="20"/>
                      <w:szCs w:val="20"/>
                      <w:vertAlign w:val="superscript"/>
                      <w:rtl w:val="0"/>
                    </w:rPr>
                    <w:t xml:space="preserve">nd</w:t>
                  </w:r>
                  <w:r w:rsidDel="00000000" w:rsidR="00000000" w:rsidRPr="00000000">
                    <w:rPr>
                      <w:sz w:val="20"/>
                      <w:szCs w:val="20"/>
                      <w:vertAlign w:val="baseline"/>
                      <w:rtl w:val="0"/>
                    </w:rPr>
                    <w:t xml:space="preserve"> Marker’s/Moderator’s provisional mark</w:t>
                  </w:r>
                </w:p>
              </w:tc>
              <w:tc>
                <w:tcPr>
                  <w:vAlign w:val="top"/>
                </w:tcPr>
                <w:p w:rsidR="00000000" w:rsidDel="00000000" w:rsidP="00000000" w:rsidRDefault="00000000" w:rsidRPr="00000000" w14:paraId="0000003C">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D">
                  <w:pPr>
                    <w:rPr>
                      <w:color w:val="000000"/>
                      <w:sz w:val="20"/>
                      <w:szCs w:val="20"/>
                      <w:vertAlign w:val="baseline"/>
                    </w:rPr>
                  </w:pPr>
                  <w:r w:rsidDel="00000000" w:rsidR="00000000" w:rsidRPr="00000000">
                    <w:rPr>
                      <w:color w:val="000000"/>
                      <w:sz w:val="20"/>
                      <w:szCs w:val="20"/>
                      <w:vertAlign w:val="baseline"/>
                      <w:rtl w:val="0"/>
                    </w:rPr>
                    <w:t xml:space="preserve">Agreed Internal Mark: </w:t>
                  </w:r>
                </w:p>
                <w:p w:rsidR="00000000" w:rsidDel="00000000" w:rsidP="00000000" w:rsidRDefault="00000000" w:rsidRPr="00000000" w14:paraId="0000003E">
                  <w:pPr>
                    <w:rPr>
                      <w:sz w:val="20"/>
                      <w:szCs w:val="20"/>
                      <w:highlight w:val="yellow"/>
                      <w:vertAlign w:val="baseline"/>
                    </w:rPr>
                  </w:pPr>
                  <w:r w:rsidDel="00000000" w:rsidR="00000000" w:rsidRPr="00000000">
                    <w:rPr>
                      <w:rtl w:val="0"/>
                    </w:rPr>
                  </w:r>
                </w:p>
              </w:tc>
              <w:tc>
                <w:tcPr>
                  <w:vAlign w:val="top"/>
                </w:tcPr>
                <w:p w:rsidR="00000000" w:rsidDel="00000000" w:rsidP="00000000" w:rsidRDefault="00000000" w:rsidRPr="00000000" w14:paraId="0000003F">
                  <w:pPr>
                    <w:rPr>
                      <w:sz w:val="20"/>
                      <w:szCs w:val="20"/>
                      <w:highlight w:val="yellow"/>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rPr>
                      <w:sz w:val="20"/>
                      <w:szCs w:val="20"/>
                      <w:vertAlign w:val="baseline"/>
                    </w:rPr>
                  </w:pPr>
                  <w:r w:rsidDel="00000000" w:rsidR="00000000" w:rsidRPr="00000000">
                    <w:rPr>
                      <w:rtl w:val="0"/>
                    </w:rPr>
                  </w:r>
                </w:p>
                <w:p w:rsidR="00000000" w:rsidDel="00000000" w:rsidP="00000000" w:rsidRDefault="00000000" w:rsidRPr="00000000" w14:paraId="00000041">
                  <w:pPr>
                    <w:rPr>
                      <w:sz w:val="20"/>
                      <w:szCs w:val="20"/>
                      <w:vertAlign w:val="baseline"/>
                    </w:rPr>
                  </w:pPr>
                  <w:r w:rsidDel="00000000" w:rsidR="00000000" w:rsidRPr="00000000">
                    <w:rPr>
                      <w:sz w:val="20"/>
                      <w:szCs w:val="20"/>
                      <w:vertAlign w:val="baseline"/>
                      <w:rtl w:val="0"/>
                    </w:rPr>
                    <w:t xml:space="preserve">External Examiner’s mark (if relevant)</w:t>
                  </w:r>
                </w:p>
              </w:tc>
              <w:tc>
                <w:tcPr>
                  <w:vAlign w:val="top"/>
                </w:tcPr>
                <w:p w:rsidR="00000000" w:rsidDel="00000000" w:rsidP="00000000" w:rsidRDefault="00000000" w:rsidRPr="00000000" w14:paraId="00000042">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3">
                  <w:pPr>
                    <w:rPr>
                      <w:sz w:val="20"/>
                      <w:szCs w:val="20"/>
                      <w:vertAlign w:val="baseline"/>
                    </w:rPr>
                  </w:pPr>
                  <w:r w:rsidDel="00000000" w:rsidR="00000000" w:rsidRPr="00000000">
                    <w:rPr>
                      <w:rtl w:val="0"/>
                    </w:rPr>
                  </w:r>
                </w:p>
                <w:p w:rsidR="00000000" w:rsidDel="00000000" w:rsidP="00000000" w:rsidRDefault="00000000" w:rsidRPr="00000000" w14:paraId="00000044">
                  <w:pPr>
                    <w:rPr>
                      <w:sz w:val="20"/>
                      <w:szCs w:val="20"/>
                      <w:vertAlign w:val="baseline"/>
                    </w:rPr>
                  </w:pPr>
                  <w:r w:rsidDel="00000000" w:rsidR="00000000" w:rsidRPr="00000000">
                    <w:rPr>
                      <w:b w:val="1"/>
                      <w:bCs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5">
                  <w:pP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46">
                  <w:pPr>
                    <w:rPr>
                      <w:sz w:val="20"/>
                      <w:szCs w:val="20"/>
                      <w:vertAlign w:val="baseline"/>
                    </w:rPr>
                  </w:pPr>
                  <w:r w:rsidDel="00000000" w:rsidR="00000000" w:rsidRPr="00000000">
                    <w:rPr>
                      <w:rtl w:val="0"/>
                    </w:rPr>
                  </w:r>
                </w:p>
              </w:tc>
            </w:tr>
          </w:tbl>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NB.</w:t>
            </w:r>
            <w:r w:rsidDel="00000000" w:rsidR="00000000" w:rsidRPr="00000000">
              <w:rPr>
                <w:i w:val="0"/>
                <w:iCs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Date:</w:t>
            </w:r>
          </w:p>
        </w:tc>
      </w:tr>
      <w:tr>
        <w:trPr>
          <w:cantSplit w:val="0"/>
          <w:tblHeader w:val="0"/>
        </w:trPr>
        <w:tc>
          <w:tcPr>
            <w:gridSpan w:val="5"/>
            <w:vAlign w:val="top"/>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9">
            <w:pPr>
              <w:rPr>
                <w:sz w:val="22"/>
                <w:szCs w:val="22"/>
                <w:vertAlign w:val="baseline"/>
              </w:rPr>
            </w:pPr>
            <w:r w:rsidDel="00000000" w:rsidR="00000000" w:rsidRPr="00000000">
              <w:rPr>
                <w:b w:val="1"/>
                <w:bCs w:val="1"/>
                <w:sz w:val="22"/>
                <w:szCs w:val="22"/>
                <w:vertAlign w:val="baseline"/>
                <w:rtl w:val="0"/>
              </w:rPr>
              <w:t xml:space="preserve">AGREED INTERNAL MARK (where necessary):</w:t>
            </w:r>
            <w:r w:rsidDel="00000000" w:rsidR="00000000" w:rsidRPr="00000000">
              <w:rPr>
                <w:rtl w:val="0"/>
              </w:rPr>
            </w:r>
          </w:p>
          <w:p w:rsidR="00000000" w:rsidDel="00000000" w:rsidP="00000000" w:rsidRDefault="00000000" w:rsidRPr="00000000" w14:paraId="0000006A">
            <w:pPr>
              <w:rPr>
                <w:sz w:val="22"/>
                <w:szCs w:val="22"/>
                <w:vertAlign w:val="baseline"/>
              </w:rPr>
            </w:pPr>
            <w:r w:rsidDel="00000000" w:rsidR="00000000" w:rsidRPr="00000000">
              <w:rPr>
                <w:rtl w:val="0"/>
              </w:rPr>
            </w:r>
          </w:p>
          <w:p w:rsidR="00000000" w:rsidDel="00000000" w:rsidP="00000000" w:rsidRDefault="00000000" w:rsidRPr="00000000" w14:paraId="0000006B">
            <w:pPr>
              <w:rPr>
                <w:sz w:val="22"/>
                <w:szCs w:val="22"/>
                <w:vertAlign w:val="baseline"/>
              </w:rPr>
            </w:pPr>
            <w:r w:rsidDel="00000000" w:rsidR="00000000" w:rsidRPr="00000000">
              <w:rPr>
                <w:b w:val="1"/>
                <w:bCs w:val="1"/>
                <w:sz w:val="22"/>
                <w:szCs w:val="22"/>
                <w:vertAlign w:val="baseline"/>
                <w:rtl w:val="0"/>
              </w:rPr>
              <w:t xml:space="preserve">Comment on process of arriving at agreed mark:</w:t>
            </w:r>
            <w:r w:rsidDel="00000000" w:rsidR="00000000" w:rsidRPr="00000000">
              <w:rPr>
                <w:rtl w:val="0"/>
              </w:rPr>
            </w:r>
          </w:p>
          <w:p w:rsidR="00000000" w:rsidDel="00000000" w:rsidP="00000000" w:rsidRDefault="00000000" w:rsidRPr="00000000" w14:paraId="0000006C">
            <w:pPr>
              <w:rPr>
                <w:sz w:val="22"/>
                <w:szCs w:val="22"/>
                <w:vertAlign w:val="baseline"/>
              </w:rPr>
            </w:pPr>
            <w:r w:rsidDel="00000000" w:rsidR="00000000" w:rsidRPr="00000000">
              <w:rPr>
                <w:rtl w:val="0"/>
              </w:rPr>
            </w:r>
          </w:p>
          <w:p w:rsidR="00000000" w:rsidDel="00000000" w:rsidP="00000000" w:rsidRDefault="00000000" w:rsidRPr="00000000" w14:paraId="0000006D">
            <w:pPr>
              <w:rPr>
                <w:sz w:val="22"/>
                <w:szCs w:val="22"/>
                <w:vertAlign w:val="baseline"/>
              </w:rPr>
            </w:pPr>
            <w:r w:rsidDel="00000000" w:rsidR="00000000" w:rsidRPr="00000000">
              <w:rPr>
                <w:rtl w:val="0"/>
              </w:rPr>
            </w:r>
          </w:p>
          <w:p w:rsidR="00000000" w:rsidDel="00000000" w:rsidP="00000000" w:rsidRDefault="00000000" w:rsidRPr="00000000" w14:paraId="0000006E">
            <w:pPr>
              <w:rPr>
                <w:sz w:val="22"/>
                <w:szCs w:val="22"/>
                <w:vertAlign w:val="baseline"/>
              </w:rPr>
            </w:pPr>
            <w:r w:rsidDel="00000000" w:rsidR="00000000" w:rsidRPr="00000000">
              <w:rPr>
                <w:rtl w:val="0"/>
              </w:rPr>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rPr>
                <w:sz w:val="22"/>
                <w:szCs w:val="22"/>
                <w:vertAlign w:val="baseline"/>
              </w:rPr>
            </w:pPr>
            <w:r w:rsidDel="00000000" w:rsidR="00000000" w:rsidRPr="00000000">
              <w:rPr>
                <w:rtl w:val="0"/>
              </w:rPr>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rtl w:val="0"/>
              </w:rPr>
            </w:r>
          </w:p>
          <w:p w:rsidR="00000000" w:rsidDel="00000000" w:rsidP="00000000" w:rsidRDefault="00000000" w:rsidRPr="00000000" w14:paraId="00000073">
            <w:pPr>
              <w:rPr>
                <w:sz w:val="22"/>
                <w:szCs w:val="22"/>
                <w:vertAlign w:val="baseline"/>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78">
            <w:pPr>
              <w:rPr>
                <w:sz w:val="22"/>
                <w:szCs w:val="22"/>
                <w:vertAlign w:val="baseline"/>
              </w:rPr>
            </w:pPr>
            <w:r w:rsidDel="00000000" w:rsidR="00000000" w:rsidRPr="00000000">
              <w:rPr>
                <w:b w:val="1"/>
                <w:bCs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84">
            <w:pPr>
              <w:rPr>
                <w:sz w:val="22"/>
                <w:szCs w:val="22"/>
                <w:vertAlign w:val="baseline"/>
              </w:rPr>
            </w:pPr>
            <w:r w:rsidDel="00000000" w:rsidR="00000000" w:rsidRPr="00000000">
              <w:rPr>
                <w:sz w:val="22"/>
                <w:szCs w:val="22"/>
                <w:vertAlign w:val="baseline"/>
                <w:rtl w:val="0"/>
              </w:rPr>
              <w:t xml:space="preserve">External Examiner’s Signature:</w:t>
            </w:r>
          </w:p>
        </w:tc>
        <w:tc>
          <w:tcPr>
            <w:gridSpan w:val="3"/>
            <w:vAlign w:val="top"/>
          </w:tcPr>
          <w:p w:rsidR="00000000" w:rsidDel="00000000" w:rsidP="00000000" w:rsidRDefault="00000000" w:rsidRPr="00000000" w14:paraId="00000086">
            <w:pPr>
              <w:rPr>
                <w:sz w:val="22"/>
                <w:szCs w:val="22"/>
                <w:vertAlign w:val="baseline"/>
              </w:rPr>
            </w:pPr>
            <w:r w:rsidDel="00000000" w:rsidR="00000000" w:rsidRPr="00000000">
              <w:rPr>
                <w:sz w:val="22"/>
                <w:szCs w:val="22"/>
                <w:vertAlign w:val="baseline"/>
                <w:rtl w:val="0"/>
              </w:rPr>
              <w:t xml:space="preserve">Date:</w:t>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7">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8">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9">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A">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B">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C">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D">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E">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9F">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0">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1">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2">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3">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4">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5">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6">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7">
      <w:pPr>
        <w:spacing w:after="80" w:line="276" w:lineRule="auto"/>
        <w:jc w:val="center"/>
        <w:rPr>
          <w:b w:val="1"/>
          <w:bCs w:val="1"/>
        </w:rPr>
      </w:pPr>
      <w:r w:rsidDel="00000000" w:rsidR="00000000" w:rsidRPr="00000000">
        <w:rPr>
          <w:rtl w:val="0"/>
        </w:rPr>
      </w:r>
    </w:p>
    <w:p w:rsidR="00000000" w:rsidDel="00000000" w:rsidP="00000000" w:rsidRDefault="00000000" w:rsidRPr="00000000" w14:paraId="000000A8">
      <w:pPr>
        <w:spacing w:after="80" w:line="276" w:lineRule="auto"/>
        <w:jc w:val="left"/>
        <w:rPr>
          <w:b w:val="1"/>
          <w:bCs w:val="1"/>
        </w:rPr>
      </w:pPr>
      <w:r w:rsidDel="00000000" w:rsidR="00000000" w:rsidRPr="00000000">
        <w:rPr>
          <w:rtl w:val="0"/>
        </w:rPr>
      </w:r>
    </w:p>
    <w:p w:rsidR="00000000" w:rsidDel="00000000" w:rsidP="00000000" w:rsidRDefault="00000000" w:rsidRPr="00000000" w14:paraId="000000A9">
      <w:pPr>
        <w:spacing w:line="240" w:lineRule="auto"/>
        <w:rPr/>
      </w:pPr>
      <w:r w:rsidDel="00000000" w:rsidR="00000000" w:rsidRPr="00000000">
        <w:rPr>
          <w:rtl w:val="0"/>
        </w:rPr>
        <w:t xml:space="preserve">Costantino Toth 2430606</w:t>
      </w:r>
    </w:p>
    <w:p w:rsidR="00000000" w:rsidDel="00000000" w:rsidP="00000000" w:rsidRDefault="00000000" w:rsidRPr="00000000" w14:paraId="000000AA">
      <w:pPr>
        <w:spacing w:line="240" w:lineRule="auto"/>
        <w:rPr/>
      </w:pPr>
      <w:r w:rsidDel="00000000" w:rsidR="00000000" w:rsidRPr="00000000">
        <w:rPr>
          <w:rtl w:val="0"/>
        </w:rPr>
      </w:r>
    </w:p>
    <w:p w:rsidR="00000000" w:rsidDel="00000000" w:rsidP="00000000" w:rsidRDefault="00000000" w:rsidRPr="00000000" w14:paraId="000000AB">
      <w:pPr>
        <w:spacing w:line="240" w:lineRule="auto"/>
        <w:rPr/>
      </w:pPr>
      <w:r w:rsidDel="00000000" w:rsidR="00000000" w:rsidRPr="00000000">
        <w:rPr>
          <w:rtl w:val="0"/>
        </w:rPr>
      </w:r>
    </w:p>
    <w:p w:rsidR="00000000" w:rsidDel="00000000" w:rsidP="00000000" w:rsidRDefault="00000000" w:rsidRPr="00000000" w14:paraId="000000AC">
      <w:pPr>
        <w:spacing w:line="276" w:lineRule="auto"/>
        <w:jc w:val="center"/>
        <w:rPr>
          <w:i w:val="1"/>
          <w:iCs w:val="1"/>
        </w:rPr>
      </w:pPr>
      <w:r w:rsidDel="00000000" w:rsidR="00000000" w:rsidRPr="00000000">
        <w:rPr>
          <w:b w:val="1"/>
          <w:bCs w:val="1"/>
          <w:rtl w:val="0"/>
        </w:rPr>
        <w:t xml:space="preserve">Essay Based on Sky Journal</w:t>
        <w:br w:type="textWrapping"/>
      </w:r>
      <w:r w:rsidDel="00000000" w:rsidR="00000000" w:rsidRPr="00000000">
        <w:rPr>
          <w:i w:val="1"/>
          <w:iCs w:val="1"/>
          <w:rtl w:val="0"/>
        </w:rPr>
        <w:t xml:space="preserve">Observing Orion before sunrise</w:t>
      </w:r>
      <w:r w:rsidDel="00000000" w:rsidR="00000000" w:rsidRPr="00000000">
        <w:rPr>
          <w:rtl w:val="0"/>
        </w:rPr>
      </w:r>
    </w:p>
    <w:p w:rsidR="00000000" w:rsidDel="00000000" w:rsidP="00000000" w:rsidRDefault="00000000" w:rsidRPr="00000000" w14:paraId="000000AD">
      <w:pPr>
        <w:spacing w:line="240" w:lineRule="auto"/>
        <w:jc w:val="center"/>
        <w:rPr>
          <w:b w:val="1"/>
          <w:bCs w:val="1"/>
          <w:i w:val="1"/>
          <w:iCs w:val="1"/>
        </w:rPr>
      </w:pPr>
      <w:r w:rsidDel="00000000" w:rsidR="00000000" w:rsidRPr="00000000">
        <w:rPr>
          <w:rtl w:val="0"/>
        </w:rPr>
      </w:r>
    </w:p>
    <w:p w:rsidR="00000000" w:rsidDel="00000000" w:rsidP="00000000" w:rsidRDefault="00000000" w:rsidRPr="00000000" w14:paraId="000000AE">
      <w:pPr>
        <w:spacing w:after="80" w:line="240" w:lineRule="auto"/>
        <w:rPr/>
      </w:pPr>
      <w:r w:rsidDel="00000000" w:rsidR="00000000" w:rsidRPr="00000000">
        <w:rPr>
          <w:rtl w:val="0"/>
        </w:rPr>
        <w:t xml:space="preserve">Word count: 2084</w:t>
      </w:r>
    </w:p>
    <w:p w:rsidR="00000000" w:rsidDel="00000000" w:rsidP="00000000" w:rsidRDefault="00000000" w:rsidRPr="00000000" w14:paraId="000000AF">
      <w:pPr>
        <w:spacing w:after="80" w:line="240" w:lineRule="auto"/>
        <w:rPr/>
      </w:pPr>
      <w:r w:rsidDel="00000000" w:rsidR="00000000" w:rsidRPr="00000000">
        <w:rPr>
          <w:rtl w:val="0"/>
        </w:rPr>
      </w:r>
    </w:p>
    <w:p w:rsidR="00000000" w:rsidDel="00000000" w:rsidP="00000000" w:rsidRDefault="00000000" w:rsidRPr="00000000" w14:paraId="000000B0">
      <w:pPr>
        <w:spacing w:line="240" w:lineRule="auto"/>
        <w:rPr>
          <w:b w:val="1"/>
          <w:bCs w:val="1"/>
        </w:rPr>
      </w:pPr>
      <w:r w:rsidDel="00000000" w:rsidR="00000000" w:rsidRPr="00000000">
        <w:rPr>
          <w:b w:val="1"/>
          <w:bCs w:val="1"/>
          <w:rtl w:val="0"/>
        </w:rPr>
        <w:t xml:space="preserve">Introduction</w:t>
      </w:r>
    </w:p>
    <w:p w:rsidR="00000000" w:rsidDel="00000000" w:rsidP="00000000" w:rsidRDefault="00000000" w:rsidRPr="00000000" w14:paraId="000000B1">
      <w:pPr>
        <w:spacing w:line="240" w:lineRule="auto"/>
        <w:rPr>
          <w:b w:val="1"/>
          <w:bCs w:val="1"/>
        </w:rPr>
      </w:pPr>
      <w:r w:rsidDel="00000000" w:rsidR="00000000" w:rsidRPr="00000000">
        <w:rPr>
          <w:rtl w:val="0"/>
        </w:rPr>
      </w:r>
    </w:p>
    <w:p w:rsidR="00000000" w:rsidDel="00000000" w:rsidP="00000000" w:rsidRDefault="00000000" w:rsidRPr="00000000" w14:paraId="000000B2">
      <w:pPr>
        <w:spacing w:line="240" w:lineRule="auto"/>
        <w:ind w:firstLine="720"/>
        <w:rPr/>
      </w:pPr>
      <w:r w:rsidDel="00000000" w:rsidR="00000000" w:rsidRPr="00000000">
        <w:rPr>
          <w:rtl w:val="0"/>
        </w:rPr>
        <w:t xml:space="preserve">This essay will analyze my sky journal, specifically my observations of the constellation of Orion in the dark morning sky, through the lens of this quote by Vincent Van Gogh: ‘Be clearly aware of the stars and infinity on high. Then life seems</w:t>
      </w:r>
      <w:r w:rsidDel="00000000" w:rsidR="00000000" w:rsidRPr="00000000">
        <w:rPr>
          <w:rtl w:val="0"/>
        </w:rPr>
        <w:t xml:space="preserve"> almost</w:t>
      </w:r>
      <w:r w:rsidDel="00000000" w:rsidR="00000000" w:rsidRPr="00000000">
        <w:rPr>
          <w:rtl w:val="0"/>
        </w:rPr>
        <w:t xml:space="preserve"> enchanted after all.’</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3">
      <w:pPr>
        <w:spacing w:line="240" w:lineRule="auto"/>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0B4">
      <w:pPr>
        <w:spacing w:line="240" w:lineRule="auto"/>
        <w:rPr>
          <w:b w:val="1"/>
          <w:bCs w:val="1"/>
        </w:rPr>
      </w:pPr>
      <w:r w:rsidDel="00000000" w:rsidR="00000000" w:rsidRPr="00000000">
        <w:rPr>
          <w:rtl w:val="0"/>
        </w:rPr>
      </w:r>
    </w:p>
    <w:p w:rsidR="00000000" w:rsidDel="00000000" w:rsidP="00000000" w:rsidRDefault="00000000" w:rsidRPr="00000000" w14:paraId="000000B5">
      <w:pPr>
        <w:spacing w:line="240" w:lineRule="auto"/>
        <w:rPr>
          <w:b w:val="1"/>
          <w:bCs w:val="1"/>
        </w:rPr>
      </w:pPr>
      <w:r w:rsidDel="00000000" w:rsidR="00000000" w:rsidRPr="00000000">
        <w:rPr>
          <w:b w:val="1"/>
          <w:bCs w:val="1"/>
          <w:rtl w:val="0"/>
        </w:rPr>
        <w:t xml:space="preserve">A. Background</w:t>
      </w:r>
    </w:p>
    <w:p w:rsidR="00000000" w:rsidDel="00000000" w:rsidP="00000000" w:rsidRDefault="00000000" w:rsidRPr="00000000" w14:paraId="000000B6">
      <w:pPr>
        <w:spacing w:line="240" w:lineRule="auto"/>
        <w:rPr>
          <w:b w:val="1"/>
          <w:bCs w:val="1"/>
        </w:rPr>
      </w:pPr>
      <w:r w:rsidDel="00000000" w:rsidR="00000000" w:rsidRPr="00000000">
        <w:rPr>
          <w:rtl w:val="0"/>
        </w:rPr>
      </w:r>
    </w:p>
    <w:p w:rsidR="00000000" w:rsidDel="00000000" w:rsidP="00000000" w:rsidRDefault="00000000" w:rsidRPr="00000000" w14:paraId="000000B7">
      <w:pPr>
        <w:spacing w:line="240" w:lineRule="auto"/>
        <w:rPr>
          <w:i w:val="1"/>
          <w:iCs w:val="1"/>
        </w:rPr>
      </w:pPr>
      <w:r w:rsidDel="00000000" w:rsidR="00000000" w:rsidRPr="00000000">
        <w:rPr>
          <w:i w:val="1"/>
          <w:iCs w:val="1"/>
          <w:rtl w:val="0"/>
        </w:rPr>
        <w:t xml:space="preserve">A1. The quote, its context, and analysis</w:t>
      </w:r>
      <w:r w:rsidDel="00000000" w:rsidR="00000000" w:rsidRPr="00000000">
        <w:rPr>
          <w:rtl w:val="0"/>
        </w:rPr>
      </w:r>
    </w:p>
    <w:p w:rsidR="00000000" w:rsidDel="00000000" w:rsidP="00000000" w:rsidRDefault="00000000" w:rsidRPr="00000000" w14:paraId="000000B8">
      <w:pPr>
        <w:spacing w:line="240" w:lineRule="auto"/>
        <w:ind w:firstLine="720"/>
        <w:rPr/>
      </w:pPr>
      <w:r w:rsidDel="00000000" w:rsidR="00000000" w:rsidRPr="00000000">
        <w:rPr>
          <w:rtl w:val="0"/>
        </w:rPr>
        <w:t xml:space="preserve">The quote is excerpted from a letter that Vincent wrote to his brother, Theo, dated August 11, 1888. Within the whole text, the quote is not just a whimsical line of advice, as </w:t>
      </w:r>
      <w:r w:rsidDel="00000000" w:rsidR="00000000" w:rsidRPr="00000000">
        <w:rPr>
          <w:rtl w:val="0"/>
        </w:rPr>
        <w:t xml:space="preserve">Van Gogh does not simply state ‘…then life seems enchanted after all’ but that ‘…life seems </w:t>
      </w:r>
      <w:r w:rsidDel="00000000" w:rsidR="00000000" w:rsidRPr="00000000">
        <w:rPr>
          <w:i w:val="1"/>
          <w:iCs w:val="1"/>
          <w:rtl w:val="0"/>
        </w:rPr>
        <w:t xml:space="preserve">almost</w:t>
      </w:r>
      <w:r w:rsidDel="00000000" w:rsidR="00000000" w:rsidRPr="00000000">
        <w:rPr>
          <w:rtl w:val="0"/>
        </w:rPr>
        <w:t xml:space="preserve"> enchanted after all.’</w:t>
      </w:r>
      <w:r w:rsidDel="00000000" w:rsidR="00000000" w:rsidRPr="00000000">
        <w:rPr>
          <w:vertAlign w:val="superscript"/>
        </w:rPr>
        <w:footnoteReference w:customMarkFollows="0" w:id="1"/>
      </w:r>
      <w:r w:rsidDel="00000000" w:rsidR="00000000" w:rsidRPr="00000000">
        <w:rPr>
          <w:rtl w:val="0"/>
        </w:rPr>
        <w:t xml:space="preserve"> Van Gogh’s</w:t>
      </w:r>
      <w:r w:rsidDel="00000000" w:rsidR="00000000" w:rsidRPr="00000000">
        <w:rPr>
          <w:rtl w:val="0"/>
        </w:rPr>
        <w:t xml:space="preserve"> inclusion of </w:t>
      </w:r>
      <w:r w:rsidDel="00000000" w:rsidR="00000000" w:rsidRPr="00000000">
        <w:rPr>
          <w:i w:val="1"/>
          <w:iCs w:val="1"/>
          <w:rtl w:val="0"/>
        </w:rPr>
        <w:t xml:space="preserve">almost </w:t>
      </w:r>
      <w:r w:rsidDel="00000000" w:rsidR="00000000" w:rsidRPr="00000000">
        <w:rPr>
          <w:rtl w:val="0"/>
        </w:rPr>
        <w:t xml:space="preserve">within this line</w:t>
      </w:r>
      <w:r w:rsidDel="00000000" w:rsidR="00000000" w:rsidRPr="00000000">
        <w:rPr>
          <w:i w:val="1"/>
          <w:iCs w:val="1"/>
          <w:rtl w:val="0"/>
        </w:rPr>
        <w:t xml:space="preserve"> </w:t>
      </w:r>
      <w:r w:rsidDel="00000000" w:rsidR="00000000" w:rsidRPr="00000000">
        <w:rPr>
          <w:rtl w:val="0"/>
        </w:rPr>
        <w:t xml:space="preserve">hints at a motif of struggling to surpass quotidian concerns.</w:t>
      </w:r>
      <w:r w:rsidDel="00000000" w:rsidR="00000000" w:rsidRPr="00000000">
        <w:rPr>
          <w:vertAlign w:val="superscript"/>
        </w:rPr>
        <w:footnoteReference w:customMarkFollows="0" w:id="2"/>
      </w:r>
      <w:r w:rsidDel="00000000" w:rsidR="00000000" w:rsidRPr="00000000">
        <w:rPr>
          <w:rtl w:val="0"/>
        </w:rPr>
        <w:t xml:space="preserve"> The majority of the letter bemoans his poverty and ill health before Van Gogh writes the famous quote, at a juncture near the last paragraphs that implies the quote’s purpose of both consolation and reminder to Van Gogh himself: to not forget the importance of consistent attendance to the night sky.</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9">
      <w:pPr>
        <w:spacing w:line="240" w:lineRule="auto"/>
        <w:ind w:left="0" w:firstLine="0"/>
        <w:rPr/>
      </w:pPr>
      <w:r w:rsidDel="00000000" w:rsidR="00000000" w:rsidRPr="00000000">
        <w:rPr>
          <w:rtl w:val="0"/>
        </w:rPr>
      </w:r>
    </w:p>
    <w:p w:rsidR="00000000" w:rsidDel="00000000" w:rsidP="00000000" w:rsidRDefault="00000000" w:rsidRPr="00000000" w14:paraId="000000BA">
      <w:pPr>
        <w:spacing w:line="240" w:lineRule="auto"/>
        <w:ind w:left="0" w:firstLine="0"/>
        <w:rPr/>
      </w:pPr>
      <w:r w:rsidDel="00000000" w:rsidR="00000000" w:rsidRPr="00000000">
        <w:rPr>
          <w:i w:val="1"/>
          <w:iCs w:val="1"/>
          <w:rtl w:val="0"/>
        </w:rPr>
        <w:t xml:space="preserve">A2. Enchantment and wonder</w:t>
      </w:r>
      <w:r w:rsidDel="00000000" w:rsidR="00000000" w:rsidRPr="00000000">
        <w:rPr>
          <w:rtl w:val="0"/>
        </w:rPr>
        <w:br w:type="textWrapping"/>
        <w:tab/>
        <w:t xml:space="preserve">What did Van Gogh mean by ‘enchanted’, however? It seems unlikely he meant ‘delightful’, as used in social contexts and introductions. In fact, the line immediately following reads ‘</w:t>
      </w:r>
      <w:r w:rsidDel="00000000" w:rsidR="00000000" w:rsidRPr="00000000">
        <w:rPr>
          <w:rtl w:val="0"/>
        </w:rPr>
        <w:t xml:space="preserve">Ah, those </w:t>
      </w:r>
      <w:r w:rsidDel="00000000" w:rsidR="00000000" w:rsidRPr="00000000">
        <w:rPr>
          <w:rtl w:val="0"/>
        </w:rPr>
        <w:t xml:space="preserve">who </w:t>
      </w:r>
      <w:r w:rsidDel="00000000" w:rsidR="00000000" w:rsidRPr="00000000">
        <w:rPr>
          <w:rtl w:val="0"/>
        </w:rPr>
        <w:t xml:space="preserve">don’t believe </w:t>
      </w:r>
      <w:r w:rsidDel="00000000" w:rsidR="00000000" w:rsidRPr="00000000">
        <w:rPr>
          <w:rtl w:val="0"/>
        </w:rPr>
        <w:t xml:space="preserve">in </w:t>
      </w:r>
      <w:r w:rsidDel="00000000" w:rsidR="00000000" w:rsidRPr="00000000">
        <w:rPr>
          <w:rtl w:val="0"/>
        </w:rPr>
        <w:t xml:space="preserve">the sun here </w:t>
      </w:r>
      <w:r w:rsidDel="00000000" w:rsidR="00000000" w:rsidRPr="00000000">
        <w:rPr>
          <w:rtl w:val="0"/>
        </w:rPr>
        <w:t xml:space="preserve">are </w:t>
      </w:r>
      <w:r w:rsidDel="00000000" w:rsidR="00000000" w:rsidRPr="00000000">
        <w:rPr>
          <w:rtl w:val="0"/>
        </w:rPr>
        <w:t xml:space="preserve">quite godless.’</w:t>
      </w:r>
      <w:r w:rsidDel="00000000" w:rsidR="00000000" w:rsidRPr="00000000">
        <w:rPr>
          <w:vertAlign w:val="superscript"/>
        </w:rPr>
        <w:footnoteReference w:customMarkFollows="0" w:id="4"/>
      </w:r>
      <w:r w:rsidDel="00000000" w:rsidR="00000000" w:rsidRPr="00000000">
        <w:rPr>
          <w:rtl w:val="0"/>
        </w:rPr>
        <w:t xml:space="preserve"> The latter line thus frames the former in a more spiritual light, not of pleasure or courtesy. Despite the dangers of presentism, this essay proposes Curry’s definition of ‘enchantment’ to well–approximate Van Gogh’s original meaning— ‘enchantment’ as a temporary, relational experience in which the differences between one and an Other (this ‘Other’ could be another human, a plant, the sky, etc.) are levelled, but not erased, thus producing a sense of wonder.</w:t>
      </w:r>
      <w:r w:rsidDel="00000000" w:rsidR="00000000" w:rsidRPr="00000000">
        <w:rPr>
          <w:vertAlign w:val="superscript"/>
        </w:rPr>
        <w:footnoteReference w:customMarkFollows="0" w:id="5"/>
      </w:r>
      <w:r w:rsidDel="00000000" w:rsidR="00000000" w:rsidRPr="00000000">
        <w:rPr>
          <w:rtl w:val="0"/>
        </w:rPr>
        <w:br w:type="textWrapping"/>
        <w:tab/>
        <w:t xml:space="preserve">What is ‘wonder’ then? Italian theologian Vito Mancuso, when discussing love, time, life, and so on, states that we will never be able to understand</w:t>
      </w:r>
      <w:r w:rsidDel="00000000" w:rsidR="00000000" w:rsidRPr="00000000">
        <w:rPr>
          <w:i w:val="1"/>
          <w:iCs w:val="1"/>
          <w:rtl w:val="0"/>
        </w:rPr>
        <w:t xml:space="preserve"> </w:t>
      </w:r>
      <w:r w:rsidDel="00000000" w:rsidR="00000000" w:rsidRPr="00000000">
        <w:rPr>
          <w:rtl w:val="0"/>
        </w:rPr>
        <w:t xml:space="preserve">(‘</w:t>
      </w:r>
      <w:r w:rsidDel="00000000" w:rsidR="00000000" w:rsidRPr="00000000">
        <w:rPr>
          <w:i w:val="1"/>
          <w:iCs w:val="1"/>
          <w:rtl w:val="0"/>
        </w:rPr>
        <w:t xml:space="preserve">capire’</w:t>
      </w:r>
      <w:r w:rsidDel="00000000" w:rsidR="00000000" w:rsidRPr="00000000">
        <w:rPr>
          <w:rtl w:val="0"/>
        </w:rPr>
        <w:t xml:space="preserve">) them, for the drive to understand (‘</w:t>
      </w:r>
      <w:r w:rsidDel="00000000" w:rsidR="00000000" w:rsidRPr="00000000">
        <w:rPr>
          <w:i w:val="1"/>
          <w:iCs w:val="1"/>
          <w:rtl w:val="0"/>
        </w:rPr>
        <w:t xml:space="preserve">capire’ — </w:t>
      </w:r>
      <w:r w:rsidDel="00000000" w:rsidR="00000000" w:rsidRPr="00000000">
        <w:rPr>
          <w:rtl w:val="0"/>
        </w:rPr>
        <w:t xml:space="preserve">derived from the Latin ‘</w:t>
      </w:r>
      <w:r w:rsidDel="00000000" w:rsidR="00000000" w:rsidRPr="00000000">
        <w:rPr>
          <w:i w:val="1"/>
          <w:iCs w:val="1"/>
          <w:rtl w:val="0"/>
        </w:rPr>
        <w:t xml:space="preserve">carpo’</w:t>
      </w:r>
      <w:r w:rsidDel="00000000" w:rsidR="00000000" w:rsidRPr="00000000">
        <w:rPr>
          <w:rtl w:val="0"/>
        </w:rPr>
        <w:t xml:space="preserve">: pluck, plunder; consume)</w:t>
      </w:r>
      <w:r w:rsidDel="00000000" w:rsidR="00000000" w:rsidRPr="00000000">
        <w:rPr>
          <w:rtl w:val="0"/>
        </w:rPr>
        <w:t xml:space="preserve"> is inherently possessive, and these ‘things’ cannot ever be possessed.</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BB">
      <w:pPr>
        <w:spacing w:line="240" w:lineRule="auto"/>
        <w:ind w:left="0" w:firstLine="720"/>
        <w:rPr/>
      </w:pPr>
      <w:r w:rsidDel="00000000" w:rsidR="00000000" w:rsidRPr="00000000">
        <w:rPr>
          <w:rtl w:val="0"/>
        </w:rPr>
        <w:t xml:space="preserve">By aligning Mancuso’s philosophy to Curry’s description of wonder, this essay will operate under the formula that enchantment must be established before wonderment can ensue. In other words, the categories that traditionally demarcate subjects— I, you, human, non–human —must first be briefly destabilized (enchantment).</w:t>
      </w:r>
      <w:r w:rsidDel="00000000" w:rsidR="00000000" w:rsidRPr="00000000">
        <w:rPr>
          <w:vertAlign w:val="superscript"/>
        </w:rPr>
        <w:footnoteReference w:customMarkFollows="0" w:id="7"/>
      </w:r>
      <w:r w:rsidDel="00000000" w:rsidR="00000000" w:rsidRPr="00000000">
        <w:rPr>
          <w:rtl w:val="0"/>
        </w:rPr>
        <w:t xml:space="preserve"> Thus, that sense of a subject or Other evading attempts at definition or deconstruction is generated (wonder): if </w:t>
      </w:r>
      <w:r w:rsidDel="00000000" w:rsidR="00000000" w:rsidRPr="00000000">
        <w:rPr>
          <w:i w:val="1"/>
          <w:iCs w:val="1"/>
          <w:rtl w:val="0"/>
        </w:rPr>
        <w:t xml:space="preserve">enchantment</w:t>
      </w:r>
      <w:r w:rsidDel="00000000" w:rsidR="00000000" w:rsidRPr="00000000">
        <w:rPr>
          <w:rtl w:val="0"/>
        </w:rPr>
        <w:t xml:space="preserve">, then </w:t>
      </w:r>
      <w:r w:rsidDel="00000000" w:rsidR="00000000" w:rsidRPr="00000000">
        <w:rPr>
          <w:i w:val="1"/>
          <w:iCs w:val="1"/>
          <w:rtl w:val="0"/>
        </w:rPr>
        <w:t xml:space="preserve">wonder</w:t>
      </w:r>
      <w:r w:rsidDel="00000000" w:rsidR="00000000" w:rsidRPr="00000000">
        <w:rPr>
          <w:rtl w:val="0"/>
        </w:rPr>
        <w:t xml:space="preserve">.</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BC">
      <w:pPr>
        <w:spacing w:line="240" w:lineRule="auto"/>
        <w:ind w:left="0" w:firstLine="720"/>
        <w:rPr>
          <w:i w:val="1"/>
          <w:iCs w:val="1"/>
        </w:rPr>
      </w:pPr>
      <w:r w:rsidDel="00000000" w:rsidR="00000000" w:rsidRPr="00000000">
        <w:rPr>
          <w:rtl w:val="0"/>
        </w:rPr>
        <w:t xml:space="preserve">Van Gogh’s desire to see life as </w:t>
      </w:r>
      <w:r w:rsidDel="00000000" w:rsidR="00000000" w:rsidRPr="00000000">
        <w:rPr>
          <w:i w:val="1"/>
          <w:iCs w:val="1"/>
          <w:rtl w:val="0"/>
        </w:rPr>
        <w:t xml:space="preserve">enchanted</w:t>
      </w:r>
      <w:r w:rsidDel="00000000" w:rsidR="00000000" w:rsidRPr="00000000">
        <w:rPr>
          <w:rtl w:val="0"/>
        </w:rPr>
        <w:t xml:space="preserve">, according to this proposed formula, is thus not the end goal, but the means with which to ultimately render life as </w:t>
      </w:r>
      <w:r w:rsidDel="00000000" w:rsidR="00000000" w:rsidRPr="00000000">
        <w:rPr>
          <w:i w:val="1"/>
          <w:iCs w:val="1"/>
          <w:rtl w:val="0"/>
        </w:rPr>
        <w:t xml:space="preserve">wondrous</w:t>
      </w:r>
      <w:r w:rsidDel="00000000" w:rsidR="00000000" w:rsidRPr="00000000">
        <w:rPr>
          <w:rtl w:val="0"/>
        </w:rPr>
        <w:t xml:space="preserve">. The implication here is that we, too, therefore return to a state of multivalence; wonder becomes not a product, but a shared mode of experience.</w:t>
      </w:r>
      <w:r w:rsidDel="00000000" w:rsidR="00000000" w:rsidRPr="00000000">
        <w:rPr>
          <w:vertAlign w:val="superscript"/>
        </w:rPr>
        <w:footnoteReference w:customMarkFollows="0" w:id="9"/>
      </w:r>
      <w:r w:rsidDel="00000000" w:rsidR="00000000" w:rsidRPr="00000000">
        <w:rPr>
          <w:rtl w:val="0"/>
        </w:rPr>
        <w:t xml:space="preserve"> Moreover, for Van Gogh, the beginning of this process lies in the sky.</w:t>
        <w:br w:type="textWrapping"/>
        <w:br w:type="textWrapping"/>
      </w:r>
      <w:r w:rsidDel="00000000" w:rsidR="00000000" w:rsidRPr="00000000">
        <w:rPr>
          <w:i w:val="1"/>
          <w:iCs w:val="1"/>
          <w:rtl w:val="0"/>
        </w:rPr>
        <w:t xml:space="preserve"> A3. Methodology</w:t>
      </w:r>
    </w:p>
    <w:p w:rsidR="00000000" w:rsidDel="00000000" w:rsidP="00000000" w:rsidRDefault="00000000" w:rsidRPr="00000000" w14:paraId="000000BD">
      <w:pPr>
        <w:spacing w:line="240" w:lineRule="auto"/>
        <w:ind w:firstLine="720"/>
        <w:rPr/>
      </w:pPr>
      <w:r w:rsidDel="00000000" w:rsidR="00000000" w:rsidRPr="00000000">
        <w:rPr>
          <w:rtl w:val="0"/>
        </w:rPr>
        <w:t xml:space="preserve">I am a poet and novelist. So, for my sky journal, I chose to observe the constellation Orion in the southern sky through a qualitative and impressionistic approach. From October 3rd to November 8th of 2025, approximately between 5:30 and 6:00 AM, I would walk through my suburban neighborhood in Sarasota, Florida, before sunrise. Walking without any form of writing device, I would then return home, jot down my impressions on paper, and begin work on my creative writing, trying to remain aware of how the prior observations influenced my work. </w:t>
        <w:br w:type="textWrapping"/>
        <w:tab/>
        <w:t xml:space="preserve">This essay will first dedicate a brief section to placing my entries amongst a broader range of art history where Orion has served as both subject and muse (B1). Framed within the aforementioned ‘</w:t>
      </w:r>
      <w:r w:rsidDel="00000000" w:rsidR="00000000" w:rsidRPr="00000000">
        <w:rPr>
          <w:i w:val="1"/>
          <w:iCs w:val="1"/>
          <w:rtl w:val="0"/>
        </w:rPr>
        <w:t xml:space="preserve">if enchantment, then wonder’</w:t>
      </w:r>
      <w:r w:rsidDel="00000000" w:rsidR="00000000" w:rsidRPr="00000000">
        <w:rPr>
          <w:rtl w:val="0"/>
        </w:rPr>
        <w:t xml:space="preserve"> formula, this essay shall then endeavor to relate my sky journal to Van Gogh’s quote, demonstrating how both writings are paradigmatic of: the pan–cultural phenomenon in which the sky has acted as a source of enchantment (B2), and ‘</w:t>
      </w:r>
      <w:r w:rsidDel="00000000" w:rsidR="00000000" w:rsidRPr="00000000">
        <w:rPr>
          <w:i w:val="1"/>
          <w:iCs w:val="1"/>
          <w:rtl w:val="0"/>
        </w:rPr>
        <w:t xml:space="preserve">if enchantment, then wonder</w:t>
      </w:r>
      <w:r w:rsidDel="00000000" w:rsidR="00000000" w:rsidRPr="00000000">
        <w:rPr>
          <w:rtl w:val="0"/>
        </w:rPr>
        <w:t xml:space="preserve">’ being central to the experience of art (B3).</w:t>
      </w:r>
      <w:r w:rsidDel="00000000" w:rsidR="00000000" w:rsidRPr="00000000">
        <w:rPr>
          <w:vertAlign w:val="superscript"/>
        </w:rPr>
        <w:footnoteReference w:customMarkFollows="0" w:id="10"/>
      </w:r>
      <w:r w:rsidDel="00000000" w:rsidR="00000000" w:rsidRPr="00000000">
        <w:rPr>
          <w:rtl w:val="0"/>
        </w:rPr>
        <w:br w:type="textWrapping"/>
      </w:r>
      <w:r w:rsidDel="00000000" w:rsidR="00000000" w:rsidRPr="00000000">
        <w:rPr>
          <w:b w:val="1"/>
          <w:bCs w:val="1"/>
          <w:rtl w:val="0"/>
        </w:rPr>
        <w:t xml:space="preserve">______________________________________________________________________________</w:t>
      </w:r>
      <w:r w:rsidDel="00000000" w:rsidR="00000000" w:rsidRPr="00000000">
        <w:rPr>
          <w:rtl w:val="0"/>
        </w:rPr>
      </w:r>
    </w:p>
    <w:p w:rsidR="00000000" w:rsidDel="00000000" w:rsidP="00000000" w:rsidRDefault="00000000" w:rsidRPr="00000000" w14:paraId="000000BE">
      <w:pPr>
        <w:spacing w:line="240" w:lineRule="auto"/>
        <w:ind w:left="0" w:firstLine="0"/>
        <w:rPr>
          <w:b w:val="1"/>
          <w:bCs w:val="1"/>
        </w:rPr>
      </w:pPr>
      <w:r w:rsidDel="00000000" w:rsidR="00000000" w:rsidRPr="00000000">
        <w:rPr>
          <w:rtl w:val="0"/>
        </w:rPr>
      </w:r>
    </w:p>
    <w:p w:rsidR="00000000" w:rsidDel="00000000" w:rsidP="00000000" w:rsidRDefault="00000000" w:rsidRPr="00000000" w14:paraId="000000BF">
      <w:pPr>
        <w:spacing w:line="240" w:lineRule="auto"/>
        <w:ind w:left="0" w:firstLine="0"/>
        <w:rPr>
          <w:b w:val="1"/>
          <w:bCs w:val="1"/>
        </w:rPr>
      </w:pPr>
      <w:r w:rsidDel="00000000" w:rsidR="00000000" w:rsidRPr="00000000">
        <w:rPr>
          <w:rtl w:val="0"/>
        </w:rPr>
      </w:r>
    </w:p>
    <w:p w:rsidR="00000000" w:rsidDel="00000000" w:rsidP="00000000" w:rsidRDefault="00000000" w:rsidRPr="00000000" w14:paraId="000000C0">
      <w:pPr>
        <w:spacing w:line="240" w:lineRule="auto"/>
        <w:rPr>
          <w:b w:val="1"/>
          <w:bCs w:val="1"/>
        </w:rPr>
      </w:pPr>
      <w:r w:rsidDel="00000000" w:rsidR="00000000" w:rsidRPr="00000000">
        <w:rPr>
          <w:b w:val="1"/>
          <w:bCs w:val="1"/>
          <w:rtl w:val="0"/>
        </w:rPr>
        <w:t xml:space="preserve">B. Analysis of sky journal</w:t>
      </w:r>
    </w:p>
    <w:p w:rsidR="00000000" w:rsidDel="00000000" w:rsidP="00000000" w:rsidRDefault="00000000" w:rsidRPr="00000000" w14:paraId="000000C1">
      <w:pPr>
        <w:spacing w:line="240" w:lineRule="auto"/>
        <w:rPr>
          <w:b w:val="1"/>
          <w:bCs w:val="1"/>
        </w:rPr>
      </w:pPr>
      <w:r w:rsidDel="00000000" w:rsidR="00000000" w:rsidRPr="00000000">
        <w:rPr>
          <w:rtl w:val="0"/>
        </w:rPr>
      </w:r>
    </w:p>
    <w:p w:rsidR="00000000" w:rsidDel="00000000" w:rsidP="00000000" w:rsidRDefault="00000000" w:rsidRPr="00000000" w14:paraId="000000C2">
      <w:pPr>
        <w:spacing w:line="240" w:lineRule="auto"/>
        <w:rPr>
          <w:i w:val="1"/>
          <w:iCs w:val="1"/>
        </w:rPr>
      </w:pPr>
      <w:r w:rsidDel="00000000" w:rsidR="00000000" w:rsidRPr="00000000">
        <w:rPr>
          <w:i w:val="1"/>
          <w:iCs w:val="1"/>
          <w:rtl w:val="0"/>
        </w:rPr>
        <w:t xml:space="preserve">B1. </w:t>
      </w:r>
      <w:r w:rsidDel="00000000" w:rsidR="00000000" w:rsidRPr="00000000">
        <w:rPr>
          <w:i w:val="1"/>
          <w:iCs w:val="1"/>
          <w:rtl w:val="0"/>
        </w:rPr>
        <w:t xml:space="preserve">Orion as subject and muse</w:t>
      </w:r>
      <w:r w:rsidDel="00000000" w:rsidR="00000000" w:rsidRPr="00000000">
        <w:rPr>
          <w:rtl w:val="0"/>
        </w:rPr>
      </w:r>
    </w:p>
    <w:p w:rsidR="00000000" w:rsidDel="00000000" w:rsidP="00000000" w:rsidRDefault="00000000" w:rsidRPr="00000000" w14:paraId="000000C3">
      <w:pPr>
        <w:spacing w:line="240" w:lineRule="auto"/>
        <w:ind w:firstLine="720"/>
        <w:rPr/>
      </w:pPr>
      <w:r w:rsidDel="00000000" w:rsidR="00000000" w:rsidRPr="00000000">
        <w:rPr>
          <w:rtl w:val="0"/>
        </w:rPr>
        <w:t xml:space="preserve">I cannot consciously explain my decision to observe Orion over other constellations. Perhaps it was simply because, at the time of keeping the journal, Orion appeared over the exit of my neighborhood that I would walk towards. Or I was influenced by my growing fascination with the ancient Egyptians, who revered Orion as a form of Osiris and named it ‘Sah.’</w:t>
      </w:r>
      <w:r w:rsidDel="00000000" w:rsidR="00000000" w:rsidRPr="00000000">
        <w:rPr>
          <w:vertAlign w:val="superscript"/>
        </w:rPr>
        <w:footnoteReference w:customMarkFollows="0" w:id="11"/>
      </w:r>
      <w:r w:rsidDel="00000000" w:rsidR="00000000" w:rsidRPr="00000000">
        <w:rPr>
          <w:rtl w:val="0"/>
        </w:rPr>
        <w:t xml:space="preserve"> Regardless, my first journal entry reads:</w:t>
      </w:r>
    </w:p>
    <w:p w:rsidR="00000000" w:rsidDel="00000000" w:rsidP="00000000" w:rsidRDefault="00000000" w:rsidRPr="00000000" w14:paraId="000000C4">
      <w:pPr>
        <w:spacing w:line="240" w:lineRule="auto"/>
        <w:ind w:left="720" w:firstLine="720"/>
        <w:rPr/>
      </w:pPr>
      <w:r w:rsidDel="00000000" w:rsidR="00000000" w:rsidRPr="00000000">
        <w:rPr>
          <w:rtl w:val="0"/>
        </w:rPr>
        <w:br w:type="textWrapping"/>
        <w:t xml:space="preserve">Orion now falls in the south. I walk towards him… A plane streaks through Orion’s thighs… It [Orion] has significance to me, in a way I have yet to grasp.</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C5">
      <w:pPr>
        <w:spacing w:line="240" w:lineRule="auto"/>
        <w:ind w:firstLine="720"/>
        <w:rPr/>
      </w:pPr>
      <w:r w:rsidDel="00000000" w:rsidR="00000000" w:rsidRPr="00000000">
        <w:rPr>
          <w:rtl w:val="0"/>
        </w:rPr>
      </w:r>
    </w:p>
    <w:p w:rsidR="00000000" w:rsidDel="00000000" w:rsidP="00000000" w:rsidRDefault="00000000" w:rsidRPr="00000000" w14:paraId="000000C6">
      <w:pPr>
        <w:spacing w:line="240" w:lineRule="auto"/>
        <w:rPr/>
      </w:pPr>
      <w:r w:rsidDel="00000000" w:rsidR="00000000" w:rsidRPr="00000000">
        <w:rPr>
          <w:rtl w:val="0"/>
        </w:rPr>
        <w:t xml:space="preserve">My assumption turned out to be correct. The summer prior, I started writing a novel set on a fictional mid–Atlantic archipelago. The inhabitants are bequeathed magical gifts by their gods. I have yet to name the inhabitants, so for now they are referred to as People X. In order to construct People X’s core mythos, I have looked to the skies as inspiration. Orion became a central mythological figure for People X— the Leaping Man who brings Summer —whose appearance in the night sky is cause for celebration. This is reminiscent, although I did not consciously make this connection, of how Tolkien’s Elves view Orion, which they call Menelvagor and/or Menelmacar.</w:t>
      </w:r>
      <w:r w:rsidDel="00000000" w:rsidR="00000000" w:rsidRPr="00000000">
        <w:rPr>
          <w:vertAlign w:val="superscript"/>
        </w:rPr>
        <w:footnoteReference w:customMarkFollows="0" w:id="13"/>
      </w:r>
      <w:r w:rsidDel="00000000" w:rsidR="00000000" w:rsidRPr="00000000">
        <w:rPr>
          <w:rtl w:val="0"/>
        </w:rPr>
        <w:t xml:space="preserve"> In Tolkien’s legendarium, the Elves awake for the first time at the hour of Menelvagor’s rising, the constellation having just been created for them by Varda, one of the goddesses of Tolkien’s pantheon.</w:t>
      </w:r>
      <w:r w:rsidDel="00000000" w:rsidR="00000000" w:rsidRPr="00000000">
        <w:rPr>
          <w:vertAlign w:val="superscript"/>
        </w:rPr>
        <w:footnoteReference w:customMarkFollows="0" w:id="14"/>
      </w:r>
      <w:r w:rsidDel="00000000" w:rsidR="00000000" w:rsidRPr="00000000">
        <w:rPr>
          <w:rtl w:val="0"/>
        </w:rPr>
        <w:t xml:space="preserve"> </w:t>
        <w:br w:type="textWrapping"/>
        <w:tab/>
        <w:t xml:space="preserve">Tolkien is just one name on the diverse list of writers and artists whose imagination has been stimulated by Orion; so extensive is said list that an exhaustive overview is beyond the scope of this paper.</w:t>
      </w:r>
      <w:r w:rsidDel="00000000" w:rsidR="00000000" w:rsidRPr="00000000">
        <w:rPr>
          <w:vertAlign w:val="superscript"/>
        </w:rPr>
        <w:footnoteReference w:customMarkFollows="0" w:id="15"/>
      </w:r>
      <w:r w:rsidDel="00000000" w:rsidR="00000000" w:rsidRPr="00000000">
        <w:rPr>
          <w:rtl w:val="0"/>
        </w:rPr>
        <w:t xml:space="preserve"> Defining these separate artists’ fascination with Orion as a ‘tradition’ or ‘lineage’ might not be apt— but whatever it is, I, too, have found myself to be a part of it. </w:t>
      </w:r>
    </w:p>
    <w:p w:rsidR="00000000" w:rsidDel="00000000" w:rsidP="00000000" w:rsidRDefault="00000000" w:rsidRPr="00000000" w14:paraId="000000C7">
      <w:pPr>
        <w:spacing w:line="240" w:lineRule="auto"/>
        <w:rPr/>
      </w:pPr>
      <w:r w:rsidDel="00000000" w:rsidR="00000000" w:rsidRPr="00000000">
        <w:rPr>
          <w:rtl w:val="0"/>
        </w:rPr>
      </w:r>
    </w:p>
    <w:p w:rsidR="00000000" w:rsidDel="00000000" w:rsidP="00000000" w:rsidRDefault="00000000" w:rsidRPr="00000000" w14:paraId="000000C8">
      <w:pPr>
        <w:spacing w:line="240" w:lineRule="auto"/>
        <w:ind w:left="0" w:firstLine="0"/>
        <w:rPr>
          <w:b w:val="1"/>
          <w:bCs w:val="1"/>
        </w:rPr>
      </w:pPr>
      <w:r w:rsidDel="00000000" w:rsidR="00000000" w:rsidRPr="00000000">
        <w:rPr>
          <w:i w:val="1"/>
          <w:iCs w:val="1"/>
          <w:rtl w:val="0"/>
        </w:rPr>
        <w:t xml:space="preserve">B2. The sky as a source of enchantment</w:t>
      </w:r>
      <w:r w:rsidDel="00000000" w:rsidR="00000000" w:rsidRPr="00000000">
        <w:rPr>
          <w:b w:val="1"/>
          <w:bCs w:val="1"/>
          <w:rtl w:val="0"/>
        </w:rPr>
        <w:br w:type="textWrapping"/>
        <w:tab/>
      </w:r>
      <w:r w:rsidDel="00000000" w:rsidR="00000000" w:rsidRPr="00000000">
        <w:rPr>
          <w:rtl w:val="0"/>
        </w:rPr>
        <w:t xml:space="preserve">Van Gogh’s quote and its underlying context point to the sky as a catalyst for art throughout human history. Indeed, the Los Angeles County Museum of Art recently unveiled its </w:t>
      </w:r>
      <w:r w:rsidDel="00000000" w:rsidR="00000000" w:rsidRPr="00000000">
        <w:rPr>
          <w:i w:val="1"/>
          <w:iCs w:val="1"/>
          <w:rtl w:val="0"/>
        </w:rPr>
        <w:t xml:space="preserve">Cosmologies</w:t>
      </w:r>
      <w:r w:rsidDel="00000000" w:rsidR="00000000" w:rsidRPr="00000000">
        <w:rPr>
          <w:rtl w:val="0"/>
        </w:rPr>
        <w:t xml:space="preserve"> exhibition, a collection of 100+ artworks spanning the Neolithic Nabta Playa site to the European Baroque, showing various ‘</w:t>
      </w:r>
      <w:r w:rsidDel="00000000" w:rsidR="00000000" w:rsidRPr="00000000">
        <w:rPr>
          <w:rtl w:val="0"/>
        </w:rPr>
        <w:t xml:space="preserve">human attempts to explain the universe’s origins, mechanics, and meaning</w:t>
      </w:r>
      <w:r w:rsidDel="00000000" w:rsidR="00000000" w:rsidRPr="00000000">
        <w:rPr>
          <w:rtl w:val="0"/>
        </w:rPr>
        <w:t xml:space="preserve">.’</w:t>
      </w:r>
      <w:r w:rsidDel="00000000" w:rsidR="00000000" w:rsidRPr="00000000">
        <w:rPr>
          <w:vertAlign w:val="superscript"/>
        </w:rPr>
        <w:footnoteReference w:customMarkFollows="0" w:id="16"/>
      </w:r>
      <w:r w:rsidDel="00000000" w:rsidR="00000000" w:rsidRPr="00000000">
        <w:rPr>
          <w:rtl w:val="0"/>
        </w:rPr>
        <w:t xml:space="preserve"> But this dynamic between the sky and art is not just a premodern phenomenon, attested by, for example, James Turrell’s </w:t>
      </w:r>
      <w:r w:rsidDel="00000000" w:rsidR="00000000" w:rsidRPr="00000000">
        <w:rPr>
          <w:i w:val="1"/>
          <w:iCs w:val="1"/>
          <w:rtl w:val="0"/>
        </w:rPr>
        <w:t xml:space="preserve">Skyspace</w:t>
      </w:r>
      <w:r w:rsidDel="00000000" w:rsidR="00000000" w:rsidRPr="00000000">
        <w:rPr>
          <w:rtl w:val="0"/>
        </w:rPr>
        <w:t xml:space="preserve"> series and in–progress </w:t>
      </w:r>
      <w:r w:rsidDel="00000000" w:rsidR="00000000" w:rsidRPr="00000000">
        <w:rPr>
          <w:i w:val="1"/>
          <w:iCs w:val="1"/>
          <w:rtl w:val="0"/>
        </w:rPr>
        <w:t xml:space="preserve">Roden Crater</w:t>
      </w:r>
      <w:r w:rsidDel="00000000" w:rsidR="00000000" w:rsidRPr="00000000">
        <w:rPr>
          <w:rtl w:val="0"/>
        </w:rPr>
        <w:t xml:space="preserve">.</w:t>
      </w:r>
      <w:r w:rsidDel="00000000" w:rsidR="00000000" w:rsidRPr="00000000">
        <w:rPr>
          <w:vertAlign w:val="superscript"/>
        </w:rPr>
        <w:footnoteReference w:customMarkFollows="0" w:id="17"/>
      </w:r>
      <w:r w:rsidDel="00000000" w:rsidR="00000000" w:rsidRPr="00000000">
        <w:rPr>
          <w:rtl w:val="0"/>
        </w:rPr>
        <w:t xml:space="preserve"> Aside from the journal’s focus on Orion for October to November, general celestial observations have also often fed directly or indirectly into my art.</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C9">
      <w:pPr>
        <w:spacing w:line="240" w:lineRule="auto"/>
        <w:rPr/>
      </w:pPr>
      <w:r w:rsidDel="00000000" w:rsidR="00000000" w:rsidRPr="00000000">
        <w:rPr>
          <w:b w:val="1"/>
          <w:bCs w:val="1"/>
          <w:rtl w:val="0"/>
        </w:rPr>
        <w:tab/>
      </w:r>
      <w:r w:rsidDel="00000000" w:rsidR="00000000" w:rsidRPr="00000000">
        <w:rPr>
          <w:rtl w:val="0"/>
        </w:rPr>
        <w:t xml:space="preserve">Due to the sky journal’s process, the</w:t>
      </w:r>
      <w:r w:rsidDel="00000000" w:rsidR="00000000" w:rsidRPr="00000000">
        <w:rPr>
          <w:rtl w:val="0"/>
        </w:rPr>
        <w:t xml:space="preserve"> entries were written in a stream–of–consciousness style, where descriptions of my external and internal environment intertwined with descriptions of Orion, such as in this entry from October 9th: </w:t>
        <w:br w:type="textWrapping"/>
        <w:br w:type="textWrapping"/>
        <w:tab/>
        <w:t xml:space="preserve">Running on a sleep deficit. I keep stumbling my speakers [sneakers] on the asphalt, loud</w:t>
      </w:r>
    </w:p>
    <w:p w:rsidR="00000000" w:rsidDel="00000000" w:rsidP="00000000" w:rsidRDefault="00000000" w:rsidRPr="00000000" w14:paraId="000000CA">
      <w:pPr>
        <w:spacing w:line="240" w:lineRule="auto"/>
        <w:ind w:left="0" w:firstLine="720"/>
        <w:rPr/>
      </w:pPr>
      <w:r w:rsidDel="00000000" w:rsidR="00000000" w:rsidRPr="00000000">
        <w:rPr>
          <w:rtl w:val="0"/>
        </w:rPr>
        <w:t xml:space="preserve">scuffle that seems to echo [across] the neighborhood. It makes me uncomfortable. No </w:t>
      </w:r>
    </w:p>
    <w:p w:rsidR="00000000" w:rsidDel="00000000" w:rsidP="00000000" w:rsidRDefault="00000000" w:rsidRPr="00000000" w14:paraId="000000CB">
      <w:pPr>
        <w:spacing w:line="240" w:lineRule="auto"/>
        <w:ind w:left="0" w:firstLine="720"/>
        <w:rPr/>
      </w:pPr>
      <w:r w:rsidDel="00000000" w:rsidR="00000000" w:rsidRPr="00000000">
        <w:rPr>
          <w:rtl w:val="0"/>
        </w:rPr>
        <w:t xml:space="preserve">plane either. </w:t>
      </w:r>
      <w:r w:rsidDel="00000000" w:rsidR="00000000" w:rsidRPr="00000000">
        <w:rPr>
          <w:rtl w:val="0"/>
        </w:rPr>
        <w:t xml:space="preserve">I look closely for the first time at the color of Orion’s belt, siphoning off the </w:t>
      </w:r>
    </w:p>
    <w:p w:rsidR="00000000" w:rsidDel="00000000" w:rsidP="00000000" w:rsidRDefault="00000000" w:rsidRPr="00000000" w14:paraId="000000CC">
      <w:pPr>
        <w:spacing w:line="240" w:lineRule="auto"/>
        <w:ind w:left="0" w:firstLine="720"/>
        <w:rPr/>
      </w:pPr>
      <w:r w:rsidDel="00000000" w:rsidR="00000000" w:rsidRPr="00000000">
        <w:rPr>
          <w:rtl w:val="0"/>
        </w:rPr>
        <w:t xml:space="preserve">blue(s) from nearby Sirius.</w:t>
      </w:r>
      <w:r w:rsidDel="00000000" w:rsidR="00000000" w:rsidRPr="00000000">
        <w:rPr>
          <w:rtl w:val="0"/>
        </w:rPr>
        <w:t xml:space="preserve"> </w:t>
      </w:r>
      <w:r w:rsidDel="00000000" w:rsidR="00000000" w:rsidRPr="00000000">
        <w:rPr>
          <w:rtl w:val="0"/>
        </w:rPr>
        <w:t xml:space="preserve">I say ‘good morning’ to a neighbor walking her dog. That’s </w:t>
      </w:r>
    </w:p>
    <w:p w:rsidR="00000000" w:rsidDel="00000000" w:rsidP="00000000" w:rsidRDefault="00000000" w:rsidRPr="00000000" w14:paraId="000000CD">
      <w:pPr>
        <w:spacing w:line="240" w:lineRule="auto"/>
        <w:ind w:left="0" w:firstLine="720"/>
        <w:rPr/>
      </w:pPr>
      <w:r w:rsidDel="00000000" w:rsidR="00000000" w:rsidRPr="00000000">
        <w:rPr>
          <w:rtl w:val="0"/>
        </w:rPr>
        <w:t xml:space="preserve">the first word spoken today…</w:t>
      </w:r>
      <w:r w:rsidDel="00000000" w:rsidR="00000000" w:rsidRPr="00000000">
        <w:rPr>
          <w:rtl w:val="0"/>
        </w:rPr>
        <w:t xml:space="preserve">. Moon is still so bright.</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CE">
      <w:pPr>
        <w:spacing w:line="240" w:lineRule="auto"/>
        <w:ind w:left="0" w:firstLine="720"/>
        <w:rPr/>
      </w:pPr>
      <w:r w:rsidDel="00000000" w:rsidR="00000000" w:rsidRPr="00000000">
        <w:rPr>
          <w:rtl w:val="0"/>
        </w:rPr>
        <w:br w:type="textWrapping"/>
        <w:t xml:space="preserve">In anthropomorphizing Orion (‘belt…’) and interspersing descriptions of it and Sirius with descriptions of the more mundane, this entry treats the celestial subjects not as unreachable, but as ones integrated into the rest of the landscape. If not for prior knowledge of Orion and Sirius being celestial objects, an outside reader might assume that both were entities ‘down here’ on Earth. </w:t>
      </w:r>
    </w:p>
    <w:p w:rsidR="00000000" w:rsidDel="00000000" w:rsidP="00000000" w:rsidRDefault="00000000" w:rsidRPr="00000000" w14:paraId="000000CF">
      <w:pPr>
        <w:spacing w:line="240" w:lineRule="auto"/>
        <w:ind w:left="0" w:firstLine="720"/>
        <w:rPr/>
      </w:pPr>
      <w:r w:rsidDel="00000000" w:rsidR="00000000" w:rsidRPr="00000000">
        <w:rPr>
          <w:rtl w:val="0"/>
        </w:rPr>
        <w:t xml:space="preserve">Examples of a seemingly fixed vertical structure— specifically, the sky fixed above with us below —being transformed into a mutualist horizon are found throughout many cultures. Thessalian ‘witches’ were renowned in the ancient Hellenic world for being able to ‘pull down the moon’; so much so that they were mocked in Aristophanes' </w:t>
      </w:r>
      <w:r w:rsidDel="00000000" w:rsidR="00000000" w:rsidRPr="00000000">
        <w:rPr>
          <w:i w:val="1"/>
          <w:iCs w:val="1"/>
          <w:rtl w:val="0"/>
        </w:rPr>
        <w:t xml:space="preserve">Clouds</w:t>
      </w:r>
      <w:r w:rsidDel="00000000" w:rsidR="00000000" w:rsidRPr="00000000">
        <w:rPr>
          <w:rtl w:val="0"/>
        </w:rPr>
        <w:t xml:space="preserve">.</w:t>
      </w:r>
      <w:r w:rsidDel="00000000" w:rsidR="00000000" w:rsidRPr="00000000">
        <w:rPr>
          <w:vertAlign w:val="superscript"/>
        </w:rPr>
        <w:footnoteReference w:customMarkFollows="0" w:id="20"/>
      </w:r>
      <w:r w:rsidDel="00000000" w:rsidR="00000000" w:rsidRPr="00000000">
        <w:rPr>
          <w:rtl w:val="0"/>
        </w:rPr>
        <w:t xml:space="preserve"> In the Aboriginal cosmologies, there exists a plethora of integrative links between the mundane world and the Skyworld.</w:t>
      </w:r>
      <w:r w:rsidDel="00000000" w:rsidR="00000000" w:rsidRPr="00000000">
        <w:rPr>
          <w:vertAlign w:val="superscript"/>
        </w:rPr>
        <w:footnoteReference w:customMarkFollows="0" w:id="21"/>
      </w:r>
      <w:r w:rsidDel="00000000" w:rsidR="00000000" w:rsidRPr="00000000">
        <w:rPr>
          <w:rtl w:val="0"/>
        </w:rPr>
        <w:t xml:space="preserve"> Across these diverse conceptions, the sky is readily accessible, sometimes only a spear’s throw away, and filled with knowledge and signs; one need only climb a tree or tall hill to come into contact with them.</w:t>
      </w:r>
      <w:r w:rsidDel="00000000" w:rsidR="00000000" w:rsidRPr="00000000">
        <w:rPr>
          <w:vertAlign w:val="superscript"/>
        </w:rPr>
        <w:footnoteReference w:customMarkFollows="0" w:id="22"/>
      </w:r>
      <w:r w:rsidDel="00000000" w:rsidR="00000000" w:rsidRPr="00000000">
        <w:rPr>
          <w:rtl w:val="0"/>
        </w:rPr>
        <w:t xml:space="preserve"> Celestial events are the living movements of the Aborigines’ ancestors, who compel the people to action.</w:t>
      </w:r>
      <w:r w:rsidDel="00000000" w:rsidR="00000000" w:rsidRPr="00000000">
        <w:rPr>
          <w:vertAlign w:val="superscript"/>
        </w:rPr>
        <w:footnoteReference w:customMarkFollows="0" w:id="23"/>
      </w:r>
      <w:r w:rsidDel="00000000" w:rsidR="00000000" w:rsidRPr="00000000">
        <w:rPr>
          <w:rtl w:val="0"/>
        </w:rPr>
        <w:br w:type="textWrapping"/>
        <w:tab/>
        <w:t xml:space="preserve">Two other entries of mine exhibit a similar example of anthro–celestial linkage, dated respectively to October 14th and 29th, in which I reflect upon my knee–pain while observing Orion:</w:t>
        <w:br w:type="textWrapping"/>
        <w:tab/>
      </w:r>
      <w:r w:rsidDel="00000000" w:rsidR="00000000" w:rsidRPr="00000000">
        <w:rPr>
          <w:rtl w:val="0"/>
        </w:rPr>
        <w:t xml:space="preserve">My Rigel</w:t>
      </w:r>
      <w:r w:rsidDel="00000000" w:rsidR="00000000" w:rsidRPr="00000000">
        <w:rPr>
          <w:rtl w:val="0"/>
        </w:rPr>
        <w:t xml:space="preserve"> — my right knee — feels like its deteriorating over the week.</w:t>
      </w:r>
      <w:r w:rsidDel="00000000" w:rsidR="00000000" w:rsidRPr="00000000">
        <w:rPr>
          <w:vertAlign w:val="superscript"/>
        </w:rPr>
        <w:footnoteReference w:customMarkFollows="0" w:id="24"/>
      </w:r>
      <w:r w:rsidDel="00000000" w:rsidR="00000000" w:rsidRPr="00000000">
        <w:rPr>
          <w:rtl w:val="0"/>
        </w:rPr>
        <w:t xml:space="preserve"> </w:t>
      </w:r>
    </w:p>
    <w:p w:rsidR="00000000" w:rsidDel="00000000" w:rsidP="00000000" w:rsidRDefault="00000000" w:rsidRPr="00000000" w14:paraId="000000D0">
      <w:pPr>
        <w:spacing w:line="240" w:lineRule="auto"/>
        <w:ind w:left="0" w:firstLine="0"/>
        <w:rPr/>
      </w:pPr>
      <w:r w:rsidDel="00000000" w:rsidR="00000000" w:rsidRPr="00000000">
        <w:rPr>
          <w:rtl w:val="0"/>
        </w:rPr>
        <w:br w:type="textWrapping"/>
        <w:tab/>
        <w:t xml:space="preserve">I look at Rigel, Orion’s knee, and my knee throbs. Hurts more than usual today.</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D1">
      <w:pPr>
        <w:spacing w:line="240" w:lineRule="auto"/>
        <w:ind w:left="0" w:firstLine="0"/>
        <w:rPr/>
      </w:pPr>
      <w:r w:rsidDel="00000000" w:rsidR="00000000" w:rsidRPr="00000000">
        <w:rPr>
          <w:rtl w:val="0"/>
        </w:rPr>
      </w:r>
    </w:p>
    <w:p w:rsidR="00000000" w:rsidDel="00000000" w:rsidP="00000000" w:rsidRDefault="00000000" w:rsidRPr="00000000" w14:paraId="000000D2">
      <w:pPr>
        <w:spacing w:line="240" w:lineRule="auto"/>
        <w:ind w:left="0" w:firstLine="0"/>
        <w:rPr/>
      </w:pPr>
      <w:r w:rsidDel="00000000" w:rsidR="00000000" w:rsidRPr="00000000">
        <w:rPr>
          <w:rtl w:val="0"/>
        </w:rPr>
        <w:t xml:space="preserve">Describing Rigel, dubbed as Orion’s knee in our modern parlance, as ‘mine’ demonstrates again a form of bridging between subject and Other, the subject being my body and the Other being Orion’s. I have felt this knee pain since August but, similar to how the Aborigines look upon their celestial ancestors for guidance, Orion pushed me to finally do something about it— after writing these entries, I set up an appointment with my doctor.</w:t>
      </w:r>
    </w:p>
    <w:p w:rsidR="00000000" w:rsidDel="00000000" w:rsidP="00000000" w:rsidRDefault="00000000" w:rsidRPr="00000000" w14:paraId="000000D3">
      <w:pPr>
        <w:spacing w:line="240" w:lineRule="auto"/>
        <w:ind w:left="0" w:firstLine="720"/>
        <w:rPr/>
      </w:pPr>
      <w:r w:rsidDel="00000000" w:rsidR="00000000" w:rsidRPr="00000000">
        <w:rPr>
          <w:rtl w:val="0"/>
        </w:rPr>
        <w:t xml:space="preserve">This collapse of the heavens onto human anatomy, especially in a medicinal or diagnostic context, has deep roots in human world views. A visual example is the plethora of ‘Zodiac Man’ illustrations, available in Hellenistic times and proliferating through Medieval Europe, in which constellations of the ecliptic were depicted as corresponding to various body parts.</w:t>
      </w:r>
      <w:r w:rsidDel="00000000" w:rsidR="00000000" w:rsidRPr="00000000">
        <w:rPr>
          <w:vertAlign w:val="superscript"/>
        </w:rPr>
        <w:footnoteReference w:customMarkFollows="0" w:id="26"/>
      </w:r>
      <w:r w:rsidDel="00000000" w:rsidR="00000000" w:rsidRPr="00000000">
        <w:rPr>
          <w:rtl w:val="0"/>
        </w:rPr>
        <w:t xml:space="preserve"> Our modern view might view these illustrations as early (and misinformed) schematic attempts at objective science, but the argument that enchantment and symbolism were </w:t>
      </w:r>
      <w:r w:rsidDel="00000000" w:rsidR="00000000" w:rsidRPr="00000000">
        <w:rPr>
          <w:rtl w:val="0"/>
        </w:rPr>
        <w:t xml:space="preserve">underl</w:t>
      </w:r>
      <w:r w:rsidDel="00000000" w:rsidR="00000000" w:rsidRPr="00000000">
        <w:rPr>
          <w:rtl w:val="0"/>
        </w:rPr>
        <w:t xml:space="preserve">ying these renderings, instead of botched practicality, could also be convincingly made.</w:t>
      </w:r>
      <w:r w:rsidDel="00000000" w:rsidR="00000000" w:rsidRPr="00000000">
        <w:rPr>
          <w:vertAlign w:val="superscript"/>
        </w:rPr>
        <w:footnoteReference w:customMarkFollows="0" w:id="27"/>
      </w:r>
      <w:r w:rsidDel="00000000" w:rsidR="00000000" w:rsidRPr="00000000">
        <w:rPr>
          <w:rtl w:val="0"/>
        </w:rPr>
      </w:r>
    </w:p>
    <w:p w:rsidR="00000000" w:rsidDel="00000000" w:rsidP="00000000" w:rsidRDefault="00000000" w:rsidRPr="00000000" w14:paraId="000000D4">
      <w:pPr>
        <w:spacing w:line="240" w:lineRule="auto"/>
        <w:ind w:left="0" w:firstLine="720"/>
        <w:rPr/>
      </w:pPr>
      <w:r w:rsidDel="00000000" w:rsidR="00000000" w:rsidRPr="00000000">
        <w:rPr>
          <w:rtl w:val="0"/>
        </w:rPr>
      </w:r>
    </w:p>
    <w:p w:rsidR="00000000" w:rsidDel="00000000" w:rsidP="00000000" w:rsidRDefault="00000000" w:rsidRPr="00000000" w14:paraId="000000D5">
      <w:pPr>
        <w:spacing w:line="240" w:lineRule="auto"/>
        <w:ind w:left="0" w:firstLine="0"/>
        <w:rPr/>
      </w:pPr>
      <w:r w:rsidDel="00000000" w:rsidR="00000000" w:rsidRPr="00000000">
        <w:rPr>
          <w:i w:val="1"/>
          <w:iCs w:val="1"/>
          <w:rtl w:val="0"/>
        </w:rPr>
        <w:t xml:space="preserve">B3. ‘If enchantment, then wonder’ being central to the arts</w:t>
      </w:r>
      <w:r w:rsidDel="00000000" w:rsidR="00000000" w:rsidRPr="00000000">
        <w:rPr>
          <w:rtl w:val="0"/>
        </w:rPr>
        <w:br w:type="textWrapping"/>
        <w:tab/>
        <w:t xml:space="preserve">Through my 20+ years of study and work in the arts, this essay assumes ‘</w:t>
      </w:r>
      <w:r w:rsidDel="00000000" w:rsidR="00000000" w:rsidRPr="00000000">
        <w:rPr>
          <w:i w:val="1"/>
          <w:iCs w:val="1"/>
          <w:rtl w:val="0"/>
        </w:rPr>
        <w:t xml:space="preserve">if enchantment, then wonde</w:t>
      </w:r>
      <w:r w:rsidDel="00000000" w:rsidR="00000000" w:rsidRPr="00000000">
        <w:rPr>
          <w:rtl w:val="0"/>
        </w:rPr>
        <w:t xml:space="preserve">r’ to be a defining characteristic of the discipline.</w:t>
      </w:r>
      <w:r w:rsidDel="00000000" w:rsidR="00000000" w:rsidRPr="00000000">
        <w:rPr>
          <w:vertAlign w:val="superscript"/>
        </w:rPr>
        <w:footnoteReference w:customMarkFollows="0" w:id="28"/>
      </w:r>
      <w:r w:rsidDel="00000000" w:rsidR="00000000" w:rsidRPr="00000000">
        <w:rPr>
          <w:rtl w:val="0"/>
        </w:rPr>
        <w:t xml:space="preserve"> In his letter, Van Gogh details to Theo </w:t>
      </w:r>
      <w:r w:rsidDel="00000000" w:rsidR="00000000" w:rsidRPr="00000000">
        <w:rPr>
          <w:rtl w:val="0"/>
        </w:rPr>
        <w:t xml:space="preserve">how he would paint someone’s portrait: he will exaggerate the colors, make the background a vibrant blue, and thus ‘paint infinity’, juxtaposing it against the colors of the subject to create a ‘mysterious effect.’</w:t>
      </w:r>
      <w:r w:rsidDel="00000000" w:rsidR="00000000" w:rsidRPr="00000000">
        <w:rPr>
          <w:vertAlign w:val="superscript"/>
        </w:rPr>
        <w:footnoteReference w:customMarkFollows="0" w:id="29"/>
      </w:r>
      <w:r w:rsidDel="00000000" w:rsidR="00000000" w:rsidRPr="00000000">
        <w:rPr>
          <w:rtl w:val="0"/>
        </w:rPr>
        <w:t xml:space="preserve"> His aim is not to present a realistic rendering, </w:t>
      </w:r>
      <w:r w:rsidDel="00000000" w:rsidR="00000000" w:rsidRPr="00000000">
        <w:rPr>
          <w:rtl w:val="0"/>
        </w:rPr>
        <w:t xml:space="preserve">as the contemporary Impressionists might do, </w:t>
      </w:r>
      <w:r w:rsidDel="00000000" w:rsidR="00000000" w:rsidRPr="00000000">
        <w:rPr>
          <w:rtl w:val="0"/>
        </w:rPr>
        <w:t xml:space="preserve">but something that will inspire awe in the viewer.</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D6">
      <w:pPr>
        <w:spacing w:line="240" w:lineRule="auto"/>
        <w:ind w:left="0" w:firstLine="720"/>
        <w:rPr>
          <w:highlight w:val="white"/>
        </w:rPr>
      </w:pPr>
      <w:r w:rsidDel="00000000" w:rsidR="00000000" w:rsidRPr="00000000">
        <w:rPr>
          <w:rtl w:val="0"/>
        </w:rPr>
        <w:t xml:space="preserve">The endeavor to enchant and then generate wonder long precedes Van Gogh and survives to the present day, such as Marina Abramovi</w:t>
      </w:r>
      <w:r w:rsidDel="00000000" w:rsidR="00000000" w:rsidRPr="00000000">
        <w:rPr>
          <w:highlight w:val="white"/>
          <w:rtl w:val="0"/>
        </w:rPr>
        <w:t xml:space="preserve">ć’s performance piece, </w:t>
      </w:r>
      <w:r w:rsidDel="00000000" w:rsidR="00000000" w:rsidRPr="00000000">
        <w:rPr>
          <w:i w:val="1"/>
          <w:iCs w:val="1"/>
          <w:highlight w:val="white"/>
          <w:rtl w:val="0"/>
        </w:rPr>
        <w:t xml:space="preserve">The Artist is Present </w:t>
      </w:r>
      <w:r w:rsidDel="00000000" w:rsidR="00000000" w:rsidRPr="00000000">
        <w:rPr>
          <w:highlight w:val="white"/>
          <w:rtl w:val="0"/>
        </w:rPr>
        <w:t xml:space="preserve">(2010). During a retrospective of her </w:t>
      </w:r>
      <w:r w:rsidDel="00000000" w:rsidR="00000000" w:rsidRPr="00000000">
        <w:rPr>
          <w:i w:val="1"/>
          <w:iCs w:val="1"/>
          <w:highlight w:val="white"/>
          <w:rtl w:val="0"/>
        </w:rPr>
        <w:t xml:space="preserve">oeuvre</w:t>
      </w:r>
      <w:r w:rsidDel="00000000" w:rsidR="00000000" w:rsidRPr="00000000">
        <w:rPr>
          <w:highlight w:val="white"/>
          <w:rtl w:val="0"/>
        </w:rPr>
        <w:t xml:space="preserve"> at the Museum of Modern Art, </w:t>
      </w:r>
      <w:r w:rsidDel="00000000" w:rsidR="00000000" w:rsidRPr="00000000">
        <w:rPr>
          <w:rtl w:val="0"/>
        </w:rPr>
        <w:t xml:space="preserve">Abramovi</w:t>
      </w:r>
      <w:r w:rsidDel="00000000" w:rsidR="00000000" w:rsidRPr="00000000">
        <w:rPr>
          <w:highlight w:val="white"/>
          <w:rtl w:val="0"/>
        </w:rPr>
        <w:t xml:space="preserve">ć sat at a table across from an empty chair. Attendees were invited to sit with her, as long as they did not touch or speak to her, for as long as they wanted— the rest waited in line, observing the interaction.</w:t>
      </w:r>
      <w:r w:rsidDel="00000000" w:rsidR="00000000" w:rsidRPr="00000000">
        <w:rPr>
          <w:highlight w:val="white"/>
          <w:vertAlign w:val="superscript"/>
        </w:rPr>
        <w:footnoteReference w:customMarkFollows="0" w:id="31"/>
      </w:r>
      <w:r w:rsidDel="00000000" w:rsidR="00000000" w:rsidRPr="00000000">
        <w:rPr>
          <w:highlight w:val="white"/>
          <w:rtl w:val="0"/>
        </w:rPr>
        <w:t xml:space="preserve"> The typical dynamic between performer and audience— the performer acts </w:t>
      </w:r>
      <w:r w:rsidDel="00000000" w:rsidR="00000000" w:rsidRPr="00000000">
        <w:rPr>
          <w:i w:val="1"/>
          <w:iCs w:val="1"/>
          <w:highlight w:val="white"/>
          <w:rtl w:val="0"/>
        </w:rPr>
        <w:t xml:space="preserve">at</w:t>
      </w:r>
      <w:r w:rsidDel="00000000" w:rsidR="00000000" w:rsidRPr="00000000">
        <w:rPr>
          <w:highlight w:val="white"/>
          <w:rtl w:val="0"/>
        </w:rPr>
        <w:t xml:space="preserve"> or </w:t>
      </w:r>
      <w:r w:rsidDel="00000000" w:rsidR="00000000" w:rsidRPr="00000000">
        <w:rPr>
          <w:i w:val="1"/>
          <w:iCs w:val="1"/>
          <w:highlight w:val="white"/>
          <w:rtl w:val="0"/>
        </w:rPr>
        <w:t xml:space="preserve">to</w:t>
      </w:r>
      <w:r w:rsidDel="00000000" w:rsidR="00000000" w:rsidRPr="00000000">
        <w:rPr>
          <w:highlight w:val="white"/>
          <w:rtl w:val="0"/>
        </w:rPr>
        <w:t xml:space="preserve"> the audience, the audience passively </w:t>
      </w:r>
      <w:r w:rsidDel="00000000" w:rsidR="00000000" w:rsidRPr="00000000">
        <w:rPr>
          <w:i w:val="1"/>
          <w:iCs w:val="1"/>
          <w:highlight w:val="white"/>
          <w:rtl w:val="0"/>
        </w:rPr>
        <w:t xml:space="preserve">consumes</w:t>
      </w:r>
      <w:r w:rsidDel="00000000" w:rsidR="00000000" w:rsidRPr="00000000">
        <w:rPr>
          <w:highlight w:val="white"/>
          <w:rtl w:val="0"/>
        </w:rPr>
        <w:t xml:space="preserve"> —was resultantly brought into confusion.</w:t>
      </w:r>
      <w:r w:rsidDel="00000000" w:rsidR="00000000" w:rsidRPr="00000000">
        <w:rPr>
          <w:highlight w:val="white"/>
          <w:vertAlign w:val="superscript"/>
        </w:rPr>
        <w:footnoteReference w:customMarkFollows="0" w:id="32"/>
      </w:r>
      <w:r w:rsidDel="00000000" w:rsidR="00000000" w:rsidRPr="00000000">
        <w:rPr>
          <w:highlight w:val="white"/>
          <w:rtl w:val="0"/>
        </w:rPr>
        <w:t xml:space="preserve"> In her memoirs, </w:t>
      </w:r>
      <w:r w:rsidDel="00000000" w:rsidR="00000000" w:rsidRPr="00000000">
        <w:rPr>
          <w:rtl w:val="0"/>
        </w:rPr>
        <w:t xml:space="preserve">Abramovi</w:t>
      </w:r>
      <w:r w:rsidDel="00000000" w:rsidR="00000000" w:rsidRPr="00000000">
        <w:rPr>
          <w:highlight w:val="white"/>
          <w:rtl w:val="0"/>
        </w:rPr>
        <w:t xml:space="preserve">ć described how she became receptive to the attendees’ emotions as they sat across from her. Events of equal reciprocation were birthed: the attendees’ interior landscapes became accessible to Abramović, and hers to them. She described the performance as eventually becoming like ‘life itself.’</w:t>
      </w:r>
      <w:r w:rsidDel="00000000" w:rsidR="00000000" w:rsidRPr="00000000">
        <w:rPr>
          <w:highlight w:val="white"/>
          <w:vertAlign w:val="superscript"/>
        </w:rPr>
        <w:footnoteReference w:customMarkFollows="0" w:id="33"/>
      </w:r>
      <w:r w:rsidDel="00000000" w:rsidR="00000000" w:rsidRPr="00000000">
        <w:rPr>
          <w:highlight w:val="white"/>
          <w:rtl w:val="0"/>
        </w:rPr>
        <w:t xml:space="preserve">  </w:t>
      </w:r>
    </w:p>
    <w:p w:rsidR="00000000" w:rsidDel="00000000" w:rsidP="00000000" w:rsidRDefault="00000000" w:rsidRPr="00000000" w14:paraId="000000D7">
      <w:pPr>
        <w:spacing w:line="240" w:lineRule="auto"/>
        <w:ind w:left="0" w:firstLine="720"/>
        <w:rPr/>
      </w:pPr>
      <w:r w:rsidDel="00000000" w:rsidR="00000000" w:rsidRPr="00000000">
        <w:rPr>
          <w:rtl w:val="0"/>
        </w:rPr>
        <w:t xml:space="preserve">Abramovi</w:t>
      </w:r>
      <w:r w:rsidDel="00000000" w:rsidR="00000000" w:rsidRPr="00000000">
        <w:rPr>
          <w:highlight w:val="white"/>
          <w:rtl w:val="0"/>
        </w:rPr>
        <w:t xml:space="preserve">ć’s description of </w:t>
      </w:r>
      <w:r w:rsidDel="00000000" w:rsidR="00000000" w:rsidRPr="00000000">
        <w:rPr>
          <w:i w:val="1"/>
          <w:iCs w:val="1"/>
          <w:highlight w:val="white"/>
          <w:rtl w:val="0"/>
        </w:rPr>
        <w:t xml:space="preserve">The Artist is Present</w:t>
      </w:r>
      <w:r w:rsidDel="00000000" w:rsidR="00000000" w:rsidRPr="00000000">
        <w:rPr>
          <w:highlight w:val="white"/>
          <w:rtl w:val="0"/>
        </w:rPr>
        <w:t xml:space="preserve"> coincidentally bears similarity to Donald Hall’s writings on the use of metaphor in poetry, that </w:t>
      </w:r>
      <w:r w:rsidDel="00000000" w:rsidR="00000000" w:rsidRPr="00000000">
        <w:rPr>
          <w:highlight w:val="white"/>
          <w:rtl w:val="0"/>
        </w:rPr>
        <w:t xml:space="preserve">‘The new metaphor is a miracle, like the creation of life.’</w:t>
      </w:r>
      <w:r w:rsidDel="00000000" w:rsidR="00000000" w:rsidRPr="00000000">
        <w:rPr>
          <w:highlight w:val="white"/>
          <w:vertAlign w:val="superscript"/>
        </w:rPr>
        <w:footnoteReference w:customMarkFollows="0" w:id="34"/>
      </w:r>
      <w:r w:rsidDel="00000000" w:rsidR="00000000" w:rsidRPr="00000000">
        <w:rPr>
          <w:highlight w:val="white"/>
          <w:rtl w:val="0"/>
        </w:rPr>
        <w:t xml:space="preserve"> And is metaphor not a form of enchantment? They both bridge the gaps between a subject and the Other that initially seemed impassable; </w:t>
      </w:r>
      <w:r w:rsidDel="00000000" w:rsidR="00000000" w:rsidRPr="00000000">
        <w:rPr>
          <w:highlight w:val="white"/>
          <w:rtl w:val="0"/>
        </w:rPr>
        <w:t xml:space="preserve">Charles Bukowski titling his poem ‘Love Is a Dog From Hell’ is an example.</w:t>
      </w:r>
      <w:r w:rsidDel="00000000" w:rsidR="00000000" w:rsidRPr="00000000">
        <w:rPr>
          <w:highlight w:val="white"/>
          <w:vertAlign w:val="superscript"/>
        </w:rPr>
        <w:footnoteReference w:customMarkFollows="0" w:id="35"/>
      </w:r>
      <w:r w:rsidDel="00000000" w:rsidR="00000000" w:rsidRPr="00000000">
        <w:rPr>
          <w:highlight w:val="white"/>
          <w:rtl w:val="0"/>
        </w:rPr>
        <w:t xml:space="preserve"> Metaphor (and simile, too) is thus the enchanting element that makes not only a poem feel wondrous, but life itself— and life without metaphor was destitute and fearful for Van Gogh.</w:t>
      </w:r>
      <w:r w:rsidDel="00000000" w:rsidR="00000000" w:rsidRPr="00000000">
        <w:rPr>
          <w:highlight w:val="white"/>
          <w:vertAlign w:val="superscript"/>
        </w:rPr>
        <w:footnoteReference w:customMarkFollows="0" w:id="36"/>
      </w:r>
      <w:r w:rsidDel="00000000" w:rsidR="00000000" w:rsidRPr="00000000">
        <w:rPr>
          <w:highlight w:val="white"/>
          <w:rtl w:val="0"/>
        </w:rPr>
        <w:t xml:space="preserve"> To briefly digress back to Tolkien: </w:t>
      </w:r>
      <w:r w:rsidDel="00000000" w:rsidR="00000000" w:rsidRPr="00000000">
        <w:rPr>
          <w:rtl w:val="0"/>
        </w:rPr>
        <w:t xml:space="preserve">If the Elves are the embodiment of enchantment, according to Tolkien’s concept of </w:t>
      </w:r>
      <w:r w:rsidDel="00000000" w:rsidR="00000000" w:rsidRPr="00000000">
        <w:rPr>
          <w:i w:val="1"/>
          <w:iCs w:val="1"/>
          <w:rtl w:val="0"/>
        </w:rPr>
        <w:t xml:space="preserve">Faërie</w:t>
      </w:r>
      <w:r w:rsidDel="00000000" w:rsidR="00000000" w:rsidRPr="00000000">
        <w:rPr>
          <w:rtl w:val="0"/>
        </w:rPr>
        <w:t xml:space="preserve">, then Van Gogh’s quote and letter serves as a (self–)admonition to be more like the Elves.</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0D8">
      <w:pPr>
        <w:spacing w:line="240" w:lineRule="auto"/>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0D9">
      <w:pPr>
        <w:spacing w:line="240" w:lineRule="auto"/>
        <w:rPr>
          <w:b w:val="1"/>
          <w:bCs w:val="1"/>
          <w:highlight w:val="red"/>
        </w:rPr>
      </w:pPr>
      <w:r w:rsidDel="00000000" w:rsidR="00000000" w:rsidRPr="00000000">
        <w:rPr>
          <w:rtl w:val="0"/>
        </w:rPr>
      </w:r>
    </w:p>
    <w:p w:rsidR="00000000" w:rsidDel="00000000" w:rsidP="00000000" w:rsidRDefault="00000000" w:rsidRPr="00000000" w14:paraId="000000DA">
      <w:pPr>
        <w:spacing w:line="240" w:lineRule="auto"/>
        <w:rPr/>
      </w:pPr>
      <w:r w:rsidDel="00000000" w:rsidR="00000000" w:rsidRPr="00000000">
        <w:rPr>
          <w:b w:val="1"/>
          <w:bCs w:val="1"/>
          <w:rtl w:val="0"/>
        </w:rPr>
        <w:t xml:space="preserve">C. Conclusion</w:t>
      </w:r>
      <w:r w:rsidDel="00000000" w:rsidR="00000000" w:rsidRPr="00000000">
        <w:rPr>
          <w:b w:val="1"/>
          <w:bCs w:val="1"/>
          <w:rtl w:val="0"/>
        </w:rPr>
        <w:br w:type="textWrapping"/>
        <w:tab/>
      </w:r>
      <w:r w:rsidDel="00000000" w:rsidR="00000000" w:rsidRPr="00000000">
        <w:rPr>
          <w:rtl w:val="0"/>
        </w:rPr>
        <w:t xml:space="preserve">Through my sky journal and attendance to the constellation of Orion</w:t>
      </w:r>
      <w:r w:rsidDel="00000000" w:rsidR="00000000" w:rsidRPr="00000000">
        <w:rPr>
          <w:b w:val="1"/>
          <w:bCs w:val="1"/>
          <w:rtl w:val="0"/>
        </w:rPr>
        <w:t xml:space="preserve">,</w:t>
      </w:r>
      <w:r w:rsidDel="00000000" w:rsidR="00000000" w:rsidRPr="00000000">
        <w:rPr>
          <w:rtl w:val="0"/>
        </w:rPr>
        <w:t xml:space="preserve"> as well as an awareness of how said journal influenced my writing, I inadvertently tested Van Gogh’s quote and (re)discovered enchantment and wonder to be a vital component to my artistic practice, with the sky being a portal to these modes of being. Furthermore, I came to realize that enchantment, wonder, and metaphor were central to a wider tempo–cultural span of artmaking. </w:t>
      </w:r>
    </w:p>
    <w:p w:rsidR="00000000" w:rsidDel="00000000" w:rsidP="00000000" w:rsidRDefault="00000000" w:rsidRPr="00000000" w14:paraId="000000DB">
      <w:pPr>
        <w:spacing w:line="240" w:lineRule="auto"/>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0DC">
      <w:pPr>
        <w:spacing w:line="240" w:lineRule="auto"/>
        <w:rPr>
          <w:b w:val="1"/>
          <w:bCs w:val="1"/>
        </w:rPr>
      </w:pPr>
      <w:r w:rsidDel="00000000" w:rsidR="00000000" w:rsidRPr="00000000">
        <w:rPr>
          <w:rtl w:val="0"/>
        </w:rPr>
      </w:r>
    </w:p>
    <w:p w:rsidR="00000000" w:rsidDel="00000000" w:rsidP="00000000" w:rsidRDefault="00000000" w:rsidRPr="00000000" w14:paraId="000000DD">
      <w:pPr>
        <w:spacing w:line="240" w:lineRule="auto"/>
        <w:rPr>
          <w:b w:val="1"/>
          <w:bCs w:val="1"/>
        </w:rPr>
      </w:pPr>
      <w:r w:rsidDel="00000000" w:rsidR="00000000" w:rsidRPr="00000000">
        <w:rPr>
          <w:rtl w:val="0"/>
        </w:rPr>
      </w:r>
    </w:p>
    <w:p w:rsidR="00000000" w:rsidDel="00000000" w:rsidP="00000000" w:rsidRDefault="00000000" w:rsidRPr="00000000" w14:paraId="000000DE">
      <w:pPr>
        <w:spacing w:line="240" w:lineRule="auto"/>
        <w:rPr>
          <w:b w:val="1"/>
          <w:bCs w:val="1"/>
        </w:rPr>
      </w:pPr>
      <w:r w:rsidDel="00000000" w:rsidR="00000000" w:rsidRPr="00000000">
        <w:rPr>
          <w:rtl w:val="0"/>
        </w:rPr>
      </w:r>
    </w:p>
    <w:p w:rsidR="00000000" w:rsidDel="00000000" w:rsidP="00000000" w:rsidRDefault="00000000" w:rsidRPr="00000000" w14:paraId="000000DF">
      <w:pPr>
        <w:spacing w:line="240" w:lineRule="auto"/>
        <w:rPr>
          <w:b w:val="1"/>
          <w:bCs w:val="1"/>
        </w:rPr>
      </w:pPr>
      <w:r w:rsidDel="00000000" w:rsidR="00000000" w:rsidRPr="00000000">
        <w:rPr>
          <w:rtl w:val="0"/>
        </w:rPr>
      </w:r>
    </w:p>
    <w:p w:rsidR="00000000" w:rsidDel="00000000" w:rsidP="00000000" w:rsidRDefault="00000000" w:rsidRPr="00000000" w14:paraId="000000E0">
      <w:pPr>
        <w:spacing w:line="240" w:lineRule="auto"/>
        <w:rPr>
          <w:b w:val="1"/>
          <w:bCs w:val="1"/>
        </w:rPr>
      </w:pPr>
      <w:r w:rsidDel="00000000" w:rsidR="00000000" w:rsidRPr="00000000">
        <w:rPr>
          <w:rtl w:val="0"/>
        </w:rPr>
      </w:r>
    </w:p>
    <w:p w:rsidR="00000000" w:rsidDel="00000000" w:rsidP="00000000" w:rsidRDefault="00000000" w:rsidRPr="00000000" w14:paraId="000000E1">
      <w:pPr>
        <w:spacing w:line="240" w:lineRule="auto"/>
        <w:rPr>
          <w:b w:val="1"/>
          <w:bCs w:val="1"/>
        </w:rPr>
      </w:pPr>
      <w:r w:rsidDel="00000000" w:rsidR="00000000" w:rsidRPr="00000000">
        <w:rPr>
          <w:rtl w:val="0"/>
        </w:rPr>
      </w:r>
    </w:p>
    <w:p w:rsidR="00000000" w:rsidDel="00000000" w:rsidP="00000000" w:rsidRDefault="00000000" w:rsidRPr="00000000" w14:paraId="000000E2">
      <w:pPr>
        <w:spacing w:line="240" w:lineRule="auto"/>
        <w:rPr>
          <w:b w:val="1"/>
          <w:bCs w:val="1"/>
        </w:rPr>
      </w:pPr>
      <w:r w:rsidDel="00000000" w:rsidR="00000000" w:rsidRPr="00000000">
        <w:rPr>
          <w:rtl w:val="0"/>
        </w:rPr>
      </w:r>
    </w:p>
    <w:p w:rsidR="00000000" w:rsidDel="00000000" w:rsidP="00000000" w:rsidRDefault="00000000" w:rsidRPr="00000000" w14:paraId="000000E3">
      <w:pPr>
        <w:spacing w:line="240" w:lineRule="auto"/>
        <w:rPr>
          <w:b w:val="1"/>
          <w:bCs w:val="1"/>
        </w:rPr>
      </w:pPr>
      <w:r w:rsidDel="00000000" w:rsidR="00000000" w:rsidRPr="00000000">
        <w:rPr>
          <w:rtl w:val="0"/>
        </w:rPr>
      </w:r>
    </w:p>
    <w:p w:rsidR="00000000" w:rsidDel="00000000" w:rsidP="00000000" w:rsidRDefault="00000000" w:rsidRPr="00000000" w14:paraId="000000E4">
      <w:pPr>
        <w:spacing w:line="240" w:lineRule="auto"/>
        <w:jc w:val="center"/>
        <w:rPr>
          <w:b w:val="1"/>
          <w:bCs w:val="1"/>
        </w:rPr>
      </w:pPr>
      <w:r w:rsidDel="00000000" w:rsidR="00000000" w:rsidRPr="00000000">
        <w:rPr>
          <w:b w:val="1"/>
          <w:bCs w:val="1"/>
          <w:rtl w:val="0"/>
        </w:rPr>
        <w:t xml:space="preserve">Bibliography</w:t>
      </w:r>
    </w:p>
    <w:p w:rsidR="00000000" w:rsidDel="00000000" w:rsidP="00000000" w:rsidRDefault="00000000" w:rsidRPr="00000000" w14:paraId="000000E5">
      <w:pPr>
        <w:spacing w:line="240" w:lineRule="auto"/>
        <w:rPr>
          <w:i w:val="1"/>
          <w:iCs w:val="1"/>
        </w:rPr>
      </w:pPr>
      <w:r w:rsidDel="00000000" w:rsidR="00000000" w:rsidRPr="00000000">
        <w:rPr>
          <w:i w:val="1"/>
          <w:iCs w:val="1"/>
          <w:rtl w:val="0"/>
        </w:rPr>
        <w:t xml:space="preserve">Primary sources</w:t>
      </w:r>
    </w:p>
    <w:p w:rsidR="00000000" w:rsidDel="00000000" w:rsidP="00000000" w:rsidRDefault="00000000" w:rsidRPr="00000000" w14:paraId="000000E6">
      <w:pPr>
        <w:spacing w:line="240" w:lineRule="auto"/>
        <w:rPr/>
      </w:pPr>
      <w:r w:rsidDel="00000000" w:rsidR="00000000" w:rsidRPr="00000000">
        <w:rPr>
          <w:rtl w:val="0"/>
        </w:rPr>
        <w:t xml:space="preserve">Abramovi</w:t>
      </w:r>
      <w:r w:rsidDel="00000000" w:rsidR="00000000" w:rsidRPr="00000000">
        <w:rPr>
          <w:highlight w:val="white"/>
          <w:rtl w:val="0"/>
        </w:rPr>
        <w:t xml:space="preserve">ć, </w:t>
      </w:r>
      <w:r w:rsidDel="00000000" w:rsidR="00000000" w:rsidRPr="00000000">
        <w:rPr>
          <w:rtl w:val="0"/>
        </w:rPr>
        <w:t xml:space="preserve">Marina, </w:t>
      </w:r>
      <w:r w:rsidDel="00000000" w:rsidR="00000000" w:rsidRPr="00000000">
        <w:rPr>
          <w:highlight w:val="white"/>
          <w:rtl w:val="0"/>
        </w:rPr>
        <w:t xml:space="preserve">Kaplan, James, </w:t>
      </w:r>
      <w:r w:rsidDel="00000000" w:rsidR="00000000" w:rsidRPr="00000000">
        <w:rPr>
          <w:i w:val="1"/>
          <w:iCs w:val="1"/>
          <w:rtl w:val="0"/>
        </w:rPr>
        <w:t xml:space="preserve">Walking Through Walls: A Memoir</w:t>
      </w:r>
      <w:r w:rsidDel="00000000" w:rsidR="00000000" w:rsidRPr="00000000">
        <w:rPr>
          <w:rtl w:val="0"/>
        </w:rPr>
        <w:t xml:space="preserve"> (New York: Crown, 2016).</w:t>
      </w:r>
    </w:p>
    <w:p w:rsidR="00000000" w:rsidDel="00000000" w:rsidP="00000000" w:rsidRDefault="00000000" w:rsidRPr="00000000" w14:paraId="000000E7">
      <w:pPr>
        <w:spacing w:line="240" w:lineRule="auto"/>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Aristophanes,</w:t>
      </w:r>
      <w:r w:rsidDel="00000000" w:rsidR="00000000" w:rsidRPr="00000000">
        <w:rPr>
          <w:i w:val="1"/>
          <w:iCs w:val="1"/>
          <w:rtl w:val="0"/>
        </w:rPr>
        <w:t xml:space="preserve"> Clouds</w:t>
      </w:r>
      <w:r w:rsidDel="00000000" w:rsidR="00000000" w:rsidRPr="00000000">
        <w:rPr>
          <w:rtl w:val="0"/>
        </w:rPr>
        <w:t xml:space="preserve">, trans. by Ian Jonhston (Arlington: Richer Resources, 2008).</w:t>
        <w:br w:type="textWrapping"/>
      </w:r>
    </w:p>
    <w:p w:rsidR="00000000" w:rsidDel="00000000" w:rsidP="00000000" w:rsidRDefault="00000000" w:rsidRPr="00000000" w14:paraId="000000E9">
      <w:pPr>
        <w:rPr/>
      </w:pPr>
      <w:r w:rsidDel="00000000" w:rsidR="00000000" w:rsidRPr="00000000">
        <w:rPr>
          <w:rtl w:val="0"/>
        </w:rPr>
        <w:t xml:space="preserve">Augustine, </w:t>
      </w:r>
      <w:r w:rsidDel="00000000" w:rsidR="00000000" w:rsidRPr="00000000">
        <w:rPr>
          <w:i w:val="1"/>
          <w:iCs w:val="1"/>
          <w:rtl w:val="0"/>
        </w:rPr>
        <w:t xml:space="preserve">Confessions</w:t>
      </w:r>
      <w:r w:rsidDel="00000000" w:rsidR="00000000" w:rsidRPr="00000000">
        <w:rPr>
          <w:rtl w:val="0"/>
        </w:rPr>
        <w:t xml:space="preserve">, trans. by Henry Chadwick (Oxford: Oxford University Press, 1991).</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Bukowski, Charles, ‘Love Is a Dog From Hell’, in </w:t>
      </w:r>
      <w:r w:rsidDel="00000000" w:rsidR="00000000" w:rsidRPr="00000000">
        <w:rPr>
          <w:i w:val="1"/>
          <w:iCs w:val="1"/>
          <w:rtl w:val="0"/>
        </w:rPr>
        <w:t xml:space="preserve">Love Is a Dog From Hell</w:t>
      </w:r>
      <w:r w:rsidDel="00000000" w:rsidR="00000000" w:rsidRPr="00000000">
        <w:rPr>
          <w:rtl w:val="0"/>
        </w:rPr>
        <w:t xml:space="preserve"> (Santa Rosa: Black Sparrow Press, 1977).</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shd w:fill="fefefe" w:val="clear"/>
        </w:rPr>
      </w:pPr>
      <w:r w:rsidDel="00000000" w:rsidR="00000000" w:rsidRPr="00000000">
        <w:rPr>
          <w:rtl w:val="0"/>
        </w:rPr>
        <w:t xml:space="preserve">Burchfield, Charles E., </w:t>
      </w:r>
      <w:r w:rsidDel="00000000" w:rsidR="00000000" w:rsidRPr="00000000">
        <w:rPr>
          <w:i w:val="1"/>
          <w:iCs w:val="1"/>
          <w:rtl w:val="0"/>
        </w:rPr>
        <w:t xml:space="preserve">Orion in December</w:t>
      </w:r>
      <w:r w:rsidDel="00000000" w:rsidR="00000000" w:rsidRPr="00000000">
        <w:rPr>
          <w:rtl w:val="0"/>
        </w:rPr>
        <w:t xml:space="preserve">. 1959. </w:t>
      </w:r>
      <w:r w:rsidDel="00000000" w:rsidR="00000000" w:rsidRPr="00000000">
        <w:rPr>
          <w:shd w:fill="fefefe" w:val="clear"/>
          <w:rtl w:val="0"/>
        </w:rPr>
        <w:t xml:space="preserve">Watercolor/pencil on paper. </w:t>
      </w:r>
      <w:r w:rsidDel="00000000" w:rsidR="00000000" w:rsidRPr="00000000">
        <w:rPr>
          <w:highlight w:val="white"/>
          <w:rtl w:val="0"/>
        </w:rPr>
        <w:t xml:space="preserve">Burchfield Penney Art Center, Buffalo</w:t>
      </w:r>
      <w:r w:rsidDel="00000000" w:rsidR="00000000" w:rsidRPr="00000000">
        <w:rPr>
          <w:shd w:fill="fefefe" w:val="clear"/>
          <w:rtl w:val="0"/>
        </w:rPr>
        <w:t xml:space="preserve">.</w:t>
      </w:r>
    </w:p>
    <w:p w:rsidR="00000000" w:rsidDel="00000000" w:rsidP="00000000" w:rsidRDefault="00000000" w:rsidRPr="00000000" w14:paraId="000000EE">
      <w:pPr>
        <w:rPr>
          <w:shd w:fill="fefefe" w:val="clea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Hall, Donald, </w:t>
      </w:r>
      <w:r w:rsidDel="00000000" w:rsidR="00000000" w:rsidRPr="00000000">
        <w:rPr>
          <w:i w:val="1"/>
          <w:iCs w:val="1"/>
          <w:rtl w:val="0"/>
        </w:rPr>
        <w:t xml:space="preserve">The Pleasures of Poetry</w:t>
      </w:r>
      <w:r w:rsidDel="00000000" w:rsidR="00000000" w:rsidRPr="00000000">
        <w:rPr>
          <w:rtl w:val="0"/>
        </w:rPr>
        <w:t xml:space="preserve"> (New York: Harper &amp; Row, 1971).</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Manilius, Marcus, </w:t>
      </w:r>
      <w:r w:rsidDel="00000000" w:rsidR="00000000" w:rsidRPr="00000000">
        <w:rPr>
          <w:i w:val="1"/>
          <w:iCs w:val="1"/>
          <w:rtl w:val="0"/>
        </w:rPr>
        <w:t xml:space="preserve">Astronomica</w:t>
      </w:r>
      <w:r w:rsidDel="00000000" w:rsidR="00000000" w:rsidRPr="00000000">
        <w:rPr>
          <w:rtl w:val="0"/>
        </w:rPr>
        <w:t xml:space="preserve">, trans. by G.P. Goold, LCL 469 </w:t>
      </w:r>
      <w:r w:rsidDel="00000000" w:rsidR="00000000" w:rsidRPr="00000000">
        <w:rPr>
          <w:rtl w:val="0"/>
        </w:rPr>
        <w:t xml:space="preserve">(Cambridge: Harvard University Press, 1977).</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Rich, Adrienne, ‘Orion’, in </w:t>
      </w:r>
      <w:r w:rsidDel="00000000" w:rsidR="00000000" w:rsidRPr="00000000">
        <w:rPr>
          <w:i w:val="1"/>
          <w:iCs w:val="1"/>
          <w:rtl w:val="0"/>
        </w:rPr>
        <w:t xml:space="preserve">Leaflets: Poems 1965–1968</w:t>
      </w:r>
      <w:r w:rsidDel="00000000" w:rsidR="00000000" w:rsidRPr="00000000">
        <w:rPr>
          <w:rtl w:val="0"/>
        </w:rPr>
        <w:t xml:space="preserve"> (New York: Norton &amp; Company, 1969).</w:t>
        <w:br w:type="textWrapping"/>
        <w:br w:type="textWrapping"/>
        <w:t xml:space="preserve">Scott, Ridley (dir.), </w:t>
      </w:r>
      <w:r w:rsidDel="00000000" w:rsidR="00000000" w:rsidRPr="00000000">
        <w:rPr>
          <w:i w:val="1"/>
          <w:iCs w:val="1"/>
          <w:rtl w:val="0"/>
        </w:rPr>
        <w:t xml:space="preserve">Blade Runner</w:t>
      </w:r>
      <w:r w:rsidDel="00000000" w:rsidR="00000000" w:rsidRPr="00000000">
        <w:rPr>
          <w:rtl w:val="0"/>
        </w:rPr>
        <w:t xml:space="preserve"> [Film] (Hollywood: The Ladd Company, 1982).</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Thomas, Alma Woodsey, </w:t>
      </w:r>
      <w:r w:rsidDel="00000000" w:rsidR="00000000" w:rsidRPr="00000000">
        <w:rPr>
          <w:i w:val="1"/>
          <w:iCs w:val="1"/>
          <w:rtl w:val="0"/>
        </w:rPr>
        <w:t xml:space="preserve">Orion</w:t>
      </w:r>
      <w:r w:rsidDel="00000000" w:rsidR="00000000" w:rsidRPr="00000000">
        <w:rPr>
          <w:rtl w:val="0"/>
        </w:rPr>
        <w:t xml:space="preserve">. </w:t>
      </w:r>
      <w:r w:rsidDel="00000000" w:rsidR="00000000" w:rsidRPr="00000000">
        <w:rPr>
          <w:shd w:fill="fefefe" w:val="clear"/>
          <w:rtl w:val="0"/>
        </w:rPr>
        <w:t xml:space="preserve">1973. Acrylic/oil on canvas. National Museum of Women in the Arts, Washington, District of Columbia.</w:t>
      </w:r>
      <w:r w:rsidDel="00000000" w:rsidR="00000000" w:rsidRPr="00000000">
        <w:rPr>
          <w:rtl w:val="0"/>
        </w:rPr>
      </w:r>
    </w:p>
    <w:p w:rsidR="00000000" w:rsidDel="00000000" w:rsidP="00000000" w:rsidRDefault="00000000" w:rsidRPr="00000000" w14:paraId="000000F6">
      <w:pPr>
        <w:rPr/>
      </w:pPr>
      <w:r w:rsidDel="00000000" w:rsidR="00000000" w:rsidRPr="00000000">
        <w:rPr>
          <w:rtl w:val="0"/>
        </w:rPr>
        <w:br w:type="textWrapping"/>
        <w:t xml:space="preserve">Tolkien, J.R.R., </w:t>
      </w:r>
      <w:r w:rsidDel="00000000" w:rsidR="00000000" w:rsidRPr="00000000">
        <w:rPr>
          <w:i w:val="1"/>
          <w:iCs w:val="1"/>
          <w:rtl w:val="0"/>
        </w:rPr>
        <w:t xml:space="preserve">The Lord of the Rings, </w:t>
      </w:r>
      <w:r w:rsidDel="00000000" w:rsidR="00000000" w:rsidRPr="00000000">
        <w:rPr>
          <w:rtl w:val="0"/>
        </w:rPr>
        <w:t xml:space="preserve">3 vols (Boston: Houghton Mifflin, 1954; 1999), I.</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w:t>
      </w:r>
      <w:r w:rsidDel="00000000" w:rsidR="00000000" w:rsidRPr="00000000">
        <w:rPr>
          <w:i w:val="1"/>
          <w:iCs w:val="1"/>
          <w:rtl w:val="0"/>
        </w:rPr>
        <w:t xml:space="preserve"> Tolkien On Fairy-Stories</w:t>
      </w:r>
      <w:r w:rsidDel="00000000" w:rsidR="00000000" w:rsidRPr="00000000">
        <w:rPr>
          <w:rtl w:val="0"/>
        </w:rPr>
        <w:t xml:space="preserve">, ed. by Verilyn Flieger and Douglas A. Anderson (London: Harper Collins, 2008).</w:t>
        <w:br w:type="textWrapping"/>
        <w:br w:type="textWrapping"/>
        <w:t xml:space="preserve">—, </w:t>
      </w:r>
      <w:r w:rsidDel="00000000" w:rsidR="00000000" w:rsidRPr="00000000">
        <w:rPr>
          <w:i w:val="1"/>
          <w:iCs w:val="1"/>
          <w:rtl w:val="0"/>
        </w:rPr>
        <w:t xml:space="preserve">The Silmarillion</w:t>
      </w:r>
      <w:r w:rsidDel="00000000" w:rsidR="00000000" w:rsidRPr="00000000">
        <w:rPr>
          <w:rtl w:val="0"/>
        </w:rPr>
        <w:t xml:space="preserve">, ed. by Christopher Tolkien, 2nd edn (Boston: Houghton Mifflin </w:t>
      </w:r>
    </w:p>
    <w:p w:rsidR="00000000" w:rsidDel="00000000" w:rsidP="00000000" w:rsidRDefault="00000000" w:rsidRPr="00000000" w14:paraId="000000F9">
      <w:pPr>
        <w:ind w:firstLine="720"/>
        <w:rPr/>
      </w:pPr>
      <w:r w:rsidDel="00000000" w:rsidR="00000000" w:rsidRPr="00000000">
        <w:rPr>
          <w:rtl w:val="0"/>
        </w:rPr>
        <w:t xml:space="preserve">Company, 1977; 2004).</w:t>
        <w:br w:type="textWrapping"/>
        <w:br w:type="textWrapping"/>
        <w:t xml:space="preserve">Toth, Costantino, ‘Pointer and Orange Moons’, in </w:t>
      </w:r>
      <w:r w:rsidDel="00000000" w:rsidR="00000000" w:rsidRPr="00000000">
        <w:rPr>
          <w:i w:val="1"/>
          <w:iCs w:val="1"/>
          <w:rtl w:val="0"/>
        </w:rPr>
        <w:t xml:space="preserve">Epiphany, </w:t>
      </w:r>
      <w:r w:rsidDel="00000000" w:rsidR="00000000" w:rsidRPr="00000000">
        <w:rPr>
          <w:rtl w:val="0"/>
        </w:rPr>
        <w:t xml:space="preserve">33.2 (New York: Willard Cook, 2024), pp. 96–7.</w:t>
      </w:r>
    </w:p>
    <w:p w:rsidR="00000000" w:rsidDel="00000000" w:rsidP="00000000" w:rsidRDefault="00000000" w:rsidRPr="00000000" w14:paraId="000000FA">
      <w:pPr>
        <w:rPr/>
      </w:pPr>
      <w:r w:rsidDel="00000000" w:rsidR="00000000" w:rsidRPr="00000000">
        <w:rPr>
          <w:rtl w:val="0"/>
        </w:rPr>
        <w:br w:type="textWrapping"/>
        <w:t xml:space="preserve">—, Sky Journal, 3 October–8 November 2025.</w:t>
        <w:br w:type="textWrapping"/>
        <w:br w:type="textWrapping"/>
        <w:t xml:space="preserve">Van Gogh Museum, Huygens Institute, </w:t>
      </w:r>
      <w:r w:rsidDel="00000000" w:rsidR="00000000" w:rsidRPr="00000000">
        <w:rPr>
          <w:i w:val="1"/>
          <w:iCs w:val="1"/>
          <w:rtl w:val="0"/>
        </w:rPr>
        <w:t xml:space="preserve">Vincent Van Gogh: The Letters </w:t>
      </w:r>
      <w:r w:rsidDel="00000000" w:rsidR="00000000" w:rsidRPr="00000000">
        <w:rPr>
          <w:rtl w:val="0"/>
        </w:rPr>
        <w:t xml:space="preserve">(2009)</w:t>
      </w:r>
    </w:p>
    <w:p w:rsidR="00000000" w:rsidDel="00000000" w:rsidP="00000000" w:rsidRDefault="00000000" w:rsidRPr="00000000" w14:paraId="000000FB">
      <w:pPr>
        <w:rPr/>
      </w:pPr>
      <w:r w:rsidDel="00000000" w:rsidR="00000000" w:rsidRPr="00000000">
        <w:rPr>
          <w:rtl w:val="0"/>
        </w:rPr>
        <w:t xml:space="preserve">&lt; </w:t>
      </w:r>
      <w:hyperlink r:id="rId9">
        <w:r w:rsidDel="00000000" w:rsidR="00000000" w:rsidRPr="00000000">
          <w:rPr>
            <w:u w:val="single"/>
            <w:rtl w:val="0"/>
          </w:rPr>
          <w:t xml:space="preserve">https://vangoghletters.org/vg/letters/let663/letter.html</w:t>
        </w:r>
      </w:hyperlink>
      <w:r w:rsidDel="00000000" w:rsidR="00000000" w:rsidRPr="00000000">
        <w:rPr>
          <w:rtl w:val="0"/>
        </w:rPr>
        <w:t xml:space="preserve"> &gt; [accessed 7 November 2025].</w:t>
      </w:r>
    </w:p>
    <w:p w:rsidR="00000000" w:rsidDel="00000000" w:rsidP="00000000" w:rsidRDefault="00000000" w:rsidRPr="00000000" w14:paraId="000000FC">
      <w:pPr>
        <w:rPr/>
      </w:pPr>
      <w:r w:rsidDel="00000000" w:rsidR="00000000" w:rsidRPr="00000000">
        <w:rPr>
          <w:highlight w:val="white"/>
          <w:rtl w:val="0"/>
        </w:rPr>
        <w:br w:type="textWrapping"/>
      </w:r>
      <w:r w:rsidDel="00000000" w:rsidR="00000000" w:rsidRPr="00000000">
        <w:rPr>
          <w:rtl w:val="0"/>
        </w:rPr>
        <w:t xml:space="preserve">Van Gogh, Vincent, </w:t>
      </w:r>
      <w:r w:rsidDel="00000000" w:rsidR="00000000" w:rsidRPr="00000000">
        <w:rPr>
          <w:i w:val="1"/>
          <w:iCs w:val="1"/>
          <w:rtl w:val="0"/>
        </w:rPr>
        <w:t xml:space="preserve">The Letters of Vincent Van Gogh, </w:t>
      </w:r>
      <w:r w:rsidDel="00000000" w:rsidR="00000000" w:rsidRPr="00000000">
        <w:rPr>
          <w:rtl w:val="0"/>
        </w:rPr>
        <w:t xml:space="preserve">trans. by Ronald De Leeuw (London: Penguin Books, 1997).</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i w:val="1"/>
          <w:iCs w:val="1"/>
        </w:rPr>
      </w:pPr>
      <w:r w:rsidDel="00000000" w:rsidR="00000000" w:rsidRPr="00000000">
        <w:rPr>
          <w:i w:val="1"/>
          <w:iCs w:val="1"/>
          <w:rtl w:val="0"/>
        </w:rPr>
        <w:t xml:space="preserve">Secondary sources</w:t>
      </w:r>
    </w:p>
    <w:p w:rsidR="00000000" w:rsidDel="00000000" w:rsidP="00000000" w:rsidRDefault="00000000" w:rsidRPr="00000000" w14:paraId="000000FF">
      <w:pPr>
        <w:spacing w:line="240" w:lineRule="auto"/>
        <w:rPr/>
      </w:pPr>
      <w:r w:rsidDel="00000000" w:rsidR="00000000" w:rsidRPr="00000000">
        <w:rPr>
          <w:rtl w:val="0"/>
        </w:rPr>
        <w:t xml:space="preserve">Adcock, Craig, </w:t>
      </w:r>
      <w:r w:rsidDel="00000000" w:rsidR="00000000" w:rsidRPr="00000000">
        <w:rPr>
          <w:i w:val="1"/>
          <w:iCs w:val="1"/>
          <w:rtl w:val="0"/>
        </w:rPr>
        <w:t xml:space="preserve">James Turrell: The Art of Light and Space</w:t>
      </w:r>
      <w:r w:rsidDel="00000000" w:rsidR="00000000" w:rsidRPr="00000000">
        <w:rPr>
          <w:rtl w:val="0"/>
        </w:rPr>
        <w:t xml:space="preserve"> (Berkeley: University of California Press, 1990).</w:t>
        <w:br w:type="textWrapping"/>
        <w:br w:type="textWrapping"/>
        <w:t xml:space="preserve">Addonizio, Kim, Laux, Dorianne, </w:t>
      </w:r>
      <w:r w:rsidDel="00000000" w:rsidR="00000000" w:rsidRPr="00000000">
        <w:rPr>
          <w:i w:val="1"/>
          <w:iCs w:val="1"/>
          <w:rtl w:val="0"/>
        </w:rPr>
        <w:t xml:space="preserve">The Poet’s Companion: A Guide to the Pleasures of Writing Poetry</w:t>
      </w:r>
      <w:r w:rsidDel="00000000" w:rsidR="00000000" w:rsidRPr="00000000">
        <w:rPr>
          <w:rtl w:val="0"/>
        </w:rPr>
        <w:t xml:space="preserve"> (New York: Norton &amp; Company, 1997).</w:t>
        <w:br w:type="textWrapping"/>
        <w:br w:type="textWrapping"/>
      </w:r>
      <w:r w:rsidDel="00000000" w:rsidR="00000000" w:rsidRPr="00000000">
        <w:rPr>
          <w:rtl w:val="0"/>
        </w:rPr>
        <w:t xml:space="preserve">Brady, Bernadette, ‘The Horoscope as an Imago Mundi: Rethinking the Nature of the Astrologer’s Map’, in</w:t>
      </w:r>
      <w:r w:rsidDel="00000000" w:rsidR="00000000" w:rsidRPr="00000000">
        <w:rPr>
          <w:i w:val="1"/>
          <w:iCs w:val="1"/>
          <w:rtl w:val="0"/>
        </w:rPr>
        <w:t xml:space="preserve"> Astrologies: </w:t>
      </w:r>
      <w:r w:rsidDel="00000000" w:rsidR="00000000" w:rsidRPr="00000000">
        <w:rPr>
          <w:i w:val="1"/>
          <w:iCs w:val="1"/>
          <w:rtl w:val="0"/>
        </w:rPr>
        <w:t xml:space="preserve">Plurality and Diversity in the History of Astrology</w:t>
      </w:r>
      <w:r w:rsidDel="00000000" w:rsidR="00000000" w:rsidRPr="00000000">
        <w:rPr>
          <w:rtl w:val="0"/>
        </w:rPr>
        <w:t xml:space="preserve">, ed. by Nicholas Campion and Liz Greene (Ceredigion: Sophia Centre Press, 2011)</w:t>
      </w:r>
      <w:r w:rsidDel="00000000" w:rsidR="00000000" w:rsidRPr="00000000">
        <w:rPr>
          <w:rtl w:val="0"/>
        </w:rPr>
        <w:t xml:space="preserve">, pp. 47–61.</w:t>
        <w:br w:type="textWrapping"/>
      </w:r>
      <w:r w:rsidDel="00000000" w:rsidR="00000000" w:rsidRPr="00000000">
        <w:rPr>
          <w:rtl w:val="0"/>
        </w:rPr>
        <w:br w:type="textWrapping"/>
        <w:t xml:space="preserve">‘Carpo’, in </w:t>
      </w:r>
      <w:r w:rsidDel="00000000" w:rsidR="00000000" w:rsidRPr="00000000">
        <w:rPr>
          <w:i w:val="1"/>
          <w:iCs w:val="1"/>
          <w:rtl w:val="0"/>
        </w:rPr>
        <w:t xml:space="preserve">The Pocket Oxford Latin Dictionary, </w:t>
      </w:r>
      <w:r w:rsidDel="00000000" w:rsidR="00000000" w:rsidRPr="00000000">
        <w:rPr>
          <w:rtl w:val="0"/>
        </w:rPr>
        <w:t xml:space="preserve">ed. by James Morwood, 3rd edn (Oxford: Oxford University Press, 2005).</w:t>
        <w:br w:type="textWrapping"/>
        <w:br w:type="textWrapping"/>
        <w:t xml:space="preserve">Clarke, Philip A., ‘Australian Aboriginal Astronomy and Cosmology’, in </w:t>
      </w:r>
      <w:r w:rsidDel="00000000" w:rsidR="00000000" w:rsidRPr="00000000">
        <w:rPr>
          <w:i w:val="1"/>
          <w:iCs w:val="1"/>
          <w:rtl w:val="0"/>
        </w:rPr>
        <w:t xml:space="preserve">Handbook of Archaeoastronomy and Ethnoastronomy</w:t>
      </w:r>
      <w:r w:rsidDel="00000000" w:rsidR="00000000" w:rsidRPr="00000000">
        <w:rPr>
          <w:rtl w:val="0"/>
        </w:rPr>
        <w:t xml:space="preserve">, ed. by Clive N.L. Ruggles (New York: Springer, 2015), pp. 2223–</w:t>
      </w:r>
      <w:r w:rsidDel="00000000" w:rsidR="00000000" w:rsidRPr="00000000">
        <w:rPr>
          <w:rtl w:val="0"/>
        </w:rPr>
        <w:t xml:space="preserve">30</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0">
      <w:pPr>
        <w:spacing w:line="240" w:lineRule="auto"/>
        <w:rPr/>
      </w:pPr>
      <w:r w:rsidDel="00000000" w:rsidR="00000000" w:rsidRPr="00000000">
        <w:rPr>
          <w:highlight w:val="white"/>
          <w:rtl w:val="0"/>
        </w:rPr>
        <w:br w:type="textWrapping"/>
      </w:r>
      <w:r w:rsidDel="00000000" w:rsidR="00000000" w:rsidRPr="00000000">
        <w:rPr>
          <w:rtl w:val="0"/>
        </w:rPr>
        <w:t xml:space="preserve">Curry, Patrick, ‘Enchantment, Place and Space: Implications for Cultural Astronomy’, in </w:t>
      </w:r>
      <w:r w:rsidDel="00000000" w:rsidR="00000000" w:rsidRPr="00000000">
        <w:rPr>
          <w:i w:val="1"/>
          <w:iCs w:val="1"/>
          <w:rtl w:val="0"/>
        </w:rPr>
        <w:t xml:space="preserve">Culture and Cosmos,</w:t>
      </w:r>
      <w:r w:rsidDel="00000000" w:rsidR="00000000" w:rsidRPr="00000000">
        <w:rPr>
          <w:rtl w:val="0"/>
        </w:rPr>
        <w:t xml:space="preserve"> 23.2 (2019), pp.11–23.</w:t>
        <w:br w:type="textWrapping"/>
        <w:br w:type="textWrapping"/>
        <w:t xml:space="preserve">Little, Stephen, ‘Art and Science in LACMA’s </w:t>
      </w:r>
      <w:r w:rsidDel="00000000" w:rsidR="00000000" w:rsidRPr="00000000">
        <w:rPr>
          <w:i w:val="1"/>
          <w:iCs w:val="1"/>
          <w:rtl w:val="0"/>
        </w:rPr>
        <w:t xml:space="preserve">Cosmologies</w:t>
      </w:r>
      <w:r w:rsidDel="00000000" w:rsidR="00000000" w:rsidRPr="00000000">
        <w:rPr>
          <w:rtl w:val="0"/>
        </w:rPr>
        <w:t xml:space="preserve"> Exhibition’, in </w:t>
      </w:r>
      <w:r w:rsidDel="00000000" w:rsidR="00000000" w:rsidRPr="00000000">
        <w:rPr>
          <w:i w:val="1"/>
          <w:iCs w:val="1"/>
          <w:rtl w:val="0"/>
        </w:rPr>
        <w:t xml:space="preserve">Culture and Cosmos,</w:t>
      </w:r>
      <w:r w:rsidDel="00000000" w:rsidR="00000000" w:rsidRPr="00000000">
        <w:rPr>
          <w:rtl w:val="0"/>
        </w:rPr>
        <w:t xml:space="preserve"> 27.1 (2023), pp. 159–71.</w:t>
        <w:br w:type="textWrapping"/>
        <w:br w:type="textWrapping"/>
        <w:t xml:space="preserve">Lull, José, Belmonte, Juan Antonio, ‘Egyptian Constellations’, in </w:t>
      </w:r>
      <w:r w:rsidDel="00000000" w:rsidR="00000000" w:rsidRPr="00000000">
        <w:rPr>
          <w:i w:val="1"/>
          <w:iCs w:val="1"/>
          <w:rtl w:val="0"/>
        </w:rPr>
        <w:t xml:space="preserve">Handbook of Archaeoastronomy and Ethnoastronomy</w:t>
      </w:r>
      <w:r w:rsidDel="00000000" w:rsidR="00000000" w:rsidRPr="00000000">
        <w:rPr>
          <w:rtl w:val="0"/>
        </w:rPr>
        <w:t xml:space="preserve">, ed. by Clive N.L. Ruggles (New York: Springer, 2015), pp. 1477–87.</w:t>
        <w:br w:type="textWrapping"/>
        <w:br w:type="textWrapping"/>
        <w:t xml:space="preserve">Mancuso, Vito,</w:t>
      </w:r>
      <w:r w:rsidDel="00000000" w:rsidR="00000000" w:rsidRPr="00000000">
        <w:rPr>
          <w:b w:val="1"/>
          <w:bCs w:val="1"/>
          <w:rtl w:val="0"/>
        </w:rPr>
        <w:t xml:space="preserve"> </w:t>
      </w:r>
      <w:r w:rsidDel="00000000" w:rsidR="00000000" w:rsidRPr="00000000">
        <w:rPr>
          <w:i w:val="1"/>
          <w:iCs w:val="1"/>
          <w:rtl w:val="0"/>
        </w:rPr>
        <w:t xml:space="preserve">Che cos'è l'amore? </w:t>
      </w:r>
      <w:r w:rsidDel="00000000" w:rsidR="00000000" w:rsidRPr="00000000">
        <w:rPr>
          <w:rtl w:val="0"/>
        </w:rPr>
        <w:t xml:space="preserve">[Youtube video], available at: </w:t>
      </w:r>
      <w:hyperlink r:id="rId10">
        <w:r w:rsidDel="00000000" w:rsidR="00000000" w:rsidRPr="00000000">
          <w:rPr>
            <w:u w:val="single"/>
            <w:rtl w:val="0"/>
          </w:rPr>
          <w:t xml:space="preserve">https://www.youtube.com/watch?v=-QDRYGM-VUw</w:t>
        </w:r>
      </w:hyperlink>
      <w:r w:rsidDel="00000000" w:rsidR="00000000" w:rsidRPr="00000000">
        <w:rPr>
          <w:rtl w:val="0"/>
        </w:rPr>
        <w:t xml:space="preserve"> [accessed 17 November, 2025].</w:t>
        <w:br w:type="textWrapping"/>
      </w:r>
    </w:p>
    <w:p w:rsidR="00000000" w:rsidDel="00000000" w:rsidP="00000000" w:rsidRDefault="00000000" w:rsidRPr="00000000" w14:paraId="00000101">
      <w:pPr>
        <w:spacing w:line="240" w:lineRule="auto"/>
        <w:rPr/>
      </w:pPr>
      <w:r w:rsidDel="00000000" w:rsidR="00000000" w:rsidRPr="00000000">
        <w:rPr>
          <w:rtl w:val="0"/>
        </w:rPr>
        <w:t xml:space="preserve">Ruggles, Clive N.L., </w:t>
      </w:r>
      <w:r w:rsidDel="00000000" w:rsidR="00000000" w:rsidRPr="00000000">
        <w:rPr>
          <w:i w:val="1"/>
          <w:iCs w:val="1"/>
          <w:rtl w:val="0"/>
        </w:rPr>
        <w:t xml:space="preserve">Handbook of Archaeoastronomy and Ethnoastronomy</w:t>
      </w:r>
      <w:r w:rsidDel="00000000" w:rsidR="00000000" w:rsidRPr="00000000">
        <w:rPr>
          <w:rtl w:val="0"/>
        </w:rPr>
        <w:t xml:space="preserve"> (New York: Springer, 2015).</w:t>
      </w:r>
      <w:r w:rsidDel="00000000" w:rsidR="00000000" w:rsidRPr="00000000">
        <w:rPr>
          <w:rtl w:val="0"/>
        </w:rPr>
        <w:br w:type="textWrapping"/>
        <w:br w:type="textWrapping"/>
      </w:r>
      <w:r w:rsidDel="00000000" w:rsidR="00000000" w:rsidRPr="00000000">
        <w:rPr>
          <w:rtl w:val="0"/>
        </w:rPr>
        <w:t xml:space="preserve">Wee, John Z., ‘Discovery of the Zodiac Man in Cuneiform’, in </w:t>
      </w:r>
      <w:r w:rsidDel="00000000" w:rsidR="00000000" w:rsidRPr="00000000">
        <w:rPr>
          <w:i w:val="1"/>
          <w:iCs w:val="1"/>
          <w:rtl w:val="0"/>
        </w:rPr>
        <w:t xml:space="preserve">Journal of Cuneiform Studies</w:t>
      </w:r>
      <w:r w:rsidDel="00000000" w:rsidR="00000000" w:rsidRPr="00000000">
        <w:rPr>
          <w:rtl w:val="0"/>
        </w:rPr>
        <w:t xml:space="preserve">, 67 (2015), pp. 217–33.</w:t>
      </w:r>
      <w:r w:rsidDel="00000000" w:rsidR="00000000" w:rsidRPr="00000000">
        <w:rPr>
          <w:rtl w:val="0"/>
        </w:rPr>
      </w:r>
    </w:p>
    <w:p w:rsidR="00000000" w:rsidDel="00000000" w:rsidP="00000000" w:rsidRDefault="00000000" w:rsidRPr="00000000" w14:paraId="00000102">
      <w:pPr>
        <w:spacing w:line="240" w:lineRule="auto"/>
        <w:rPr/>
      </w:pPr>
      <w:r w:rsidDel="00000000" w:rsidR="00000000" w:rsidRPr="00000000">
        <w:rPr>
          <w:rtl w:val="0"/>
        </w:rPr>
      </w:r>
    </w:p>
    <w:p w:rsidR="00000000" w:rsidDel="00000000" w:rsidP="00000000" w:rsidRDefault="00000000" w:rsidRPr="00000000" w14:paraId="00000103">
      <w:pPr>
        <w:rPr>
          <w:b w:val="1"/>
          <w:bCs w:val="1"/>
        </w:rPr>
      </w:pPr>
      <w:r w:rsidDel="00000000" w:rsidR="00000000" w:rsidRPr="00000000">
        <w:rPr>
          <w:b w:val="1"/>
          <w:bCs w:val="1"/>
          <w:rtl w:val="0"/>
        </w:rPr>
        <w:t xml:space="preserve">______________________________________________________________________________</w:t>
      </w:r>
    </w:p>
    <w:p w:rsidR="00000000" w:rsidDel="00000000" w:rsidP="00000000" w:rsidRDefault="00000000" w:rsidRPr="00000000" w14:paraId="00000104">
      <w:pPr>
        <w:spacing w:after="80" w:lineRule="auto"/>
        <w:rPr/>
      </w:pPr>
      <w:r w:rsidDel="00000000" w:rsidR="00000000" w:rsidRPr="00000000">
        <w:rPr>
          <w:rtl w:val="0"/>
        </w:rPr>
      </w:r>
    </w:p>
    <w:p w:rsidR="00000000" w:rsidDel="00000000" w:rsidP="00000000" w:rsidRDefault="00000000" w:rsidRPr="00000000" w14:paraId="00000105">
      <w:pPr>
        <w:rPr>
          <w:sz w:val="20"/>
          <w:szCs w:val="20"/>
        </w:rPr>
      </w:pPr>
      <w:r w:rsidDel="00000000" w:rsidR="00000000" w:rsidRPr="00000000">
        <w:rPr>
          <w:rtl w:val="0"/>
        </w:rPr>
      </w:r>
    </w:p>
    <w:p w:rsidR="00000000" w:rsidDel="00000000" w:rsidP="00000000" w:rsidRDefault="00000000" w:rsidRPr="00000000" w14:paraId="00000106">
      <w:pPr>
        <w:rPr>
          <w:b w:val="1"/>
          <w:bCs w:val="1"/>
        </w:rPr>
      </w:pPr>
      <w:r w:rsidDel="00000000" w:rsidR="00000000" w:rsidRPr="00000000">
        <w:rPr>
          <w:rtl w:val="0"/>
        </w:rPr>
      </w:r>
    </w:p>
    <w:p w:rsidR="00000000" w:rsidDel="00000000" w:rsidP="00000000" w:rsidRDefault="00000000" w:rsidRPr="00000000" w14:paraId="00000107">
      <w:pPr>
        <w:ind w:firstLine="720"/>
        <w:rPr/>
      </w:pPr>
      <w:r w:rsidDel="00000000" w:rsidR="00000000" w:rsidRPr="00000000">
        <w:rPr>
          <w:rtl w:val="0"/>
        </w:rPr>
      </w:r>
    </w:p>
    <w:sectPr>
      <w:headerReference r:id="rId11" w:type="default"/>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Gungsuh"/>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A">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Vincent Van Gogh, </w:t>
      </w:r>
      <w:r w:rsidDel="00000000" w:rsidR="00000000" w:rsidRPr="00000000">
        <w:rPr>
          <w:i w:val="1"/>
          <w:iCs w:val="1"/>
          <w:sz w:val="20"/>
          <w:szCs w:val="20"/>
          <w:rtl w:val="0"/>
        </w:rPr>
        <w:t xml:space="preserve">The Letters of Vincent Van Gogh, </w:t>
      </w:r>
      <w:r w:rsidDel="00000000" w:rsidR="00000000" w:rsidRPr="00000000">
        <w:rPr>
          <w:sz w:val="20"/>
          <w:szCs w:val="20"/>
          <w:rtl w:val="0"/>
        </w:rPr>
        <w:t xml:space="preserve">trans. by Ronald De Leeuw (London: Penguin Books, 1997), </w:t>
      </w:r>
    </w:p>
    <w:p w:rsidR="00000000" w:rsidDel="00000000" w:rsidP="00000000" w:rsidRDefault="00000000" w:rsidRPr="00000000" w14:paraId="0000010B">
      <w:pPr>
        <w:ind w:left="0" w:firstLine="720"/>
        <w:rPr>
          <w:sz w:val="20"/>
          <w:szCs w:val="20"/>
        </w:rPr>
      </w:pPr>
      <w:r w:rsidDel="00000000" w:rsidR="00000000" w:rsidRPr="00000000">
        <w:rPr>
          <w:sz w:val="20"/>
          <w:szCs w:val="20"/>
          <w:rtl w:val="0"/>
        </w:rPr>
        <w:t xml:space="preserve">p. 392.</w:t>
      </w:r>
    </w:p>
  </w:footnote>
  <w:footnote w:id="1">
    <w:p w:rsidR="00000000" w:rsidDel="00000000" w:rsidP="00000000" w:rsidRDefault="00000000" w:rsidRPr="00000000" w14:paraId="0000010C">
      <w:pPr>
        <w:ind w:left="0" w:firstLine="0"/>
        <w:rPr>
          <w:i w:val="1"/>
          <w:iCs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Van Gogh, </w:t>
      </w:r>
      <w:r w:rsidDel="00000000" w:rsidR="00000000" w:rsidRPr="00000000">
        <w:rPr>
          <w:i w:val="1"/>
          <w:iCs w:val="1"/>
          <w:sz w:val="20"/>
          <w:szCs w:val="20"/>
          <w:rtl w:val="0"/>
        </w:rPr>
        <w:t xml:space="preserve">Letters</w:t>
      </w:r>
      <w:r w:rsidDel="00000000" w:rsidR="00000000" w:rsidRPr="00000000">
        <w:rPr>
          <w:sz w:val="20"/>
          <w:szCs w:val="20"/>
          <w:rtl w:val="0"/>
        </w:rPr>
        <w:t xml:space="preserve">, p. 392. The quote in its original French is: ‘</w:t>
      </w:r>
      <w:r w:rsidDel="00000000" w:rsidR="00000000" w:rsidRPr="00000000">
        <w:rPr>
          <w:i w:val="1"/>
          <w:iCs w:val="1"/>
          <w:sz w:val="20"/>
          <w:szCs w:val="20"/>
          <w:rtl w:val="0"/>
        </w:rPr>
        <w:t xml:space="preserve">Et sentir neamoins les etoiles et l’infini en haut </w:t>
      </w:r>
    </w:p>
    <w:p w:rsidR="00000000" w:rsidDel="00000000" w:rsidP="00000000" w:rsidRDefault="00000000" w:rsidRPr="00000000" w14:paraId="0000010D">
      <w:pPr>
        <w:ind w:left="720" w:firstLine="0"/>
        <w:rPr>
          <w:sz w:val="20"/>
          <w:szCs w:val="20"/>
        </w:rPr>
      </w:pPr>
      <w:r w:rsidDel="00000000" w:rsidR="00000000" w:rsidRPr="00000000">
        <w:rPr>
          <w:i w:val="1"/>
          <w:iCs w:val="1"/>
          <w:sz w:val="20"/>
          <w:szCs w:val="20"/>
          <w:rtl w:val="0"/>
        </w:rPr>
        <w:t xml:space="preserve">clairement. Alors la vie est tout de même presqu’enchantée.</w:t>
      </w:r>
      <w:r w:rsidDel="00000000" w:rsidR="00000000" w:rsidRPr="00000000">
        <w:rPr>
          <w:sz w:val="20"/>
          <w:szCs w:val="20"/>
          <w:rtl w:val="0"/>
        </w:rPr>
        <w:t xml:space="preserve">’Alternatively, </w:t>
      </w:r>
      <w:r w:rsidDel="00000000" w:rsidR="00000000" w:rsidRPr="00000000">
        <w:rPr>
          <w:sz w:val="20"/>
          <w:szCs w:val="20"/>
          <w:highlight w:val="white"/>
          <w:rtl w:val="0"/>
        </w:rPr>
        <w:t xml:space="preserve">Forster and Dyson</w:t>
      </w:r>
      <w:r w:rsidDel="00000000" w:rsidR="00000000" w:rsidRPr="00000000">
        <w:rPr>
          <w:sz w:val="20"/>
          <w:szCs w:val="20"/>
          <w:rtl w:val="0"/>
        </w:rPr>
        <w:t xml:space="preserve"> translate it as ‘</w:t>
      </w:r>
      <w:r w:rsidDel="00000000" w:rsidR="00000000" w:rsidRPr="00000000">
        <w:rPr>
          <w:sz w:val="20"/>
          <w:szCs w:val="20"/>
          <w:highlight w:val="white"/>
          <w:rtl w:val="0"/>
        </w:rPr>
        <w:t xml:space="preserve">And still to feel the </w:t>
      </w:r>
      <w:r w:rsidDel="00000000" w:rsidR="00000000" w:rsidRPr="00000000">
        <w:rPr>
          <w:sz w:val="20"/>
          <w:szCs w:val="20"/>
          <w:rtl w:val="0"/>
        </w:rPr>
        <w:t xml:space="preserve">stars </w:t>
      </w:r>
      <w:r w:rsidDel="00000000" w:rsidR="00000000" w:rsidRPr="00000000">
        <w:rPr>
          <w:sz w:val="20"/>
          <w:szCs w:val="20"/>
          <w:highlight w:val="white"/>
          <w:rtl w:val="0"/>
        </w:rPr>
        <w:t xml:space="preserve">and the infinite, clearly, up there. Then life is almost magical, after all.’ While the difference between De Leeuw’s ‘…life </w:t>
      </w:r>
      <w:r w:rsidDel="00000000" w:rsidR="00000000" w:rsidRPr="00000000">
        <w:rPr>
          <w:i w:val="1"/>
          <w:iCs w:val="1"/>
          <w:sz w:val="20"/>
          <w:szCs w:val="20"/>
          <w:highlight w:val="white"/>
          <w:rtl w:val="0"/>
        </w:rPr>
        <w:t xml:space="preserve">seems</w:t>
      </w:r>
      <w:r w:rsidDel="00000000" w:rsidR="00000000" w:rsidRPr="00000000">
        <w:rPr>
          <w:sz w:val="20"/>
          <w:szCs w:val="20"/>
          <w:highlight w:val="white"/>
          <w:rtl w:val="0"/>
        </w:rPr>
        <w:t xml:space="preserve">…’ and Forster/Dyson’s ‘…life </w:t>
      </w:r>
      <w:r w:rsidDel="00000000" w:rsidR="00000000" w:rsidRPr="00000000">
        <w:rPr>
          <w:i w:val="1"/>
          <w:iCs w:val="1"/>
          <w:sz w:val="20"/>
          <w:szCs w:val="20"/>
          <w:highlight w:val="white"/>
          <w:rtl w:val="0"/>
        </w:rPr>
        <w:t xml:space="preserve">is</w:t>
      </w:r>
      <w:r w:rsidDel="00000000" w:rsidR="00000000" w:rsidRPr="00000000">
        <w:rPr>
          <w:sz w:val="20"/>
          <w:szCs w:val="20"/>
          <w:highlight w:val="white"/>
          <w:rtl w:val="0"/>
        </w:rPr>
        <w:t xml:space="preserve">…’ adds an interesting difference in emphasis, what strikes me here is that, regardless of which translation is chosen, the word ‘almost’— </w:t>
      </w:r>
      <w:r w:rsidDel="00000000" w:rsidR="00000000" w:rsidRPr="00000000">
        <w:rPr>
          <w:i w:val="1"/>
          <w:iCs w:val="1"/>
          <w:sz w:val="20"/>
          <w:szCs w:val="20"/>
          <w:rtl w:val="0"/>
        </w:rPr>
        <w:t xml:space="preserve">presqu</w:t>
      </w:r>
      <w:r w:rsidDel="00000000" w:rsidR="00000000" w:rsidRPr="00000000">
        <w:rPr>
          <w:sz w:val="20"/>
          <w:szCs w:val="20"/>
          <w:rtl w:val="0"/>
        </w:rPr>
        <w:t xml:space="preserve"> —remains, hence why I think it important to note.</w:t>
      </w:r>
    </w:p>
  </w:footnote>
  <w:footnote w:id="3">
    <w:p w:rsidR="00000000" w:rsidDel="00000000" w:rsidP="00000000" w:rsidRDefault="00000000" w:rsidRPr="00000000" w14:paraId="0000010E">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Consider also that De Leeuw’s translation omits ‘</w:t>
      </w:r>
      <w:r w:rsidDel="00000000" w:rsidR="00000000" w:rsidRPr="00000000">
        <w:rPr>
          <w:i w:val="1"/>
          <w:iCs w:val="1"/>
          <w:sz w:val="20"/>
          <w:szCs w:val="20"/>
          <w:rtl w:val="0"/>
        </w:rPr>
        <w:t xml:space="preserve">neamoins</w:t>
      </w:r>
      <w:r w:rsidDel="00000000" w:rsidR="00000000" w:rsidRPr="00000000">
        <w:rPr>
          <w:sz w:val="20"/>
          <w:szCs w:val="20"/>
          <w:rtl w:val="0"/>
        </w:rPr>
        <w:t xml:space="preserve">’</w:t>
      </w:r>
      <w:r w:rsidDel="00000000" w:rsidR="00000000" w:rsidRPr="00000000">
        <w:rPr>
          <w:sz w:val="20"/>
          <w:szCs w:val="20"/>
          <w:rtl w:val="0"/>
        </w:rPr>
        <w:t xml:space="preserve">, which means ‘nevertheless’, from his translation; </w:t>
      </w:r>
    </w:p>
    <w:p w:rsidR="00000000" w:rsidDel="00000000" w:rsidP="00000000" w:rsidRDefault="00000000" w:rsidRPr="00000000" w14:paraId="0000010F">
      <w:pPr>
        <w:ind w:left="720" w:firstLine="0"/>
        <w:rPr>
          <w:sz w:val="20"/>
          <w:szCs w:val="20"/>
        </w:rPr>
      </w:pPr>
      <w:r w:rsidDel="00000000" w:rsidR="00000000" w:rsidRPr="00000000">
        <w:rPr>
          <w:sz w:val="20"/>
          <w:szCs w:val="20"/>
          <w:rtl w:val="0"/>
        </w:rPr>
        <w:t xml:space="preserve">whereas </w:t>
      </w:r>
      <w:r w:rsidDel="00000000" w:rsidR="00000000" w:rsidRPr="00000000">
        <w:rPr>
          <w:sz w:val="20"/>
          <w:szCs w:val="20"/>
          <w:highlight w:val="white"/>
          <w:rtl w:val="0"/>
        </w:rPr>
        <w:t xml:space="preserve">Forster and Dyson</w:t>
      </w:r>
      <w:r w:rsidDel="00000000" w:rsidR="00000000" w:rsidRPr="00000000">
        <w:rPr>
          <w:sz w:val="20"/>
          <w:szCs w:val="20"/>
          <w:rtl w:val="0"/>
        </w:rPr>
        <w:t xml:space="preserve"> preserve it. </w:t>
      </w:r>
      <w:r w:rsidDel="00000000" w:rsidR="00000000" w:rsidRPr="00000000">
        <w:rPr>
          <w:sz w:val="20"/>
          <w:szCs w:val="20"/>
          <w:highlight w:val="white"/>
          <w:rtl w:val="0"/>
        </w:rPr>
        <w:t xml:space="preserve">Forster and Dyson</w:t>
      </w:r>
      <w:r w:rsidDel="00000000" w:rsidR="00000000" w:rsidRPr="00000000">
        <w:rPr>
          <w:sz w:val="20"/>
          <w:szCs w:val="20"/>
          <w:rtl w:val="0"/>
        </w:rPr>
        <w:t xml:space="preserve">’s translation preserves the underlying current of struggle more so than De Leeuw’s translation, which present a more paternalistic tone towards Theo.</w:t>
      </w:r>
    </w:p>
  </w:footnote>
  <w:footnote w:id="2">
    <w:p w:rsidR="00000000" w:rsidDel="00000000" w:rsidP="00000000" w:rsidRDefault="00000000" w:rsidRPr="00000000" w14:paraId="0000011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Van Gogh, </w:t>
      </w:r>
      <w:r w:rsidDel="00000000" w:rsidR="00000000" w:rsidRPr="00000000">
        <w:rPr>
          <w:i w:val="1"/>
          <w:iCs w:val="1"/>
          <w:sz w:val="20"/>
          <w:szCs w:val="20"/>
          <w:rtl w:val="0"/>
        </w:rPr>
        <w:t xml:space="preserve">Letters</w:t>
      </w:r>
      <w:r w:rsidDel="00000000" w:rsidR="00000000" w:rsidRPr="00000000">
        <w:rPr>
          <w:sz w:val="20"/>
          <w:szCs w:val="20"/>
          <w:rtl w:val="0"/>
        </w:rPr>
        <w:t xml:space="preserve">, p. 472: One such concern is</w:t>
      </w:r>
      <w:r w:rsidDel="00000000" w:rsidR="00000000" w:rsidRPr="00000000">
        <w:rPr>
          <w:sz w:val="20"/>
          <w:szCs w:val="20"/>
          <w:rtl w:val="0"/>
        </w:rPr>
        <w:t xml:space="preserve"> appealing to the contemporary tastes of critics and other artists.</w:t>
      </w:r>
      <w:r w:rsidDel="00000000" w:rsidR="00000000" w:rsidRPr="00000000">
        <w:rPr>
          <w:rtl w:val="0"/>
        </w:rPr>
      </w:r>
    </w:p>
  </w:footnote>
  <w:footnote w:id="4">
    <w:p w:rsidR="00000000" w:rsidDel="00000000" w:rsidP="00000000" w:rsidRDefault="00000000" w:rsidRPr="00000000" w14:paraId="0000011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Van Gogh, </w:t>
      </w:r>
      <w:r w:rsidDel="00000000" w:rsidR="00000000" w:rsidRPr="00000000">
        <w:rPr>
          <w:i w:val="1"/>
          <w:iCs w:val="1"/>
          <w:sz w:val="20"/>
          <w:szCs w:val="20"/>
          <w:rtl w:val="0"/>
        </w:rPr>
        <w:t xml:space="preserve">Letters</w:t>
      </w:r>
      <w:r w:rsidDel="00000000" w:rsidR="00000000" w:rsidRPr="00000000">
        <w:rPr>
          <w:sz w:val="20"/>
          <w:szCs w:val="20"/>
          <w:rtl w:val="0"/>
        </w:rPr>
        <w:t xml:space="preserve">, p. 392.</w:t>
      </w:r>
    </w:p>
  </w:footnote>
  <w:footnote w:id="5">
    <w:p w:rsidR="00000000" w:rsidDel="00000000" w:rsidP="00000000" w:rsidRDefault="00000000" w:rsidRPr="00000000" w14:paraId="00000112">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Patrick Curry, ‘</w:t>
      </w:r>
      <w:r w:rsidDel="00000000" w:rsidR="00000000" w:rsidRPr="00000000">
        <w:rPr>
          <w:sz w:val="20"/>
          <w:szCs w:val="20"/>
          <w:rtl w:val="0"/>
        </w:rPr>
        <w:t xml:space="preserve">Enchantment, Place and Space: Implications for Cultural Astronomy’, in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w:t>
      </w:r>
    </w:p>
    <w:p w:rsidR="00000000" w:rsidDel="00000000" w:rsidP="00000000" w:rsidRDefault="00000000" w:rsidRPr="00000000" w14:paraId="00000113">
      <w:pPr>
        <w:ind w:left="0" w:firstLine="720"/>
        <w:rPr>
          <w:sz w:val="20"/>
          <w:szCs w:val="20"/>
        </w:rPr>
      </w:pPr>
      <w:r w:rsidDel="00000000" w:rsidR="00000000" w:rsidRPr="00000000">
        <w:rPr>
          <w:sz w:val="20"/>
          <w:szCs w:val="20"/>
          <w:rtl w:val="0"/>
        </w:rPr>
        <w:t xml:space="preserve">23.2 (2019), pp.11–23.</w:t>
      </w:r>
      <w:r w:rsidDel="00000000" w:rsidR="00000000" w:rsidRPr="00000000">
        <w:rPr>
          <w:rtl w:val="0"/>
        </w:rPr>
      </w:r>
    </w:p>
  </w:footnote>
  <w:footnote w:id="20">
    <w:p w:rsidR="00000000" w:rsidDel="00000000" w:rsidP="00000000" w:rsidRDefault="00000000" w:rsidRPr="00000000" w14:paraId="0000011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Aristophanes,</w:t>
      </w:r>
      <w:r w:rsidDel="00000000" w:rsidR="00000000" w:rsidRPr="00000000">
        <w:rPr>
          <w:i w:val="1"/>
          <w:iCs w:val="1"/>
          <w:sz w:val="20"/>
          <w:szCs w:val="20"/>
          <w:rtl w:val="0"/>
        </w:rPr>
        <w:t xml:space="preserve"> Clouds</w:t>
      </w:r>
      <w:r w:rsidDel="00000000" w:rsidR="00000000" w:rsidRPr="00000000">
        <w:rPr>
          <w:sz w:val="20"/>
          <w:szCs w:val="20"/>
          <w:rtl w:val="0"/>
        </w:rPr>
        <w:t xml:space="preserve">, trans. by Ian Jonhston (Richer Resources: Arlington, 2008 ), pp. 55–6, lines 970—80.</w:t>
        <w:br w:type="textWrapping"/>
        <w:tab/>
        <w:t xml:space="preserve">In the play, the debt–written character Strepsiades details to Socrates a plan in which he’ll </w:t>
      </w:r>
    </w:p>
    <w:p w:rsidR="00000000" w:rsidDel="00000000" w:rsidP="00000000" w:rsidRDefault="00000000" w:rsidRPr="00000000" w14:paraId="00000115">
      <w:pPr>
        <w:ind w:left="720" w:firstLine="0"/>
        <w:rPr>
          <w:sz w:val="20"/>
          <w:szCs w:val="20"/>
        </w:rPr>
      </w:pPr>
      <w:r w:rsidDel="00000000" w:rsidR="00000000" w:rsidRPr="00000000">
        <w:rPr>
          <w:sz w:val="20"/>
          <w:szCs w:val="20"/>
          <w:rtl w:val="0"/>
        </w:rPr>
        <w:t xml:space="preserve">hire a Thessalian witch to help him steal the moon, thus thwarting the debt collectors that pursue him.</w:t>
      </w:r>
    </w:p>
  </w:footnote>
  <w:footnote w:id="21">
    <w:p w:rsidR="00000000" w:rsidDel="00000000" w:rsidP="00000000" w:rsidRDefault="00000000" w:rsidRPr="00000000" w14:paraId="0000011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Philip A. Clarke, ‘Australian Aboriginal Astronomy and Cosmology’,</w:t>
      </w:r>
    </w:p>
    <w:p w:rsidR="00000000" w:rsidDel="00000000" w:rsidP="00000000" w:rsidRDefault="00000000" w:rsidRPr="00000000" w14:paraId="00000117">
      <w:pPr>
        <w:ind w:left="720" w:firstLine="0"/>
        <w:rPr>
          <w:sz w:val="20"/>
          <w:szCs w:val="20"/>
        </w:rPr>
      </w:pPr>
      <w:r w:rsidDel="00000000" w:rsidR="00000000" w:rsidRPr="00000000">
        <w:rPr>
          <w:sz w:val="20"/>
          <w:szCs w:val="20"/>
          <w:rtl w:val="0"/>
        </w:rPr>
        <w:t xml:space="preserve">in </w:t>
      </w:r>
      <w:r w:rsidDel="00000000" w:rsidR="00000000" w:rsidRPr="00000000">
        <w:rPr>
          <w:i w:val="1"/>
          <w:iCs w:val="1"/>
          <w:sz w:val="20"/>
          <w:szCs w:val="20"/>
          <w:rtl w:val="0"/>
        </w:rPr>
        <w:t xml:space="preserve">Handbook of Archaeoastronomy and Ethnoastronomy</w:t>
      </w:r>
      <w:r w:rsidDel="00000000" w:rsidR="00000000" w:rsidRPr="00000000">
        <w:rPr>
          <w:sz w:val="20"/>
          <w:szCs w:val="20"/>
          <w:rtl w:val="0"/>
        </w:rPr>
        <w:t xml:space="preserve">, ed. by Clive N.L. Ruggles (New York: Springer, 2015). pp. 2223–30, p. 2226: Clarke observes that: ‘…in the Adnyamathanha language of the Flinders Ranges in northern South Australia, puffballs (</w:t>
      </w:r>
      <w:r w:rsidDel="00000000" w:rsidR="00000000" w:rsidRPr="00000000">
        <w:rPr>
          <w:i w:val="1"/>
          <w:iCs w:val="1"/>
          <w:sz w:val="20"/>
          <w:szCs w:val="20"/>
          <w:rtl w:val="0"/>
        </w:rPr>
        <w:t xml:space="preserve">Podaxon</w:t>
      </w:r>
      <w:r w:rsidDel="00000000" w:rsidR="00000000" w:rsidRPr="00000000">
        <w:rPr>
          <w:sz w:val="20"/>
          <w:szCs w:val="20"/>
          <w:rtl w:val="0"/>
        </w:rPr>
        <w:t xml:space="preserve"> species) are known as </w:t>
      </w:r>
      <w:r w:rsidDel="00000000" w:rsidR="00000000" w:rsidRPr="00000000">
        <w:rPr>
          <w:i w:val="1"/>
          <w:iCs w:val="1"/>
          <w:sz w:val="20"/>
          <w:szCs w:val="20"/>
          <w:rtl w:val="0"/>
        </w:rPr>
        <w:t xml:space="preserve">vudlivuta</w:t>
      </w:r>
      <w:r w:rsidDel="00000000" w:rsidR="00000000" w:rsidRPr="00000000">
        <w:rPr>
          <w:sz w:val="20"/>
          <w:szCs w:val="20"/>
          <w:rtl w:val="0"/>
        </w:rPr>
        <w:t xml:space="preserve">, literally “star-dust”. When a young man deliberately kicks one of these fungi, the yellow spores fill the air and people say that he is “pulling down stars.’</w:t>
      </w:r>
      <w:r w:rsidDel="00000000" w:rsidR="00000000" w:rsidRPr="00000000">
        <w:rPr>
          <w:rtl w:val="0"/>
        </w:rPr>
      </w:r>
    </w:p>
  </w:footnote>
  <w:footnote w:id="22">
    <w:p w:rsidR="00000000" w:rsidDel="00000000" w:rsidP="00000000" w:rsidRDefault="00000000" w:rsidRPr="00000000" w14:paraId="0000011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Clarke, ‘Australian Aboriginal Astronomy’, p. 2226.</w:t>
      </w:r>
    </w:p>
  </w:footnote>
  <w:footnote w:id="23">
    <w:p w:rsidR="00000000" w:rsidDel="00000000" w:rsidP="00000000" w:rsidRDefault="00000000" w:rsidRPr="00000000" w14:paraId="0000011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2227–28: ‘Such as when Birrupirru, Djandurrngala, and Ngurruwilpil (the three stars of Orion’s belt) </w:t>
      </w:r>
    </w:p>
    <w:p w:rsidR="00000000" w:rsidDel="00000000" w:rsidP="00000000" w:rsidRDefault="00000000" w:rsidRPr="00000000" w14:paraId="0000011A">
      <w:pPr>
        <w:ind w:left="720" w:firstLine="0"/>
        <w:rPr>
          <w:sz w:val="20"/>
          <w:szCs w:val="20"/>
        </w:rPr>
      </w:pPr>
      <w:r w:rsidDel="00000000" w:rsidR="00000000" w:rsidRPr="00000000">
        <w:rPr>
          <w:sz w:val="20"/>
          <w:szCs w:val="20"/>
          <w:rtl w:val="0"/>
        </w:rPr>
        <w:t xml:space="preserve">become visible in the western night sky in May. As the three men row across the sky in their boat, the dry season starts, marking the time to hunt.’</w:t>
      </w:r>
    </w:p>
  </w:footnote>
  <w:footnote w:id="29">
    <w:p w:rsidR="00000000" w:rsidDel="00000000" w:rsidP="00000000" w:rsidRDefault="00000000" w:rsidRPr="00000000" w14:paraId="0000011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Van Gogh, </w:t>
      </w:r>
      <w:r w:rsidDel="00000000" w:rsidR="00000000" w:rsidRPr="00000000">
        <w:rPr>
          <w:i w:val="1"/>
          <w:iCs w:val="1"/>
          <w:sz w:val="20"/>
          <w:szCs w:val="20"/>
          <w:rtl w:val="0"/>
        </w:rPr>
        <w:t xml:space="preserve">Letters</w:t>
      </w:r>
      <w:r w:rsidDel="00000000" w:rsidR="00000000" w:rsidRPr="00000000">
        <w:rPr>
          <w:sz w:val="20"/>
          <w:szCs w:val="20"/>
          <w:rtl w:val="0"/>
        </w:rPr>
        <w:t xml:space="preserve">, pp. 390–1. Van Gogh further states that this decision to render the subject as so will probably </w:t>
      </w:r>
    </w:p>
    <w:p w:rsidR="00000000" w:rsidDel="00000000" w:rsidP="00000000" w:rsidRDefault="00000000" w:rsidRPr="00000000" w14:paraId="0000011C">
      <w:pPr>
        <w:ind w:firstLine="720"/>
        <w:rPr>
          <w:sz w:val="20"/>
          <w:szCs w:val="20"/>
        </w:rPr>
      </w:pPr>
      <w:r w:rsidDel="00000000" w:rsidR="00000000" w:rsidRPr="00000000">
        <w:rPr>
          <w:sz w:val="20"/>
          <w:szCs w:val="20"/>
          <w:rtl w:val="0"/>
        </w:rPr>
        <w:t xml:space="preserve">be reviled as ‘caricature’ by the critics.</w:t>
      </w:r>
    </w:p>
  </w:footnote>
  <w:footnote w:id="31">
    <w:p w:rsidR="00000000" w:rsidDel="00000000" w:rsidP="00000000" w:rsidRDefault="00000000" w:rsidRPr="00000000" w14:paraId="0000011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Marina Abramovi</w:t>
      </w:r>
      <w:r w:rsidDel="00000000" w:rsidR="00000000" w:rsidRPr="00000000">
        <w:rPr>
          <w:sz w:val="20"/>
          <w:szCs w:val="20"/>
          <w:highlight w:val="white"/>
          <w:rtl w:val="0"/>
        </w:rPr>
        <w:t xml:space="preserve">ć, James Kaplan, </w:t>
      </w:r>
      <w:r w:rsidDel="00000000" w:rsidR="00000000" w:rsidRPr="00000000">
        <w:rPr>
          <w:i w:val="1"/>
          <w:iCs w:val="1"/>
          <w:sz w:val="20"/>
          <w:szCs w:val="20"/>
          <w:rtl w:val="0"/>
        </w:rPr>
        <w:t xml:space="preserve">Walking Through Walls: A Memoir</w:t>
      </w:r>
      <w:r w:rsidDel="00000000" w:rsidR="00000000" w:rsidRPr="00000000">
        <w:rPr>
          <w:sz w:val="20"/>
          <w:szCs w:val="20"/>
          <w:rtl w:val="0"/>
        </w:rPr>
        <w:t xml:space="preserve"> (New York: </w:t>
      </w:r>
      <w:r w:rsidDel="00000000" w:rsidR="00000000" w:rsidRPr="00000000">
        <w:rPr>
          <w:sz w:val="20"/>
          <w:szCs w:val="20"/>
          <w:rtl w:val="0"/>
        </w:rPr>
        <w:t xml:space="preserve">Crown</w:t>
      </w:r>
      <w:r w:rsidDel="00000000" w:rsidR="00000000" w:rsidRPr="00000000">
        <w:rPr>
          <w:sz w:val="20"/>
          <w:szCs w:val="20"/>
          <w:rtl w:val="0"/>
        </w:rPr>
        <w:t xml:space="preserve">, 2016), </w:t>
      </w:r>
    </w:p>
    <w:p w:rsidR="00000000" w:rsidDel="00000000" w:rsidP="00000000" w:rsidRDefault="00000000" w:rsidRPr="00000000" w14:paraId="0000011E">
      <w:pPr>
        <w:ind w:firstLine="720"/>
        <w:rPr>
          <w:sz w:val="20"/>
          <w:szCs w:val="20"/>
        </w:rPr>
      </w:pPr>
      <w:r w:rsidDel="00000000" w:rsidR="00000000" w:rsidRPr="00000000">
        <w:rPr>
          <w:sz w:val="20"/>
          <w:szCs w:val="20"/>
          <w:rtl w:val="0"/>
        </w:rPr>
        <w:t xml:space="preserve">pp. 298, 302–3, 309–21.</w:t>
      </w:r>
    </w:p>
  </w:footnote>
  <w:footnote w:id="28">
    <w:p w:rsidR="00000000" w:rsidDel="00000000" w:rsidP="00000000" w:rsidRDefault="00000000" w:rsidRPr="00000000" w14:paraId="0000011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Under the term ‘art’, I include not only the visual arts— painting, sculpture, film —but the literary arts as well, </w:t>
      </w:r>
    </w:p>
    <w:p w:rsidR="00000000" w:rsidDel="00000000" w:rsidP="00000000" w:rsidRDefault="00000000" w:rsidRPr="00000000" w14:paraId="00000120">
      <w:pPr>
        <w:ind w:firstLine="720"/>
        <w:rPr>
          <w:sz w:val="20"/>
          <w:szCs w:val="20"/>
        </w:rPr>
      </w:pPr>
      <w:r w:rsidDel="00000000" w:rsidR="00000000" w:rsidRPr="00000000">
        <w:rPr>
          <w:sz w:val="20"/>
          <w:szCs w:val="20"/>
          <w:rtl w:val="0"/>
        </w:rPr>
        <w:t xml:space="preserve">such as poetry. </w:t>
      </w:r>
    </w:p>
  </w:footnote>
  <w:footnote w:id="19">
    <w:p w:rsidR="00000000" w:rsidDel="00000000" w:rsidP="00000000" w:rsidRDefault="00000000" w:rsidRPr="00000000" w14:paraId="0000012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Toth, 9 October 2025, 6:10–6:18 AM.</w:t>
      </w:r>
    </w:p>
  </w:footnote>
  <w:footnote w:id="6">
    <w:p w:rsidR="00000000" w:rsidDel="00000000" w:rsidP="00000000" w:rsidRDefault="00000000" w:rsidRPr="00000000" w14:paraId="0000012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‘Carpo’, in </w:t>
      </w:r>
      <w:r w:rsidDel="00000000" w:rsidR="00000000" w:rsidRPr="00000000">
        <w:rPr>
          <w:i w:val="1"/>
          <w:iCs w:val="1"/>
          <w:sz w:val="20"/>
          <w:szCs w:val="20"/>
          <w:rtl w:val="0"/>
        </w:rPr>
        <w:t xml:space="preserve">The Pocket Oxford Latin Dictionary, </w:t>
      </w:r>
      <w:r w:rsidDel="00000000" w:rsidR="00000000" w:rsidRPr="00000000">
        <w:rPr>
          <w:sz w:val="20"/>
          <w:szCs w:val="20"/>
          <w:rtl w:val="0"/>
        </w:rPr>
        <w:t xml:space="preserve">ed. by James Morwood, </w:t>
      </w:r>
      <w:r w:rsidDel="00000000" w:rsidR="00000000" w:rsidRPr="00000000">
        <w:rPr>
          <w:sz w:val="20"/>
          <w:szCs w:val="20"/>
          <w:rtl w:val="0"/>
        </w:rPr>
        <w:t xml:space="preserve">3rd edn </w:t>
      </w:r>
    </w:p>
    <w:p w:rsidR="00000000" w:rsidDel="00000000" w:rsidP="00000000" w:rsidRDefault="00000000" w:rsidRPr="00000000" w14:paraId="00000123">
      <w:pPr>
        <w:ind w:firstLine="720"/>
        <w:rPr>
          <w:sz w:val="20"/>
          <w:szCs w:val="20"/>
        </w:rPr>
      </w:pPr>
      <w:r w:rsidDel="00000000" w:rsidR="00000000" w:rsidRPr="00000000">
        <w:rPr>
          <w:sz w:val="20"/>
          <w:szCs w:val="20"/>
          <w:rtl w:val="0"/>
        </w:rPr>
        <w:t xml:space="preserve">(Oxford: Oxford University Press, 2005); Vito Mancuso,</w:t>
      </w:r>
      <w:r w:rsidDel="00000000" w:rsidR="00000000" w:rsidRPr="00000000">
        <w:rPr>
          <w:b w:val="1"/>
          <w:bCs w:val="1"/>
          <w:sz w:val="20"/>
          <w:szCs w:val="20"/>
          <w:rtl w:val="0"/>
        </w:rPr>
        <w:t xml:space="preserve"> </w:t>
      </w:r>
      <w:r w:rsidDel="00000000" w:rsidR="00000000" w:rsidRPr="00000000">
        <w:rPr>
          <w:i w:val="1"/>
          <w:iCs w:val="1"/>
          <w:sz w:val="20"/>
          <w:szCs w:val="20"/>
          <w:rtl w:val="0"/>
        </w:rPr>
        <w:t xml:space="preserve">Che cos'è l'amore? </w:t>
      </w:r>
      <w:r w:rsidDel="00000000" w:rsidR="00000000" w:rsidRPr="00000000">
        <w:rPr>
          <w:sz w:val="20"/>
          <w:szCs w:val="20"/>
          <w:rtl w:val="0"/>
        </w:rPr>
        <w:t xml:space="preserve">[Youtube video], available at: </w:t>
      </w:r>
    </w:p>
    <w:p w:rsidR="00000000" w:rsidDel="00000000" w:rsidP="00000000" w:rsidRDefault="00000000" w:rsidRPr="00000000" w14:paraId="00000124">
      <w:pPr>
        <w:ind w:firstLine="720"/>
        <w:rPr>
          <w:sz w:val="20"/>
          <w:szCs w:val="20"/>
        </w:rPr>
      </w:pPr>
      <w:hyperlink r:id="rId1">
        <w:r w:rsidDel="00000000" w:rsidR="00000000" w:rsidRPr="00000000">
          <w:rPr>
            <w:color w:val="1155cc"/>
            <w:sz w:val="20"/>
            <w:szCs w:val="20"/>
            <w:u w:val="single"/>
            <w:rtl w:val="0"/>
          </w:rPr>
          <w:t xml:space="preserve">https://www.youtube.com/watch?v=-QDRYGM-VUw</w:t>
        </w:r>
      </w:hyperlink>
      <w:r w:rsidDel="00000000" w:rsidR="00000000" w:rsidRPr="00000000">
        <w:rPr>
          <w:sz w:val="20"/>
          <w:szCs w:val="20"/>
          <w:rtl w:val="0"/>
        </w:rPr>
        <w:t xml:space="preserve"> [accessed 17 November, 2025].</w:t>
      </w:r>
    </w:p>
    <w:p w:rsidR="00000000" w:rsidDel="00000000" w:rsidP="00000000" w:rsidRDefault="00000000" w:rsidRPr="00000000" w14:paraId="00000125">
      <w:pPr>
        <w:ind w:left="720" w:firstLine="0"/>
        <w:rPr>
          <w:sz w:val="20"/>
          <w:szCs w:val="20"/>
        </w:rPr>
      </w:pPr>
      <w:r w:rsidDel="00000000" w:rsidR="00000000" w:rsidRPr="00000000">
        <w:rPr>
          <w:sz w:val="20"/>
          <w:szCs w:val="20"/>
          <w:rtl w:val="0"/>
        </w:rPr>
        <w:t xml:space="preserve">Mancuso credits St. Augustine’s writings on time, and appropriates them for his discourse on love: </w:t>
      </w:r>
    </w:p>
    <w:p w:rsidR="00000000" w:rsidDel="00000000" w:rsidP="00000000" w:rsidRDefault="00000000" w:rsidRPr="00000000" w14:paraId="00000126">
      <w:pPr>
        <w:ind w:left="720" w:firstLine="0"/>
        <w:rPr>
          <w:sz w:val="20"/>
          <w:szCs w:val="20"/>
        </w:rPr>
      </w:pPr>
      <w:r w:rsidDel="00000000" w:rsidR="00000000" w:rsidRPr="00000000">
        <w:rPr>
          <w:sz w:val="20"/>
          <w:szCs w:val="20"/>
          <w:rtl w:val="0"/>
        </w:rPr>
        <w:t xml:space="preserve">‘In some degree I see it, but how to express it I do not know.’</w:t>
      </w:r>
    </w:p>
  </w:footnote>
  <w:footnote w:id="7">
    <w:p w:rsidR="00000000" w:rsidDel="00000000" w:rsidP="00000000" w:rsidRDefault="00000000" w:rsidRPr="00000000" w14:paraId="0000012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Curry, ‘Enchantment’, pp. 12–14.</w:t>
      </w:r>
    </w:p>
  </w:footnote>
  <w:footnote w:id="8">
    <w:p w:rsidR="00000000" w:rsidDel="00000000" w:rsidP="00000000" w:rsidRDefault="00000000" w:rsidRPr="00000000" w14:paraId="00000128">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Rendering this formula in a sort of protasis / apodasis implies a linear, temporal sequence. Admittedly, it is </w:t>
      </w:r>
    </w:p>
    <w:p w:rsidR="00000000" w:rsidDel="00000000" w:rsidP="00000000" w:rsidRDefault="00000000" w:rsidRPr="00000000" w14:paraId="00000129">
      <w:pPr>
        <w:ind w:left="720" w:firstLine="0"/>
        <w:rPr>
          <w:sz w:val="20"/>
          <w:szCs w:val="20"/>
        </w:rPr>
      </w:pPr>
      <w:r w:rsidDel="00000000" w:rsidR="00000000" w:rsidRPr="00000000">
        <w:rPr>
          <w:sz w:val="20"/>
          <w:szCs w:val="20"/>
          <w:rtl w:val="0"/>
        </w:rPr>
        <w:t xml:space="preserve">perhaps hypocritical to reduce the fluid nature of wonderment and enchantment into a conditional formula. It should be noted that the two parts of formula can (appear to) proceed simultaneously, and that any appearance of ordered time is used by this essay for practicality’s sake.</w:t>
      </w:r>
    </w:p>
  </w:footnote>
  <w:footnote w:id="9">
    <w:p w:rsidR="00000000" w:rsidDel="00000000" w:rsidP="00000000" w:rsidRDefault="00000000" w:rsidRPr="00000000" w14:paraId="0000012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Curry, ‘Enchantment’, pp. 12–13.</w:t>
      </w:r>
    </w:p>
  </w:footnote>
  <w:footnote w:id="26">
    <w:p w:rsidR="00000000" w:rsidDel="00000000" w:rsidP="00000000" w:rsidRDefault="00000000" w:rsidRPr="00000000" w14:paraId="0000012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John Z. Wee, ‘Discovery of the Zodiac Man in Cuneiform’, in </w:t>
      </w:r>
      <w:r w:rsidDel="00000000" w:rsidR="00000000" w:rsidRPr="00000000">
        <w:rPr>
          <w:i w:val="1"/>
          <w:iCs w:val="1"/>
          <w:sz w:val="20"/>
          <w:szCs w:val="20"/>
          <w:rtl w:val="0"/>
        </w:rPr>
        <w:t xml:space="preserve">Journal of Cuneiform Studies</w:t>
      </w:r>
      <w:r w:rsidDel="00000000" w:rsidR="00000000" w:rsidRPr="00000000">
        <w:rPr>
          <w:sz w:val="20"/>
          <w:szCs w:val="20"/>
          <w:rtl w:val="0"/>
        </w:rPr>
        <w:t xml:space="preserve">, </w:t>
      </w:r>
      <w:r w:rsidDel="00000000" w:rsidR="00000000" w:rsidRPr="00000000">
        <w:rPr>
          <w:sz w:val="20"/>
          <w:szCs w:val="20"/>
          <w:rtl w:val="0"/>
        </w:rPr>
        <w:t xml:space="preserve">67 (2015), </w:t>
      </w:r>
    </w:p>
    <w:p w:rsidR="00000000" w:rsidDel="00000000" w:rsidP="00000000" w:rsidRDefault="00000000" w:rsidRPr="00000000" w14:paraId="0000012C">
      <w:pPr>
        <w:ind w:left="720" w:firstLine="0"/>
        <w:rPr>
          <w:sz w:val="20"/>
          <w:szCs w:val="20"/>
        </w:rPr>
      </w:pPr>
      <w:r w:rsidDel="00000000" w:rsidR="00000000" w:rsidRPr="00000000">
        <w:rPr>
          <w:sz w:val="20"/>
          <w:szCs w:val="20"/>
          <w:rtl w:val="0"/>
        </w:rPr>
        <w:t xml:space="preserve">pp. 217–33; Marcus Manilius, </w:t>
      </w:r>
      <w:r w:rsidDel="00000000" w:rsidR="00000000" w:rsidRPr="00000000">
        <w:rPr>
          <w:i w:val="1"/>
          <w:iCs w:val="1"/>
          <w:sz w:val="20"/>
          <w:szCs w:val="20"/>
          <w:rtl w:val="0"/>
        </w:rPr>
        <w:t xml:space="preserve">Astronomica</w:t>
      </w:r>
      <w:r w:rsidDel="00000000" w:rsidR="00000000" w:rsidRPr="00000000">
        <w:rPr>
          <w:sz w:val="20"/>
          <w:szCs w:val="20"/>
          <w:rtl w:val="0"/>
        </w:rPr>
        <w:t xml:space="preserve">, trans. by G.P. Goold, LCL 469 </w:t>
      </w:r>
      <w:r w:rsidDel="00000000" w:rsidR="00000000" w:rsidRPr="00000000">
        <w:rPr>
          <w:sz w:val="20"/>
          <w:szCs w:val="20"/>
          <w:rtl w:val="0"/>
        </w:rPr>
        <w:t xml:space="preserve">(Cambridge: Harvard University Press, 1977), pp 118–119.</w:t>
      </w:r>
      <w:r w:rsidDel="00000000" w:rsidR="00000000" w:rsidRPr="00000000">
        <w:rPr>
          <w:rtl w:val="0"/>
        </w:rPr>
      </w:r>
    </w:p>
  </w:footnote>
  <w:footnote w:id="30">
    <w:p w:rsidR="00000000" w:rsidDel="00000000" w:rsidP="00000000" w:rsidRDefault="00000000" w:rsidRPr="00000000" w14:paraId="0000012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392. </w:t>
      </w:r>
    </w:p>
  </w:footnote>
  <w:footnote w:id="32">
    <w:p w:rsidR="00000000" w:rsidDel="00000000" w:rsidP="00000000" w:rsidRDefault="00000000" w:rsidRPr="00000000" w14:paraId="0000012E">
      <w:pPr>
        <w:ind w:left="0" w:firstLine="0"/>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This confusion extended also to the line of waiting people who watched each interaction. For those</w:t>
      </w:r>
    </w:p>
    <w:p w:rsidR="00000000" w:rsidDel="00000000" w:rsidP="00000000" w:rsidRDefault="00000000" w:rsidRPr="00000000" w14:paraId="0000012F">
      <w:pPr>
        <w:ind w:left="720" w:firstLine="0"/>
        <w:rPr>
          <w:sz w:val="20"/>
          <w:szCs w:val="20"/>
        </w:rPr>
      </w:pPr>
      <w:r w:rsidDel="00000000" w:rsidR="00000000" w:rsidRPr="00000000">
        <w:rPr>
          <w:sz w:val="20"/>
          <w:szCs w:val="20"/>
          <w:highlight w:val="white"/>
          <w:rtl w:val="0"/>
        </w:rPr>
        <w:t xml:space="preserve">were not familiar with </w:t>
      </w:r>
      <w:r w:rsidDel="00000000" w:rsidR="00000000" w:rsidRPr="00000000">
        <w:rPr>
          <w:sz w:val="20"/>
          <w:szCs w:val="20"/>
          <w:rtl w:val="0"/>
        </w:rPr>
        <w:t xml:space="preserve">Abramovi</w:t>
      </w:r>
      <w:r w:rsidDel="00000000" w:rsidR="00000000" w:rsidRPr="00000000">
        <w:rPr>
          <w:sz w:val="20"/>
          <w:szCs w:val="20"/>
          <w:highlight w:val="white"/>
          <w:rtl w:val="0"/>
        </w:rPr>
        <w:t xml:space="preserve">ć’s work or appearance, perhaps they might have not initially known which of the two sitting people she was, especially considering that the expected aesthetic cues delineating art(ist) and consumer, such as a stage or a frame, were vanished. Other aesthetic cues as to who the performer was, however, lingered; such as </w:t>
      </w:r>
      <w:r w:rsidDel="00000000" w:rsidR="00000000" w:rsidRPr="00000000">
        <w:rPr>
          <w:sz w:val="20"/>
          <w:szCs w:val="20"/>
          <w:rtl w:val="0"/>
        </w:rPr>
        <w:t xml:space="preserve">Abramovi</w:t>
      </w:r>
      <w:r w:rsidDel="00000000" w:rsidR="00000000" w:rsidRPr="00000000">
        <w:rPr>
          <w:sz w:val="20"/>
          <w:szCs w:val="20"/>
          <w:highlight w:val="white"/>
          <w:rtl w:val="0"/>
        </w:rPr>
        <w:t xml:space="preserve">ć’s long flowing dress.</w:t>
      </w:r>
      <w:r w:rsidDel="00000000" w:rsidR="00000000" w:rsidRPr="00000000">
        <w:rPr>
          <w:rtl w:val="0"/>
        </w:rPr>
      </w:r>
    </w:p>
  </w:footnote>
  <w:footnote w:id="33">
    <w:p w:rsidR="00000000" w:rsidDel="00000000" w:rsidP="00000000" w:rsidRDefault="00000000" w:rsidRPr="00000000" w14:paraId="00000130">
      <w:pPr>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Abramović, </w:t>
      </w:r>
      <w:r w:rsidDel="00000000" w:rsidR="00000000" w:rsidRPr="00000000">
        <w:rPr>
          <w:i w:val="1"/>
          <w:iCs w:val="1"/>
          <w:sz w:val="20"/>
          <w:szCs w:val="20"/>
          <w:highlight w:val="white"/>
          <w:rtl w:val="0"/>
        </w:rPr>
        <w:t xml:space="preserve">Walking Through Walls</w:t>
      </w:r>
      <w:r w:rsidDel="00000000" w:rsidR="00000000" w:rsidRPr="00000000">
        <w:rPr>
          <w:sz w:val="20"/>
          <w:szCs w:val="20"/>
          <w:highlight w:val="white"/>
          <w:rtl w:val="0"/>
        </w:rPr>
        <w:t xml:space="preserve">, pp. 309, 317–18:</w:t>
      </w:r>
    </w:p>
    <w:p w:rsidR="00000000" w:rsidDel="00000000" w:rsidP="00000000" w:rsidRDefault="00000000" w:rsidRPr="00000000" w14:paraId="00000131">
      <w:pPr>
        <w:ind w:left="0" w:firstLine="720"/>
        <w:rPr>
          <w:sz w:val="20"/>
          <w:szCs w:val="20"/>
          <w:highlight w:val="white"/>
        </w:rPr>
      </w:pPr>
      <w:r w:rsidDel="00000000" w:rsidR="00000000" w:rsidRPr="00000000">
        <w:rPr>
          <w:sz w:val="20"/>
          <w:szCs w:val="20"/>
          <w:rtl w:val="0"/>
        </w:rPr>
        <w:t xml:space="preserve">‘</w:t>
      </w:r>
      <w:r w:rsidDel="00000000" w:rsidR="00000000" w:rsidRPr="00000000">
        <w:rPr>
          <w:sz w:val="20"/>
          <w:szCs w:val="20"/>
          <w:highlight w:val="white"/>
          <w:rtl w:val="0"/>
        </w:rPr>
        <w:t xml:space="preserve">During this last month, my sitting in the atrium became something different. It’s not just that I knew the</w:t>
      </w:r>
    </w:p>
    <w:p w:rsidR="00000000" w:rsidDel="00000000" w:rsidP="00000000" w:rsidRDefault="00000000" w:rsidRPr="00000000" w14:paraId="00000132">
      <w:pPr>
        <w:ind w:firstLine="720"/>
        <w:rPr>
          <w:sz w:val="20"/>
          <w:szCs w:val="20"/>
          <w:highlight w:val="white"/>
        </w:rPr>
      </w:pPr>
      <w:r w:rsidDel="00000000" w:rsidR="00000000" w:rsidRPr="00000000">
        <w:rPr>
          <w:sz w:val="20"/>
          <w:szCs w:val="20"/>
          <w:highlight w:val="white"/>
          <w:rtl w:val="0"/>
        </w:rPr>
        <w:t xml:space="preserve">piece was ending—it wasn't about ending anymore. It was that the performance had lasted so long that it </w:t>
      </w:r>
    </w:p>
    <w:p w:rsidR="00000000" w:rsidDel="00000000" w:rsidP="00000000" w:rsidRDefault="00000000" w:rsidRPr="00000000" w14:paraId="00000133">
      <w:pPr>
        <w:ind w:firstLine="720"/>
        <w:rPr>
          <w:sz w:val="20"/>
          <w:szCs w:val="20"/>
          <w:highlight w:val="white"/>
        </w:rPr>
      </w:pPr>
      <w:r w:rsidDel="00000000" w:rsidR="00000000" w:rsidRPr="00000000">
        <w:rPr>
          <w:sz w:val="20"/>
          <w:szCs w:val="20"/>
          <w:highlight w:val="white"/>
          <w:rtl w:val="0"/>
        </w:rPr>
        <w:t xml:space="preserve">had become life itself. My life seemed to extend from the moment I first sat on the chair in the morning to </w:t>
      </w:r>
    </w:p>
    <w:p w:rsidR="00000000" w:rsidDel="00000000" w:rsidP="00000000" w:rsidRDefault="00000000" w:rsidRPr="00000000" w14:paraId="00000134">
      <w:pPr>
        <w:ind w:firstLine="720"/>
        <w:rPr>
          <w:sz w:val="20"/>
          <w:szCs w:val="20"/>
        </w:rPr>
      </w:pPr>
      <w:r w:rsidDel="00000000" w:rsidR="00000000" w:rsidRPr="00000000">
        <w:rPr>
          <w:sz w:val="20"/>
          <w:szCs w:val="20"/>
          <w:highlight w:val="white"/>
          <w:rtl w:val="0"/>
        </w:rPr>
        <w:t xml:space="preserve">the recorded announcement that was the last sound of the day…’ </w:t>
      </w:r>
      <w:r w:rsidDel="00000000" w:rsidR="00000000" w:rsidRPr="00000000">
        <w:rPr>
          <w:rtl w:val="0"/>
        </w:rPr>
      </w:r>
    </w:p>
  </w:footnote>
  <w:footnote w:id="34">
    <w:p w:rsidR="00000000" w:rsidDel="00000000" w:rsidP="00000000" w:rsidRDefault="00000000" w:rsidRPr="00000000" w14:paraId="00000135">
      <w:pPr>
        <w:rPr>
          <w:sz w:val="22"/>
          <w:szCs w:val="22"/>
        </w:rPr>
      </w:pPr>
      <w:r w:rsidDel="00000000" w:rsidR="00000000" w:rsidRPr="00000000">
        <w:rPr>
          <w:rStyle w:val="FootnoteReference"/>
          <w:vertAlign w:val="superscript"/>
        </w:rPr>
        <w:footnoteRef/>
      </w:r>
      <w:r w:rsidDel="00000000" w:rsidR="00000000" w:rsidRPr="00000000">
        <w:rPr>
          <w:sz w:val="20"/>
          <w:szCs w:val="20"/>
          <w:rtl w:val="0"/>
        </w:rPr>
        <w:t xml:space="preserve"> Donald Hall, </w:t>
      </w:r>
      <w:r w:rsidDel="00000000" w:rsidR="00000000" w:rsidRPr="00000000">
        <w:rPr>
          <w:i w:val="1"/>
          <w:iCs w:val="1"/>
          <w:sz w:val="20"/>
          <w:szCs w:val="20"/>
          <w:rtl w:val="0"/>
        </w:rPr>
        <w:t xml:space="preserve">The Pleasures of Poetry</w:t>
      </w:r>
      <w:r w:rsidDel="00000000" w:rsidR="00000000" w:rsidRPr="00000000">
        <w:rPr>
          <w:sz w:val="20"/>
          <w:szCs w:val="20"/>
          <w:rtl w:val="0"/>
        </w:rPr>
        <w:t xml:space="preserve"> (New York: </w:t>
      </w:r>
      <w:r w:rsidDel="00000000" w:rsidR="00000000" w:rsidRPr="00000000">
        <w:rPr>
          <w:sz w:val="20"/>
          <w:szCs w:val="20"/>
          <w:rtl w:val="0"/>
        </w:rPr>
        <w:t xml:space="preserve">Harper &amp; Row, 1971), p. 23.</w:t>
      </w:r>
      <w:r w:rsidDel="00000000" w:rsidR="00000000" w:rsidRPr="00000000">
        <w:rPr>
          <w:rtl w:val="0"/>
        </w:rPr>
      </w:r>
    </w:p>
  </w:footnote>
  <w:footnote w:id="36">
    <w:p w:rsidR="00000000" w:rsidDel="00000000" w:rsidP="00000000" w:rsidRDefault="00000000" w:rsidRPr="00000000" w14:paraId="0000013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Kim Addonizio and Dorianne Laux, </w:t>
      </w:r>
      <w:r w:rsidDel="00000000" w:rsidR="00000000" w:rsidRPr="00000000">
        <w:rPr>
          <w:i w:val="1"/>
          <w:iCs w:val="1"/>
          <w:sz w:val="20"/>
          <w:szCs w:val="20"/>
          <w:rtl w:val="0"/>
        </w:rPr>
        <w:t xml:space="preserve">The Poet’s Companion: A Guide to the Pleasures of Writing Poetry</w:t>
      </w:r>
      <w:r w:rsidDel="00000000" w:rsidR="00000000" w:rsidRPr="00000000">
        <w:rPr>
          <w:sz w:val="20"/>
          <w:szCs w:val="20"/>
          <w:rtl w:val="0"/>
        </w:rPr>
        <w:t xml:space="preserve"> </w:t>
      </w:r>
    </w:p>
    <w:p w:rsidR="00000000" w:rsidDel="00000000" w:rsidP="00000000" w:rsidRDefault="00000000" w:rsidRPr="00000000" w14:paraId="00000137">
      <w:pPr>
        <w:ind w:firstLine="720"/>
        <w:rPr>
          <w:sz w:val="20"/>
          <w:szCs w:val="20"/>
        </w:rPr>
      </w:pPr>
      <w:r w:rsidDel="00000000" w:rsidR="00000000" w:rsidRPr="00000000">
        <w:rPr>
          <w:sz w:val="20"/>
          <w:szCs w:val="20"/>
          <w:rtl w:val="0"/>
        </w:rPr>
        <w:t xml:space="preserve">(New York: Norton &amp; Company, 1997), p. 94.</w:t>
      </w:r>
    </w:p>
  </w:footnote>
  <w:footnote w:id="10">
    <w:p w:rsidR="00000000" w:rsidDel="00000000" w:rsidP="00000000" w:rsidRDefault="00000000" w:rsidRPr="00000000" w14:paraId="0000013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By ‘experience of art’ it is meant both the act of producing art, and consuming or engaging with art.</w:t>
      </w:r>
    </w:p>
  </w:footnote>
  <w:footnote w:id="11">
    <w:p w:rsidR="00000000" w:rsidDel="00000000" w:rsidP="00000000" w:rsidRDefault="00000000" w:rsidRPr="00000000" w14:paraId="00000139">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Lull, José, Belmonte, Juan Antonio, ‘Egyptian Constellations’, </w:t>
      </w:r>
    </w:p>
    <w:p w:rsidR="00000000" w:rsidDel="00000000" w:rsidP="00000000" w:rsidRDefault="00000000" w:rsidRPr="00000000" w14:paraId="0000013A">
      <w:pPr>
        <w:ind w:left="0" w:firstLine="720"/>
        <w:rPr>
          <w:sz w:val="20"/>
          <w:szCs w:val="20"/>
        </w:rPr>
      </w:pPr>
      <w:r w:rsidDel="00000000" w:rsidR="00000000" w:rsidRPr="00000000">
        <w:rPr>
          <w:sz w:val="20"/>
          <w:szCs w:val="20"/>
          <w:rtl w:val="0"/>
        </w:rPr>
        <w:t xml:space="preserve">in </w:t>
      </w:r>
      <w:r w:rsidDel="00000000" w:rsidR="00000000" w:rsidRPr="00000000">
        <w:rPr>
          <w:i w:val="1"/>
          <w:iCs w:val="1"/>
          <w:sz w:val="20"/>
          <w:szCs w:val="20"/>
          <w:rtl w:val="0"/>
        </w:rPr>
        <w:t xml:space="preserve">Handbook of Archaeoastronomy and Ethnoastronomy</w:t>
      </w:r>
      <w:r w:rsidDel="00000000" w:rsidR="00000000" w:rsidRPr="00000000">
        <w:rPr>
          <w:sz w:val="20"/>
          <w:szCs w:val="20"/>
          <w:rtl w:val="0"/>
        </w:rPr>
        <w:t xml:space="preserve">, ed. by Clive N.L. Ruggles</w:t>
      </w:r>
    </w:p>
    <w:p w:rsidR="00000000" w:rsidDel="00000000" w:rsidP="00000000" w:rsidRDefault="00000000" w:rsidRPr="00000000" w14:paraId="0000013B">
      <w:pPr>
        <w:ind w:left="0" w:firstLine="720"/>
        <w:rPr>
          <w:sz w:val="20"/>
          <w:szCs w:val="20"/>
        </w:rPr>
      </w:pPr>
      <w:r w:rsidDel="00000000" w:rsidR="00000000" w:rsidRPr="00000000">
        <w:rPr>
          <w:sz w:val="20"/>
          <w:szCs w:val="20"/>
          <w:rtl w:val="0"/>
        </w:rPr>
        <w:t xml:space="preserve">(New York: Springer, 2015). pp. 1477–87.</w:t>
      </w:r>
    </w:p>
  </w:footnote>
  <w:footnote w:id="12">
    <w:p w:rsidR="00000000" w:rsidDel="00000000" w:rsidP="00000000" w:rsidRDefault="00000000" w:rsidRPr="00000000" w14:paraId="0000013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Costantino Toth, Sky Journal, 3 October–8 November 2025 (October 3, 2025, 6:10 to 6:20 AM).</w:t>
      </w:r>
    </w:p>
  </w:footnote>
  <w:footnote w:id="13">
    <w:p w:rsidR="00000000" w:rsidDel="00000000" w:rsidP="00000000" w:rsidRDefault="00000000" w:rsidRPr="00000000" w14:paraId="0000013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J.R.R. Tolkien, </w:t>
      </w:r>
      <w:r w:rsidDel="00000000" w:rsidR="00000000" w:rsidRPr="00000000">
        <w:rPr>
          <w:i w:val="1"/>
          <w:iCs w:val="1"/>
          <w:sz w:val="20"/>
          <w:szCs w:val="20"/>
          <w:rtl w:val="0"/>
        </w:rPr>
        <w:t xml:space="preserve">The Silmarillion</w:t>
      </w:r>
      <w:r w:rsidDel="00000000" w:rsidR="00000000" w:rsidRPr="00000000">
        <w:rPr>
          <w:sz w:val="20"/>
          <w:szCs w:val="20"/>
          <w:rtl w:val="0"/>
        </w:rPr>
        <w:t xml:space="preserve">, ed. by Christopher Tolkien, 2nd edn (Boston: Houghton Mifflin </w:t>
      </w:r>
    </w:p>
    <w:p w:rsidR="00000000" w:rsidDel="00000000" w:rsidP="00000000" w:rsidRDefault="00000000" w:rsidRPr="00000000" w14:paraId="0000013E">
      <w:pPr>
        <w:ind w:left="720" w:firstLine="0"/>
        <w:rPr>
          <w:sz w:val="20"/>
          <w:szCs w:val="20"/>
        </w:rPr>
      </w:pPr>
      <w:r w:rsidDel="00000000" w:rsidR="00000000" w:rsidRPr="00000000">
        <w:rPr>
          <w:sz w:val="20"/>
          <w:szCs w:val="20"/>
          <w:rtl w:val="0"/>
        </w:rPr>
        <w:t xml:space="preserve">Company, 1977; 2004); J.R.R. Tolkien, </w:t>
      </w:r>
      <w:r w:rsidDel="00000000" w:rsidR="00000000" w:rsidRPr="00000000">
        <w:rPr>
          <w:i w:val="1"/>
          <w:iCs w:val="1"/>
          <w:sz w:val="20"/>
          <w:szCs w:val="20"/>
          <w:rtl w:val="0"/>
        </w:rPr>
        <w:t xml:space="preserve">The Lord of the Rings, </w:t>
      </w:r>
      <w:r w:rsidDel="00000000" w:rsidR="00000000" w:rsidRPr="00000000">
        <w:rPr>
          <w:sz w:val="20"/>
          <w:szCs w:val="20"/>
          <w:rtl w:val="0"/>
        </w:rPr>
        <w:t xml:space="preserve">3 vols (Boston: Houghton Mifflin, 1954; 1999), I, p. 80: …by some shift of airs all the mist was drawn away like a veil,  and there leaned up, as </w:t>
      </w:r>
    </w:p>
    <w:p w:rsidR="00000000" w:rsidDel="00000000" w:rsidP="00000000" w:rsidRDefault="00000000" w:rsidRPr="00000000" w14:paraId="0000013F">
      <w:pPr>
        <w:ind w:firstLine="720"/>
        <w:rPr>
          <w:sz w:val="20"/>
          <w:szCs w:val="20"/>
        </w:rPr>
      </w:pPr>
      <w:r w:rsidDel="00000000" w:rsidR="00000000" w:rsidRPr="00000000">
        <w:rPr>
          <w:sz w:val="20"/>
          <w:szCs w:val="20"/>
          <w:rtl w:val="0"/>
        </w:rPr>
        <w:t xml:space="preserve">he climbed over the rim of the world, the Swordsman of the Sky, Menelvagor with his </w:t>
      </w:r>
    </w:p>
    <w:p w:rsidR="00000000" w:rsidDel="00000000" w:rsidP="00000000" w:rsidRDefault="00000000" w:rsidRPr="00000000" w14:paraId="00000140">
      <w:pPr>
        <w:ind w:firstLine="720"/>
        <w:rPr>
          <w:sz w:val="20"/>
          <w:szCs w:val="20"/>
        </w:rPr>
      </w:pPr>
      <w:r w:rsidDel="00000000" w:rsidR="00000000" w:rsidRPr="00000000">
        <w:rPr>
          <w:sz w:val="20"/>
          <w:szCs w:val="20"/>
          <w:rtl w:val="0"/>
        </w:rPr>
        <w:t xml:space="preserve">shining belt. The Elves all burst into song… ‘Come!’ the Elves called to the hobbits. </w:t>
      </w:r>
    </w:p>
    <w:p w:rsidR="00000000" w:rsidDel="00000000" w:rsidP="00000000" w:rsidRDefault="00000000" w:rsidRPr="00000000" w14:paraId="00000141">
      <w:pPr>
        <w:ind w:firstLine="720"/>
        <w:rPr>
          <w:sz w:val="20"/>
          <w:szCs w:val="20"/>
        </w:rPr>
      </w:pPr>
      <w:r w:rsidDel="00000000" w:rsidR="00000000" w:rsidRPr="00000000">
        <w:rPr>
          <w:sz w:val="20"/>
          <w:szCs w:val="20"/>
          <w:rtl w:val="0"/>
        </w:rPr>
        <w:t xml:space="preserve">‘Come! Now is the time for speech and merriment!’</w:t>
      </w:r>
    </w:p>
  </w:footnote>
  <w:footnote w:id="14">
    <w:p w:rsidR="00000000" w:rsidDel="00000000" w:rsidP="00000000" w:rsidRDefault="00000000" w:rsidRPr="00000000" w14:paraId="0000014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Tolkien, </w:t>
      </w:r>
      <w:r w:rsidDel="00000000" w:rsidR="00000000" w:rsidRPr="00000000">
        <w:rPr>
          <w:i w:val="1"/>
          <w:iCs w:val="1"/>
          <w:sz w:val="20"/>
          <w:szCs w:val="20"/>
          <w:rtl w:val="0"/>
        </w:rPr>
        <w:t xml:space="preserve">The Silmarillion</w:t>
      </w:r>
      <w:r w:rsidDel="00000000" w:rsidR="00000000" w:rsidRPr="00000000">
        <w:rPr>
          <w:sz w:val="20"/>
          <w:szCs w:val="20"/>
          <w:rtl w:val="0"/>
        </w:rPr>
        <w:t xml:space="preserve">, p. 37.</w:t>
      </w:r>
    </w:p>
  </w:footnote>
  <w:footnote w:id="16">
    <w:p w:rsidR="00000000" w:rsidDel="00000000" w:rsidP="00000000" w:rsidRDefault="00000000" w:rsidRPr="00000000" w14:paraId="0000014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Stephen Little, ‘Art and Science in LACMA’s </w:t>
      </w:r>
      <w:r w:rsidDel="00000000" w:rsidR="00000000" w:rsidRPr="00000000">
        <w:rPr>
          <w:i w:val="1"/>
          <w:iCs w:val="1"/>
          <w:sz w:val="20"/>
          <w:szCs w:val="20"/>
          <w:rtl w:val="0"/>
        </w:rPr>
        <w:t xml:space="preserve">Cosmologies</w:t>
      </w:r>
      <w:r w:rsidDel="00000000" w:rsidR="00000000" w:rsidRPr="00000000">
        <w:rPr>
          <w:sz w:val="20"/>
          <w:szCs w:val="20"/>
          <w:rtl w:val="0"/>
        </w:rPr>
        <w:t xml:space="preserve"> Exhibition’, in </w:t>
      </w:r>
      <w:r w:rsidDel="00000000" w:rsidR="00000000" w:rsidRPr="00000000">
        <w:rPr>
          <w:i w:val="1"/>
          <w:iCs w:val="1"/>
          <w:sz w:val="20"/>
          <w:szCs w:val="20"/>
          <w:rtl w:val="0"/>
        </w:rPr>
        <w:t xml:space="preserve">Culture and Cosmos,</w:t>
      </w:r>
      <w:r w:rsidDel="00000000" w:rsidR="00000000" w:rsidRPr="00000000">
        <w:rPr>
          <w:sz w:val="20"/>
          <w:szCs w:val="20"/>
          <w:rtl w:val="0"/>
        </w:rPr>
        <w:t xml:space="preserve"> </w:t>
      </w:r>
    </w:p>
    <w:p w:rsidR="00000000" w:rsidDel="00000000" w:rsidP="00000000" w:rsidRDefault="00000000" w:rsidRPr="00000000" w14:paraId="00000144">
      <w:pPr>
        <w:ind w:firstLine="720"/>
        <w:rPr>
          <w:sz w:val="20"/>
          <w:szCs w:val="20"/>
        </w:rPr>
      </w:pPr>
      <w:r w:rsidDel="00000000" w:rsidR="00000000" w:rsidRPr="00000000">
        <w:rPr>
          <w:sz w:val="20"/>
          <w:szCs w:val="20"/>
          <w:rtl w:val="0"/>
        </w:rPr>
        <w:t xml:space="preserve">27.1 (2023), pp. 159–71, p. 159.</w:t>
      </w:r>
    </w:p>
  </w:footnote>
  <w:footnote w:id="17">
    <w:p w:rsidR="00000000" w:rsidDel="00000000" w:rsidP="00000000" w:rsidRDefault="00000000" w:rsidRPr="00000000" w14:paraId="0000014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Craig Adcock, </w:t>
      </w:r>
      <w:r w:rsidDel="00000000" w:rsidR="00000000" w:rsidRPr="00000000">
        <w:rPr>
          <w:i w:val="1"/>
          <w:iCs w:val="1"/>
          <w:sz w:val="20"/>
          <w:szCs w:val="20"/>
          <w:rtl w:val="0"/>
        </w:rPr>
        <w:t xml:space="preserve">James Turrell: The Art of Light and Space</w:t>
      </w:r>
      <w:r w:rsidDel="00000000" w:rsidR="00000000" w:rsidRPr="00000000">
        <w:rPr>
          <w:sz w:val="20"/>
          <w:szCs w:val="20"/>
          <w:rtl w:val="0"/>
        </w:rPr>
        <w:t xml:space="preserve"> </w:t>
      </w:r>
    </w:p>
    <w:p w:rsidR="00000000" w:rsidDel="00000000" w:rsidP="00000000" w:rsidRDefault="00000000" w:rsidRPr="00000000" w14:paraId="00000146">
      <w:pPr>
        <w:ind w:firstLine="720"/>
        <w:rPr>
          <w:sz w:val="20"/>
          <w:szCs w:val="20"/>
        </w:rPr>
      </w:pPr>
      <w:r w:rsidDel="00000000" w:rsidR="00000000" w:rsidRPr="00000000">
        <w:rPr>
          <w:sz w:val="20"/>
          <w:szCs w:val="20"/>
          <w:rtl w:val="0"/>
        </w:rPr>
        <w:t xml:space="preserve">(Berkeley: University of California Press, 1990), pp. xix, 115–20, 154–207.</w:t>
      </w:r>
    </w:p>
  </w:footnote>
  <w:footnote w:id="18">
    <w:p w:rsidR="00000000" w:rsidDel="00000000" w:rsidP="00000000" w:rsidRDefault="00000000" w:rsidRPr="00000000" w14:paraId="00000147">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Costantino Toth, ‘Pointer and Orange Moons’, in </w:t>
      </w:r>
      <w:r w:rsidDel="00000000" w:rsidR="00000000" w:rsidRPr="00000000">
        <w:rPr>
          <w:i w:val="1"/>
          <w:iCs w:val="1"/>
          <w:sz w:val="20"/>
          <w:szCs w:val="20"/>
          <w:rtl w:val="0"/>
        </w:rPr>
        <w:t xml:space="preserve">Epiphany,</w:t>
      </w:r>
      <w:r w:rsidDel="00000000" w:rsidR="00000000" w:rsidRPr="00000000">
        <w:rPr>
          <w:sz w:val="20"/>
          <w:szCs w:val="20"/>
          <w:rtl w:val="0"/>
        </w:rPr>
        <w:t xml:space="preserve"> 33.2</w:t>
      </w:r>
      <w:r w:rsidDel="00000000" w:rsidR="00000000" w:rsidRPr="00000000">
        <w:rPr>
          <w:sz w:val="20"/>
          <w:szCs w:val="20"/>
          <w:rtl w:val="0"/>
        </w:rPr>
        <w:t xml:space="preserve"> (Willard Cook: New York City, 2024), pp. 96–7: </w:t>
      </w:r>
    </w:p>
    <w:p w:rsidR="00000000" w:rsidDel="00000000" w:rsidP="00000000" w:rsidRDefault="00000000" w:rsidRPr="00000000" w14:paraId="00000148">
      <w:pPr>
        <w:ind w:left="720" w:firstLine="0"/>
        <w:rPr>
          <w:sz w:val="20"/>
          <w:szCs w:val="20"/>
        </w:rPr>
      </w:pPr>
      <w:r w:rsidDel="00000000" w:rsidR="00000000" w:rsidRPr="00000000">
        <w:rPr>
          <w:sz w:val="20"/>
          <w:szCs w:val="20"/>
          <w:rtl w:val="0"/>
        </w:rPr>
        <w:t xml:space="preserve">The most recent example of skywatching’s influence on my artistic practice is the above poem. Prior, in high school, when I strove to be a painter, I would usually precede each painting session with a walk, </w:t>
      </w:r>
    </w:p>
    <w:p w:rsidR="00000000" w:rsidDel="00000000" w:rsidP="00000000" w:rsidRDefault="00000000" w:rsidRPr="00000000" w14:paraId="00000149">
      <w:pPr>
        <w:ind w:firstLine="720"/>
        <w:rPr>
          <w:sz w:val="20"/>
          <w:szCs w:val="20"/>
        </w:rPr>
      </w:pPr>
      <w:r w:rsidDel="00000000" w:rsidR="00000000" w:rsidRPr="00000000">
        <w:rPr>
          <w:sz w:val="20"/>
          <w:szCs w:val="20"/>
          <w:rtl w:val="0"/>
        </w:rPr>
        <w:t xml:space="preserve">in my neighborhood, under the night sky.</w:t>
      </w:r>
    </w:p>
  </w:footnote>
  <w:footnote w:id="15">
    <w:p w:rsidR="00000000" w:rsidDel="00000000" w:rsidP="00000000" w:rsidRDefault="00000000" w:rsidRPr="00000000" w14:paraId="0000014A">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selection of examples from the 20th–21st century will suffice: </w:t>
      </w:r>
      <w:r w:rsidDel="00000000" w:rsidR="00000000" w:rsidRPr="00000000">
        <w:rPr>
          <w:i w:val="1"/>
          <w:iCs w:val="1"/>
          <w:sz w:val="20"/>
          <w:szCs w:val="20"/>
          <w:rtl w:val="0"/>
        </w:rPr>
        <w:t xml:space="preserve">Orion</w:t>
      </w:r>
      <w:r w:rsidDel="00000000" w:rsidR="00000000" w:rsidRPr="00000000">
        <w:rPr>
          <w:sz w:val="20"/>
          <w:szCs w:val="20"/>
          <w:rtl w:val="0"/>
        </w:rPr>
        <w:t xml:space="preserve"> by Alma Woodsey Thomas (1973), </w:t>
      </w:r>
    </w:p>
    <w:p w:rsidR="00000000" w:rsidDel="00000000" w:rsidP="00000000" w:rsidRDefault="00000000" w:rsidRPr="00000000" w14:paraId="0000014B">
      <w:pPr>
        <w:ind w:left="0" w:firstLine="720"/>
        <w:rPr>
          <w:sz w:val="20"/>
          <w:szCs w:val="20"/>
        </w:rPr>
      </w:pPr>
      <w:r w:rsidDel="00000000" w:rsidR="00000000" w:rsidRPr="00000000">
        <w:rPr>
          <w:i w:val="1"/>
          <w:iCs w:val="1"/>
          <w:sz w:val="20"/>
          <w:szCs w:val="20"/>
          <w:rtl w:val="0"/>
        </w:rPr>
        <w:t xml:space="preserve">Orion in December</w:t>
      </w:r>
      <w:r w:rsidDel="00000000" w:rsidR="00000000" w:rsidRPr="00000000">
        <w:rPr>
          <w:sz w:val="20"/>
          <w:szCs w:val="20"/>
          <w:rtl w:val="0"/>
        </w:rPr>
        <w:t xml:space="preserve"> by Charles E. Burchfield (1959), ‘Orion’ by Adrienne Rich (1969),</w:t>
      </w:r>
    </w:p>
    <w:p w:rsidR="00000000" w:rsidDel="00000000" w:rsidP="00000000" w:rsidRDefault="00000000" w:rsidRPr="00000000" w14:paraId="0000014C">
      <w:pPr>
        <w:ind w:left="0" w:firstLine="720"/>
        <w:rPr>
          <w:sz w:val="20"/>
          <w:szCs w:val="20"/>
        </w:rPr>
      </w:pPr>
      <w:r w:rsidDel="00000000" w:rsidR="00000000" w:rsidRPr="00000000">
        <w:rPr>
          <w:sz w:val="20"/>
          <w:szCs w:val="20"/>
          <w:rtl w:val="0"/>
        </w:rPr>
        <w:t xml:space="preserve">and one of the final scenes in Ridley Scott’s </w:t>
      </w:r>
      <w:r w:rsidDel="00000000" w:rsidR="00000000" w:rsidRPr="00000000">
        <w:rPr>
          <w:i w:val="1"/>
          <w:iCs w:val="1"/>
          <w:sz w:val="20"/>
          <w:szCs w:val="20"/>
          <w:rtl w:val="0"/>
        </w:rPr>
        <w:t xml:space="preserve">Blade Runner</w:t>
      </w:r>
      <w:r w:rsidDel="00000000" w:rsidR="00000000" w:rsidRPr="00000000">
        <w:rPr>
          <w:sz w:val="20"/>
          <w:szCs w:val="20"/>
          <w:rtl w:val="0"/>
        </w:rPr>
        <w:t xml:space="preserve"> film (1982).</w:t>
      </w:r>
    </w:p>
  </w:footnote>
  <w:footnote w:id="35">
    <w:p w:rsidR="00000000" w:rsidDel="00000000" w:rsidP="00000000" w:rsidRDefault="00000000" w:rsidRPr="00000000" w14:paraId="0000014D">
      <w:pPr>
        <w:ind w:left="0" w:firstLine="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Bukowski, ‘Love Is a Dog From Hell’, in </w:t>
      </w:r>
      <w:r w:rsidDel="00000000" w:rsidR="00000000" w:rsidRPr="00000000">
        <w:rPr>
          <w:i w:val="1"/>
          <w:iCs w:val="1"/>
          <w:sz w:val="20"/>
          <w:szCs w:val="20"/>
          <w:rtl w:val="0"/>
        </w:rPr>
        <w:t xml:space="preserve">Love Is a Dog From Hell</w:t>
      </w:r>
      <w:r w:rsidDel="00000000" w:rsidR="00000000" w:rsidRPr="00000000">
        <w:rPr>
          <w:sz w:val="20"/>
          <w:szCs w:val="20"/>
          <w:rtl w:val="0"/>
        </w:rPr>
        <w:t xml:space="preserve"> (Santa Rosa: Black Sparrow Press, </w:t>
      </w:r>
    </w:p>
    <w:p w:rsidR="00000000" w:rsidDel="00000000" w:rsidP="00000000" w:rsidRDefault="00000000" w:rsidRPr="00000000" w14:paraId="0000014E">
      <w:pPr>
        <w:ind w:left="0" w:firstLine="720"/>
        <w:rPr>
          <w:sz w:val="20"/>
          <w:szCs w:val="20"/>
        </w:rPr>
      </w:pPr>
      <w:r w:rsidDel="00000000" w:rsidR="00000000" w:rsidRPr="00000000">
        <w:rPr>
          <w:sz w:val="20"/>
          <w:szCs w:val="20"/>
          <w:rtl w:val="0"/>
        </w:rPr>
        <w:t xml:space="preserve">1977), pp. 229 –30.</w:t>
      </w:r>
    </w:p>
  </w:footnote>
  <w:footnote w:id="27">
    <w:p w:rsidR="00000000" w:rsidDel="00000000" w:rsidP="00000000" w:rsidRDefault="00000000" w:rsidRPr="00000000" w14:paraId="0000014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rtl w:val="0"/>
        </w:rPr>
        <w:t xml:space="preserve">Bernadette Brady, ‘The Horoscope as an Imago Mundi: Rethinking the Nature of the Astrologer’s Map’, </w:t>
      </w:r>
    </w:p>
    <w:p w:rsidR="00000000" w:rsidDel="00000000" w:rsidP="00000000" w:rsidRDefault="00000000" w:rsidRPr="00000000" w14:paraId="00000150">
      <w:pPr>
        <w:ind w:left="720" w:firstLine="0"/>
        <w:rPr>
          <w:sz w:val="20"/>
          <w:szCs w:val="20"/>
        </w:rPr>
      </w:pPr>
      <w:r w:rsidDel="00000000" w:rsidR="00000000" w:rsidRPr="00000000">
        <w:rPr>
          <w:sz w:val="20"/>
          <w:szCs w:val="20"/>
          <w:rtl w:val="0"/>
        </w:rPr>
        <w:t xml:space="preserve">in</w:t>
      </w:r>
      <w:r w:rsidDel="00000000" w:rsidR="00000000" w:rsidRPr="00000000">
        <w:rPr>
          <w:i w:val="1"/>
          <w:iCs w:val="1"/>
          <w:sz w:val="20"/>
          <w:szCs w:val="20"/>
          <w:rtl w:val="0"/>
        </w:rPr>
        <w:t xml:space="preserve"> Astrologies: Plurality and Diversity in the History of Astrology</w:t>
      </w:r>
      <w:r w:rsidDel="00000000" w:rsidR="00000000" w:rsidRPr="00000000">
        <w:rPr>
          <w:sz w:val="20"/>
          <w:szCs w:val="20"/>
          <w:rtl w:val="0"/>
        </w:rPr>
        <w:t xml:space="preserve">, ed. by Nicholas Campion and Liz Greene (Ceredigion: Sophia Centre Press, 2011) pp. 47–61, pp. 53–5.</w:t>
      </w:r>
    </w:p>
  </w:footnote>
  <w:footnote w:id="37">
    <w:p w:rsidR="00000000" w:rsidDel="00000000" w:rsidP="00000000" w:rsidRDefault="00000000" w:rsidRPr="00000000" w14:paraId="0000015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J.R.R. Tolkien,</w:t>
      </w:r>
      <w:r w:rsidDel="00000000" w:rsidR="00000000" w:rsidRPr="00000000">
        <w:rPr>
          <w:i w:val="1"/>
          <w:iCs w:val="1"/>
          <w:sz w:val="20"/>
          <w:szCs w:val="20"/>
          <w:rtl w:val="0"/>
        </w:rPr>
        <w:t xml:space="preserve"> Tolkien On Fairy-Stories</w:t>
      </w:r>
      <w:r w:rsidDel="00000000" w:rsidR="00000000" w:rsidRPr="00000000">
        <w:rPr>
          <w:sz w:val="20"/>
          <w:szCs w:val="20"/>
          <w:rtl w:val="0"/>
        </w:rPr>
        <w:t xml:space="preserve">, ed. by Verilyn Flieger and Douglas A. Anderson</w:t>
      </w:r>
    </w:p>
    <w:p w:rsidR="00000000" w:rsidDel="00000000" w:rsidP="00000000" w:rsidRDefault="00000000" w:rsidRPr="00000000" w14:paraId="00000152">
      <w:pPr>
        <w:ind w:left="720" w:firstLine="0"/>
        <w:rPr>
          <w:sz w:val="20"/>
          <w:szCs w:val="20"/>
        </w:rPr>
      </w:pPr>
      <w:r w:rsidDel="00000000" w:rsidR="00000000" w:rsidRPr="00000000">
        <w:rPr>
          <w:sz w:val="20"/>
          <w:szCs w:val="20"/>
          <w:rtl w:val="0"/>
        </w:rPr>
        <w:t xml:space="preserve">(London: Harper Collins, 2008), p. 35:  ‘...the primal desire at the heart of Faërie [is] the realization, independent of the conceiving mind, of imagined wonder.’ </w:t>
      </w:r>
    </w:p>
  </w:footnote>
  <w:footnote w:id="24">
    <w:p w:rsidR="00000000" w:rsidDel="00000000" w:rsidP="00000000" w:rsidRDefault="00000000" w:rsidRPr="00000000" w14:paraId="0000015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Toth, 14 October 2025, 6:10–6:20 AM.</w:t>
      </w:r>
    </w:p>
  </w:footnote>
  <w:footnote w:id="25">
    <w:p w:rsidR="00000000" w:rsidDel="00000000" w:rsidP="00000000" w:rsidRDefault="00000000" w:rsidRPr="00000000" w14:paraId="0000015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29 October 2025, 5:30–5:40 AM.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bCs w:val="1"/>
      <w:sz w:val="20"/>
      <w:szCs w:val="20"/>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Georgia" w:hAnsi="Georgia"/>
      <w:color w:val="000000"/>
      <w:w w:val="100"/>
      <w:position w:val="-1"/>
      <w:sz w:val="21"/>
      <w:szCs w:val="21"/>
      <w:effect w:val="none"/>
      <w:vertAlign w:val="baseline"/>
      <w:cs w:val="0"/>
      <w:em w:val="none"/>
      <w:lang w:bidi="ar-SA" w:eastAsia="zh-CN" w:val="en-GB"/>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zh-CN" w:val="und"/>
    </w:rPr>
  </w:style>
  <w:style w:type="character" w:styleId="CommentTextChar">
    <w:name w:val="Comment Text Char"/>
    <w:next w:val="CommentTextChar"/>
    <w:autoRedefine w:val="0"/>
    <w:hidden w:val="0"/>
    <w:qFormat w:val="0"/>
    <w:rPr>
      <w:w w:val="100"/>
      <w:position w:val="-1"/>
      <w:effect w:val="none"/>
      <w:vertAlign w:val="baseline"/>
      <w:cs w:val="0"/>
      <w:em w:val="none"/>
      <w:lang w:eastAsia="zh-CN"/>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zh-CN" w:val="und"/>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zh-CN"/>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zh-CN"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zh-CN"/>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rebuchet MS" w:eastAsia="Calibri" w:hAnsi="Trebuchet MS"/>
      <w:w w:val="100"/>
      <w:position w:val="-1"/>
      <w:sz w:val="22"/>
      <w:szCs w:val="20"/>
      <w:effect w:val="none"/>
      <w:vertAlign w:val="baseline"/>
      <w:cs w:val="0"/>
      <w:em w:val="none"/>
      <w:lang w:bidi="ar-SA" w:eastAsia="zh-CN" w:val="und"/>
    </w:rPr>
  </w:style>
  <w:style w:type="character" w:styleId="HeaderChar">
    <w:name w:val="Header Char"/>
    <w:next w:val="HeaderChar"/>
    <w:autoRedefine w:val="0"/>
    <w:hidden w:val="0"/>
    <w:qFormat w:val="0"/>
    <w:rPr>
      <w:rFonts w:ascii="Trebuchet MS" w:cs="Tahoma" w:eastAsia="Calibri" w:hAnsi="Trebuchet MS"/>
      <w:w w:val="100"/>
      <w:position w:val="-1"/>
      <w:sz w:val="22"/>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und"/>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zh-CN"/>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www.youtube.com/watch?v=-QDRYGM-VUw" TargetMode="External"/><Relationship Id="rId12" Type="http://schemas.openxmlformats.org/officeDocument/2006/relationships/footer" Target="footer1.xml"/><Relationship Id="rId9" Type="http://schemas.openxmlformats.org/officeDocument/2006/relationships/hyperlink" Target="https://vangoghletters.org/vg/letters/let663/letter.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QDRYGM-VU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ZBAtNEZr8WITqnYZOOdgJc+FkA==">CgMxLjAaFAoBMBIPCg0IB0IJEgdHdW5nc3VoMg9pZC5heDE1NTN4Mnd1MnMyD2lkLnVwbHJpbW5tZ2c1ZDIPaWQuMmIwNXllZmprNmdzMg9pZC4zanUxYjdnYXVqYzQyD2lkLmM5NGQzeG9mNm84ZzIPaWQueTBhY3V2ZnJ1Zm90OAByITF6Z0tuZllja2lScXhDdVVTMDVrZHI1MUNTNWdtTHgyXw==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2015-07-03T18:04:00Z</dcterms:created>
  <dc:creator>sa044</dc:creator>
</cp:coreProperties>
</file>