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ascii="Times New Roman" w:hAnsi="Times New Roman" w:cs="Times New Roman"/>
          <w:sz w:val="24"/>
          <w:szCs w:val="24"/>
        </w:rPr>
      </w:pPr>
      <w:bookmarkStart w:id="0" w:name="OLE_LINK1"/>
    </w:p>
    <w:p>
      <w:pPr>
        <w:spacing w:line="480" w:lineRule="auto"/>
        <w:jc w:val="center"/>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bookmarkEnd w:id="0"/>
    <w:p>
      <w:pPr>
        <w:widowControl/>
        <w:spacing w:after="160" w:line="480" w:lineRule="auto"/>
        <w:jc w:val="center"/>
        <w:rPr>
          <w:rFonts w:ascii="Times New Roman" w:hAnsi="Times New Roman" w:eastAsia="Calibri" w:cs="Times New Roman"/>
          <w:b/>
          <w:bCs/>
          <w:sz w:val="24"/>
          <w:szCs w:val="24"/>
          <w:lang w:val="en-IN" w:eastAsia="en-US"/>
          <w14:ligatures w14:val="standardContextual"/>
        </w:rPr>
      </w:pPr>
      <w:r>
        <w:rPr>
          <w:rFonts w:ascii="Times New Roman" w:hAnsi="Times New Roman" w:eastAsia="Calibri" w:cs="Times New Roman"/>
          <w:b/>
          <w:bCs/>
          <w:sz w:val="32"/>
          <w:szCs w:val="32"/>
          <w:lang w:val="en-IN" w:eastAsia="en-US"/>
          <w14:ligatures w14:val="standardContextual"/>
        </w:rPr>
        <w:t xml:space="preserve">To </w:t>
      </w:r>
      <w:r>
        <w:rPr>
          <w:rFonts w:hint="eastAsia" w:ascii="Times New Roman" w:hAnsi="Times New Roman" w:eastAsia="宋体" w:cs="Times New Roman"/>
          <w:b/>
          <w:bCs/>
          <w:sz w:val="32"/>
          <w:szCs w:val="32"/>
          <w:lang w:val="en-US" w:eastAsia="zh-CN"/>
          <w14:ligatures w14:val="standardContextual"/>
        </w:rPr>
        <w:t>C</w:t>
      </w:r>
      <w:r>
        <w:rPr>
          <w:rFonts w:ascii="Times New Roman" w:hAnsi="Times New Roman" w:eastAsia="Calibri" w:cs="Times New Roman"/>
          <w:b/>
          <w:bCs/>
          <w:sz w:val="32"/>
          <w:szCs w:val="32"/>
          <w:lang w:val="en-IN" w:eastAsia="en-US"/>
          <w14:ligatures w14:val="standardContextual"/>
        </w:rPr>
        <w:t xml:space="preserve">ontribute to Existing Literature on Student Engagement by Interpreting Students’ Own Engagement in the Context of a English Language Teaching Class in a University in </w:t>
      </w:r>
      <w:r>
        <w:rPr>
          <w:rFonts w:hint="eastAsia" w:ascii="Times New Roman" w:hAnsi="Times New Roman" w:eastAsia="宋体" w:cs="Times New Roman"/>
          <w:b/>
          <w:bCs/>
          <w:sz w:val="32"/>
          <w:szCs w:val="32"/>
          <w:lang w:val="en-US" w:eastAsia="zh-CN"/>
          <w14:ligatures w14:val="standardContextual"/>
        </w:rPr>
        <w:t xml:space="preserve">Mainland </w:t>
      </w:r>
      <w:r>
        <w:rPr>
          <w:rFonts w:ascii="Times New Roman" w:hAnsi="Times New Roman" w:eastAsia="Calibri" w:cs="Times New Roman"/>
          <w:b/>
          <w:bCs/>
          <w:sz w:val="32"/>
          <w:szCs w:val="32"/>
          <w:lang w:val="en-IN" w:eastAsia="en-US"/>
          <w14:ligatures w14:val="standardContextual"/>
        </w:rPr>
        <w:t>China</w:t>
      </w:r>
    </w:p>
    <w:p>
      <w:pPr>
        <w:widowControl/>
        <w:spacing w:after="160" w:line="480" w:lineRule="auto"/>
        <w:jc w:val="left"/>
        <w:rPr>
          <w:rFonts w:ascii="Times New Roman" w:hAnsi="Times New Roman" w:eastAsia="Calibri" w:cs="Times New Roman"/>
          <w:b w:val="0"/>
          <w:bCs w:val="0"/>
          <w:sz w:val="24"/>
          <w:szCs w:val="24"/>
          <w:lang w:val="en-IN" w:eastAsia="en-US"/>
          <w14:ligatures w14:val="standardContextual"/>
        </w:rPr>
      </w:pPr>
    </w:p>
    <w:p>
      <w:pPr>
        <w:widowControl/>
        <w:spacing w:after="160" w:line="480" w:lineRule="auto"/>
        <w:jc w:val="left"/>
        <w:rPr>
          <w:rFonts w:ascii="Times New Roman" w:hAnsi="Times New Roman" w:eastAsia="Calibri" w:cs="Times New Roman"/>
          <w:b w:val="0"/>
          <w:bCs w:val="0"/>
          <w:sz w:val="24"/>
          <w:szCs w:val="24"/>
          <w:lang w:val="en-IN" w:eastAsia="en-US"/>
          <w14:ligatures w14:val="standardContextual"/>
        </w:rPr>
      </w:pPr>
    </w:p>
    <w:p>
      <w:pPr>
        <w:widowControl w:val="0"/>
        <w:tabs>
          <w:tab w:val="left" w:pos="2515"/>
          <w:tab w:val="center" w:pos="4680"/>
          <w:tab w:val="center" w:pos="4740"/>
          <w:tab w:val="right" w:pos="9360"/>
        </w:tabs>
        <w:spacing w:after="0" w:line="480" w:lineRule="auto"/>
        <w:ind w:firstLine="2409" w:firstLineChars="1000"/>
        <w:jc w:val="left"/>
        <w:rPr>
          <w:rFonts w:ascii="Times New Roman" w:hAnsi="Times New Roman" w:eastAsia="宋体" w:cs="Times New Roman"/>
          <w:b/>
          <w:bCs/>
          <w:color w:val="000000"/>
          <w:sz w:val="24"/>
          <w:szCs w:val="22"/>
          <w:lang w:val="en-US" w:eastAsia="zh-CN"/>
          <w14:ligatures w14:val="none"/>
        </w:rPr>
      </w:pPr>
      <w:r>
        <w:rPr>
          <w:rFonts w:hint="eastAsia" w:ascii="Times New Roman" w:hAnsi="Times New Roman" w:eastAsia="宋体" w:cs="Times New Roman"/>
          <w:b/>
          <w:bCs/>
          <w:color w:val="000000"/>
          <w:sz w:val="24"/>
          <w:szCs w:val="22"/>
          <w:lang w:val="en-US" w:eastAsia="zh-CN"/>
          <w14:ligatures w14:val="none"/>
        </w:rPr>
        <w:t>EdD Student: Yunpeng CHEN (2216630)</w:t>
      </w:r>
    </w:p>
    <w:p>
      <w:pPr>
        <w:widowControl w:val="0"/>
        <w:tabs>
          <w:tab w:val="center" w:pos="4680"/>
          <w:tab w:val="right" w:pos="9360"/>
        </w:tabs>
        <w:spacing w:after="0" w:line="480" w:lineRule="auto"/>
        <w:ind w:firstLine="2161" w:firstLineChars="900"/>
        <w:jc w:val="left"/>
        <w:rPr>
          <w:rFonts w:hint="default" w:ascii="Times New Roman" w:hAnsi="Times New Roman" w:eastAsia="宋体" w:cs="Times New Roman"/>
          <w:b/>
          <w:bCs/>
          <w:color w:val="000000"/>
          <w:sz w:val="24"/>
          <w:szCs w:val="22"/>
          <w:lang w:val="en-US" w:eastAsia="zh-CN"/>
          <w14:ligatures w14:val="none"/>
        </w:rPr>
      </w:pPr>
      <w:r>
        <w:rPr>
          <w:rFonts w:hint="eastAsia" w:ascii="Times New Roman" w:hAnsi="Times New Roman" w:eastAsia="Calibri" w:cs="Times New Roman"/>
          <w:b/>
          <w:bCs/>
          <w:color w:val="000000"/>
          <w:sz w:val="24"/>
          <w:szCs w:val="22"/>
          <w:lang w:val="en-US" w:eastAsia="en-US"/>
          <w14:ligatures w14:val="none"/>
        </w:rPr>
        <w:t>Institute of Education and Humanities</w:t>
      </w:r>
      <w:r>
        <w:rPr>
          <w:rFonts w:hint="eastAsia" w:ascii="Times New Roman" w:hAnsi="Times New Roman" w:eastAsia="宋体" w:cs="Times New Roman"/>
          <w:b/>
          <w:bCs/>
          <w:color w:val="000000"/>
          <w:sz w:val="24"/>
          <w:szCs w:val="22"/>
          <w:lang w:val="en-US" w:eastAsia="zh-CN"/>
          <w14:ligatures w14:val="none"/>
        </w:rPr>
        <w:t>, UWTSD</w:t>
      </w:r>
    </w:p>
    <w:p>
      <w:pPr>
        <w:widowControl w:val="0"/>
        <w:tabs>
          <w:tab w:val="center" w:pos="4680"/>
          <w:tab w:val="right" w:pos="9360"/>
        </w:tabs>
        <w:spacing w:after="0" w:line="480" w:lineRule="auto"/>
        <w:ind w:firstLine="1201" w:firstLineChars="500"/>
        <w:jc w:val="left"/>
        <w:rPr>
          <w:rFonts w:hint="eastAsia" w:ascii="Times New Roman" w:hAnsi="Times New Roman" w:eastAsia="宋体" w:cs="Times New Roman"/>
          <w:b/>
          <w:bCs/>
          <w:color w:val="000000"/>
          <w:sz w:val="24"/>
          <w:szCs w:val="22"/>
          <w:lang w:val="en-US" w:eastAsia="zh-CN"/>
          <w14:ligatures w14:val="none"/>
        </w:rPr>
      </w:pPr>
      <w:r>
        <w:rPr>
          <w:rFonts w:hint="eastAsia" w:ascii="Times New Roman" w:hAnsi="Times New Roman" w:eastAsia="Calibri" w:cs="Times New Roman"/>
          <w:b/>
          <w:bCs/>
          <w:color w:val="000000"/>
          <w:sz w:val="24"/>
          <w:szCs w:val="22"/>
          <w:lang w:val="en-US" w:eastAsia="en-US"/>
          <w14:ligatures w14:val="none"/>
        </w:rPr>
        <w:t xml:space="preserve">Course: </w:t>
      </w:r>
      <w:r>
        <w:rPr>
          <w:rFonts w:hint="eastAsia" w:ascii="Times New Roman" w:hAnsi="Times New Roman" w:eastAsia="宋体" w:cs="Times New Roman"/>
          <w:b/>
          <w:bCs/>
          <w:color w:val="000000"/>
          <w:sz w:val="24"/>
          <w:szCs w:val="22"/>
          <w:lang w:val="en-US" w:eastAsia="zh-CN"/>
          <w14:ligatures w14:val="none"/>
        </w:rPr>
        <w:t xml:space="preserve">ECDE 7013-Exploring Contemporary Issues in Education 2: </w:t>
      </w:r>
    </w:p>
    <w:p>
      <w:pPr>
        <w:widowControl w:val="0"/>
        <w:tabs>
          <w:tab w:val="center" w:pos="4680"/>
          <w:tab w:val="right" w:pos="9360"/>
        </w:tabs>
        <w:spacing w:after="0" w:line="480" w:lineRule="auto"/>
        <w:ind w:firstLine="964" w:firstLineChars="400"/>
        <w:jc w:val="left"/>
        <w:rPr>
          <w:rFonts w:hint="eastAsia" w:ascii="Times New Roman" w:hAnsi="Times New Roman" w:eastAsia="宋体" w:cs="Times New Roman"/>
          <w:b/>
          <w:bCs/>
          <w:color w:val="000000"/>
          <w:sz w:val="24"/>
          <w:szCs w:val="22"/>
          <w:lang w:val="en-US" w:eastAsia="zh-CN"/>
          <w14:ligatures w14:val="none"/>
        </w:rPr>
      </w:pPr>
      <w:r>
        <w:rPr>
          <w:rFonts w:hint="eastAsia" w:ascii="Times New Roman" w:hAnsi="Times New Roman" w:eastAsia="宋体" w:cs="Times New Roman"/>
          <w:b/>
          <w:bCs/>
          <w:color w:val="000000"/>
          <w:sz w:val="24"/>
          <w:szCs w:val="22"/>
          <w:lang w:val="en-US" w:eastAsia="zh-CN"/>
          <w14:ligatures w14:val="none"/>
        </w:rPr>
        <w:t>Applying critical skills, contributing to knowledge: leading improvement</w:t>
      </w:r>
    </w:p>
    <w:p>
      <w:pPr>
        <w:widowControl w:val="0"/>
        <w:tabs>
          <w:tab w:val="center" w:pos="4680"/>
          <w:tab w:val="right" w:pos="9360"/>
        </w:tabs>
        <w:spacing w:after="0" w:line="480" w:lineRule="auto"/>
        <w:ind w:firstLine="3373" w:firstLineChars="1400"/>
        <w:jc w:val="left"/>
        <w:rPr>
          <w:rFonts w:hint="default" w:ascii="Times New Roman" w:hAnsi="Times New Roman" w:eastAsia="宋体" w:cs="Times New Roman"/>
          <w:b/>
          <w:bCs/>
          <w:color w:val="000000"/>
          <w:sz w:val="24"/>
          <w:szCs w:val="22"/>
          <w:lang w:val="en-US" w:eastAsia="zh-CN"/>
          <w14:ligatures w14:val="none"/>
        </w:rPr>
      </w:pPr>
      <w:r>
        <w:rPr>
          <w:rFonts w:hint="eastAsia" w:ascii="Times New Roman" w:hAnsi="Times New Roman" w:eastAsia="宋体" w:cs="Times New Roman"/>
          <w:b/>
          <w:bCs/>
          <w:color w:val="000000"/>
          <w:sz w:val="24"/>
          <w:szCs w:val="22"/>
          <w:lang w:val="en-US" w:eastAsia="zh-CN"/>
          <w14:ligatures w14:val="none"/>
        </w:rPr>
        <w:t>Lecturer: Dr. Iain Jones</w:t>
      </w:r>
    </w:p>
    <w:p>
      <w:pPr>
        <w:widowControl w:val="0"/>
        <w:tabs>
          <w:tab w:val="center" w:pos="4680"/>
          <w:tab w:val="right" w:pos="9360"/>
        </w:tabs>
        <w:spacing w:after="0" w:line="480" w:lineRule="auto"/>
        <w:ind w:firstLine="2168" w:firstLineChars="900"/>
        <w:jc w:val="left"/>
        <w:rPr>
          <w:rFonts w:ascii="Times New Roman" w:hAnsi="Times New Roman" w:eastAsia="Times New Roman" w:cs="Times New Roman"/>
          <w:b/>
          <w:bCs/>
          <w:color w:val="000000"/>
          <w:sz w:val="24"/>
          <w:szCs w:val="24"/>
          <w:lang w:val="en-US" w:eastAsia="zh-CN"/>
          <w14:ligatures w14:val="none"/>
        </w:rPr>
      </w:pPr>
      <w:r>
        <w:rPr>
          <w:rFonts w:hint="eastAsia" w:ascii="Times New Roman" w:hAnsi="Times New Roman" w:eastAsia="宋体" w:cs="Times New Roman"/>
          <w:b/>
          <w:bCs/>
          <w:color w:val="000000"/>
          <w:sz w:val="24"/>
          <w:szCs w:val="24"/>
          <w:lang w:val="en-US" w:eastAsia="zh-CN"/>
          <w14:ligatures w14:val="none"/>
        </w:rPr>
        <w:t>19</w:t>
      </w:r>
      <w:r>
        <w:rPr>
          <w:rFonts w:hint="eastAsia" w:ascii="Times New Roman" w:hAnsi="Times New Roman" w:eastAsia="Times New Roman" w:cs="Times New Roman"/>
          <w:b/>
          <w:bCs/>
          <w:color w:val="000000"/>
          <w:sz w:val="24"/>
          <w:szCs w:val="24"/>
          <w:lang w:val="en-US" w:eastAsia="zh-CN"/>
          <w14:ligatures w14:val="none"/>
        </w:rPr>
        <w:t xml:space="preserve">th </w:t>
      </w:r>
      <w:r>
        <w:rPr>
          <w:rFonts w:hint="eastAsia" w:ascii="Times New Roman" w:hAnsi="Times New Roman" w:eastAsia="宋体" w:cs="Times New Roman"/>
          <w:b/>
          <w:bCs/>
          <w:color w:val="000000"/>
          <w:sz w:val="24"/>
          <w:szCs w:val="24"/>
          <w:lang w:val="en-US" w:eastAsia="zh-CN"/>
          <w14:ligatures w14:val="none"/>
        </w:rPr>
        <w:t>February</w:t>
      </w:r>
      <w:r>
        <w:rPr>
          <w:rFonts w:hint="eastAsia" w:ascii="Times New Roman" w:hAnsi="Times New Roman" w:eastAsia="Times New Roman" w:cs="Times New Roman"/>
          <w:b/>
          <w:bCs/>
          <w:color w:val="000000"/>
          <w:sz w:val="24"/>
          <w:szCs w:val="24"/>
          <w:lang w:val="en-US" w:eastAsia="zh-CN"/>
          <w14:ligatures w14:val="none"/>
        </w:rPr>
        <w:t>, 2024 (Assessment</w:t>
      </w:r>
      <w:r>
        <w:rPr>
          <w:rFonts w:hint="eastAsia" w:ascii="Times New Roman" w:hAnsi="Times New Roman" w:eastAsia="宋体" w:cs="Times New Roman"/>
          <w:b/>
          <w:bCs/>
          <w:color w:val="000000"/>
          <w:sz w:val="24"/>
          <w:szCs w:val="24"/>
          <w:lang w:val="en-US" w:eastAsia="zh-CN"/>
          <w14:ligatures w14:val="none"/>
        </w:rPr>
        <w:t xml:space="preserve"> C</w:t>
      </w:r>
      <w:r>
        <w:rPr>
          <w:rFonts w:hint="eastAsia" w:ascii="Times New Roman" w:hAnsi="Times New Roman" w:eastAsia="Times New Roman" w:cs="Times New Roman"/>
          <w:b/>
          <w:bCs/>
          <w:color w:val="000000"/>
          <w:sz w:val="24"/>
          <w:szCs w:val="24"/>
          <w:lang w:val="en-US" w:eastAsia="zh-CN"/>
          <w14:ligatures w14:val="none"/>
        </w:rPr>
        <w:t xml:space="preserve">omponent </w:t>
      </w:r>
      <w:r>
        <w:rPr>
          <w:rFonts w:hint="eastAsia" w:ascii="Times New Roman" w:hAnsi="Times New Roman" w:eastAsia="宋体" w:cs="Times New Roman"/>
          <w:b/>
          <w:bCs/>
          <w:color w:val="000000"/>
          <w:sz w:val="24"/>
          <w:szCs w:val="24"/>
          <w:lang w:val="en-US" w:eastAsia="zh-CN"/>
          <w14:ligatures w14:val="none"/>
        </w:rPr>
        <w:t>2</w:t>
      </w:r>
      <w:r>
        <w:rPr>
          <w:rFonts w:hint="eastAsia" w:ascii="Times New Roman" w:hAnsi="Times New Roman" w:eastAsia="Times New Roman" w:cs="Times New Roman"/>
          <w:b/>
          <w:bCs/>
          <w:color w:val="000000"/>
          <w:sz w:val="24"/>
          <w:szCs w:val="24"/>
          <w:lang w:val="en-US" w:eastAsia="zh-CN"/>
          <w14:ligatures w14:val="none"/>
        </w:rPr>
        <w:t>)</w:t>
      </w:r>
    </w:p>
    <w:p>
      <w:pPr>
        <w:widowControl w:val="0"/>
        <w:tabs>
          <w:tab w:val="center" w:pos="4680"/>
          <w:tab w:val="right" w:pos="9360"/>
        </w:tabs>
        <w:spacing w:after="0" w:line="480" w:lineRule="auto"/>
        <w:ind w:firstLine="3602" w:firstLineChars="1500"/>
        <w:jc w:val="left"/>
        <w:rPr>
          <w:rFonts w:hint="default" w:ascii="Times New Roman" w:hAnsi="Times New Roman" w:eastAsia="Times New Roman" w:cs="Times New Roman"/>
          <w:b/>
          <w:bCs/>
          <w:color w:val="000000"/>
          <w:sz w:val="24"/>
          <w:szCs w:val="24"/>
          <w:lang w:val="en-US" w:eastAsia="zh-CN"/>
          <w14:ligatures w14:val="none"/>
        </w:rPr>
      </w:pPr>
      <w:r>
        <w:rPr>
          <w:rFonts w:hint="eastAsia" w:ascii="Times New Roman" w:hAnsi="Times New Roman" w:eastAsia="Times New Roman" w:cs="Times New Roman"/>
          <w:b/>
          <w:bCs/>
          <w:color w:val="000000"/>
          <w:sz w:val="24"/>
          <w:szCs w:val="24"/>
          <w:lang w:val="en-US" w:eastAsia="zh-CN"/>
          <w14:ligatures w14:val="none"/>
        </w:rPr>
        <w:t>Word count:12,130</w:t>
      </w:r>
      <w:bookmarkStart w:id="139" w:name="_GoBack"/>
      <w:bookmarkEnd w:id="139"/>
    </w:p>
    <w:p>
      <w:pPr>
        <w:widowControl w:val="0"/>
        <w:tabs>
          <w:tab w:val="center" w:pos="4680"/>
          <w:tab w:val="right" w:pos="9360"/>
        </w:tabs>
        <w:spacing w:after="0" w:line="480" w:lineRule="auto"/>
        <w:ind w:firstLine="3600" w:firstLineChars="1500"/>
        <w:jc w:val="left"/>
        <w:rPr>
          <w:rFonts w:hint="default" w:ascii="Times New Roman" w:hAnsi="Times New Roman" w:eastAsia="Times New Roman" w:cs="Times New Roman"/>
          <w:b w:val="0"/>
          <w:bCs w:val="0"/>
          <w:color w:val="000000"/>
          <w:sz w:val="24"/>
          <w:szCs w:val="24"/>
          <w:lang w:val="en-US" w:eastAsia="zh-CN"/>
          <w14:ligatures w14:val="none"/>
        </w:rPr>
      </w:pPr>
    </w:p>
    <w:sdt>
      <w:sdtPr>
        <w:rPr>
          <w:rFonts w:ascii="Times New Roman" w:hAnsi="Times New Roman" w:cs="Times New Roman"/>
          <w:sz w:val="32"/>
          <w:szCs w:val="32"/>
        </w:rPr>
        <w:id w:val="116104761"/>
        <w:docPartObj>
          <w:docPartGallery w:val="Table of Contents"/>
          <w:docPartUnique/>
        </w:docPartObj>
      </w:sdtPr>
      <w:sdtEndPr>
        <w:rPr>
          <w:rFonts w:ascii="Times New Roman" w:hAnsi="Times New Roman" w:cs="Times New Roman" w:eastAsiaTheme="minorHAnsi"/>
          <w:bCs/>
          <w:kern w:val="2"/>
          <w:sz w:val="24"/>
          <w:szCs w:val="24"/>
          <w14:ligatures w14:val="standardContextual"/>
        </w:rPr>
      </w:sdtEndPr>
      <w:sdtContent>
        <w:p>
          <w:pPr>
            <w:pStyle w:val="27"/>
            <w:spacing w:line="480" w:lineRule="auto"/>
            <w:jc w:val="center"/>
            <w:rPr>
              <w:rFonts w:ascii="Times New Roman" w:hAnsi="Times New Roman" w:cs="Times New Roman"/>
              <w:sz w:val="32"/>
              <w:szCs w:val="32"/>
            </w:rPr>
          </w:pPr>
          <w:r>
            <w:rPr>
              <w:rFonts w:ascii="Times New Roman" w:hAnsi="Times New Roman" w:cs="Times New Roman"/>
              <w:sz w:val="32"/>
              <w:szCs w:val="32"/>
            </w:rPr>
            <w:t>Table of Contents</w:t>
          </w:r>
        </w:p>
        <w:p>
          <w:pPr>
            <w:pStyle w:val="8"/>
            <w:tabs>
              <w:tab w:val="right" w:leader="dot" w:pos="9360"/>
            </w:tabs>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rPr>
              <w:rFonts w:ascii="Times New Roman" w:hAnsi="Times New Roman" w:cs="Times New Roman"/>
              <w:szCs w:val="24"/>
            </w:rPr>
            <w:fldChar w:fldCharType="begin"/>
          </w:r>
          <w:r>
            <w:rPr>
              <w:rFonts w:ascii="Times New Roman" w:hAnsi="Times New Roman" w:cs="Times New Roman"/>
              <w:szCs w:val="24"/>
            </w:rPr>
            <w:instrText xml:space="preserve"> HYPERLINK \l _Toc19782 </w:instrText>
          </w:r>
          <w:r>
            <w:rPr>
              <w:rFonts w:ascii="Times New Roman" w:hAnsi="Times New Roman" w:cs="Times New Roman"/>
              <w:szCs w:val="24"/>
            </w:rPr>
            <w:fldChar w:fldCharType="separate"/>
          </w:r>
          <w:r>
            <w:rPr>
              <w:rFonts w:ascii="Times New Roman" w:hAnsi="Times New Roman" w:cs="Times New Roman"/>
              <w:szCs w:val="30"/>
            </w:rPr>
            <w:t>CHAPTER 1: INTRODUCTION</w:t>
          </w:r>
          <w:r>
            <w:tab/>
          </w:r>
          <w:r>
            <w:fldChar w:fldCharType="begin"/>
          </w:r>
          <w:r>
            <w:instrText xml:space="preserve"> PAGEREF _Toc19782 \h </w:instrText>
          </w:r>
          <w:r>
            <w:fldChar w:fldCharType="separate"/>
          </w:r>
          <w:r>
            <w:t>4</w:t>
          </w:r>
          <w:r>
            <w:fldChar w:fldCharType="end"/>
          </w:r>
          <w:r>
            <w:rPr>
              <w:rFonts w:ascii="Times New Roman" w:hAnsi="Times New Roman" w:cs="Times New Roman"/>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_Toc19412 </w:instrText>
          </w:r>
          <w:r>
            <w:rPr>
              <w:rFonts w:ascii="Times New Roman" w:hAnsi="Times New Roman" w:cs="Times New Roman"/>
              <w:bCs/>
              <w:szCs w:val="24"/>
            </w:rPr>
            <w:fldChar w:fldCharType="separate"/>
          </w:r>
          <w:r>
            <w:rPr>
              <w:rFonts w:hint="eastAsia" w:eastAsia="宋体"/>
              <w:szCs w:val="24"/>
              <w:lang w:val="en-US" w:eastAsia="zh-CN"/>
            </w:rPr>
            <w:t>Research b</w:t>
          </w:r>
          <w:r>
            <w:rPr>
              <w:szCs w:val="24"/>
            </w:rPr>
            <w:t xml:space="preserve">ackground of the </w:t>
          </w:r>
          <w:r>
            <w:rPr>
              <w:rFonts w:hint="eastAsia" w:eastAsia="宋体"/>
              <w:szCs w:val="24"/>
              <w:lang w:val="en-US" w:eastAsia="zh-CN"/>
            </w:rPr>
            <w:t xml:space="preserve">pilot </w:t>
          </w:r>
          <w:r>
            <w:rPr>
              <w:szCs w:val="24"/>
            </w:rPr>
            <w:t>study</w:t>
          </w:r>
          <w:r>
            <w:tab/>
          </w:r>
          <w:r>
            <w:fldChar w:fldCharType="begin"/>
          </w:r>
          <w:r>
            <w:instrText xml:space="preserve"> PAGEREF _Toc19412 \h </w:instrText>
          </w:r>
          <w:r>
            <w:fldChar w:fldCharType="separate"/>
          </w:r>
          <w:r>
            <w:t>4</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_Toc1663 </w:instrText>
          </w:r>
          <w:r>
            <w:rPr>
              <w:rFonts w:ascii="Times New Roman" w:hAnsi="Times New Roman" w:cs="Times New Roman"/>
              <w:bCs/>
              <w:szCs w:val="24"/>
            </w:rPr>
            <w:fldChar w:fldCharType="separate"/>
          </w:r>
          <w:r>
            <w:rPr>
              <w:szCs w:val="24"/>
            </w:rPr>
            <w:t>Purpose of the research study</w:t>
          </w:r>
          <w:r>
            <w:tab/>
          </w:r>
          <w:r>
            <w:fldChar w:fldCharType="begin"/>
          </w:r>
          <w:r>
            <w:instrText xml:space="preserve"> PAGEREF _Toc1663 \h </w:instrText>
          </w:r>
          <w:r>
            <w:fldChar w:fldCharType="separate"/>
          </w:r>
          <w:r>
            <w:t>5</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_Toc1582 </w:instrText>
          </w:r>
          <w:r>
            <w:rPr>
              <w:rFonts w:ascii="Times New Roman" w:hAnsi="Times New Roman" w:cs="Times New Roman"/>
              <w:bCs/>
              <w:szCs w:val="24"/>
            </w:rPr>
            <w:fldChar w:fldCharType="separate"/>
          </w:r>
          <w:r>
            <w:rPr>
              <w:szCs w:val="24"/>
            </w:rPr>
            <w:t xml:space="preserve">The Scope of the </w:t>
          </w:r>
          <w:r>
            <w:rPr>
              <w:rFonts w:hint="eastAsia" w:eastAsia="宋体"/>
              <w:szCs w:val="24"/>
              <w:lang w:val="en-US" w:eastAsia="zh-CN"/>
            </w:rPr>
            <w:t>s</w:t>
          </w:r>
          <w:r>
            <w:rPr>
              <w:szCs w:val="24"/>
            </w:rPr>
            <w:t>tudy</w:t>
          </w:r>
          <w:r>
            <w:tab/>
          </w:r>
          <w:r>
            <w:fldChar w:fldCharType="begin"/>
          </w:r>
          <w:r>
            <w:instrText xml:space="preserve"> PAGEREF _Toc1582 \h </w:instrText>
          </w:r>
          <w:r>
            <w:fldChar w:fldCharType="separate"/>
          </w:r>
          <w:r>
            <w:t>5</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_Toc16381 </w:instrText>
          </w:r>
          <w:r>
            <w:rPr>
              <w:rFonts w:ascii="Times New Roman" w:hAnsi="Times New Roman" w:cs="Times New Roman"/>
              <w:bCs/>
              <w:szCs w:val="24"/>
            </w:rPr>
            <w:fldChar w:fldCharType="separate"/>
          </w:r>
          <w:r>
            <w:rPr>
              <w:rFonts w:hint="eastAsia" w:eastAsia="宋体"/>
              <w:szCs w:val="24"/>
              <w:lang w:val="en-US" w:eastAsia="zh-CN"/>
            </w:rPr>
            <w:t>Research a</w:t>
          </w:r>
          <w:r>
            <w:rPr>
              <w:szCs w:val="24"/>
            </w:rPr>
            <w:t xml:space="preserve">ims and </w:t>
          </w:r>
          <w:r>
            <w:rPr>
              <w:rFonts w:hint="eastAsia" w:eastAsia="宋体"/>
              <w:szCs w:val="24"/>
              <w:lang w:val="en-US" w:eastAsia="zh-CN"/>
            </w:rPr>
            <w:t>o</w:t>
          </w:r>
          <w:r>
            <w:rPr>
              <w:szCs w:val="24"/>
            </w:rPr>
            <w:t>bjectives</w:t>
          </w:r>
          <w:r>
            <w:tab/>
          </w:r>
          <w:r>
            <w:fldChar w:fldCharType="begin"/>
          </w:r>
          <w:r>
            <w:instrText xml:space="preserve"> PAGEREF _Toc16381 \h </w:instrText>
          </w:r>
          <w:r>
            <w:fldChar w:fldCharType="separate"/>
          </w:r>
          <w:r>
            <w:t>6</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_Toc20523 </w:instrText>
          </w:r>
          <w:r>
            <w:rPr>
              <w:rFonts w:ascii="Times New Roman" w:hAnsi="Times New Roman" w:cs="Times New Roman"/>
              <w:bCs/>
              <w:szCs w:val="24"/>
            </w:rPr>
            <w:fldChar w:fldCharType="separate"/>
          </w:r>
          <w:r>
            <w:rPr>
              <w:szCs w:val="24"/>
            </w:rPr>
            <w:t>Research Questions</w:t>
          </w:r>
          <w:r>
            <w:tab/>
          </w:r>
          <w:r>
            <w:fldChar w:fldCharType="begin"/>
          </w:r>
          <w:r>
            <w:instrText xml:space="preserve"> PAGEREF _Toc20523 \h </w:instrText>
          </w:r>
          <w:r>
            <w:fldChar w:fldCharType="separate"/>
          </w:r>
          <w:r>
            <w:t>6</w:t>
          </w:r>
          <w:r>
            <w:fldChar w:fldCharType="end"/>
          </w:r>
          <w:r>
            <w:rPr>
              <w:rFonts w:ascii="Times New Roman" w:hAnsi="Times New Roman" w:cs="Times New Roman"/>
              <w:bCs/>
              <w:szCs w:val="24"/>
            </w:rPr>
            <w:fldChar w:fldCharType="end"/>
          </w:r>
        </w:p>
        <w:p>
          <w:pPr>
            <w:pStyle w:val="8"/>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_Toc28224 </w:instrText>
          </w:r>
          <w:r>
            <w:rPr>
              <w:rFonts w:ascii="Times New Roman" w:hAnsi="Times New Roman" w:cs="Times New Roman"/>
              <w:bCs/>
              <w:szCs w:val="24"/>
            </w:rPr>
            <w:fldChar w:fldCharType="separate"/>
          </w:r>
          <w:r>
            <w:rPr>
              <w:rFonts w:hint="default" w:ascii="Times New Roman" w:hAnsi="Times New Roman" w:cs="Times New Roman"/>
              <w:szCs w:val="30"/>
            </w:rPr>
            <w:t>CHAPTER 2: LITERATURE REVIEW</w:t>
          </w:r>
          <w:r>
            <w:tab/>
          </w:r>
          <w:r>
            <w:fldChar w:fldCharType="begin"/>
          </w:r>
          <w:r>
            <w:instrText xml:space="preserve"> PAGEREF _Toc28224 \h </w:instrText>
          </w:r>
          <w:r>
            <w:fldChar w:fldCharType="separate"/>
          </w:r>
          <w:r>
            <w:t>8</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_Toc20949 </w:instrText>
          </w:r>
          <w:r>
            <w:rPr>
              <w:rFonts w:ascii="Times New Roman" w:hAnsi="Times New Roman" w:cs="Times New Roman"/>
              <w:bCs/>
              <w:szCs w:val="24"/>
            </w:rPr>
            <w:fldChar w:fldCharType="separate"/>
          </w:r>
          <w:r>
            <w:t>2.1 Introduction</w:t>
          </w:r>
          <w:r>
            <w:tab/>
          </w:r>
          <w:r>
            <w:fldChar w:fldCharType="begin"/>
          </w:r>
          <w:r>
            <w:instrText xml:space="preserve"> PAGEREF _Toc20949 \h </w:instrText>
          </w:r>
          <w:r>
            <w:fldChar w:fldCharType="separate"/>
          </w:r>
          <w:r>
            <w:t>8</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_Toc12426 </w:instrText>
          </w:r>
          <w:r>
            <w:rPr>
              <w:rFonts w:ascii="Times New Roman" w:hAnsi="Times New Roman" w:cs="Times New Roman"/>
              <w:bCs/>
              <w:szCs w:val="24"/>
            </w:rPr>
            <w:fldChar w:fldCharType="separate"/>
          </w:r>
          <w:r>
            <w:t>2.2 What is Student Engagement in Higher Education?</w:t>
          </w:r>
          <w:r>
            <w:tab/>
          </w:r>
          <w:r>
            <w:fldChar w:fldCharType="begin"/>
          </w:r>
          <w:r>
            <w:instrText xml:space="preserve"> PAGEREF _Toc12426 \h </w:instrText>
          </w:r>
          <w:r>
            <w:fldChar w:fldCharType="separate"/>
          </w:r>
          <w:r>
            <w:t>8</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_Toc28478 </w:instrText>
          </w:r>
          <w:r>
            <w:rPr>
              <w:rFonts w:ascii="Times New Roman" w:hAnsi="Times New Roman" w:cs="Times New Roman"/>
              <w:bCs/>
              <w:szCs w:val="24"/>
            </w:rPr>
            <w:fldChar w:fldCharType="separate"/>
          </w:r>
          <w:r>
            <w:t xml:space="preserve">2.3 </w:t>
          </w:r>
          <w:r>
            <w:rPr>
              <w:rFonts w:hint="eastAsia" w:eastAsia="宋体"/>
              <w:lang w:val="en-US" w:eastAsia="zh-CN"/>
            </w:rPr>
            <w:t xml:space="preserve">The </w:t>
          </w:r>
          <w:r>
            <w:t xml:space="preserve">Research on Student Engagement in </w:t>
          </w:r>
          <w:r>
            <w:rPr>
              <w:rFonts w:hint="eastAsia" w:eastAsia="宋体"/>
              <w:lang w:val="en-US" w:eastAsia="zh-CN"/>
            </w:rPr>
            <w:t xml:space="preserve">Mainalnad </w:t>
          </w:r>
          <w:r>
            <w:t>China</w:t>
          </w:r>
          <w:r>
            <w:tab/>
          </w:r>
          <w:r>
            <w:fldChar w:fldCharType="begin"/>
          </w:r>
          <w:r>
            <w:instrText xml:space="preserve"> PAGEREF _Toc28478 \h </w:instrText>
          </w:r>
          <w:r>
            <w:fldChar w:fldCharType="separate"/>
          </w:r>
          <w:r>
            <w:t>9</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_Toc32024 </w:instrText>
          </w:r>
          <w:r>
            <w:rPr>
              <w:rFonts w:ascii="Times New Roman" w:hAnsi="Times New Roman" w:cs="Times New Roman"/>
              <w:bCs/>
              <w:szCs w:val="24"/>
            </w:rPr>
            <w:fldChar w:fldCharType="separate"/>
          </w:r>
          <w:r>
            <w:rPr>
              <w:rFonts w:hint="eastAsia" w:eastAsia="宋体"/>
              <w:lang w:val="en-US" w:eastAsia="zh-CN"/>
            </w:rPr>
            <w:t>The f</w:t>
          </w:r>
          <w:r>
            <w:t xml:space="preserve">actors </w:t>
          </w:r>
          <w:r>
            <w:rPr>
              <w:rFonts w:hint="eastAsia" w:eastAsia="宋体"/>
              <w:lang w:val="en-US" w:eastAsia="zh-CN"/>
            </w:rPr>
            <w:t>i</w:t>
          </w:r>
          <w:r>
            <w:t xml:space="preserve">nfluencing </w:t>
          </w:r>
          <w:r>
            <w:rPr>
              <w:rFonts w:hint="eastAsia" w:eastAsia="宋体"/>
              <w:lang w:val="en-US" w:eastAsia="zh-CN"/>
            </w:rPr>
            <w:t>s</w:t>
          </w:r>
          <w:r>
            <w:t xml:space="preserve">tudent </w:t>
          </w:r>
          <w:r>
            <w:rPr>
              <w:rFonts w:hint="eastAsia" w:eastAsia="宋体"/>
              <w:lang w:val="en-US" w:eastAsia="zh-CN"/>
            </w:rPr>
            <w:t>e</w:t>
          </w:r>
          <w:r>
            <w:t>ngagement:</w:t>
          </w:r>
          <w:r>
            <w:tab/>
          </w:r>
          <w:r>
            <w:fldChar w:fldCharType="begin"/>
          </w:r>
          <w:r>
            <w:instrText xml:space="preserve"> PAGEREF _Toc32024 \h </w:instrText>
          </w:r>
          <w:r>
            <w:fldChar w:fldCharType="separate"/>
          </w:r>
          <w:r>
            <w:t>10</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_Toc9819 </w:instrText>
          </w:r>
          <w:r>
            <w:rPr>
              <w:rFonts w:ascii="Times New Roman" w:hAnsi="Times New Roman" w:cs="Times New Roman"/>
              <w:bCs/>
              <w:szCs w:val="24"/>
            </w:rPr>
            <w:fldChar w:fldCharType="separate"/>
          </w:r>
          <w:r>
            <w:t>The importance of understanding student engagement</w:t>
          </w:r>
          <w:r>
            <w:tab/>
          </w:r>
          <w:r>
            <w:fldChar w:fldCharType="begin"/>
          </w:r>
          <w:r>
            <w:instrText xml:space="preserve"> PAGEREF _Toc9819 \h </w:instrText>
          </w:r>
          <w:r>
            <w:fldChar w:fldCharType="separate"/>
          </w:r>
          <w:r>
            <w:t>10</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_Toc24587 </w:instrText>
          </w:r>
          <w:r>
            <w:rPr>
              <w:rFonts w:ascii="Times New Roman" w:hAnsi="Times New Roman" w:cs="Times New Roman"/>
              <w:bCs/>
              <w:szCs w:val="24"/>
            </w:rPr>
            <w:fldChar w:fldCharType="separate"/>
          </w:r>
          <w:r>
            <w:t>Research Question and Objectives</w:t>
          </w:r>
          <w:r>
            <w:tab/>
          </w:r>
          <w:r>
            <w:fldChar w:fldCharType="begin"/>
          </w:r>
          <w:r>
            <w:instrText xml:space="preserve"> PAGEREF _Toc24587 \h </w:instrText>
          </w:r>
          <w:r>
            <w:fldChar w:fldCharType="separate"/>
          </w:r>
          <w:r>
            <w:t>11</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_Toc18627 </w:instrText>
          </w:r>
          <w:r>
            <w:rPr>
              <w:rFonts w:ascii="Times New Roman" w:hAnsi="Times New Roman" w:cs="Times New Roman"/>
              <w:bCs/>
              <w:szCs w:val="24"/>
            </w:rPr>
            <w:fldChar w:fldCharType="separate"/>
          </w:r>
          <w:r>
            <w:t>Teacher</w:t>
          </w:r>
          <w:r>
            <w:rPr>
              <w:rFonts w:hint="eastAsia" w:eastAsia="宋体"/>
              <w:lang w:val="en-US" w:eastAsia="zh-CN"/>
            </w:rPr>
            <w:t>-</w:t>
          </w:r>
          <w:r>
            <w:t>student Interaction and student engagement</w:t>
          </w:r>
          <w:r>
            <w:tab/>
          </w:r>
          <w:r>
            <w:fldChar w:fldCharType="begin"/>
          </w:r>
          <w:r>
            <w:instrText xml:space="preserve"> PAGEREF _Toc18627 \h </w:instrText>
          </w:r>
          <w:r>
            <w:fldChar w:fldCharType="separate"/>
          </w:r>
          <w:r>
            <w:t>11</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_Toc27314 </w:instrText>
          </w:r>
          <w:r>
            <w:rPr>
              <w:rFonts w:ascii="Times New Roman" w:hAnsi="Times New Roman" w:cs="Times New Roman"/>
              <w:bCs/>
              <w:szCs w:val="24"/>
            </w:rPr>
            <w:fldChar w:fldCharType="separate"/>
          </w:r>
          <w:r>
            <w:t>Effective communication methods</w:t>
          </w:r>
          <w:r>
            <w:tab/>
          </w:r>
          <w:r>
            <w:fldChar w:fldCharType="begin"/>
          </w:r>
          <w:r>
            <w:instrText xml:space="preserve"> PAGEREF _Toc27314 \h </w:instrText>
          </w:r>
          <w:r>
            <w:fldChar w:fldCharType="separate"/>
          </w:r>
          <w:r>
            <w:t>12</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_Toc22611 </w:instrText>
          </w:r>
          <w:r>
            <w:rPr>
              <w:rFonts w:ascii="Times New Roman" w:hAnsi="Times New Roman" w:cs="Times New Roman"/>
              <w:bCs/>
              <w:szCs w:val="24"/>
            </w:rPr>
            <w:fldChar w:fldCharType="separate"/>
          </w:r>
          <w:r>
            <w:t>Teacher Enthusiasm and Student Motivation</w:t>
          </w:r>
          <w:r>
            <w:tab/>
          </w:r>
          <w:r>
            <w:fldChar w:fldCharType="begin"/>
          </w:r>
          <w:r>
            <w:instrText xml:space="preserve"> PAGEREF _Toc22611 \h </w:instrText>
          </w:r>
          <w:r>
            <w:fldChar w:fldCharType="separate"/>
          </w:r>
          <w:r>
            <w:t>12</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_Toc7702 </w:instrText>
          </w:r>
          <w:r>
            <w:rPr>
              <w:rFonts w:ascii="Times New Roman" w:hAnsi="Times New Roman" w:cs="Times New Roman"/>
              <w:bCs/>
              <w:szCs w:val="24"/>
            </w:rPr>
            <w:fldChar w:fldCharType="separate"/>
          </w:r>
          <w:r>
            <w:t>2.4 What are the students themselves thinking of Teaching Methods and Student Engagement</w:t>
          </w:r>
          <w:r>
            <w:tab/>
          </w:r>
          <w:r>
            <w:fldChar w:fldCharType="begin"/>
          </w:r>
          <w:r>
            <w:instrText xml:space="preserve"> PAGEREF _Toc7702 \h </w:instrText>
          </w:r>
          <w:r>
            <w:fldChar w:fldCharType="separate"/>
          </w:r>
          <w:r>
            <w:t>12</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_Toc17927 </w:instrText>
          </w:r>
          <w:r>
            <w:rPr>
              <w:rFonts w:ascii="Times New Roman" w:hAnsi="Times New Roman" w:cs="Times New Roman"/>
              <w:bCs/>
              <w:szCs w:val="24"/>
            </w:rPr>
            <w:fldChar w:fldCharType="separate"/>
          </w:r>
          <w:r>
            <w:t>2.</w:t>
          </w:r>
          <w:r>
            <w:rPr>
              <w:rFonts w:hint="eastAsia" w:eastAsia="宋体"/>
              <w:lang w:val="en-US" w:eastAsia="zh-CN"/>
            </w:rPr>
            <w:t>5</w:t>
          </w:r>
          <w:r>
            <w:t xml:space="preserve"> Conclusion</w:t>
          </w:r>
          <w:r>
            <w:tab/>
          </w:r>
          <w:r>
            <w:fldChar w:fldCharType="begin"/>
          </w:r>
          <w:r>
            <w:instrText xml:space="preserve"> PAGEREF _Toc17927 \h </w:instrText>
          </w:r>
          <w:r>
            <w:fldChar w:fldCharType="separate"/>
          </w:r>
          <w:r>
            <w:t>15</w:t>
          </w:r>
          <w:r>
            <w:fldChar w:fldCharType="end"/>
          </w:r>
          <w:r>
            <w:rPr>
              <w:rFonts w:ascii="Times New Roman" w:hAnsi="Times New Roman" w:cs="Times New Roman"/>
              <w:bCs/>
              <w:szCs w:val="24"/>
            </w:rPr>
            <w:fldChar w:fldCharType="end"/>
          </w:r>
        </w:p>
        <w:p>
          <w:pPr>
            <w:pStyle w:val="8"/>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_Toc13049 </w:instrText>
          </w:r>
          <w:r>
            <w:rPr>
              <w:rFonts w:ascii="Times New Roman" w:hAnsi="Times New Roman" w:cs="Times New Roman"/>
              <w:bCs/>
              <w:szCs w:val="24"/>
            </w:rPr>
            <w:fldChar w:fldCharType="separate"/>
          </w:r>
          <w:r>
            <w:rPr>
              <w:rFonts w:hint="default" w:ascii="Times New Roman" w:hAnsi="Times New Roman" w:cs="Times New Roman"/>
              <w:szCs w:val="30"/>
            </w:rPr>
            <w:t>CHAPTER 3</w:t>
          </w:r>
          <w:r>
            <w:rPr>
              <w:rFonts w:hint="default" w:ascii="Times New Roman" w:hAnsi="Times New Roman" w:eastAsia="MS Gothic" w:cs="Times New Roman"/>
              <w:szCs w:val="30"/>
            </w:rPr>
            <w:t>：</w:t>
          </w:r>
          <w:r>
            <w:rPr>
              <w:rFonts w:hint="default" w:ascii="Times New Roman" w:hAnsi="Times New Roman" w:cs="Times New Roman"/>
              <w:szCs w:val="30"/>
            </w:rPr>
            <w:t>RESEARCH DESIGN AND METHODOLOGY</w:t>
          </w:r>
          <w:r>
            <w:tab/>
          </w:r>
          <w:r>
            <w:fldChar w:fldCharType="begin"/>
          </w:r>
          <w:r>
            <w:instrText xml:space="preserve"> PAGEREF _Toc13049 \h </w:instrText>
          </w:r>
          <w:r>
            <w:fldChar w:fldCharType="separate"/>
          </w:r>
          <w:r>
            <w:t>18</w:t>
          </w:r>
          <w:r>
            <w:fldChar w:fldCharType="end"/>
          </w:r>
          <w:r>
            <w:rPr>
              <w:rFonts w:ascii="Times New Roman" w:hAnsi="Times New Roman" w:cs="Times New Roman"/>
              <w:bCs/>
              <w:szCs w:val="24"/>
            </w:rPr>
            <w:fldChar w:fldCharType="end"/>
          </w:r>
        </w:p>
        <w:p>
          <w:pPr>
            <w:pStyle w:val="8"/>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_Toc3207 </w:instrText>
          </w:r>
          <w:r>
            <w:rPr>
              <w:rFonts w:ascii="Times New Roman" w:hAnsi="Times New Roman" w:cs="Times New Roman"/>
              <w:bCs/>
              <w:szCs w:val="24"/>
            </w:rPr>
            <w:fldChar w:fldCharType="separate"/>
          </w:r>
          <w:r>
            <w:t>3.1 Introduction</w:t>
          </w:r>
          <w:r>
            <w:tab/>
          </w:r>
          <w:r>
            <w:fldChar w:fldCharType="begin"/>
          </w:r>
          <w:r>
            <w:instrText xml:space="preserve"> PAGEREF _Toc3207 \h </w:instrText>
          </w:r>
          <w:r>
            <w:fldChar w:fldCharType="separate"/>
          </w:r>
          <w:r>
            <w:t>18</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_Toc29343 </w:instrText>
          </w:r>
          <w:r>
            <w:rPr>
              <w:rFonts w:ascii="Times New Roman" w:hAnsi="Times New Roman" w:cs="Times New Roman"/>
              <w:bCs/>
              <w:szCs w:val="24"/>
            </w:rPr>
            <w:fldChar w:fldCharType="separate"/>
          </w:r>
          <w:r>
            <w:t>3.2 Research Design and Philosophical Underpinnings</w:t>
          </w:r>
          <w:r>
            <w:tab/>
          </w:r>
          <w:r>
            <w:fldChar w:fldCharType="begin"/>
          </w:r>
          <w:r>
            <w:instrText xml:space="preserve"> PAGEREF _Toc29343 \h </w:instrText>
          </w:r>
          <w:r>
            <w:fldChar w:fldCharType="separate"/>
          </w:r>
          <w:r>
            <w:t>19</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_Toc11325 </w:instrText>
          </w:r>
          <w:r>
            <w:rPr>
              <w:rFonts w:ascii="Times New Roman" w:hAnsi="Times New Roman" w:cs="Times New Roman"/>
              <w:bCs/>
              <w:szCs w:val="24"/>
            </w:rPr>
            <w:fldChar w:fldCharType="separate"/>
          </w:r>
          <w:r>
            <w:t>3.3 Participants</w:t>
          </w:r>
          <w:r>
            <w:tab/>
          </w:r>
          <w:r>
            <w:fldChar w:fldCharType="begin"/>
          </w:r>
          <w:r>
            <w:instrText xml:space="preserve"> PAGEREF _Toc11325 \h </w:instrText>
          </w:r>
          <w:r>
            <w:fldChar w:fldCharType="separate"/>
          </w:r>
          <w:r>
            <w:t>23</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_Toc12066 </w:instrText>
          </w:r>
          <w:r>
            <w:rPr>
              <w:rFonts w:ascii="Times New Roman" w:hAnsi="Times New Roman" w:cs="Times New Roman"/>
              <w:bCs/>
              <w:szCs w:val="24"/>
            </w:rPr>
            <w:fldChar w:fldCharType="separate"/>
          </w:r>
          <w:r>
            <w:t>3.4 Data Collection Methods</w:t>
          </w:r>
          <w:r>
            <w:tab/>
          </w:r>
          <w:r>
            <w:fldChar w:fldCharType="begin"/>
          </w:r>
          <w:r>
            <w:instrText xml:space="preserve"> PAGEREF _Toc12066 \h </w:instrText>
          </w:r>
          <w:r>
            <w:fldChar w:fldCharType="separate"/>
          </w:r>
          <w:r>
            <w:t>25</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_Toc31978 </w:instrText>
          </w:r>
          <w:r>
            <w:rPr>
              <w:rFonts w:ascii="Times New Roman" w:hAnsi="Times New Roman" w:cs="Times New Roman"/>
              <w:bCs/>
              <w:szCs w:val="24"/>
            </w:rPr>
            <w:fldChar w:fldCharType="separate"/>
          </w:r>
          <w:r>
            <w:t>3.5 Data Analysis</w:t>
          </w:r>
          <w:r>
            <w:tab/>
          </w:r>
          <w:r>
            <w:fldChar w:fldCharType="begin"/>
          </w:r>
          <w:r>
            <w:instrText xml:space="preserve"> PAGEREF _Toc31978 \h </w:instrText>
          </w:r>
          <w:r>
            <w:fldChar w:fldCharType="separate"/>
          </w:r>
          <w:r>
            <w:t>28</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_Toc7964 </w:instrText>
          </w:r>
          <w:r>
            <w:rPr>
              <w:rFonts w:ascii="Times New Roman" w:hAnsi="Times New Roman" w:cs="Times New Roman"/>
              <w:bCs/>
              <w:szCs w:val="24"/>
            </w:rPr>
            <w:fldChar w:fldCharType="separate"/>
          </w:r>
          <w:r>
            <w:t>3.6 NVIvo software analysis</w:t>
          </w:r>
          <w:r>
            <w:tab/>
          </w:r>
          <w:r>
            <w:fldChar w:fldCharType="begin"/>
          </w:r>
          <w:r>
            <w:instrText xml:space="preserve"> PAGEREF _Toc7964 \h </w:instrText>
          </w:r>
          <w:r>
            <w:fldChar w:fldCharType="separate"/>
          </w:r>
          <w:r>
            <w:t>28</w:t>
          </w:r>
          <w:r>
            <w:fldChar w:fldCharType="end"/>
          </w:r>
          <w:r>
            <w:rPr>
              <w:rFonts w:ascii="Times New Roman" w:hAnsi="Times New Roman" w:cs="Times New Roman"/>
              <w:bCs/>
              <w:szCs w:val="24"/>
            </w:rPr>
            <w:fldChar w:fldCharType="end"/>
          </w:r>
        </w:p>
        <w:p>
          <w:pPr>
            <w:pStyle w:val="8"/>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_Toc10517 </w:instrText>
          </w:r>
          <w:r>
            <w:rPr>
              <w:rFonts w:ascii="Times New Roman" w:hAnsi="Times New Roman" w:cs="Times New Roman"/>
              <w:bCs/>
              <w:szCs w:val="24"/>
            </w:rPr>
            <w:fldChar w:fldCharType="separate"/>
          </w:r>
          <w:r>
            <w:rPr>
              <w:rFonts w:hint="default" w:ascii="Times New Roman" w:hAnsi="Times New Roman" w:cs="Times New Roman"/>
              <w:szCs w:val="30"/>
            </w:rPr>
            <w:t>CHAPTER 4: FINDINGS</w:t>
          </w:r>
          <w:r>
            <w:rPr>
              <w:rFonts w:hint="default" w:ascii="Times New Roman" w:hAnsi="Times New Roman" w:cs="Times New Roman"/>
              <w:szCs w:val="30"/>
              <w:lang w:val="en-US" w:eastAsia="zh-CN"/>
            </w:rPr>
            <w:t xml:space="preserve"> AND</w:t>
          </w:r>
          <w:r>
            <w:rPr>
              <w:rFonts w:hint="default" w:ascii="Times New Roman" w:hAnsi="Times New Roman" w:cs="Times New Roman"/>
              <w:szCs w:val="30"/>
            </w:rPr>
            <w:t xml:space="preserve"> DATA ANALYSIS</w:t>
          </w:r>
          <w:r>
            <w:tab/>
          </w:r>
          <w:r>
            <w:fldChar w:fldCharType="begin"/>
          </w:r>
          <w:r>
            <w:instrText xml:space="preserve"> PAGEREF _Toc10517 \h </w:instrText>
          </w:r>
          <w:r>
            <w:fldChar w:fldCharType="separate"/>
          </w:r>
          <w:r>
            <w:t>30</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_Toc16364 </w:instrText>
          </w:r>
          <w:r>
            <w:rPr>
              <w:rFonts w:ascii="Times New Roman" w:hAnsi="Times New Roman" w:cs="Times New Roman"/>
              <w:bCs/>
              <w:szCs w:val="24"/>
            </w:rPr>
            <w:fldChar w:fldCharType="separate"/>
          </w:r>
          <w:r>
            <w:t>4.1 Overall Engagement Trends:</w:t>
          </w:r>
          <w:r>
            <w:tab/>
          </w:r>
          <w:r>
            <w:fldChar w:fldCharType="begin"/>
          </w:r>
          <w:r>
            <w:instrText xml:space="preserve"> PAGEREF _Toc16364 \h </w:instrText>
          </w:r>
          <w:r>
            <w:fldChar w:fldCharType="separate"/>
          </w:r>
          <w:r>
            <w:t>30</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_Toc2510 </w:instrText>
          </w:r>
          <w:r>
            <w:rPr>
              <w:rFonts w:ascii="Times New Roman" w:hAnsi="Times New Roman" w:cs="Times New Roman"/>
              <w:bCs/>
              <w:szCs w:val="24"/>
            </w:rPr>
            <w:fldChar w:fldCharType="separate"/>
          </w:r>
          <w:r>
            <w:t>4.2 Influence of Class Size:</w:t>
          </w:r>
          <w:r>
            <w:tab/>
          </w:r>
          <w:r>
            <w:fldChar w:fldCharType="begin"/>
          </w:r>
          <w:r>
            <w:instrText xml:space="preserve"> PAGEREF _Toc2510 \h </w:instrText>
          </w:r>
          <w:r>
            <w:fldChar w:fldCharType="separate"/>
          </w:r>
          <w:r>
            <w:t>33</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_Toc15078 </w:instrText>
          </w:r>
          <w:r>
            <w:rPr>
              <w:rFonts w:ascii="Times New Roman" w:hAnsi="Times New Roman" w:cs="Times New Roman"/>
              <w:bCs/>
              <w:szCs w:val="24"/>
            </w:rPr>
            <w:fldChar w:fldCharType="separate"/>
          </w:r>
          <w:r>
            <w:t>4.3 Impact of Extracurricular Activities:</w:t>
          </w:r>
          <w:r>
            <w:tab/>
          </w:r>
          <w:r>
            <w:fldChar w:fldCharType="begin"/>
          </w:r>
          <w:r>
            <w:instrText xml:space="preserve"> PAGEREF _Toc15078 \h </w:instrText>
          </w:r>
          <w:r>
            <w:fldChar w:fldCharType="separate"/>
          </w:r>
          <w:r>
            <w:t>34</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_Toc3473 </w:instrText>
          </w:r>
          <w:r>
            <w:rPr>
              <w:rFonts w:ascii="Times New Roman" w:hAnsi="Times New Roman" w:cs="Times New Roman"/>
              <w:bCs/>
              <w:szCs w:val="24"/>
            </w:rPr>
            <w:fldChar w:fldCharType="separate"/>
          </w:r>
          <w:r>
            <w:t>4.4 Qualitative Findings:</w:t>
          </w:r>
          <w:r>
            <w:tab/>
          </w:r>
          <w:r>
            <w:fldChar w:fldCharType="begin"/>
          </w:r>
          <w:r>
            <w:instrText xml:space="preserve"> PAGEREF _Toc3473 \h </w:instrText>
          </w:r>
          <w:r>
            <w:fldChar w:fldCharType="separate"/>
          </w:r>
          <w:r>
            <w:t>35</w:t>
          </w:r>
          <w:r>
            <w:fldChar w:fldCharType="end"/>
          </w:r>
          <w:r>
            <w:rPr>
              <w:rFonts w:ascii="Times New Roman" w:hAnsi="Times New Roman" w:cs="Times New Roman"/>
              <w:bCs/>
              <w:szCs w:val="24"/>
            </w:rPr>
            <w:fldChar w:fldCharType="end"/>
          </w:r>
        </w:p>
        <w:p>
          <w:pPr>
            <w:pStyle w:val="5"/>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_Toc27942 </w:instrText>
          </w:r>
          <w:r>
            <w:rPr>
              <w:rFonts w:ascii="Times New Roman" w:hAnsi="Times New Roman" w:cs="Times New Roman"/>
              <w:bCs/>
              <w:szCs w:val="24"/>
            </w:rPr>
            <w:fldChar w:fldCharType="separate"/>
          </w:r>
          <w:r>
            <w:rPr>
              <w:rFonts w:hint="default" w:ascii="Times New Roman" w:hAnsi="Times New Roman" w:cs="Times New Roman"/>
              <w:bCs w:val="0"/>
              <w:szCs w:val="28"/>
            </w:rPr>
            <w:t>4.4.1 Cultural and Linguistic Influences:</w:t>
          </w:r>
          <w:r>
            <w:tab/>
          </w:r>
          <w:r>
            <w:fldChar w:fldCharType="begin"/>
          </w:r>
          <w:r>
            <w:instrText xml:space="preserve"> PAGEREF _Toc27942 \h </w:instrText>
          </w:r>
          <w:r>
            <w:fldChar w:fldCharType="separate"/>
          </w:r>
          <w:r>
            <w:t>36</w:t>
          </w:r>
          <w:r>
            <w:fldChar w:fldCharType="end"/>
          </w:r>
          <w:r>
            <w:rPr>
              <w:rFonts w:ascii="Times New Roman" w:hAnsi="Times New Roman" w:cs="Times New Roman"/>
              <w:bCs/>
              <w:szCs w:val="24"/>
            </w:rPr>
            <w:fldChar w:fldCharType="end"/>
          </w:r>
        </w:p>
        <w:p>
          <w:pPr>
            <w:pStyle w:val="5"/>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_Toc27479 </w:instrText>
          </w:r>
          <w:r>
            <w:rPr>
              <w:rFonts w:ascii="Times New Roman" w:hAnsi="Times New Roman" w:cs="Times New Roman"/>
              <w:bCs/>
              <w:szCs w:val="24"/>
            </w:rPr>
            <w:fldChar w:fldCharType="separate"/>
          </w:r>
          <w:r>
            <w:rPr>
              <w:rFonts w:hint="default" w:ascii="Times New Roman" w:hAnsi="Times New Roman" w:cs="Times New Roman"/>
              <w:szCs w:val="28"/>
            </w:rPr>
            <w:t>4.4.2 Disciplinary Complexity:</w:t>
          </w:r>
          <w:r>
            <w:tab/>
          </w:r>
          <w:r>
            <w:fldChar w:fldCharType="begin"/>
          </w:r>
          <w:r>
            <w:instrText xml:space="preserve"> PAGEREF _Toc27479 \h </w:instrText>
          </w:r>
          <w:r>
            <w:fldChar w:fldCharType="separate"/>
          </w:r>
          <w:r>
            <w:t>38</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_Toc28387 </w:instrText>
          </w:r>
          <w:r>
            <w:rPr>
              <w:rFonts w:ascii="Times New Roman" w:hAnsi="Times New Roman" w:cs="Times New Roman"/>
              <w:bCs/>
              <w:szCs w:val="24"/>
            </w:rPr>
            <w:fldChar w:fldCharType="separate"/>
          </w:r>
          <w:r>
            <w:t>4.4.3 Class Dynamics:</w:t>
          </w:r>
          <w:r>
            <w:tab/>
          </w:r>
          <w:r>
            <w:fldChar w:fldCharType="begin"/>
          </w:r>
          <w:r>
            <w:instrText xml:space="preserve"> PAGEREF _Toc28387 \h </w:instrText>
          </w:r>
          <w:r>
            <w:fldChar w:fldCharType="separate"/>
          </w:r>
          <w:r>
            <w:t>39</w:t>
          </w:r>
          <w:r>
            <w:fldChar w:fldCharType="end"/>
          </w:r>
          <w:r>
            <w:rPr>
              <w:rFonts w:ascii="Times New Roman" w:hAnsi="Times New Roman" w:cs="Times New Roman"/>
              <w:bCs/>
              <w:szCs w:val="24"/>
            </w:rPr>
            <w:fldChar w:fldCharType="end"/>
          </w:r>
        </w:p>
        <w:p>
          <w:pPr>
            <w:pStyle w:val="5"/>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_Toc11029 </w:instrText>
          </w:r>
          <w:r>
            <w:rPr>
              <w:rFonts w:ascii="Times New Roman" w:hAnsi="Times New Roman" w:cs="Times New Roman"/>
              <w:bCs/>
              <w:szCs w:val="24"/>
            </w:rPr>
            <w:fldChar w:fldCharType="separate"/>
          </w:r>
          <w:r>
            <w:rPr>
              <w:rFonts w:hint="default" w:ascii="Times New Roman" w:hAnsi="Times New Roman" w:cs="Times New Roman"/>
              <w:szCs w:val="28"/>
            </w:rPr>
            <w:t>4.4.</w:t>
          </w:r>
          <w:r>
            <w:rPr>
              <w:rFonts w:hint="default" w:ascii="Times New Roman" w:hAnsi="Times New Roman" w:cs="Times New Roman"/>
              <w:szCs w:val="28"/>
              <w:lang w:val="en-US" w:eastAsia="zh-CN"/>
            </w:rPr>
            <w:t xml:space="preserve">3 </w:t>
          </w:r>
          <w:r>
            <w:rPr>
              <w:rFonts w:hint="default" w:ascii="Times New Roman" w:hAnsi="Times New Roman" w:cs="Times New Roman"/>
              <w:szCs w:val="28"/>
            </w:rPr>
            <w:t>Individual Narratives:</w:t>
          </w:r>
          <w:r>
            <w:tab/>
          </w:r>
          <w:r>
            <w:fldChar w:fldCharType="begin"/>
          </w:r>
          <w:r>
            <w:instrText xml:space="preserve"> PAGEREF _Toc11029 \h </w:instrText>
          </w:r>
          <w:r>
            <w:fldChar w:fldCharType="separate"/>
          </w:r>
          <w:r>
            <w:t>41</w:t>
          </w:r>
          <w:r>
            <w:fldChar w:fldCharType="end"/>
          </w:r>
          <w:r>
            <w:rPr>
              <w:rFonts w:ascii="Times New Roman" w:hAnsi="Times New Roman" w:cs="Times New Roman"/>
              <w:bCs/>
              <w:szCs w:val="24"/>
            </w:rPr>
            <w:fldChar w:fldCharType="end"/>
          </w:r>
        </w:p>
        <w:p>
          <w:pPr>
            <w:pStyle w:val="8"/>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_Toc7794 </w:instrText>
          </w:r>
          <w:r>
            <w:rPr>
              <w:rFonts w:ascii="Times New Roman" w:hAnsi="Times New Roman" w:cs="Times New Roman"/>
              <w:bCs/>
              <w:szCs w:val="24"/>
            </w:rPr>
            <w:fldChar w:fldCharType="separate"/>
          </w:r>
          <w:r>
            <w:rPr>
              <w:rFonts w:hint="default" w:ascii="Times New Roman" w:hAnsi="Times New Roman" w:cs="Times New Roman"/>
            </w:rPr>
            <w:t>CHAPTER 5:  DISCUSSION</w:t>
          </w:r>
          <w:r>
            <w:tab/>
          </w:r>
          <w:r>
            <w:fldChar w:fldCharType="begin"/>
          </w:r>
          <w:r>
            <w:instrText xml:space="preserve"> PAGEREF _Toc7794 \h </w:instrText>
          </w:r>
          <w:r>
            <w:fldChar w:fldCharType="separate"/>
          </w:r>
          <w:r>
            <w:t>43</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_Toc5936 </w:instrText>
          </w:r>
          <w:r>
            <w:rPr>
              <w:rFonts w:ascii="Times New Roman" w:hAnsi="Times New Roman" w:cs="Times New Roman"/>
              <w:bCs/>
              <w:szCs w:val="24"/>
            </w:rPr>
            <w:fldChar w:fldCharType="separate"/>
          </w:r>
          <w:r>
            <w:t>5.1 Sampling Bias:</w:t>
          </w:r>
          <w:r>
            <w:tab/>
          </w:r>
          <w:r>
            <w:fldChar w:fldCharType="begin"/>
          </w:r>
          <w:r>
            <w:instrText xml:space="preserve"> PAGEREF _Toc5936 \h </w:instrText>
          </w:r>
          <w:r>
            <w:fldChar w:fldCharType="separate"/>
          </w:r>
          <w:r>
            <w:t>43</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_Toc5218 </w:instrText>
          </w:r>
          <w:r>
            <w:rPr>
              <w:rFonts w:ascii="Times New Roman" w:hAnsi="Times New Roman" w:cs="Times New Roman"/>
              <w:bCs/>
              <w:szCs w:val="24"/>
            </w:rPr>
            <w:fldChar w:fldCharType="separate"/>
          </w:r>
          <w:r>
            <w:t>5.2 Self-Reporting:</w:t>
          </w:r>
          <w:r>
            <w:tab/>
          </w:r>
          <w:r>
            <w:fldChar w:fldCharType="begin"/>
          </w:r>
          <w:r>
            <w:instrText xml:space="preserve"> PAGEREF _Toc5218 \h </w:instrText>
          </w:r>
          <w:r>
            <w:fldChar w:fldCharType="separate"/>
          </w:r>
          <w:r>
            <w:t>44</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_Toc1725 </w:instrText>
          </w:r>
          <w:r>
            <w:rPr>
              <w:rFonts w:ascii="Times New Roman" w:hAnsi="Times New Roman" w:cs="Times New Roman"/>
              <w:bCs/>
              <w:szCs w:val="24"/>
            </w:rPr>
            <w:fldChar w:fldCharType="separate"/>
          </w:r>
          <w:r>
            <w:t>5.3 Cross-Cultural Interpretation:</w:t>
          </w:r>
          <w:r>
            <w:tab/>
          </w:r>
          <w:r>
            <w:fldChar w:fldCharType="begin"/>
          </w:r>
          <w:r>
            <w:instrText xml:space="preserve"> PAGEREF _Toc1725 \h </w:instrText>
          </w:r>
          <w:r>
            <w:fldChar w:fldCharType="separate"/>
          </w:r>
          <w:r>
            <w:t>44</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_Toc20810 </w:instrText>
          </w:r>
          <w:r>
            <w:rPr>
              <w:rFonts w:ascii="Times New Roman" w:hAnsi="Times New Roman" w:cs="Times New Roman"/>
              <w:bCs/>
              <w:szCs w:val="24"/>
            </w:rPr>
            <w:fldChar w:fldCharType="separate"/>
          </w:r>
          <w:r>
            <w:t>5.4 Time Frame and Long-Term Impact:</w:t>
          </w:r>
          <w:r>
            <w:tab/>
          </w:r>
          <w:r>
            <w:fldChar w:fldCharType="begin"/>
          </w:r>
          <w:r>
            <w:instrText xml:space="preserve"> PAGEREF _Toc20810 \h </w:instrText>
          </w:r>
          <w:r>
            <w:fldChar w:fldCharType="separate"/>
          </w:r>
          <w:r>
            <w:t>45</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_Toc11900 </w:instrText>
          </w:r>
          <w:r>
            <w:rPr>
              <w:rFonts w:ascii="Times New Roman" w:hAnsi="Times New Roman" w:cs="Times New Roman"/>
              <w:bCs/>
              <w:szCs w:val="24"/>
            </w:rPr>
            <w:fldChar w:fldCharType="separate"/>
          </w:r>
          <w:r>
            <w:t>5.5 Limited Generalizability:</w:t>
          </w:r>
          <w:r>
            <w:tab/>
          </w:r>
          <w:r>
            <w:fldChar w:fldCharType="begin"/>
          </w:r>
          <w:r>
            <w:instrText xml:space="preserve"> PAGEREF _Toc11900 \h </w:instrText>
          </w:r>
          <w:r>
            <w:fldChar w:fldCharType="separate"/>
          </w:r>
          <w:r>
            <w:t>45</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_Toc15174 </w:instrText>
          </w:r>
          <w:r>
            <w:rPr>
              <w:rFonts w:ascii="Times New Roman" w:hAnsi="Times New Roman" w:cs="Times New Roman"/>
              <w:bCs/>
              <w:szCs w:val="24"/>
            </w:rPr>
            <w:fldChar w:fldCharType="separate"/>
          </w:r>
          <w:r>
            <w:t>5.6. Qualitative Interpretation:</w:t>
          </w:r>
          <w:r>
            <w:tab/>
          </w:r>
          <w:r>
            <w:fldChar w:fldCharType="begin"/>
          </w:r>
          <w:r>
            <w:instrText xml:space="preserve"> PAGEREF _Toc15174 \h </w:instrText>
          </w:r>
          <w:r>
            <w:fldChar w:fldCharType="separate"/>
          </w:r>
          <w:r>
            <w:t>45</w:t>
          </w:r>
          <w:r>
            <w:fldChar w:fldCharType="end"/>
          </w:r>
          <w:r>
            <w:rPr>
              <w:rFonts w:ascii="Times New Roman" w:hAnsi="Times New Roman" w:cs="Times New Roman"/>
              <w:bCs/>
              <w:szCs w:val="24"/>
            </w:rPr>
            <w:fldChar w:fldCharType="end"/>
          </w:r>
        </w:p>
        <w:p>
          <w:pPr>
            <w:pStyle w:val="9"/>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_Toc22258 </w:instrText>
          </w:r>
          <w:r>
            <w:rPr>
              <w:rFonts w:ascii="Times New Roman" w:hAnsi="Times New Roman" w:cs="Times New Roman"/>
              <w:bCs/>
              <w:szCs w:val="24"/>
            </w:rPr>
            <w:fldChar w:fldCharType="separate"/>
          </w:r>
          <w:r>
            <w:t>5.7 Comprehensive Understanding:</w:t>
          </w:r>
          <w:r>
            <w:tab/>
          </w:r>
          <w:r>
            <w:fldChar w:fldCharType="begin"/>
          </w:r>
          <w:r>
            <w:instrText xml:space="preserve"> PAGEREF _Toc22258 \h </w:instrText>
          </w:r>
          <w:r>
            <w:fldChar w:fldCharType="separate"/>
          </w:r>
          <w:r>
            <w:t>46</w:t>
          </w:r>
          <w:r>
            <w:fldChar w:fldCharType="end"/>
          </w:r>
          <w:r>
            <w:rPr>
              <w:rFonts w:ascii="Times New Roman" w:hAnsi="Times New Roman" w:cs="Times New Roman"/>
              <w:bCs/>
              <w:szCs w:val="24"/>
            </w:rPr>
            <w:fldChar w:fldCharType="end"/>
          </w:r>
        </w:p>
        <w:p>
          <w:pPr>
            <w:pStyle w:val="5"/>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_Toc28736 </w:instrText>
          </w:r>
          <w:r>
            <w:rPr>
              <w:rFonts w:ascii="Times New Roman" w:hAnsi="Times New Roman" w:cs="Times New Roman"/>
              <w:bCs/>
              <w:szCs w:val="24"/>
            </w:rPr>
            <w:fldChar w:fldCharType="separate"/>
          </w:r>
          <w:r>
            <w:rPr>
              <w:rFonts w:hint="default" w:ascii="Times New Roman" w:hAnsi="Times New Roman" w:cs="Times New Roman"/>
              <w:szCs w:val="28"/>
            </w:rPr>
            <w:t>5.7.1 Cross-Cultural Perspective:</w:t>
          </w:r>
          <w:r>
            <w:tab/>
          </w:r>
          <w:r>
            <w:fldChar w:fldCharType="begin"/>
          </w:r>
          <w:r>
            <w:instrText xml:space="preserve"> PAGEREF _Toc28736 \h </w:instrText>
          </w:r>
          <w:r>
            <w:fldChar w:fldCharType="separate"/>
          </w:r>
          <w:r>
            <w:t>47</w:t>
          </w:r>
          <w:r>
            <w:fldChar w:fldCharType="end"/>
          </w:r>
          <w:r>
            <w:rPr>
              <w:rFonts w:ascii="Times New Roman" w:hAnsi="Times New Roman" w:cs="Times New Roman"/>
              <w:bCs/>
              <w:szCs w:val="24"/>
            </w:rPr>
            <w:fldChar w:fldCharType="end"/>
          </w:r>
        </w:p>
        <w:p>
          <w:pPr>
            <w:pStyle w:val="5"/>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_Toc2064 </w:instrText>
          </w:r>
          <w:r>
            <w:rPr>
              <w:rFonts w:ascii="Times New Roman" w:hAnsi="Times New Roman" w:cs="Times New Roman"/>
              <w:bCs/>
              <w:szCs w:val="24"/>
            </w:rPr>
            <w:fldChar w:fldCharType="separate"/>
          </w:r>
          <w:r>
            <w:rPr>
              <w:rFonts w:hint="default" w:ascii="Times New Roman" w:hAnsi="Times New Roman" w:cs="Times New Roman"/>
              <w:szCs w:val="28"/>
            </w:rPr>
            <w:t>5.7.2 Practical Implications:</w:t>
          </w:r>
          <w:r>
            <w:tab/>
          </w:r>
          <w:r>
            <w:fldChar w:fldCharType="begin"/>
          </w:r>
          <w:r>
            <w:instrText xml:space="preserve"> PAGEREF _Toc2064 \h </w:instrText>
          </w:r>
          <w:r>
            <w:fldChar w:fldCharType="separate"/>
          </w:r>
          <w:r>
            <w:t>48</w:t>
          </w:r>
          <w:r>
            <w:fldChar w:fldCharType="end"/>
          </w:r>
          <w:r>
            <w:rPr>
              <w:rFonts w:ascii="Times New Roman" w:hAnsi="Times New Roman" w:cs="Times New Roman"/>
              <w:bCs/>
              <w:szCs w:val="24"/>
            </w:rPr>
            <w:fldChar w:fldCharType="end"/>
          </w:r>
        </w:p>
        <w:p>
          <w:pPr>
            <w:pStyle w:val="5"/>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_Toc23399 </w:instrText>
          </w:r>
          <w:r>
            <w:rPr>
              <w:rFonts w:ascii="Times New Roman" w:hAnsi="Times New Roman" w:cs="Times New Roman"/>
              <w:bCs/>
              <w:szCs w:val="24"/>
            </w:rPr>
            <w:fldChar w:fldCharType="separate"/>
          </w:r>
          <w:r>
            <w:rPr>
              <w:rFonts w:hint="default" w:ascii="Times New Roman" w:hAnsi="Times New Roman" w:cs="Times New Roman"/>
              <w:szCs w:val="28"/>
            </w:rPr>
            <w:t>5.7.3 Holistic Approach:</w:t>
          </w:r>
          <w:r>
            <w:tab/>
          </w:r>
          <w:r>
            <w:fldChar w:fldCharType="begin"/>
          </w:r>
          <w:r>
            <w:instrText xml:space="preserve"> PAGEREF _Toc23399 \h </w:instrText>
          </w:r>
          <w:r>
            <w:fldChar w:fldCharType="separate"/>
          </w:r>
          <w:r>
            <w:t>48</w:t>
          </w:r>
          <w:r>
            <w:fldChar w:fldCharType="end"/>
          </w:r>
          <w:r>
            <w:rPr>
              <w:rFonts w:ascii="Times New Roman" w:hAnsi="Times New Roman" w:cs="Times New Roman"/>
              <w:bCs/>
              <w:szCs w:val="24"/>
            </w:rPr>
            <w:fldChar w:fldCharType="end"/>
          </w:r>
        </w:p>
        <w:p>
          <w:pPr>
            <w:pStyle w:val="5"/>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_Toc32576 </w:instrText>
          </w:r>
          <w:r>
            <w:rPr>
              <w:rFonts w:ascii="Times New Roman" w:hAnsi="Times New Roman" w:cs="Times New Roman"/>
              <w:bCs/>
              <w:szCs w:val="24"/>
            </w:rPr>
            <w:fldChar w:fldCharType="separate"/>
          </w:r>
          <w:r>
            <w:rPr>
              <w:rFonts w:hint="default" w:ascii="Times New Roman" w:hAnsi="Times New Roman" w:cs="Times New Roman"/>
              <w:szCs w:val="28"/>
            </w:rPr>
            <w:t>5.7.4 Future Research Directions:</w:t>
          </w:r>
          <w:r>
            <w:tab/>
          </w:r>
          <w:r>
            <w:fldChar w:fldCharType="begin"/>
          </w:r>
          <w:r>
            <w:instrText xml:space="preserve"> PAGEREF _Toc32576 \h </w:instrText>
          </w:r>
          <w:r>
            <w:fldChar w:fldCharType="separate"/>
          </w:r>
          <w:r>
            <w:t>48</w:t>
          </w:r>
          <w:r>
            <w:fldChar w:fldCharType="end"/>
          </w:r>
          <w:r>
            <w:rPr>
              <w:rFonts w:ascii="Times New Roman" w:hAnsi="Times New Roman" w:cs="Times New Roman"/>
              <w:bCs/>
              <w:szCs w:val="24"/>
            </w:rPr>
            <w:fldChar w:fldCharType="end"/>
          </w:r>
        </w:p>
        <w:p>
          <w:pPr>
            <w:pStyle w:val="8"/>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_Toc12170 </w:instrText>
          </w:r>
          <w:r>
            <w:rPr>
              <w:rFonts w:ascii="Times New Roman" w:hAnsi="Times New Roman" w:cs="Times New Roman"/>
              <w:bCs/>
              <w:szCs w:val="24"/>
            </w:rPr>
            <w:fldChar w:fldCharType="separate"/>
          </w:r>
          <w:r>
            <w:rPr>
              <w:rFonts w:hint="default" w:ascii="Times New Roman" w:hAnsi="Times New Roman" w:cs="Times New Roman"/>
              <w:szCs w:val="30"/>
            </w:rPr>
            <w:t>CHAPTER 6: CONCLUSIONS AND RECOMMENDATIONS</w:t>
          </w:r>
          <w:r>
            <w:tab/>
          </w:r>
          <w:r>
            <w:fldChar w:fldCharType="begin"/>
          </w:r>
          <w:r>
            <w:instrText xml:space="preserve"> PAGEREF _Toc12170 \h </w:instrText>
          </w:r>
          <w:r>
            <w:fldChar w:fldCharType="separate"/>
          </w:r>
          <w:r>
            <w:t>50</w:t>
          </w:r>
          <w:r>
            <w:fldChar w:fldCharType="end"/>
          </w:r>
          <w:r>
            <w:rPr>
              <w:rFonts w:ascii="Times New Roman" w:hAnsi="Times New Roman" w:cs="Times New Roman"/>
              <w:bCs/>
              <w:szCs w:val="24"/>
            </w:rPr>
            <w:fldChar w:fldCharType="end"/>
          </w:r>
        </w:p>
        <w:p>
          <w:pPr>
            <w:pStyle w:val="8"/>
            <w:tabs>
              <w:tab w:val="right" w:leader="dot" w:pos="9360"/>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_Toc10975 </w:instrText>
          </w:r>
          <w:r>
            <w:rPr>
              <w:rFonts w:ascii="Times New Roman" w:hAnsi="Times New Roman" w:cs="Times New Roman"/>
              <w:bCs/>
              <w:szCs w:val="24"/>
            </w:rPr>
            <w:fldChar w:fldCharType="separate"/>
          </w:r>
          <w:r>
            <w:t>REFERENCES</w:t>
          </w:r>
          <w:r>
            <w:tab/>
          </w:r>
          <w:r>
            <w:fldChar w:fldCharType="begin"/>
          </w:r>
          <w:r>
            <w:instrText xml:space="preserve"> PAGEREF _Toc10975 \h </w:instrText>
          </w:r>
          <w:r>
            <w:fldChar w:fldCharType="separate"/>
          </w:r>
          <w:r>
            <w:t>53</w:t>
          </w:r>
          <w:r>
            <w:fldChar w:fldCharType="end"/>
          </w:r>
          <w:r>
            <w:rPr>
              <w:rFonts w:ascii="Times New Roman" w:hAnsi="Times New Roman" w:cs="Times New Roman"/>
              <w:bCs/>
              <w:szCs w:val="24"/>
            </w:rPr>
            <w:fldChar w:fldCharType="end"/>
          </w:r>
        </w:p>
        <w:p>
          <w:pPr>
            <w:spacing w:line="480" w:lineRule="auto"/>
            <w:rPr>
              <w:rFonts w:ascii="Times New Roman" w:hAnsi="Times New Roman" w:cs="Times New Roman"/>
              <w:sz w:val="24"/>
              <w:szCs w:val="24"/>
            </w:rPr>
          </w:pPr>
          <w:r>
            <w:rPr>
              <w:rFonts w:ascii="Times New Roman" w:hAnsi="Times New Roman" w:cs="Times New Roman"/>
              <w:bCs/>
              <w:szCs w:val="24"/>
            </w:rPr>
            <w:fldChar w:fldCharType="end"/>
          </w:r>
        </w:p>
      </w:sdtContent>
    </w:sdt>
    <w:p>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pPr>
        <w:pStyle w:val="2"/>
        <w:spacing w:line="480" w:lineRule="auto"/>
        <w:jc w:val="center"/>
        <w:rPr>
          <w:rFonts w:ascii="Times New Roman" w:hAnsi="Times New Roman" w:cs="Times New Roman"/>
          <w:sz w:val="30"/>
          <w:szCs w:val="30"/>
        </w:rPr>
      </w:pPr>
      <w:bookmarkStart w:id="1" w:name="_Toc154735195"/>
      <w:bookmarkStart w:id="2" w:name="_Toc24365"/>
      <w:bookmarkStart w:id="3" w:name="_Toc19782"/>
      <w:r>
        <w:rPr>
          <w:rFonts w:ascii="Times New Roman" w:hAnsi="Times New Roman" w:cs="Times New Roman"/>
          <w:sz w:val="30"/>
          <w:szCs w:val="30"/>
        </w:rPr>
        <w:t xml:space="preserve">CHAPTER 1: </w:t>
      </w:r>
      <w:bookmarkStart w:id="4" w:name="_Toc3746"/>
      <w:r>
        <w:rPr>
          <w:rFonts w:ascii="Times New Roman" w:hAnsi="Times New Roman" w:cs="Times New Roman"/>
          <w:sz w:val="30"/>
          <w:szCs w:val="30"/>
        </w:rPr>
        <w:t>INTRODUCTION</w:t>
      </w:r>
      <w:bookmarkEnd w:id="1"/>
      <w:bookmarkEnd w:id="2"/>
      <w:bookmarkEnd w:id="3"/>
      <w:bookmarkEnd w:id="4"/>
    </w:p>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learning and the </w:t>
      </w:r>
      <w:r>
        <w:rPr>
          <w:rFonts w:hint="eastAsia" w:ascii="Times New Roman" w:hAnsi="Times New Roman" w:eastAsia="宋体" w:cs="Times New Roman"/>
          <w:sz w:val="24"/>
          <w:szCs w:val="24"/>
          <w:lang w:val="en-US" w:eastAsia="zh-CN"/>
        </w:rPr>
        <w:t>engaement</w:t>
      </w:r>
      <w:r>
        <w:rPr>
          <w:rFonts w:ascii="Times New Roman" w:hAnsi="Times New Roman" w:cs="Times New Roman"/>
          <w:sz w:val="24"/>
          <w:szCs w:val="24"/>
        </w:rPr>
        <w:t xml:space="preserve"> of </w:t>
      </w:r>
      <w:r>
        <w:rPr>
          <w:rFonts w:hint="eastAsia" w:ascii="Times New Roman" w:hAnsi="Times New Roman" w:eastAsia="宋体" w:cs="Times New Roman"/>
          <w:sz w:val="24"/>
          <w:szCs w:val="24"/>
          <w:lang w:val="en-US" w:eastAsia="zh-CN"/>
        </w:rPr>
        <w:t>student</w:t>
      </w:r>
      <w:r>
        <w:rPr>
          <w:rFonts w:ascii="Times New Roman" w:hAnsi="Times New Roman" w:cs="Times New Roman"/>
          <w:sz w:val="24"/>
          <w:szCs w:val="24"/>
        </w:rPr>
        <w:t xml:space="preserve"> in the English </w:t>
      </w:r>
      <w:r>
        <w:rPr>
          <w:rFonts w:hint="eastAsia" w:ascii="Times New Roman" w:hAnsi="Times New Roman" w:eastAsia="宋体" w:cs="Times New Roman"/>
          <w:sz w:val="24"/>
          <w:szCs w:val="24"/>
          <w:lang w:val="en-US" w:eastAsia="zh-CN"/>
        </w:rPr>
        <w:t xml:space="preserve">lesson </w:t>
      </w:r>
      <w:r>
        <w:rPr>
          <w:rFonts w:ascii="Times New Roman" w:hAnsi="Times New Roman" w:cs="Times New Roman"/>
          <w:sz w:val="24"/>
          <w:szCs w:val="24"/>
        </w:rPr>
        <w:t xml:space="preserve">context in Chinese university has been very important as it equips learners with the required basic knowledge in English language. Besides, the learners have been in a position to actively participate in learning helping them to enhance and build up better understanding of the language. The relevance of student participation   cannot be overstated, especially in private universities in </w:t>
      </w:r>
      <w:r>
        <w:rPr>
          <w:rFonts w:hint="eastAsia" w:ascii="Times New Roman" w:hAnsi="Times New Roman" w:eastAsia="宋体" w:cs="Times New Roman"/>
          <w:sz w:val="24"/>
          <w:szCs w:val="24"/>
          <w:lang w:val="en-US" w:eastAsia="zh-CN"/>
        </w:rPr>
        <w:t xml:space="preserve">mainalnd </w:t>
      </w:r>
      <w:r>
        <w:rPr>
          <w:rFonts w:ascii="Times New Roman" w:hAnsi="Times New Roman" w:cs="Times New Roman"/>
          <w:sz w:val="24"/>
          <w:szCs w:val="24"/>
        </w:rPr>
        <w:t xml:space="preserve">China. This context presents the challenges and the opportunities that come along with the teaching of English language. </w:t>
      </w:r>
    </w:p>
    <w:p>
      <w:pPr>
        <w:pStyle w:val="3"/>
        <w:spacing w:line="480" w:lineRule="auto"/>
        <w:jc w:val="left"/>
        <w:rPr>
          <w:sz w:val="24"/>
          <w:szCs w:val="24"/>
        </w:rPr>
      </w:pPr>
      <w:bookmarkStart w:id="5" w:name="_Toc19412"/>
      <w:r>
        <w:rPr>
          <w:rFonts w:hint="eastAsia" w:eastAsia="宋体"/>
          <w:sz w:val="24"/>
          <w:szCs w:val="24"/>
          <w:lang w:val="en-US" w:eastAsia="zh-CN"/>
        </w:rPr>
        <w:t>Research b</w:t>
      </w:r>
      <w:r>
        <w:rPr>
          <w:sz w:val="24"/>
          <w:szCs w:val="24"/>
        </w:rPr>
        <w:t xml:space="preserve">ackground of the </w:t>
      </w:r>
      <w:r>
        <w:rPr>
          <w:rFonts w:hint="eastAsia" w:eastAsia="宋体"/>
          <w:sz w:val="24"/>
          <w:szCs w:val="24"/>
          <w:lang w:val="en-US" w:eastAsia="zh-CN"/>
        </w:rPr>
        <w:t xml:space="preserve">pilot </w:t>
      </w:r>
      <w:r>
        <w:rPr>
          <w:sz w:val="24"/>
          <w:szCs w:val="24"/>
        </w:rPr>
        <w:t>study</w:t>
      </w:r>
      <w:bookmarkEnd w:id="5"/>
    </w:p>
    <w:p>
      <w:pPr>
        <w:spacing w:line="480" w:lineRule="auto"/>
        <w:ind w:firstLine="480" w:firstLineChars="200"/>
        <w:jc w:val="left"/>
        <w:rPr>
          <w:rFonts w:hint="eastAsia" w:ascii="Times New Roman" w:hAnsi="Times New Roman" w:cs="Times New Roman"/>
          <w:sz w:val="24"/>
          <w:szCs w:val="24"/>
        </w:rPr>
      </w:pPr>
      <w:r>
        <w:rPr>
          <w:rFonts w:hint="eastAsia" w:ascii="Times New Roman" w:hAnsi="Times New Roman" w:cs="Times New Roman"/>
          <w:sz w:val="24"/>
          <w:szCs w:val="24"/>
        </w:rPr>
        <w:t xml:space="preserve">Because of China’s focus on global education, English Language Teaching (ELT) context is paramount to attracting both international students and those residing within China. Because of globalization, there has been the need or the demand for the English language. This might be done through the research to enhance student engagement to be able to interact with others from various parts of the world. This will go in line with its competitiveness to other western nations such as North America, UK, Canada, and Australia. Therefore, in the Chinese </w:t>
      </w:r>
      <w:r>
        <w:rPr>
          <w:rFonts w:hint="eastAsia" w:ascii="Times New Roman" w:hAnsi="Times New Roman" w:eastAsia="宋体" w:cs="Times New Roman"/>
          <w:sz w:val="24"/>
          <w:szCs w:val="24"/>
          <w:lang w:val="en-US" w:eastAsia="zh-CN"/>
        </w:rPr>
        <w:t xml:space="preserve">mainalnd </w:t>
      </w:r>
      <w:r>
        <w:rPr>
          <w:rFonts w:hint="eastAsia" w:ascii="Times New Roman" w:hAnsi="Times New Roman" w:cs="Times New Roman"/>
          <w:sz w:val="24"/>
          <w:szCs w:val="24"/>
        </w:rPr>
        <w:t xml:space="preserve">system of </w:t>
      </w:r>
      <w:r>
        <w:rPr>
          <w:rFonts w:hint="eastAsia" w:ascii="Times New Roman" w:hAnsi="Times New Roman" w:eastAsia="宋体" w:cs="Times New Roman"/>
          <w:sz w:val="24"/>
          <w:szCs w:val="24"/>
          <w:lang w:val="en-US" w:eastAsia="zh-CN"/>
        </w:rPr>
        <w:t xml:space="preserve">higher </w:t>
      </w:r>
      <w:r>
        <w:rPr>
          <w:rFonts w:hint="eastAsia" w:ascii="Times New Roman" w:hAnsi="Times New Roman" w:cs="Times New Roman"/>
          <w:sz w:val="24"/>
          <w:szCs w:val="24"/>
        </w:rPr>
        <w:t xml:space="preserve">education, learning English language has become a focal point. In addition, China is among global service provider in road networks and ICT infrastructure. </w:t>
      </w:r>
    </w:p>
    <w:p>
      <w:pPr>
        <w:spacing w:line="480" w:lineRule="auto"/>
        <w:ind w:firstLine="480" w:firstLineChars="200"/>
        <w:jc w:val="left"/>
        <w:rPr>
          <w:rFonts w:ascii="Times New Roman" w:hAnsi="Times New Roman" w:cs="Times New Roman"/>
          <w:sz w:val="24"/>
          <w:szCs w:val="24"/>
        </w:rPr>
      </w:pPr>
      <w:r>
        <w:rPr>
          <w:rFonts w:hint="eastAsia" w:ascii="Times New Roman" w:hAnsi="Times New Roman" w:cs="Times New Roman"/>
          <w:sz w:val="24"/>
          <w:szCs w:val="24"/>
        </w:rPr>
        <w:t xml:space="preserve">Because of this global market, Chinese government has been able to put more effort in ensuring that English language becomes the focal point as this enhances global interactions among its citizens. It is then role of the Chinese universities to prepare students to have good language skills. However, even with emphasizing about the English language education, there are concerns regarding the efficacy of the traditional methods of teaching which help in fostering meaningful engagement with the students. This will help students learning English language in the Chinese universities in gaining confidence and competency. </w:t>
      </w:r>
      <w:r>
        <w:rPr>
          <w:rFonts w:ascii="Times New Roman" w:hAnsi="Times New Roman" w:cs="Times New Roman"/>
          <w:sz w:val="24"/>
          <w:szCs w:val="24"/>
        </w:rPr>
        <w:t xml:space="preserve">Therefore, according to the research study based on existing literature of student engagement, adopts a top down </w:t>
      </w:r>
      <w:r>
        <w:rPr>
          <w:rFonts w:hint="eastAsia" w:ascii="Times New Roman" w:hAnsi="Times New Roman" w:eastAsia="宋体" w:cs="Times New Roman"/>
          <w:sz w:val="24"/>
          <w:szCs w:val="24"/>
          <w:lang w:val="en-US" w:eastAsia="zh-CN"/>
        </w:rPr>
        <w:t xml:space="preserve">mixed </w:t>
      </w:r>
      <w:r>
        <w:rPr>
          <w:rFonts w:ascii="Times New Roman" w:hAnsi="Times New Roman" w:cs="Times New Roman"/>
          <w:sz w:val="24"/>
          <w:szCs w:val="24"/>
        </w:rPr>
        <w:t xml:space="preserve">perspective that focuses on the role of teachers in education, curriculum framework and institution’s culture to shaping the students levels of engagements. There </w:t>
      </w:r>
      <w:r>
        <w:rPr>
          <w:rFonts w:hint="eastAsia" w:ascii="Times New Roman" w:hAnsi="Times New Roman" w:eastAsia="宋体" w:cs="Times New Roman"/>
          <w:sz w:val="24"/>
          <w:szCs w:val="24"/>
          <w:lang w:val="en-US" w:eastAsia="zh-CN"/>
        </w:rPr>
        <w:t>just a few</w:t>
      </w:r>
      <w:r>
        <w:rPr>
          <w:rFonts w:ascii="Times New Roman" w:hAnsi="Times New Roman" w:cs="Times New Roman"/>
          <w:sz w:val="24"/>
          <w:szCs w:val="24"/>
        </w:rPr>
        <w:t xml:space="preserve"> research study that explores student engagement from bottom-up. Most research studies are focusing on student’s own perception, experiences and their attitudes in the classroom context.</w:t>
      </w:r>
    </w:p>
    <w:p>
      <w:pPr>
        <w:pStyle w:val="3"/>
        <w:spacing w:line="480" w:lineRule="auto"/>
        <w:jc w:val="left"/>
        <w:rPr>
          <w:sz w:val="24"/>
          <w:szCs w:val="24"/>
        </w:rPr>
      </w:pPr>
      <w:bookmarkStart w:id="6" w:name="_Toc157803589"/>
      <w:bookmarkStart w:id="7" w:name="_Toc1663"/>
      <w:r>
        <w:rPr>
          <w:sz w:val="24"/>
          <w:szCs w:val="24"/>
        </w:rPr>
        <w:t>Purpose of the research study</w:t>
      </w:r>
      <w:bookmarkEnd w:id="6"/>
      <w:bookmarkEnd w:id="7"/>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w:t>
      </w:r>
      <w:r>
        <w:rPr>
          <w:rFonts w:hint="eastAsia" w:ascii="Times New Roman" w:hAnsi="Times New Roman" w:eastAsia="宋体" w:cs="Times New Roman"/>
          <w:sz w:val="24"/>
          <w:szCs w:val="24"/>
          <w:lang w:val="en-US" w:eastAsia="zh-CN"/>
        </w:rPr>
        <w:t xml:space="preserve">main </w:t>
      </w:r>
      <w:r>
        <w:rPr>
          <w:rFonts w:ascii="Times New Roman" w:hAnsi="Times New Roman" w:cs="Times New Roman"/>
          <w:sz w:val="24"/>
          <w:szCs w:val="24"/>
        </w:rPr>
        <w:t xml:space="preserve">purpose of this </w:t>
      </w:r>
      <w:r>
        <w:rPr>
          <w:rFonts w:hint="eastAsia" w:ascii="Times New Roman" w:hAnsi="Times New Roman" w:eastAsia="宋体" w:cs="Times New Roman"/>
          <w:sz w:val="24"/>
          <w:szCs w:val="24"/>
          <w:lang w:val="en-US" w:eastAsia="zh-CN"/>
        </w:rPr>
        <w:t>researh pilot project</w:t>
      </w:r>
      <w:r>
        <w:rPr>
          <w:rFonts w:ascii="Times New Roman" w:hAnsi="Times New Roman" w:cs="Times New Roman"/>
          <w:sz w:val="24"/>
          <w:szCs w:val="24"/>
        </w:rPr>
        <w:t xml:space="preserve"> is to prepare a research study to contribute in the student engagement by interpreting student’s own engagement in the context of learning </w:t>
      </w:r>
      <w:r>
        <w:rPr>
          <w:rFonts w:hint="eastAsia" w:ascii="Times New Roman" w:hAnsi="Times New Roman" w:eastAsia="宋体" w:cs="Times New Roman"/>
          <w:sz w:val="24"/>
          <w:szCs w:val="24"/>
          <w:lang w:val="en-US" w:eastAsia="zh-CN"/>
        </w:rPr>
        <w:t xml:space="preserve">and teaching </w:t>
      </w:r>
      <w:r>
        <w:rPr>
          <w:rFonts w:ascii="Times New Roman" w:hAnsi="Times New Roman" w:cs="Times New Roman"/>
          <w:sz w:val="24"/>
          <w:szCs w:val="24"/>
        </w:rPr>
        <w:t xml:space="preserve">English language in the Chinese universities. It assist to analyze some of the things that contribute to enhancing English language in </w:t>
      </w:r>
      <w:r>
        <w:rPr>
          <w:rFonts w:hint="eastAsia" w:ascii="Times New Roman" w:hAnsi="Times New Roman" w:eastAsia="宋体" w:cs="Times New Roman"/>
          <w:sz w:val="24"/>
          <w:szCs w:val="24"/>
          <w:lang w:val="en-US" w:eastAsia="zh-CN"/>
        </w:rPr>
        <w:t>the university</w:t>
      </w:r>
      <w:r>
        <w:rPr>
          <w:rFonts w:ascii="Times New Roman" w:hAnsi="Times New Roman" w:cs="Times New Roman"/>
          <w:sz w:val="24"/>
          <w:szCs w:val="24"/>
        </w:rPr>
        <w:t xml:space="preserve"> in </w:t>
      </w:r>
      <w:r>
        <w:rPr>
          <w:rFonts w:hint="eastAsia" w:ascii="Times New Roman" w:hAnsi="Times New Roman" w:eastAsia="宋体" w:cs="Times New Roman"/>
          <w:sz w:val="24"/>
          <w:szCs w:val="24"/>
          <w:lang w:val="en-US" w:eastAsia="zh-CN"/>
        </w:rPr>
        <w:t xml:space="preserve">mainalnd </w:t>
      </w:r>
      <w:r>
        <w:rPr>
          <w:rFonts w:ascii="Times New Roman" w:hAnsi="Times New Roman" w:cs="Times New Roman"/>
          <w:sz w:val="24"/>
          <w:szCs w:val="24"/>
        </w:rPr>
        <w:t>China</w:t>
      </w:r>
      <w:r>
        <w:rPr>
          <w:rFonts w:hint="eastAsia" w:ascii="Times New Roman" w:hAnsi="Times New Roman" w:eastAsia="宋体" w:cs="Times New Roman"/>
          <w:sz w:val="24"/>
          <w:szCs w:val="24"/>
          <w:lang w:val="en-US" w:eastAsia="zh-CN"/>
        </w:rPr>
        <w:t xml:space="preserve"> especially the private one</w:t>
      </w:r>
      <w:r>
        <w:rPr>
          <w:rFonts w:ascii="Times New Roman" w:hAnsi="Times New Roman" w:cs="Times New Roman"/>
          <w:sz w:val="24"/>
          <w:szCs w:val="24"/>
        </w:rPr>
        <w:t>.</w:t>
      </w:r>
    </w:p>
    <w:p>
      <w:pPr>
        <w:pStyle w:val="3"/>
        <w:spacing w:line="480" w:lineRule="auto"/>
        <w:jc w:val="left"/>
        <w:rPr>
          <w:sz w:val="24"/>
          <w:szCs w:val="24"/>
        </w:rPr>
      </w:pPr>
      <w:bookmarkStart w:id="8" w:name="_Toc1582"/>
      <w:bookmarkStart w:id="9" w:name="_Toc157803590"/>
      <w:r>
        <w:rPr>
          <w:sz w:val="24"/>
          <w:szCs w:val="24"/>
        </w:rPr>
        <w:t xml:space="preserve">The Scope of the </w:t>
      </w:r>
      <w:r>
        <w:rPr>
          <w:rFonts w:hint="eastAsia" w:eastAsia="宋体"/>
          <w:sz w:val="24"/>
          <w:szCs w:val="24"/>
          <w:lang w:val="en-US" w:eastAsia="zh-CN"/>
        </w:rPr>
        <w:t>s</w:t>
      </w:r>
      <w:r>
        <w:rPr>
          <w:sz w:val="24"/>
          <w:szCs w:val="24"/>
        </w:rPr>
        <w:t>tudy</w:t>
      </w:r>
      <w:bookmarkEnd w:id="8"/>
      <w:bookmarkEnd w:id="9"/>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scope of this research </w:t>
      </w:r>
      <w:r>
        <w:rPr>
          <w:rFonts w:hint="eastAsia" w:ascii="Times New Roman" w:hAnsi="Times New Roman" w:eastAsia="宋体" w:cs="Times New Roman"/>
          <w:sz w:val="24"/>
          <w:szCs w:val="24"/>
          <w:lang w:val="en-US" w:eastAsia="zh-CN"/>
        </w:rPr>
        <w:t xml:space="preserve">pilot </w:t>
      </w:r>
      <w:r>
        <w:rPr>
          <w:rFonts w:ascii="Times New Roman" w:hAnsi="Times New Roman" w:cs="Times New Roman"/>
          <w:sz w:val="24"/>
          <w:szCs w:val="24"/>
        </w:rPr>
        <w:t xml:space="preserve">project focuses only on student perception, experiences and behaviors in relation to engagement during learning in English class in the </w:t>
      </w:r>
      <w:r>
        <w:rPr>
          <w:rFonts w:hint="eastAsia" w:ascii="Times New Roman" w:hAnsi="Times New Roman" w:eastAsia="宋体" w:cs="Times New Roman"/>
          <w:sz w:val="24"/>
          <w:szCs w:val="24"/>
          <w:lang w:val="en-US" w:eastAsia="zh-CN"/>
        </w:rPr>
        <w:t xml:space="preserve">one seclected private </w:t>
      </w:r>
      <w:r>
        <w:rPr>
          <w:rFonts w:ascii="Times New Roman" w:hAnsi="Times New Roman" w:cs="Times New Roman"/>
          <w:sz w:val="24"/>
          <w:szCs w:val="24"/>
        </w:rPr>
        <w:t>universit</w:t>
      </w:r>
      <w:r>
        <w:rPr>
          <w:rFonts w:hint="eastAsia" w:ascii="Times New Roman" w:hAnsi="Times New Roman" w:eastAsia="宋体" w:cs="Times New Roman"/>
          <w:sz w:val="24"/>
          <w:szCs w:val="24"/>
          <w:lang w:val="en-US" w:eastAsia="zh-CN"/>
        </w:rPr>
        <w:t xml:space="preserve">y </w:t>
      </w:r>
      <w:r>
        <w:rPr>
          <w:rFonts w:ascii="Times New Roman" w:hAnsi="Times New Roman" w:cs="Times New Roman"/>
          <w:sz w:val="24"/>
          <w:szCs w:val="24"/>
        </w:rPr>
        <w:t xml:space="preserve">in </w:t>
      </w:r>
      <w:r>
        <w:rPr>
          <w:rFonts w:hint="eastAsia" w:ascii="Times New Roman" w:hAnsi="Times New Roman" w:eastAsia="宋体" w:cs="Times New Roman"/>
          <w:sz w:val="24"/>
          <w:szCs w:val="24"/>
          <w:lang w:val="en-US" w:eastAsia="zh-CN"/>
        </w:rPr>
        <w:t xml:space="preserve">mainland </w:t>
      </w:r>
      <w:r>
        <w:rPr>
          <w:rFonts w:ascii="Times New Roman" w:hAnsi="Times New Roman" w:cs="Times New Roman"/>
          <w:sz w:val="24"/>
          <w:szCs w:val="24"/>
        </w:rPr>
        <w:t>China. Th</w:t>
      </w:r>
      <w:r>
        <w:rPr>
          <w:rFonts w:hint="eastAsia" w:ascii="Times New Roman" w:hAnsi="Times New Roman" w:eastAsia="宋体" w:cs="Times New Roman"/>
          <w:sz w:val="24"/>
          <w:szCs w:val="24"/>
          <w:lang w:val="en-US" w:eastAsia="zh-CN"/>
        </w:rPr>
        <w:t>is</w:t>
      </w:r>
      <w:r>
        <w:rPr>
          <w:rFonts w:ascii="Times New Roman" w:hAnsi="Times New Roman" w:cs="Times New Roman"/>
          <w:sz w:val="24"/>
          <w:szCs w:val="24"/>
        </w:rPr>
        <w:t xml:space="preserve"> study focuses on understanding the aspect of </w:t>
      </w:r>
      <w:r>
        <w:rPr>
          <w:rFonts w:hint="eastAsia" w:ascii="Times New Roman" w:hAnsi="Times New Roman" w:eastAsia="宋体" w:cs="Times New Roman"/>
          <w:sz w:val="24"/>
          <w:szCs w:val="24"/>
          <w:lang w:val="en-US" w:eastAsia="zh-CN"/>
        </w:rPr>
        <w:t xml:space="preserve">university </w:t>
      </w:r>
      <w:r>
        <w:rPr>
          <w:rFonts w:ascii="Times New Roman" w:hAnsi="Times New Roman" w:cs="Times New Roman"/>
          <w:sz w:val="24"/>
          <w:szCs w:val="24"/>
        </w:rPr>
        <w:t>student</w:t>
      </w:r>
      <w:r>
        <w:rPr>
          <w:rFonts w:hint="eastAsia" w:ascii="Times New Roman" w:hAnsi="Times New Roman" w:eastAsia="宋体" w:cs="Times New Roman"/>
          <w:sz w:val="24"/>
          <w:szCs w:val="24"/>
          <w:lang w:val="en-US" w:eastAsia="zh-CN"/>
        </w:rPr>
        <w:t xml:space="preserve"> (first-year)</w:t>
      </w:r>
      <w:r>
        <w:rPr>
          <w:rFonts w:ascii="Times New Roman" w:hAnsi="Times New Roman" w:cs="Times New Roman"/>
          <w:sz w:val="24"/>
          <w:szCs w:val="24"/>
        </w:rPr>
        <w:t xml:space="preserve"> engagement in regards to cognitive, behavioral and emotional areas. </w:t>
      </w:r>
    </w:p>
    <w:p>
      <w:pPr>
        <w:spacing w:line="480" w:lineRule="auto"/>
        <w:jc w:val="left"/>
        <w:rPr>
          <w:rFonts w:ascii="Times New Roman" w:hAnsi="Times New Roman" w:cs="Times New Roman"/>
          <w:sz w:val="24"/>
          <w:szCs w:val="24"/>
        </w:rPr>
      </w:pPr>
    </w:p>
    <w:p>
      <w:pPr>
        <w:spacing w:line="480" w:lineRule="auto"/>
        <w:jc w:val="left"/>
        <w:rPr>
          <w:rFonts w:ascii="Times New Roman" w:hAnsi="Times New Roman" w:cs="Times New Roman"/>
          <w:sz w:val="24"/>
          <w:szCs w:val="24"/>
        </w:rPr>
      </w:pPr>
    </w:p>
    <w:p>
      <w:pPr>
        <w:pStyle w:val="3"/>
        <w:spacing w:line="480" w:lineRule="auto"/>
        <w:jc w:val="left"/>
        <w:rPr>
          <w:sz w:val="24"/>
          <w:szCs w:val="24"/>
        </w:rPr>
      </w:pPr>
      <w:bookmarkStart w:id="10" w:name="_Toc157803591"/>
      <w:bookmarkStart w:id="11" w:name="_Toc16381"/>
      <w:r>
        <w:rPr>
          <w:rFonts w:hint="eastAsia" w:eastAsia="宋体"/>
          <w:sz w:val="24"/>
          <w:szCs w:val="24"/>
          <w:lang w:val="en-US" w:eastAsia="zh-CN"/>
        </w:rPr>
        <w:t>Research a</w:t>
      </w:r>
      <w:r>
        <w:rPr>
          <w:sz w:val="24"/>
          <w:szCs w:val="24"/>
        </w:rPr>
        <w:t xml:space="preserve">ims and </w:t>
      </w:r>
      <w:r>
        <w:rPr>
          <w:rFonts w:hint="eastAsia" w:eastAsia="宋体"/>
          <w:sz w:val="24"/>
          <w:szCs w:val="24"/>
          <w:lang w:val="en-US" w:eastAsia="zh-CN"/>
        </w:rPr>
        <w:t>o</w:t>
      </w:r>
      <w:r>
        <w:rPr>
          <w:sz w:val="24"/>
          <w:szCs w:val="24"/>
        </w:rPr>
        <w:t>bjectives</w:t>
      </w:r>
      <w:bookmarkEnd w:id="10"/>
      <w:bookmarkEnd w:id="11"/>
    </w:p>
    <w:p>
      <w:pPr>
        <w:spacing w:line="480" w:lineRule="auto"/>
        <w:jc w:val="left"/>
        <w:rPr>
          <w:rFonts w:ascii="Times New Roman" w:hAnsi="Times New Roman" w:cs="Times New Roman"/>
          <w:sz w:val="24"/>
          <w:szCs w:val="24"/>
        </w:rPr>
      </w:pPr>
      <w:r>
        <w:rPr>
          <w:rFonts w:ascii="Times New Roman" w:hAnsi="Times New Roman" w:cs="Times New Roman"/>
          <w:sz w:val="24"/>
          <w:szCs w:val="24"/>
        </w:rPr>
        <w:t>The following are the aims and objectives of the research study;</w:t>
      </w:r>
    </w:p>
    <w:p>
      <w:pPr>
        <w:spacing w:line="480" w:lineRule="auto"/>
        <w:jc w:val="left"/>
        <w:rPr>
          <w:rFonts w:ascii="Times New Roman" w:hAnsi="Times New Roman" w:cs="Times New Roman"/>
          <w:sz w:val="24"/>
          <w:szCs w:val="24"/>
        </w:rPr>
      </w:pPr>
      <w:r>
        <w:rPr>
          <w:rFonts w:hint="eastAsia" w:ascii="Times New Roman" w:hAnsi="Times New Roman" w:eastAsia="宋体" w:cs="Times New Roman"/>
          <w:sz w:val="24"/>
          <w:szCs w:val="24"/>
          <w:lang w:val="en-US" w:eastAsia="zh-CN"/>
        </w:rPr>
        <w:t>1.</w:t>
      </w:r>
      <w:r>
        <w:rPr>
          <w:rFonts w:ascii="Times New Roman" w:hAnsi="Times New Roman" w:cs="Times New Roman"/>
          <w:sz w:val="24"/>
          <w:szCs w:val="24"/>
        </w:rPr>
        <w:t xml:space="preserve">To help undertake a research to learn about the student’s perceptions of </w:t>
      </w:r>
      <w:r>
        <w:rPr>
          <w:rFonts w:hint="eastAsia" w:ascii="Times New Roman" w:hAnsi="Times New Roman" w:eastAsia="宋体" w:cs="Times New Roman"/>
          <w:sz w:val="24"/>
          <w:szCs w:val="24"/>
          <w:lang w:val="en-US" w:eastAsia="zh-CN"/>
        </w:rPr>
        <w:t xml:space="preserve">student </w:t>
      </w:r>
      <w:r>
        <w:rPr>
          <w:rFonts w:ascii="Times New Roman" w:hAnsi="Times New Roman" w:cs="Times New Roman"/>
          <w:sz w:val="24"/>
          <w:szCs w:val="24"/>
        </w:rPr>
        <w:t xml:space="preserve">engagement within the context of an English language teaching class in the </w:t>
      </w:r>
      <w:r>
        <w:rPr>
          <w:rFonts w:hint="eastAsia" w:ascii="Times New Roman" w:hAnsi="Times New Roman" w:eastAsia="宋体" w:cs="Times New Roman"/>
          <w:sz w:val="24"/>
          <w:szCs w:val="24"/>
          <w:lang w:val="en-US" w:eastAsia="zh-CN"/>
        </w:rPr>
        <w:t xml:space="preserve">one </w:t>
      </w:r>
      <w:r>
        <w:rPr>
          <w:rFonts w:ascii="Times New Roman" w:hAnsi="Times New Roman" w:cs="Times New Roman"/>
          <w:sz w:val="24"/>
          <w:szCs w:val="24"/>
        </w:rPr>
        <w:t xml:space="preserve">Chinese </w:t>
      </w:r>
      <w:r>
        <w:rPr>
          <w:rFonts w:hint="eastAsia" w:ascii="Times New Roman" w:hAnsi="Times New Roman" w:eastAsia="宋体" w:cs="Times New Roman"/>
          <w:sz w:val="24"/>
          <w:szCs w:val="24"/>
          <w:lang w:val="en-US" w:eastAsia="zh-CN"/>
        </w:rPr>
        <w:t xml:space="preserve">private </w:t>
      </w:r>
      <w:r>
        <w:rPr>
          <w:rFonts w:ascii="Times New Roman" w:hAnsi="Times New Roman" w:cs="Times New Roman"/>
          <w:sz w:val="24"/>
          <w:szCs w:val="24"/>
        </w:rPr>
        <w:t>universit</w:t>
      </w:r>
      <w:r>
        <w:rPr>
          <w:rFonts w:hint="eastAsia" w:ascii="Times New Roman" w:hAnsi="Times New Roman" w:eastAsia="宋体" w:cs="Times New Roman"/>
          <w:sz w:val="24"/>
          <w:szCs w:val="24"/>
          <w:lang w:val="en-US" w:eastAsia="zh-CN"/>
        </w:rPr>
        <w:t>y</w:t>
      </w:r>
      <w:r>
        <w:rPr>
          <w:rFonts w:ascii="Times New Roman" w:hAnsi="Times New Roman" w:cs="Times New Roman"/>
          <w:sz w:val="24"/>
          <w:szCs w:val="24"/>
        </w:rPr>
        <w:t>.</w:t>
      </w:r>
    </w:p>
    <w:p>
      <w:pPr>
        <w:spacing w:line="480" w:lineRule="auto"/>
        <w:jc w:val="left"/>
        <w:rPr>
          <w:rFonts w:hint="eastAsia" w:ascii="Times New Roman" w:hAnsi="Times New Roman" w:cs="Times New Roman"/>
          <w:sz w:val="24"/>
          <w:szCs w:val="24"/>
        </w:rPr>
      </w:pPr>
      <w:r>
        <w:rPr>
          <w:rFonts w:hint="eastAsia" w:ascii="Times New Roman" w:hAnsi="Times New Roman" w:eastAsia="宋体" w:cs="Times New Roman"/>
          <w:sz w:val="24"/>
          <w:szCs w:val="24"/>
          <w:lang w:val="en-US" w:eastAsia="zh-CN"/>
        </w:rPr>
        <w:t>2.</w:t>
      </w:r>
      <w:r>
        <w:rPr>
          <w:rFonts w:hint="eastAsia" w:ascii="Times New Roman" w:hAnsi="Times New Roman" w:cs="Times New Roman"/>
          <w:sz w:val="24"/>
          <w:szCs w:val="24"/>
        </w:rPr>
        <w:t>How those perceptions of student engagement were understood by student in ELT class in a Chinese university？</w:t>
      </w:r>
    </w:p>
    <w:p>
      <w:pPr>
        <w:spacing w:line="480" w:lineRule="auto"/>
        <w:jc w:val="left"/>
        <w:rPr>
          <w:rFonts w:hint="default" w:ascii="Times New Roman" w:hAnsi="Times New Roman" w:cs="Times New Roman"/>
          <w:sz w:val="24"/>
          <w:szCs w:val="24"/>
          <w:lang w:val="en-US"/>
        </w:rPr>
      </w:pPr>
      <w:r>
        <w:rPr>
          <w:rFonts w:hint="eastAsia" w:ascii="Times New Roman" w:hAnsi="Times New Roman" w:eastAsia="宋体" w:cs="Times New Roman"/>
          <w:sz w:val="24"/>
          <w:szCs w:val="24"/>
          <w:lang w:val="en-US" w:eastAsia="zh-CN"/>
        </w:rPr>
        <w:t>3.</w:t>
      </w:r>
      <w:r>
        <w:rPr>
          <w:rFonts w:ascii="Times New Roman" w:hAnsi="Times New Roman" w:cs="Times New Roman"/>
          <w:sz w:val="24"/>
          <w:szCs w:val="24"/>
        </w:rPr>
        <w:t>To help in the study of the manifestations of student engagement in the context of English language learning in the Chinese universit</w:t>
      </w:r>
      <w:r>
        <w:rPr>
          <w:rFonts w:hint="eastAsia" w:ascii="Times New Roman" w:hAnsi="Times New Roman" w:eastAsia="宋体" w:cs="Times New Roman"/>
          <w:sz w:val="24"/>
          <w:szCs w:val="24"/>
          <w:lang w:val="en-US" w:eastAsia="zh-CN"/>
        </w:rPr>
        <w:t>y and also review student's understanding of student engagement.</w:t>
      </w:r>
    </w:p>
    <w:p>
      <w:pPr>
        <w:spacing w:line="480" w:lineRule="auto"/>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w:t>
      </w:r>
      <w:r>
        <w:rPr>
          <w:rFonts w:hint="eastAsia" w:ascii="Times New Roman" w:hAnsi="Times New Roman" w:cs="Times New Roman"/>
          <w:sz w:val="24"/>
          <w:szCs w:val="24"/>
        </w:rPr>
        <w:t xml:space="preserve">To understand the Nuances of Student Engagement in </w:t>
      </w:r>
      <w:r>
        <w:rPr>
          <w:rFonts w:hint="eastAsia" w:ascii="Times New Roman" w:hAnsi="Times New Roman" w:eastAsia="宋体" w:cs="Times New Roman"/>
          <w:sz w:val="24"/>
          <w:szCs w:val="24"/>
          <w:lang w:val="en-US" w:eastAsia="zh-CN"/>
        </w:rPr>
        <w:t xml:space="preserve">the </w:t>
      </w:r>
      <w:r>
        <w:rPr>
          <w:rFonts w:hint="eastAsia" w:ascii="Times New Roman" w:hAnsi="Times New Roman" w:cs="Times New Roman"/>
          <w:sz w:val="24"/>
          <w:szCs w:val="24"/>
        </w:rPr>
        <w:t>ELT</w:t>
      </w:r>
      <w:r>
        <w:rPr>
          <w:rFonts w:hint="eastAsia" w:ascii="Times New Roman" w:hAnsi="Times New Roman" w:eastAsia="宋体" w:cs="Times New Roman"/>
          <w:sz w:val="24"/>
          <w:szCs w:val="24"/>
          <w:lang w:val="en-US" w:eastAsia="zh-CN"/>
        </w:rPr>
        <w:t xml:space="preserve"> lessons of Chinese university settings.</w:t>
      </w:r>
    </w:p>
    <w:p>
      <w:pPr>
        <w:pStyle w:val="3"/>
        <w:spacing w:line="480" w:lineRule="auto"/>
        <w:rPr>
          <w:sz w:val="24"/>
          <w:szCs w:val="24"/>
        </w:rPr>
      </w:pPr>
      <w:bookmarkStart w:id="12" w:name="_Toc20523"/>
      <w:r>
        <w:rPr>
          <w:sz w:val="24"/>
          <w:szCs w:val="24"/>
        </w:rPr>
        <w:t>Research Questions</w:t>
      </w:r>
      <w:bookmarkEnd w:id="12"/>
      <w:r>
        <w:rPr>
          <w:sz w:val="24"/>
          <w:szCs w:val="24"/>
        </w:rPr>
        <w:t xml:space="preserve"> </w:t>
      </w:r>
    </w:p>
    <w:p>
      <w:pPr>
        <w:pStyle w:val="21"/>
        <w:numPr>
          <w:ilvl w:val="0"/>
          <w:numId w:val="0"/>
        </w:num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How do </w:t>
      </w:r>
      <w:r>
        <w:rPr>
          <w:rFonts w:hint="eastAsia" w:ascii="Times New Roman" w:hAnsi="Times New Roman" w:eastAsia="宋体" w:cs="Times New Roman"/>
          <w:sz w:val="24"/>
          <w:szCs w:val="24"/>
          <w:lang w:val="en-US" w:eastAsia="zh-CN"/>
        </w:rPr>
        <w:t xml:space="preserve">university </w:t>
      </w:r>
      <w:r>
        <w:rPr>
          <w:rFonts w:ascii="Times New Roman" w:hAnsi="Times New Roman" w:cs="Times New Roman"/>
          <w:sz w:val="24"/>
          <w:szCs w:val="24"/>
        </w:rPr>
        <w:t>students in an English Language Teaching class, in a Chinese university, understand student engagement? Based on this research question, students in the universities in China may be able to understand student engagement in various ways which include the following;</w:t>
      </w:r>
    </w:p>
    <w:p>
      <w:pPr>
        <w:pStyle w:val="21"/>
        <w:numPr>
          <w:ilvl w:val="0"/>
          <w:numId w:val="1"/>
        </w:num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Active participation where students who are engaged are actively participating in class discussion groups and exercises. Students ask questions, give suggestions and contribute in class. </w:t>
      </w:r>
    </w:p>
    <w:p>
      <w:pPr>
        <w:pStyle w:val="21"/>
        <w:numPr>
          <w:ilvl w:val="0"/>
          <w:numId w:val="1"/>
        </w:numPr>
        <w:spacing w:line="480" w:lineRule="auto"/>
        <w:jc w:val="left"/>
        <w:rPr>
          <w:rFonts w:ascii="Times New Roman" w:hAnsi="Times New Roman" w:cs="Times New Roman"/>
          <w:sz w:val="24"/>
          <w:szCs w:val="24"/>
        </w:rPr>
      </w:pPr>
      <w:r>
        <w:rPr>
          <w:rFonts w:ascii="Times New Roman" w:hAnsi="Times New Roman" w:cs="Times New Roman"/>
          <w:sz w:val="24"/>
          <w:szCs w:val="24"/>
        </w:rPr>
        <w:t>Interests and motivations. When students are engaged, they show genuine interests and motivation in studying English language.</w:t>
      </w:r>
    </w:p>
    <w:p>
      <w:pPr>
        <w:pStyle w:val="21"/>
        <w:numPr>
          <w:ilvl w:val="0"/>
          <w:numId w:val="1"/>
        </w:numPr>
        <w:spacing w:line="480" w:lineRule="auto"/>
        <w:jc w:val="left"/>
        <w:rPr>
          <w:rFonts w:ascii="Times New Roman" w:hAnsi="Times New Roman" w:cs="Times New Roman"/>
          <w:sz w:val="24"/>
          <w:szCs w:val="24"/>
        </w:rPr>
      </w:pPr>
      <w:r>
        <w:rPr>
          <w:rFonts w:ascii="Times New Roman" w:hAnsi="Times New Roman" w:cs="Times New Roman"/>
          <w:sz w:val="24"/>
          <w:szCs w:val="24"/>
        </w:rPr>
        <w:t>Giving feedback and interaction- when students are engaged in class the seek feedbacks from their teachers to improve their performance on language skills. They will also be able to interact with their teachers and classmates and practicing the language skill most of their time</w:t>
      </w:r>
    </w:p>
    <w:p>
      <w:pPr>
        <w:pStyle w:val="21"/>
        <w:numPr>
          <w:ilvl w:val="0"/>
          <w:numId w:val="1"/>
        </w:numPr>
        <w:spacing w:line="480" w:lineRule="auto"/>
        <w:jc w:val="left"/>
        <w:rPr>
          <w:rFonts w:ascii="Times New Roman" w:hAnsi="Times New Roman" w:cs="Times New Roman"/>
          <w:sz w:val="24"/>
          <w:szCs w:val="24"/>
        </w:rPr>
      </w:pPr>
      <w:r>
        <w:rPr>
          <w:rFonts w:ascii="Times New Roman" w:hAnsi="Times New Roman" w:cs="Times New Roman"/>
          <w:sz w:val="24"/>
          <w:szCs w:val="24"/>
        </w:rPr>
        <w:t>Students who are engaged like using the technology to access the online resources for them to use in understanding better in their language skills. They may as well engage themselves on online platforms and learning apps</w:t>
      </w:r>
    </w:p>
    <w:p>
      <w:pPr>
        <w:pStyle w:val="21"/>
        <w:numPr>
          <w:ilvl w:val="0"/>
          <w:numId w:val="1"/>
        </w:numPr>
        <w:spacing w:line="480" w:lineRule="auto"/>
        <w:jc w:val="left"/>
        <w:rPr>
          <w:rFonts w:ascii="Times New Roman" w:hAnsi="Times New Roman" w:cs="Times New Roman"/>
          <w:sz w:val="24"/>
          <w:szCs w:val="24"/>
        </w:rPr>
      </w:pPr>
      <w:r>
        <w:rPr>
          <w:rFonts w:ascii="Times New Roman" w:hAnsi="Times New Roman" w:cs="Times New Roman"/>
          <w:sz w:val="24"/>
          <w:szCs w:val="24"/>
        </w:rPr>
        <w:t>Students who are engaged understand students engagement through collaborative learning such as group work, peer teaching and exchange of language programs</w:t>
      </w:r>
    </w:p>
    <w:p>
      <w:pPr>
        <w:pStyle w:val="21"/>
        <w:numPr>
          <w:ilvl w:val="0"/>
          <w:numId w:val="1"/>
        </w:num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They apply language skills while they are outside classroom like when they are participating in different language clubs, or engaging themselves in events that are English based. </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sectPr>
          <w:pgSz w:w="12240" w:h="15840"/>
          <w:pgMar w:top="1440" w:right="1440" w:bottom="1440" w:left="1440" w:header="720" w:footer="720" w:gutter="0"/>
          <w:pgBorders>
            <w:top w:val="none" w:sz="0" w:space="0"/>
            <w:left w:val="none" w:sz="0" w:space="0"/>
            <w:bottom w:val="none" w:sz="0" w:space="0"/>
            <w:right w:val="none" w:sz="0" w:space="0"/>
          </w:pgBorders>
          <w:cols w:space="720" w:num="1"/>
        </w:sectPr>
      </w:pPr>
    </w:p>
    <w:p>
      <w:pPr>
        <w:pStyle w:val="2"/>
        <w:jc w:val="center"/>
        <w:rPr>
          <w:rFonts w:hint="default" w:ascii="Times New Roman" w:hAnsi="Times New Roman" w:cs="Times New Roman"/>
          <w:sz w:val="30"/>
          <w:szCs w:val="30"/>
        </w:rPr>
      </w:pPr>
      <w:bookmarkStart w:id="13" w:name="_Toc28224"/>
      <w:bookmarkStart w:id="14" w:name="_Toc154735196"/>
      <w:bookmarkStart w:id="15" w:name="_Toc31852"/>
      <w:r>
        <w:rPr>
          <w:rFonts w:hint="default" w:ascii="Times New Roman" w:hAnsi="Times New Roman" w:cs="Times New Roman"/>
          <w:sz w:val="30"/>
          <w:szCs w:val="30"/>
        </w:rPr>
        <w:t>CHAPTER 2</w:t>
      </w:r>
      <w:bookmarkStart w:id="16" w:name="_Toc24278"/>
      <w:r>
        <w:rPr>
          <w:rFonts w:hint="default" w:ascii="Times New Roman" w:hAnsi="Times New Roman" w:cs="Times New Roman"/>
          <w:sz w:val="30"/>
          <w:szCs w:val="30"/>
        </w:rPr>
        <w:t>: LITERATURE REVIEW</w:t>
      </w:r>
      <w:bookmarkEnd w:id="13"/>
      <w:bookmarkEnd w:id="14"/>
      <w:bookmarkEnd w:id="15"/>
      <w:bookmarkEnd w:id="16"/>
    </w:p>
    <w:p>
      <w:pPr>
        <w:rPr>
          <w:rFonts w:hint="default"/>
        </w:rPr>
      </w:pPr>
    </w:p>
    <w:p>
      <w:pPr>
        <w:pStyle w:val="3"/>
      </w:pPr>
      <w:bookmarkStart w:id="17" w:name="_Toc11116"/>
      <w:bookmarkStart w:id="18" w:name="_Toc157803593"/>
      <w:bookmarkStart w:id="19" w:name="_Toc154735197"/>
      <w:bookmarkStart w:id="20" w:name="_Toc20949"/>
      <w:r>
        <w:t>2.1 Introduction</w:t>
      </w:r>
      <w:bookmarkEnd w:id="17"/>
      <w:bookmarkEnd w:id="18"/>
      <w:bookmarkEnd w:id="19"/>
      <w:bookmarkEnd w:id="20"/>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 The importance of student engagement in English language </w:t>
      </w:r>
      <w:r>
        <w:rPr>
          <w:rFonts w:hint="eastAsia" w:ascii="Times New Roman" w:hAnsi="Times New Roman" w:eastAsia="宋体" w:cs="Times New Roman"/>
          <w:sz w:val="24"/>
          <w:szCs w:val="24"/>
          <w:lang w:val="en-US" w:eastAsia="zh-CN"/>
        </w:rPr>
        <w:t xml:space="preserve">lesson </w:t>
      </w:r>
      <w:r>
        <w:rPr>
          <w:rFonts w:ascii="Times New Roman" w:hAnsi="Times New Roman" w:cs="Times New Roman"/>
          <w:sz w:val="24"/>
          <w:szCs w:val="24"/>
        </w:rPr>
        <w:t xml:space="preserve">study in the Chinese universities has positively influenced the understanding and the instruction deliveries of the English language by the learners and cannot be ignored. With the continued growth of the English language, there is a need to get more information and the views of the current existing system so as to make informed decision concerning the student’s participation. China is a world class center of learning institution in the world. China is focusing to enhance its citizens to interacting with different people across the globe. Therefore, China has setup </w:t>
      </w:r>
      <w:r>
        <w:rPr>
          <w:rFonts w:hint="eastAsia" w:ascii="Times New Roman" w:hAnsi="Times New Roman" w:eastAsia="宋体" w:cs="Times New Roman"/>
          <w:sz w:val="24"/>
          <w:szCs w:val="24"/>
          <w:lang w:val="en-US" w:eastAsia="zh-CN"/>
        </w:rPr>
        <w:t>the various institutes such as departments, schools, colleges and universities</w:t>
      </w:r>
      <w:r>
        <w:rPr>
          <w:rFonts w:ascii="Times New Roman" w:hAnsi="Times New Roman" w:cs="Times New Roman"/>
          <w:sz w:val="24"/>
          <w:szCs w:val="24"/>
        </w:rPr>
        <w:t xml:space="preserve"> for </w:t>
      </w:r>
      <w:r>
        <w:rPr>
          <w:rFonts w:hint="eastAsia" w:ascii="Times New Roman" w:hAnsi="Times New Roman" w:eastAsia="宋体" w:cs="Times New Roman"/>
          <w:sz w:val="24"/>
          <w:szCs w:val="24"/>
          <w:lang w:val="en-US" w:eastAsia="zh-CN"/>
        </w:rPr>
        <w:t xml:space="preserve">enhancing </w:t>
      </w:r>
      <w:r>
        <w:rPr>
          <w:rFonts w:ascii="Times New Roman" w:hAnsi="Times New Roman" w:cs="Times New Roman"/>
          <w:sz w:val="24"/>
          <w:szCs w:val="24"/>
        </w:rPr>
        <w:t xml:space="preserve">English language learning to allow students engage with the teachers while being taught in English language class. China started enrolling English from primary school levels to universities and colleges.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However, emphasis has been put on English, there are different issues Chinese universities are experiencing. The challenges include class size which sometimes are very large, there is limited access to language resources and traditional methods of teaching. Also, China is a place where </w:t>
      </w:r>
      <w:r>
        <w:rPr>
          <w:rFonts w:hint="eastAsia" w:ascii="Times New Roman" w:hAnsi="Times New Roman" w:eastAsia="宋体" w:cs="Times New Roman"/>
          <w:sz w:val="24"/>
          <w:szCs w:val="24"/>
          <w:lang w:val="en-US" w:eastAsia="zh-CN"/>
        </w:rPr>
        <w:t xml:space="preserve">traditional local </w:t>
      </w:r>
      <w:r>
        <w:rPr>
          <w:rFonts w:ascii="Times New Roman" w:hAnsi="Times New Roman" w:cs="Times New Roman"/>
          <w:sz w:val="24"/>
          <w:szCs w:val="24"/>
        </w:rPr>
        <w:t xml:space="preserve">culture is respected so much which has severely influence the teaching in </w:t>
      </w:r>
      <w:r>
        <w:rPr>
          <w:rFonts w:hint="eastAsia" w:ascii="Times New Roman" w:hAnsi="Times New Roman" w:eastAsia="宋体" w:cs="Times New Roman"/>
          <w:sz w:val="24"/>
          <w:szCs w:val="24"/>
          <w:lang w:val="en-US" w:eastAsia="zh-CN"/>
        </w:rPr>
        <w:t>the</w:t>
      </w:r>
      <w:r>
        <w:rPr>
          <w:rFonts w:ascii="Times New Roman" w:hAnsi="Times New Roman" w:cs="Times New Roman"/>
          <w:sz w:val="24"/>
          <w:szCs w:val="24"/>
        </w:rPr>
        <w:t xml:space="preserve"> English class in a Chinese university. </w:t>
      </w:r>
    </w:p>
    <w:p>
      <w:pPr>
        <w:pStyle w:val="3"/>
      </w:pPr>
      <w:bookmarkStart w:id="21" w:name="_Toc12426"/>
      <w:r>
        <w:t>2.2 What is Student Engagement in Higher Education?</w:t>
      </w:r>
      <w:bookmarkEnd w:id="21"/>
    </w:p>
    <w:p>
      <w:pPr>
        <w:spacing w:line="480" w:lineRule="auto"/>
        <w:ind w:firstLine="480" w:firstLineChars="200"/>
        <w:jc w:val="left"/>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This literature review seeks to vigorously give detailed information about the current benefits of student engagement in the teaching of English language in Chines Universities. Thus, encouraging the participation of students not only in Chines universities but also across the global.</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The significance of student’s involvement in the sector of education has been essential for the production of good results in their overall performance in the examination. The involvement has made the students active while receiving information rather than being inactive while learning activities are taking place, in such situations the students have better understanding and increases the creativity of the learners. MA and Wei, 2022). With such circumstances learning and data interpretation of concepts by students has been made easier and more efficient in the Chines Universities. On the other hand</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the </w:t>
      </w:r>
      <w:r>
        <w:rPr>
          <w:rFonts w:hint="eastAsia" w:ascii="Times New Roman" w:hAnsi="Times New Roman" w:eastAsia="宋体" w:cs="Times New Roman"/>
          <w:sz w:val="24"/>
          <w:szCs w:val="24"/>
          <w:lang w:val="en-US" w:eastAsia="zh-CN"/>
        </w:rPr>
        <w:t>ELT lesson lecturers</w:t>
      </w:r>
      <w:r>
        <w:rPr>
          <w:rFonts w:ascii="Times New Roman" w:hAnsi="Times New Roman" w:cs="Times New Roman"/>
          <w:sz w:val="24"/>
          <w:szCs w:val="24"/>
        </w:rPr>
        <w:t xml:space="preserve"> too have a chance to understand their students better and incorporate most efficient method that favor all types of learners</w:t>
      </w:r>
      <w:r>
        <w:rPr>
          <w:rFonts w:hint="eastAsia" w:ascii="Times New Roman" w:hAnsi="Times New Roman" w:eastAsia="宋体" w:cs="Times New Roman"/>
          <w:sz w:val="24"/>
          <w:szCs w:val="24"/>
          <w:lang w:val="en-US" w:eastAsia="zh-CN"/>
        </w:rPr>
        <w:t>.</w:t>
      </w:r>
    </w:p>
    <w:p>
      <w:pPr>
        <w:pStyle w:val="3"/>
      </w:pPr>
      <w:bookmarkStart w:id="22" w:name="_Toc28478"/>
      <w:r>
        <w:t xml:space="preserve">2.3 </w:t>
      </w:r>
      <w:r>
        <w:rPr>
          <w:rFonts w:hint="eastAsia" w:eastAsia="宋体"/>
          <w:lang w:val="en-US" w:eastAsia="zh-CN"/>
        </w:rPr>
        <w:t xml:space="preserve">The </w:t>
      </w:r>
      <w:r>
        <w:t xml:space="preserve">Research on Student Engagement in </w:t>
      </w:r>
      <w:r>
        <w:rPr>
          <w:rFonts w:hint="eastAsia" w:eastAsia="宋体"/>
          <w:lang w:val="en-US" w:eastAsia="zh-CN"/>
        </w:rPr>
        <w:t xml:space="preserve">Mainalnad </w:t>
      </w:r>
      <w:r>
        <w:t>China</w:t>
      </w:r>
      <w:bookmarkEnd w:id="22"/>
    </w:p>
    <w:p>
      <w:pPr>
        <w:spacing w:line="480" w:lineRule="auto"/>
        <w:ind w:firstLine="480" w:firstLineChars="200"/>
        <w:jc w:val="left"/>
        <w:rPr>
          <w:rFonts w:hint="eastAsia" w:ascii="Times New Roman" w:hAnsi="Times New Roman" w:eastAsia="宋体" w:cs="Times New Roman"/>
          <w:sz w:val="24"/>
          <w:szCs w:val="24"/>
          <w:lang w:val="en-US" w:eastAsia="zh-CN"/>
        </w:rPr>
      </w:pPr>
      <w:bookmarkStart w:id="23" w:name="OLE_LINK3"/>
      <w:r>
        <w:rPr>
          <w:rFonts w:ascii="Times New Roman" w:hAnsi="Times New Roman" w:cs="Times New Roman"/>
          <w:sz w:val="24"/>
          <w:szCs w:val="24"/>
        </w:rPr>
        <w:t xml:space="preserve">In order to get a better understanding, this </w:t>
      </w:r>
      <w:r>
        <w:rPr>
          <w:rFonts w:hint="eastAsia" w:ascii="Times New Roman" w:hAnsi="Times New Roman" w:eastAsia="宋体" w:cs="Times New Roman"/>
          <w:sz w:val="24"/>
          <w:szCs w:val="24"/>
          <w:lang w:val="en-US" w:eastAsia="zh-CN"/>
        </w:rPr>
        <w:t>assignment</w:t>
      </w:r>
      <w:r>
        <w:rPr>
          <w:rFonts w:ascii="Times New Roman" w:hAnsi="Times New Roman" w:cs="Times New Roman"/>
          <w:sz w:val="24"/>
          <w:szCs w:val="24"/>
        </w:rPr>
        <w:t xml:space="preserve"> examines the past views of different learners and what the students themselves have to say about how they find the students involvement in the teaching and learning of the English language therefore, giving thoughts, inspirations and more informed decisions as to why the students involvement in the English language classrooms should always be considered as a necessity.  Through the examination and investigation of student’s involvement, the agenda of this research is to find out more ways to ensure the efficiency in the teaching and learning of the English language in the Chines Universit</w:t>
      </w:r>
      <w:r>
        <w:rPr>
          <w:rFonts w:hint="eastAsia" w:ascii="Times New Roman" w:hAnsi="Times New Roman" w:eastAsia="宋体" w:cs="Times New Roman"/>
          <w:sz w:val="24"/>
          <w:szCs w:val="24"/>
          <w:lang w:val="en-US" w:eastAsia="zh-CN"/>
        </w:rPr>
        <w:t>y</w:t>
      </w:r>
      <w:r>
        <w:rPr>
          <w:rFonts w:ascii="Times New Roman" w:hAnsi="Times New Roman" w:cs="Times New Roman"/>
          <w:sz w:val="24"/>
          <w:szCs w:val="24"/>
        </w:rPr>
        <w:t xml:space="preserve"> (Yang and Hu, 2023).  This attempt is in accordance with the goals of ensuring that the English Language teaching achieves  its aims  continued process in achieving better results in the near future by ensuring that   the  students are more knowledgeable of the English language therefore achieving good results in the examination.Finally,the blending of the insights provided in this </w:t>
      </w:r>
      <w:r>
        <w:rPr>
          <w:rFonts w:hint="eastAsia" w:ascii="Times New Roman" w:hAnsi="Times New Roman" w:eastAsia="宋体" w:cs="Times New Roman"/>
          <w:sz w:val="24"/>
          <w:szCs w:val="24"/>
          <w:lang w:val="en-US" w:eastAsia="zh-CN"/>
        </w:rPr>
        <w:t>assignment</w:t>
      </w:r>
      <w:r>
        <w:rPr>
          <w:rFonts w:ascii="Times New Roman" w:hAnsi="Times New Roman" w:cs="Times New Roman"/>
          <w:sz w:val="24"/>
          <w:szCs w:val="24"/>
        </w:rPr>
        <w:t xml:space="preserve"> aims at ensuring that the teaching of the English Language in the Chinese universities remains self-motivated, interactive and the learners as well are more responsive to their teaching facilitators</w:t>
      </w:r>
      <w:r>
        <w:rPr>
          <w:rFonts w:hint="eastAsia" w:ascii="Times New Roman" w:hAnsi="Times New Roman" w:eastAsia="宋体" w:cs="Times New Roman"/>
          <w:sz w:val="24"/>
          <w:szCs w:val="24"/>
          <w:lang w:val="en-US" w:eastAsia="zh-CN"/>
        </w:rPr>
        <w:t xml:space="preserve"> (lecturers).</w:t>
      </w:r>
    </w:p>
    <w:bookmarkEnd w:id="23"/>
    <w:p>
      <w:pPr>
        <w:pStyle w:val="3"/>
      </w:pPr>
      <w:bookmarkStart w:id="24" w:name="_Toc32024"/>
      <w:r>
        <w:rPr>
          <w:rFonts w:hint="eastAsia" w:eastAsia="宋体"/>
          <w:lang w:val="en-US" w:eastAsia="zh-CN"/>
        </w:rPr>
        <w:t>The f</w:t>
      </w:r>
      <w:r>
        <w:t xml:space="preserve">actors </w:t>
      </w:r>
      <w:r>
        <w:rPr>
          <w:rFonts w:hint="eastAsia" w:eastAsia="宋体"/>
          <w:lang w:val="en-US" w:eastAsia="zh-CN"/>
        </w:rPr>
        <w:t>i</w:t>
      </w:r>
      <w:r>
        <w:t xml:space="preserve">nfluencing </w:t>
      </w:r>
      <w:r>
        <w:rPr>
          <w:rFonts w:hint="eastAsia" w:eastAsia="宋体"/>
          <w:lang w:val="en-US" w:eastAsia="zh-CN"/>
        </w:rPr>
        <w:t>s</w:t>
      </w:r>
      <w:r>
        <w:t xml:space="preserve">tudent </w:t>
      </w:r>
      <w:r>
        <w:rPr>
          <w:rFonts w:hint="eastAsia" w:eastAsia="宋体"/>
          <w:lang w:val="en-US" w:eastAsia="zh-CN"/>
        </w:rPr>
        <w:t>e</w:t>
      </w:r>
      <w:r>
        <w:t>ngagement:</w:t>
      </w:r>
      <w:bookmarkEnd w:id="24"/>
    </w:p>
    <w:p>
      <w:pPr>
        <w:spacing w:line="480" w:lineRule="auto"/>
        <w:ind w:firstLine="480" w:firstLineChars="200"/>
        <w:jc w:val="left"/>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 xml:space="preserve">There are several factors influencing student engagement on students who study English in </w:t>
      </w:r>
      <w:r>
        <w:rPr>
          <w:rFonts w:hint="eastAsia" w:ascii="Times New Roman" w:hAnsi="Times New Roman" w:eastAsia="宋体" w:cs="Times New Roman"/>
          <w:sz w:val="24"/>
          <w:szCs w:val="24"/>
          <w:lang w:val="en-US" w:eastAsia="zh-CN"/>
        </w:rPr>
        <w:t>Chinese university at mainland China</w:t>
      </w:r>
      <w:r>
        <w:rPr>
          <w:rFonts w:ascii="Times New Roman" w:hAnsi="Times New Roman" w:cs="Times New Roman"/>
          <w:sz w:val="24"/>
          <w:szCs w:val="24"/>
        </w:rPr>
        <w:t xml:space="preserve">. They include the major in which the student learn, the size in the number of </w:t>
      </w:r>
      <w:r>
        <w:rPr>
          <w:rFonts w:hint="eastAsia" w:ascii="Times New Roman" w:hAnsi="Times New Roman" w:eastAsia="宋体" w:cs="Times New Roman"/>
          <w:sz w:val="24"/>
          <w:szCs w:val="24"/>
          <w:lang w:val="en-US" w:eastAsia="zh-CN"/>
        </w:rPr>
        <w:t xml:space="preserve">university </w:t>
      </w:r>
      <w:r>
        <w:rPr>
          <w:rFonts w:ascii="Times New Roman" w:hAnsi="Times New Roman" w:cs="Times New Roman"/>
          <w:sz w:val="24"/>
          <w:szCs w:val="24"/>
        </w:rPr>
        <w:t xml:space="preserve">students in </w:t>
      </w:r>
      <w:r>
        <w:rPr>
          <w:rFonts w:hint="eastAsia" w:ascii="Times New Roman" w:hAnsi="Times New Roman" w:eastAsia="宋体" w:cs="Times New Roman"/>
          <w:sz w:val="24"/>
          <w:szCs w:val="24"/>
          <w:lang w:val="en-US" w:eastAsia="zh-CN"/>
        </w:rPr>
        <w:t xml:space="preserve">ELT </w:t>
      </w:r>
      <w:r>
        <w:rPr>
          <w:rFonts w:ascii="Times New Roman" w:hAnsi="Times New Roman" w:cs="Times New Roman"/>
          <w:sz w:val="24"/>
          <w:szCs w:val="24"/>
        </w:rPr>
        <w:t xml:space="preserve">class, the culture among the population, individual behavioral implications, the classroom establishment and teaching methods as has been researched and discuss in this </w:t>
      </w:r>
      <w:r>
        <w:rPr>
          <w:rFonts w:hint="eastAsia" w:ascii="Times New Roman" w:hAnsi="Times New Roman" w:eastAsia="宋体" w:cs="Times New Roman"/>
          <w:sz w:val="24"/>
          <w:szCs w:val="24"/>
          <w:lang w:val="en-US" w:eastAsia="zh-CN"/>
        </w:rPr>
        <w:t>assignment</w:t>
      </w:r>
      <w:r>
        <w:rPr>
          <w:rFonts w:ascii="Times New Roman" w:hAnsi="Times New Roman" w:cs="Times New Roman"/>
          <w:sz w:val="24"/>
          <w:szCs w:val="24"/>
        </w:rPr>
        <w:t xml:space="preserve">. The role of extracurricular activities in student engagement is to enhance the method through which student may interact together sharing happiness through sporting activities. The role of technology such that students may be able to interact through various use of technologies while enaging themselves with school activities. This include the use of </w:t>
      </w:r>
      <w:r>
        <w:rPr>
          <w:rFonts w:hint="eastAsia" w:ascii="Times New Roman" w:hAnsi="Times New Roman" w:cs="Times New Roman"/>
          <w:sz w:val="24"/>
          <w:szCs w:val="24"/>
        </w:rPr>
        <w:t>Artificial intelligence</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AI</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in enhancing translation among students for quick understanding. Student understanding of student engagement ( internationally - and in </w:t>
      </w:r>
      <w:r>
        <w:rPr>
          <w:rFonts w:hint="eastAsia" w:ascii="Times New Roman" w:hAnsi="Times New Roman" w:eastAsia="宋体" w:cs="Times New Roman"/>
          <w:sz w:val="24"/>
          <w:szCs w:val="24"/>
          <w:lang w:val="en-US" w:eastAsia="zh-CN"/>
        </w:rPr>
        <w:t xml:space="preserve">mainland </w:t>
      </w:r>
      <w:r>
        <w:rPr>
          <w:rFonts w:ascii="Times New Roman" w:hAnsi="Times New Roman" w:cs="Times New Roman"/>
          <w:sz w:val="24"/>
          <w:szCs w:val="24"/>
        </w:rPr>
        <w:t>China)</w:t>
      </w:r>
      <w:r>
        <w:rPr>
          <w:rFonts w:hint="eastAsia" w:ascii="Times New Roman" w:hAnsi="Times New Roman" w:eastAsia="宋体" w:cs="Times New Roman"/>
          <w:sz w:val="24"/>
          <w:szCs w:val="24"/>
          <w:lang w:val="en-US" w:eastAsia="zh-CN"/>
        </w:rPr>
        <w:t>.</w:t>
      </w:r>
    </w:p>
    <w:p>
      <w:pPr>
        <w:pStyle w:val="3"/>
      </w:pPr>
      <w:bookmarkStart w:id="25" w:name="_Toc9819"/>
      <w:r>
        <w:t>The importance of understanding student engagement</w:t>
      </w:r>
      <w:bookmarkEnd w:id="25"/>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Internationally, student understanding of student engagement shows that in USA studies are majorly focusing on student engagement. As stated by</w:t>
      </w:r>
      <w:r>
        <w:rPr>
          <w:rFonts w:hint="eastAsia" w:ascii="Times New Roman" w:hAnsi="Times New Roman" w:eastAsia="宋体" w:cs="Times New Roman"/>
          <w:sz w:val="24"/>
          <w:szCs w:val="24"/>
          <w:lang w:val="en-US" w:eastAsia="zh-CN"/>
        </w:rPr>
        <w:t xml:space="preserve"> Carr (2015)</w:t>
      </w:r>
      <w:r>
        <w:rPr>
          <w:rFonts w:ascii="Times New Roman" w:hAnsi="Times New Roman" w:cs="Times New Roman"/>
          <w:sz w:val="24"/>
          <w:szCs w:val="24"/>
        </w:rPr>
        <w:t xml:space="preserve">, emphasizes the importance of active learning and use of collaborative activities. Studies on UK shows the role of a student in the aspect of enhancing quality education. Research have identified several aspects such as sense of belongings and peer to peer interaction among teachers and students. In Australia,  focuses on student centered methods of teaching. It focuses on the rate of the retention and the overall outcomes. The focus of student engagement in </w:t>
      </w:r>
      <w:r>
        <w:rPr>
          <w:rFonts w:hint="eastAsia" w:ascii="Times New Roman" w:hAnsi="Times New Roman" w:eastAsia="宋体" w:cs="Times New Roman"/>
          <w:sz w:val="24"/>
          <w:szCs w:val="24"/>
          <w:lang w:val="en-US" w:eastAsia="zh-CN"/>
        </w:rPr>
        <w:t xml:space="preserve">mainland </w:t>
      </w:r>
      <w:r>
        <w:rPr>
          <w:rFonts w:ascii="Times New Roman" w:hAnsi="Times New Roman" w:cs="Times New Roman"/>
          <w:sz w:val="24"/>
          <w:szCs w:val="24"/>
        </w:rPr>
        <w:t>China is focusing on the class size, culture activities and student perception. There are some commonalties in all aspect of student engagement and include the following, active learning, supportive environment and the sense of belonging.</w:t>
      </w:r>
    </w:p>
    <w:p>
      <w:pPr>
        <w:pStyle w:val="3"/>
      </w:pPr>
      <w:bookmarkStart w:id="26" w:name="_Toc24587"/>
      <w:r>
        <w:t>Research Question and Objectives</w:t>
      </w:r>
      <w:bookmarkEnd w:id="26"/>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this </w:t>
      </w:r>
      <w:r>
        <w:rPr>
          <w:rFonts w:hint="eastAsia" w:ascii="Times New Roman" w:hAnsi="Times New Roman" w:eastAsia="宋体" w:cs="Times New Roman"/>
          <w:sz w:val="24"/>
          <w:szCs w:val="24"/>
          <w:lang w:eastAsia="zh-CN"/>
        </w:rPr>
        <w:t>assignment</w:t>
      </w:r>
      <w:r>
        <w:rPr>
          <w:rFonts w:ascii="Times New Roman" w:hAnsi="Times New Roman" w:cs="Times New Roman"/>
          <w:sz w:val="24"/>
          <w:szCs w:val="24"/>
        </w:rPr>
        <w:t xml:space="preserve">, the main question for the research in this literature review is   "How do students in an English Language Teaching class, in a Chinese university, understand student engagement?” In order to address this point, the objective of this literature review include the following: </w:t>
      </w:r>
    </w:p>
    <w:p>
      <w:pPr>
        <w:pStyle w:val="21"/>
        <w:numPr>
          <w:ilvl w:val="0"/>
          <w:numId w:val="2"/>
        </w:numPr>
        <w:spacing w:line="480" w:lineRule="auto"/>
        <w:jc w:val="left"/>
        <w:rPr>
          <w:rFonts w:ascii="Times New Roman" w:hAnsi="Times New Roman" w:cs="Times New Roman"/>
          <w:sz w:val="24"/>
          <w:szCs w:val="24"/>
        </w:rPr>
      </w:pPr>
      <w:r>
        <w:rPr>
          <w:rFonts w:ascii="Times New Roman" w:hAnsi="Times New Roman" w:cs="Times New Roman"/>
          <w:sz w:val="24"/>
          <w:szCs w:val="24"/>
        </w:rPr>
        <w:t>To understand the theoretical and conceptualized frameworks of student engagement in an English language teaching class</w:t>
      </w:r>
    </w:p>
    <w:p>
      <w:pPr>
        <w:pStyle w:val="21"/>
        <w:numPr>
          <w:ilvl w:val="0"/>
          <w:numId w:val="2"/>
        </w:num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To research on the cultural understanding of student engagement in Chinese universities </w:t>
      </w:r>
    </w:p>
    <w:p>
      <w:pPr>
        <w:pStyle w:val="21"/>
        <w:numPr>
          <w:ilvl w:val="0"/>
          <w:numId w:val="2"/>
        </w:numPr>
        <w:spacing w:line="480" w:lineRule="auto"/>
        <w:jc w:val="left"/>
        <w:rPr>
          <w:rFonts w:ascii="Times New Roman" w:hAnsi="Times New Roman" w:cs="Times New Roman"/>
          <w:sz w:val="24"/>
          <w:szCs w:val="24"/>
        </w:rPr>
      </w:pPr>
      <w:r>
        <w:rPr>
          <w:rFonts w:ascii="Times New Roman" w:hAnsi="Times New Roman" w:cs="Times New Roman"/>
          <w:sz w:val="24"/>
          <w:szCs w:val="24"/>
        </w:rPr>
        <w:t>To research on the factors that influence student engagement and include technology use, motivation, teacher student interaction, assessment practices and inclusive methods of teaching.</w:t>
      </w:r>
    </w:p>
    <w:p>
      <w:pPr>
        <w:pStyle w:val="21"/>
        <w:numPr>
          <w:ilvl w:val="0"/>
          <w:numId w:val="2"/>
        </w:num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To understand the empirical studies and the literature about the students understanding and experiences of engagement in English language teaching in a university in china. </w:t>
      </w:r>
    </w:p>
    <w:p>
      <w:pPr>
        <w:pStyle w:val="21"/>
        <w:numPr>
          <w:ilvl w:val="0"/>
          <w:numId w:val="2"/>
        </w:numPr>
        <w:spacing w:line="480" w:lineRule="auto"/>
        <w:jc w:val="left"/>
        <w:rPr>
          <w:rFonts w:ascii="Times New Roman" w:hAnsi="Times New Roman" w:cs="Times New Roman"/>
          <w:sz w:val="24"/>
          <w:szCs w:val="24"/>
        </w:rPr>
      </w:pPr>
      <w:r>
        <w:rPr>
          <w:rFonts w:ascii="Times New Roman" w:hAnsi="Times New Roman" w:cs="Times New Roman"/>
          <w:sz w:val="24"/>
          <w:szCs w:val="24"/>
        </w:rPr>
        <w:t>To investigate the challenges, recommendation and best practices for enhancing student engagement in English language in the universities in china</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When these objectives are addressed, the literature review is aiming to contribute in understanding deeper on how students in Chinese universities perceive and experience student engagement in English teaching class in China. It helps to give insights for the teachers, policy makers and researche</w:t>
      </w:r>
      <w:bookmarkStart w:id="27" w:name="_Toc4148"/>
      <w:bookmarkStart w:id="28" w:name="_Toc154735202"/>
      <w:r>
        <w:rPr>
          <w:rFonts w:ascii="Times New Roman" w:hAnsi="Times New Roman" w:cs="Times New Roman"/>
          <w:sz w:val="24"/>
          <w:szCs w:val="24"/>
        </w:rPr>
        <w:t>r in looking to improve ELT</w:t>
      </w:r>
      <w:r>
        <w:rPr>
          <w:rFonts w:hint="eastAsia" w:ascii="Times New Roman" w:hAnsi="Times New Roman" w:eastAsia="宋体" w:cs="Times New Roman"/>
          <w:sz w:val="24"/>
          <w:szCs w:val="24"/>
          <w:lang w:val="en-US" w:eastAsia="zh-CN"/>
        </w:rPr>
        <w:t xml:space="preserve"> at mainaland China</w:t>
      </w:r>
      <w:r>
        <w:rPr>
          <w:rFonts w:ascii="Times New Roman" w:hAnsi="Times New Roman" w:cs="Times New Roman"/>
          <w:sz w:val="24"/>
          <w:szCs w:val="24"/>
        </w:rPr>
        <w:t>.</w:t>
      </w:r>
    </w:p>
    <w:p>
      <w:pPr>
        <w:pStyle w:val="3"/>
      </w:pPr>
      <w:bookmarkStart w:id="29" w:name="_Toc18627"/>
      <w:r>
        <w:t>Teacher</w:t>
      </w:r>
      <w:r>
        <w:rPr>
          <w:rFonts w:hint="eastAsia" w:eastAsia="宋体"/>
          <w:lang w:val="en-US" w:eastAsia="zh-CN"/>
        </w:rPr>
        <w:t>-</w:t>
      </w:r>
      <w:r>
        <w:t>student Interaction and student engagement</w:t>
      </w:r>
      <w:bookmarkEnd w:id="29"/>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Student</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teacher interaction enhances the relationship between students and their instructors. The relationship is clearly understood when there is trust, mutual understanding and respect. It create an environment where the learners feel being valued and protected. This in the context of English teaching contribute a lot when it comes to psychology safety. </w:t>
      </w:r>
    </w:p>
    <w:p>
      <w:pPr>
        <w:pStyle w:val="3"/>
      </w:pPr>
      <w:bookmarkStart w:id="30" w:name="_Toc27314"/>
      <w:r>
        <w:t>Effective communication methods</w:t>
      </w:r>
      <w:bookmarkEnd w:id="30"/>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Because of teacher student interaction, there is effective communication that enhances the positive relationship between students and their teacher. Because of this, student engagement in English class is highly enhanced and thus increasing their performance in class. This is because it promotes active participation and developing good teaching methods. </w:t>
      </w:r>
    </w:p>
    <w:p>
      <w:pPr>
        <w:pStyle w:val="3"/>
      </w:pPr>
      <w:bookmarkStart w:id="31" w:name="_Toc22611"/>
      <w:r>
        <w:t>Teacher Enthusiasm and Student Motivation</w:t>
      </w:r>
      <w:bookmarkEnd w:id="31"/>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Because of teacher student enthusiasm which help in enhancing student engagement in ELT classes. Teachers are required to show passion and energy while teaching English in class. This will help to motivate students by encouraging them to become actively involved in class. (Patrick et al., 2000). Because of this students perception based on the subject matter can be influenced. Students are more likely to gain positive attitude towards learning English language because their teachers are able to show enthusiasm. (Dewaele &amp; MacIntyre, 2014).</w:t>
      </w:r>
    </w:p>
    <w:p>
      <w:pPr>
        <w:pStyle w:val="3"/>
      </w:pPr>
      <w:bookmarkStart w:id="32" w:name="_Toc7702"/>
      <w:r>
        <w:t>2.4 What are the students themselves thinking of Teaching Methods and Student Engagement</w:t>
      </w:r>
      <w:bookmarkEnd w:id="32"/>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 the retrospective gaze cast upon the students, this section embarked on an exploration of their attitudes towards the teaching methods deployed by their lecturers. By immersing itself in the perspectives of the students, it sought to extract valuable insights into the perception of teaching methods and their profound influence on the levels of engagement exhibited. Furthermore, the examination of diverse teaching approaches, as delineated by Johnson and Onwuegbuzie (2004), furnished a nuanced understanding of the intricate impact these methods wielded on student participation.</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As the academic landscape unfolded in the past, the spotlight shifted towards the learners, shedding light on the intricate dynamics between pedagogy and reception. The students, as the focal point, found themselves under the scrutiny of the researcher's lens, providing a rich tapestry of experiences and perceptions that defined their educational journey. In traversing the terrain of student perspectives, the research sought to unravel the layers of attitudes that cloaked the learners' consciousness (Guo et al., 2023). The retrospective analysis delved into the intricacies of how various teaching methods were not mere conduits of information but were architects shaping the very fabric of the student's educational encounters.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A pivotal aspect of this exploration lay in the comprehension of how teaching methods were perceived by the students and the subsequent influence wielded on their levels of engagement. The past, with its array of educational scenarios, unveiled a mosaic of reactions ranging from enthusiastic embrace to cautious reservation (Aubrey et al., 2022). Students, as active participants in the learning process, were not passive recipients but contributors to the ongoing dialogue between educators and education.</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retrospective lens also focused on the scholarly insights provided by Johnson and Onwuegbuzie in 2004, which served as a guiding compass in navigating the myriad teaching approaches. These approaches, carefully dissected and analyzed, painted a canvas of pedagogical diversity that underscored the multifaceted nature of education. From traditional methodologies to innovative strategies, the spectrum of teaching methods became an evolving narrative in the annals of academic history (Heng, 2023). The nuanced understanding derived from Johnson and Onwuegbuzie's framework allowed for a comprehensive exploration of the impact these methods had on student participation. It became evident that the choice of teaching approach was not a trivial decision but a sculptor's chisel, carving out the contours of engagement within the student body.</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the past, as educational landscapes transformed, the resonance of teaching methods echoed through the corridors of academia. The echoes were not merely the reverberations of lectures but the collective heartbeat of an educational ecosystem where students and educators coexisted. The retrospective lens captured these echoes, transforming them into narratives that spoke of collaboration, challenges, and triumphs within the realm of learning (Yu et al., 2023). The retrospective exploration uncovered a spectrum of attitudes towards teaching methods. Some students, it revealed, thrived in environments where traditional lectures dominated, finding comfort in the structured delivery of information. Others, however, sought refuge in more interactive and participatory methodologies, where engagement was not a passive act but an </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immersive experience.</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impact of teaching methods on student engagement became a central theme in the historical narrative of education. The past bore witness to instances where certain methods ignited a spark, fostering a vibrant exchange of ideas, while others seemed to dampen the flames, resulting in disengagement and apathy. The pedagogical landscape, shaped by these experiences, became a mosaic reflecting the intricate dance between methods and outcomes (Shen and Chong, 2023). Johnson and Onwuegbuzie's framework, when applied to the historical context, became a compass guiding educator through the uncharted waters of teaching methodologies. The retrospective analysis revealed that the impact of teaching methods extended beyond the classroom, permeating the very essence of the student's educational journey.</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As the past unfolded, it became evident that the narrative of education was not a linear progression but a dynamic interplay of evolving methodologies. The retrospective exploration traversed the traditional lecture halls, where the authoritative voice of the lecturer echoed, to the interactive workshops, where dialogue became the currency of learning. Each chapter in the educational saga bore the fingerprints of diverse teaching approaches, shaping the collective memory of generations of learners (Wang et al., 2023). The retrospective lens, in its exploration, underscored the symbiotic relationship between teaching methods and student participation. It became apparent that the effectiveness of a method was not solely measured by the delivery of content but by its ability to elicit active engagement from the learners. The past, with its array of educational experiments, showcased instances where the alignment of teaching methods with student preferences yielded a harmonious symphony of learning.</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 conclusion, the retrospective exploration of students' attitudes towards teaching methods unveiled a rich tapestry of experiences, perceptions, and dynamics within the educational landscape. The past, with its diverse teaching approaches and scholarly frameworks, became a canvas upon which the intricate interplay between pedagogy and reception was painted. As the echoes of the past resonated, they carried with them the lessons that transcended time, shaping the future of education.</w:t>
      </w:r>
    </w:p>
    <w:p>
      <w:pPr>
        <w:pStyle w:val="3"/>
      </w:pPr>
      <w:bookmarkStart w:id="33" w:name="_Toc17927"/>
      <w:r>
        <w:t>2.</w:t>
      </w:r>
      <w:r>
        <w:rPr>
          <w:rFonts w:hint="eastAsia" w:eastAsia="宋体"/>
          <w:lang w:val="en-US" w:eastAsia="zh-CN"/>
        </w:rPr>
        <w:t>5</w:t>
      </w:r>
      <w:r>
        <w:t xml:space="preserve"> Conclusion</w:t>
      </w:r>
      <w:bookmarkEnd w:id="33"/>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 conclusion, the literature review synthesized key findings to provide a comprehensive understanding of student engagement in the context of ELT in Chinese universities. The groundwork for the research was laid by examining definitions, dimensions, and factors influencing engagement (Benlahcene et al., 2021). Furthermore, th</w:t>
      </w:r>
      <w:r>
        <w:rPr>
          <w:rFonts w:hint="eastAsia" w:ascii="Times New Roman" w:hAnsi="Times New Roman" w:eastAsia="宋体" w:cs="Times New Roman"/>
          <w:sz w:val="24"/>
          <w:szCs w:val="24"/>
          <w:lang w:val="en-US" w:eastAsia="zh-CN"/>
        </w:rPr>
        <w:t>is section</w:t>
      </w:r>
      <w:r>
        <w:rPr>
          <w:rFonts w:ascii="Times New Roman" w:hAnsi="Times New Roman" w:cs="Times New Roman"/>
          <w:sz w:val="24"/>
          <w:szCs w:val="24"/>
        </w:rPr>
        <w:t xml:space="preserve"> identified gaps in the existing literature, paving the way for a contribution to the field. The research journey commenced to address these gaps and provide valuable insights that contributed to the ongoing dialogue surrounding student engagement in ELT in Chinese higher education. The comprehensive exploration of existing knowledge on the subject formed the basis for the subsequent research endeavors (Zhu et al., 2023). The definitions of student engagement were scrutinized, offering a historical perspective on the evolving conceptualizations within the field of ELT. This retrospective analysis shed light on the various ways in which student engagement has been defined over time, providing a foundation for the subsequent discussions.</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Dimensions of student engagement were explored in depth, delving into the multifaceted aspects that contribute to a student's active participation in the learning process. The review highlighted the interconnected nature of these dimensions, emphasizing the need for a holistic approach in understanding and fostering student engagement in ELT. Factors influencing student engagement emerged as a crucial aspect of the synthesis (Gao, 2023). The review systematically analyzed the diverse elements that impact students' levels of engagement, ranging from pedagogical approaches to socio-cultural influences. This comprehensive examination facilitated a nuanced understanding of the intricate web of factors that shape the educational experience for students in Chinese universities.</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Identifying gaps in the existing literature proved to be a pivotal step in the literature review. By pinpointing areas where research and understanding fell short, the groundwork was laid for the subsequent research endeavors (Abid et al., 2021). These gaps became the focal points for the research team, guiding their efforts towards addressing and bridging the existing knowledge divides. As the research journey unfolded, the aim was not only to fill these gaps but also to contribute meaningfully to the ongoing scholarly discourse on student engagement (Nguyen et al., 2023). The findings and insights generated through the research aimed to enrich the existing body of knowledge, offering practical implications for educators and policymakers in the realm of ELT in Chinese higher education.</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 retrospect, the literature review served as a compass, guiding the research team through the intricate landscape of student engagement in the context of ELT. The synthesis of key findings, exploration of dimensions and factors, and identification of gaps collectively paved the way for a research contribution that sought to advance understanding and practices in the field.</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br w:type="page"/>
      </w:r>
    </w:p>
    <w:p>
      <w:pPr>
        <w:pStyle w:val="2"/>
        <w:jc w:val="center"/>
        <w:rPr>
          <w:rFonts w:hint="default" w:ascii="Times New Roman" w:hAnsi="Times New Roman" w:cs="Times New Roman"/>
          <w:sz w:val="30"/>
          <w:szCs w:val="30"/>
        </w:rPr>
      </w:pPr>
      <w:bookmarkStart w:id="34" w:name="_Toc13049"/>
      <w:r>
        <w:rPr>
          <w:rFonts w:hint="default" w:ascii="Times New Roman" w:hAnsi="Times New Roman" w:cs="Times New Roman"/>
          <w:sz w:val="30"/>
          <w:szCs w:val="30"/>
        </w:rPr>
        <w:t>CHAPTER 3</w:t>
      </w:r>
      <w:bookmarkStart w:id="35" w:name="_Toc10589"/>
      <w:r>
        <w:rPr>
          <w:rFonts w:hint="default" w:ascii="Times New Roman" w:hAnsi="Times New Roman" w:eastAsia="MS Gothic" w:cs="Times New Roman"/>
          <w:sz w:val="30"/>
          <w:szCs w:val="30"/>
        </w:rPr>
        <w:t>：</w:t>
      </w:r>
      <w:r>
        <w:rPr>
          <w:rFonts w:hint="default" w:ascii="Times New Roman" w:hAnsi="Times New Roman" w:cs="Times New Roman"/>
          <w:sz w:val="30"/>
          <w:szCs w:val="30"/>
        </w:rPr>
        <w:t>RESEARCH DESIGN AND METHODOLOGY</w:t>
      </w:r>
      <w:bookmarkEnd w:id="27"/>
      <w:bookmarkEnd w:id="28"/>
      <w:bookmarkEnd w:id="34"/>
      <w:bookmarkEnd w:id="35"/>
    </w:p>
    <w:p>
      <w:pPr>
        <w:rPr>
          <w:rFonts w:hint="default"/>
        </w:rPr>
      </w:pPr>
    </w:p>
    <w:p>
      <w:pPr>
        <w:pStyle w:val="2"/>
      </w:pPr>
      <w:bookmarkStart w:id="36" w:name="_Toc154735203"/>
      <w:bookmarkStart w:id="37" w:name="_Toc3207"/>
      <w:bookmarkStart w:id="38" w:name="_Toc11922"/>
      <w:r>
        <w:t>3.1 Introduction</w:t>
      </w:r>
      <w:bookmarkEnd w:id="36"/>
      <w:bookmarkEnd w:id="37"/>
      <w:bookmarkEnd w:id="38"/>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research study about student engagement is provent as the key aspect of learning process that is influencing the success in academic and student satisfaction among learners in Chinese universities. The study that was conducted in </w:t>
      </w:r>
      <w:r>
        <w:rPr>
          <w:rFonts w:hint="eastAsia" w:ascii="Times New Roman" w:hAnsi="Times New Roman" w:eastAsia="宋体" w:cs="Times New Roman"/>
          <w:sz w:val="24"/>
          <w:szCs w:val="24"/>
          <w:lang w:val="en-US" w:eastAsia="zh-CN"/>
        </w:rPr>
        <w:t>the</w:t>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 xml:space="preserve">one selected </w:t>
      </w:r>
      <w:r>
        <w:rPr>
          <w:rFonts w:ascii="Times New Roman" w:hAnsi="Times New Roman" w:cs="Times New Roman"/>
          <w:sz w:val="24"/>
          <w:szCs w:val="24"/>
        </w:rPr>
        <w:t>universit</w:t>
      </w:r>
      <w:r>
        <w:rPr>
          <w:rFonts w:hint="eastAsia" w:ascii="Times New Roman" w:hAnsi="Times New Roman" w:eastAsia="宋体" w:cs="Times New Roman"/>
          <w:sz w:val="24"/>
          <w:szCs w:val="24"/>
          <w:lang w:val="en-US" w:eastAsia="zh-CN"/>
        </w:rPr>
        <w:t>y</w:t>
      </w:r>
      <w:r>
        <w:rPr>
          <w:rFonts w:ascii="Times New Roman" w:hAnsi="Times New Roman" w:cs="Times New Roman"/>
          <w:sz w:val="24"/>
          <w:szCs w:val="24"/>
        </w:rPr>
        <w:t xml:space="preserve"> in </w:t>
      </w:r>
      <w:r>
        <w:rPr>
          <w:rFonts w:hint="eastAsia" w:ascii="Times New Roman" w:hAnsi="Times New Roman" w:eastAsia="宋体" w:cs="Times New Roman"/>
          <w:sz w:val="24"/>
          <w:szCs w:val="24"/>
          <w:lang w:val="en-US" w:eastAsia="zh-CN"/>
        </w:rPr>
        <w:t xml:space="preserve">mainalnad </w:t>
      </w:r>
      <w:r>
        <w:rPr>
          <w:rFonts w:ascii="Times New Roman" w:hAnsi="Times New Roman" w:cs="Times New Roman"/>
          <w:sz w:val="24"/>
          <w:szCs w:val="24"/>
        </w:rPr>
        <w:t>china seek to make a meaningful contribution to the existing learning of English language on the student engagement in a literature class.</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primary objective based on the students who are in first year in a Chinese university student’s engagement, the primary goal is to find out the dynamics that build the learning process especially for students who have enrolled for an English class in a Chinese university. (Ranalli, 2021).  The importance of this research study is to develop its potentiality of shedding light on the different factors that make the student engagement in English language class to become strong and prevent it from being hindered by other factors. The research is based on both open information available all over the internet and some data were captured directly from the data collected during the interviews that were carried out during the research study. By use of the given data which were collected on a zoom interview and the survey which was undertaken using survey monkey, various patterns were obtain. The patterns revealed an interplay between the traditional approach and the modern methods of delivering skills and education to students in class. (Yang et al., 2023). The analysis have shown that, the integration of the two approaches is much significant in enhancing a robust and culturally responsive education for the first year students in the Chinese university. China is currently shifting to a world-class education framework which finds it solely to compete with other nations by enhancing English language in the country through serious student engagement methodologies. These methods make English student to get more interests and put focus on learning about the language.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A very comprehensive approach has been utilized in this study. Open ended questions as well as closed ended questions has been structure to allow the researcher to undertake the data collection process through interviews, surveys and general observations. The data collected contains a huge dataset that contains the diverse elements of data. It captures the experienced of the students, and their flow of enthusiasm with the language, participation in English language class, and their connection with the subject being studied. The research study has revealed different aspects from the data collected which entails the various views and inspirations of the students. The study has not only enhanced the understanding of student participation but also have given insightful experience in enhancing education strategies for better learning in China. (Zheng et al., 2023). </w:t>
      </w:r>
      <w:r>
        <w:rPr>
          <w:rFonts w:hint="eastAsia" w:ascii="Times New Roman" w:hAnsi="Times New Roman" w:eastAsia="宋体" w:cs="Times New Roman"/>
          <w:sz w:val="24"/>
          <w:szCs w:val="24"/>
          <w:lang w:val="en-US" w:eastAsia="zh-CN"/>
        </w:rPr>
        <w:t>I</w:t>
      </w:r>
      <w:r>
        <w:rPr>
          <w:rFonts w:ascii="Times New Roman" w:hAnsi="Times New Roman" w:cs="Times New Roman"/>
          <w:sz w:val="24"/>
          <w:szCs w:val="24"/>
        </w:rPr>
        <w:t xml:space="preserve"> have scrutinizing the data relating it with those of the past and patterns and trends that elucidated the impact of cultural and linguistic factors on student participation have been identified. The valuable insights that were obtain is not only beneficial to the academic community but also good for educators and university institutions who are targeting to improve academic excellence for students who have enrolled for an English class through </w:t>
      </w:r>
      <w:r>
        <w:rPr>
          <w:rFonts w:hint="eastAsia" w:ascii="Times New Roman" w:hAnsi="Times New Roman" w:eastAsia="宋体" w:cs="Times New Roman"/>
          <w:sz w:val="24"/>
          <w:szCs w:val="24"/>
          <w:lang w:val="en-US" w:eastAsia="zh-CN"/>
        </w:rPr>
        <w:t xml:space="preserve">the research and improvement of </w:t>
      </w:r>
      <w:r>
        <w:rPr>
          <w:rFonts w:ascii="Times New Roman" w:hAnsi="Times New Roman" w:cs="Times New Roman"/>
          <w:sz w:val="24"/>
          <w:szCs w:val="24"/>
        </w:rPr>
        <w:t xml:space="preserve">student </w:t>
      </w:r>
      <w:r>
        <w:rPr>
          <w:rFonts w:hint="eastAsia" w:ascii="Times New Roman" w:hAnsi="Times New Roman" w:eastAsia="宋体" w:cs="Times New Roman"/>
          <w:sz w:val="24"/>
          <w:szCs w:val="24"/>
          <w:lang w:val="en-US" w:eastAsia="zh-CN"/>
        </w:rPr>
        <w:t>engagement</w:t>
      </w:r>
      <w:r>
        <w:rPr>
          <w:rFonts w:ascii="Times New Roman" w:hAnsi="Times New Roman" w:cs="Times New Roman"/>
          <w:sz w:val="24"/>
          <w:szCs w:val="24"/>
        </w:rPr>
        <w:t xml:space="preserve">. More so, the research have also shown that student engagement delve around a cross-cultural setting like China. </w:t>
      </w:r>
    </w:p>
    <w:p>
      <w:pPr>
        <w:pStyle w:val="3"/>
      </w:pPr>
      <w:bookmarkStart w:id="39" w:name="_Toc29343"/>
      <w:bookmarkStart w:id="40" w:name="_Toc6951"/>
      <w:bookmarkStart w:id="41" w:name="_Toc154735204"/>
      <w:r>
        <w:t>3.2 Research Design and Philosophical Underpinnings</w:t>
      </w:r>
      <w:bookmarkEnd w:id="39"/>
      <w:bookmarkEnd w:id="40"/>
      <w:bookmarkEnd w:id="41"/>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this research study, qualitative methods have been used which it has been align with quantitative techniques. These </w:t>
      </w:r>
      <w:r>
        <w:rPr>
          <w:rFonts w:hint="eastAsia" w:ascii="Times New Roman" w:hAnsi="Times New Roman" w:eastAsia="宋体" w:cs="Times New Roman"/>
          <w:sz w:val="24"/>
          <w:szCs w:val="24"/>
          <w:lang w:val="en-US" w:eastAsia="zh-CN"/>
        </w:rPr>
        <w:t>mixed reserach</w:t>
      </w:r>
      <w:r>
        <w:rPr>
          <w:rFonts w:ascii="Times New Roman" w:hAnsi="Times New Roman" w:cs="Times New Roman"/>
          <w:sz w:val="24"/>
          <w:szCs w:val="24"/>
        </w:rPr>
        <w:t xml:space="preserve"> methods acknowledges the subjective state of the development process, giving insights of the significance of student perspective in developing their learning experiences. The research method draw the inspiration of Creswell and Plano Clark's (2017) approach, which embraced an in-depth research to reveal the aspects that, hinders the student engagement within the context of English language teaching.</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order to understand well about student engagement in the context of English teaching in a university in China, I delve into developing a research report defining that knowledge is not an objective but a subjective and socially developed phenomenon in education system.  This research study therefore has enhance the qualitative analysis methodology, which has been utilized in the preparation of this research study. This research study has been seeking to explore some of the difficulties of student participation in the context of English language teaching in Chinese Universities. Following the guidance of Creswell and Plano Clark's (2017) approach, I have prepared this research study that has prioritized an in-depth understanding of student engagement within the context of English teaching in China. This research study has established a comprehensive understanding of the </w:t>
      </w:r>
      <w:r>
        <w:rPr>
          <w:rFonts w:hint="eastAsia" w:ascii="Times New Roman" w:hAnsi="Times New Roman" w:eastAsia="宋体" w:cs="Times New Roman"/>
          <w:sz w:val="24"/>
          <w:szCs w:val="24"/>
          <w:lang w:val="en-US" w:eastAsia="zh-CN"/>
        </w:rPr>
        <w:t>research theme</w:t>
      </w:r>
      <w:r>
        <w:rPr>
          <w:rFonts w:ascii="Times New Roman" w:hAnsi="Times New Roman" w:cs="Times New Roman"/>
          <w:sz w:val="24"/>
          <w:szCs w:val="24"/>
        </w:rPr>
        <w:t xml:space="preserve"> itself.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While preparing the research report, inteviews and surveys as well as direct observation have been delved to identify major aspects that contributes to the success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in Chin</w:t>
      </w:r>
      <w:r>
        <w:rPr>
          <w:rFonts w:hint="eastAsia" w:ascii="Times New Roman" w:hAnsi="Times New Roman" w:eastAsia="宋体" w:cs="Times New Roman"/>
          <w:sz w:val="24"/>
          <w:szCs w:val="24"/>
          <w:lang w:val="en-US" w:eastAsia="zh-CN"/>
        </w:rPr>
        <w:t>ese university</w:t>
      </w:r>
      <w:r>
        <w:rPr>
          <w:rFonts w:ascii="Times New Roman" w:hAnsi="Times New Roman" w:cs="Times New Roman"/>
          <w:sz w:val="24"/>
          <w:szCs w:val="24"/>
        </w:rPr>
        <w:t>. When teachers</w:t>
      </w:r>
      <w:r>
        <w:rPr>
          <w:rFonts w:hint="eastAsia" w:ascii="Times New Roman" w:hAnsi="Times New Roman" w:eastAsia="宋体" w:cs="Times New Roman"/>
          <w:sz w:val="24"/>
          <w:szCs w:val="24"/>
          <w:lang w:val="en-US" w:eastAsia="zh-CN"/>
        </w:rPr>
        <w:t xml:space="preserve"> (lecturers)</w:t>
      </w:r>
      <w:r>
        <w:rPr>
          <w:rFonts w:ascii="Times New Roman" w:hAnsi="Times New Roman" w:cs="Times New Roman"/>
          <w:sz w:val="24"/>
          <w:szCs w:val="24"/>
        </w:rPr>
        <w:t xml:space="preserve"> actively involved students on what is happening in class practically normally achieve a lot in the success of every student. An in-depth research done by the researchers’ shows that the student are not passive recipients of data but they are active participants in their learning process. (Hu and Wu, 2020). Because of this great finding, it has underscored the significance of utilizing student perceptiveness as the integral element pf understanding student participation in class. Data collection has been unfolded by applying the different methods that are qualitative. The methods include interviews, observations, and document analysis. The methods has been chosen systematically to allow various and complementary insights in to the different natures of the students being interviewed. (Alshuraiaan, 2023). the use of direct interviews</w:t>
      </w:r>
      <w:r>
        <w:rPr>
          <w:rFonts w:hint="eastAsia" w:ascii="Times New Roman" w:hAnsi="Times New Roman" w:eastAsia="宋体" w:cs="Times New Roman"/>
          <w:sz w:val="24"/>
          <w:szCs w:val="24"/>
          <w:lang w:val="en-US" w:eastAsia="zh-CN"/>
        </w:rPr>
        <w:t xml:space="preserve"> (online)</w:t>
      </w:r>
      <w:r>
        <w:rPr>
          <w:rFonts w:ascii="Times New Roman" w:hAnsi="Times New Roman" w:cs="Times New Roman"/>
          <w:sz w:val="24"/>
          <w:szCs w:val="24"/>
        </w:rPr>
        <w:t xml:space="preserve"> has enable the students to express their thoughts of what are the aspects that hinder learning in an English class as well as some of the aspects that have contributed positively to the success of student learning English in China. Also teachers has been interviewed on some of the structured questions where a number of teachers were able to give their views based on student engagement.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After the data collection, data analysis was undertaken where excel was used for proper interpretation. Data collected using survey questions were downloaded in the format of excel spreadsheet. The data were visualized to produce various trends and patterns showing diverse spead of ideas among students and teachers. A documentation was developed to provide a clear outline of students’ perspective regarding student engagement in the context of English teaching in China.  The main idea why the data collected were taken for analysis is because the researcher wanted to understand better between the respondents who are </w:t>
      </w:r>
      <w:r>
        <w:rPr>
          <w:rFonts w:hint="eastAsia" w:ascii="Times New Roman" w:hAnsi="Times New Roman" w:eastAsia="宋体" w:cs="Times New Roman"/>
          <w:sz w:val="24"/>
          <w:szCs w:val="24"/>
          <w:lang w:val="en-US" w:eastAsia="zh-CN"/>
        </w:rPr>
        <w:t>Lecturer</w:t>
      </w:r>
      <w:r>
        <w:rPr>
          <w:rFonts w:ascii="Times New Roman" w:hAnsi="Times New Roman" w:cs="Times New Roman"/>
          <w:sz w:val="24"/>
          <w:szCs w:val="24"/>
        </w:rPr>
        <w:t xml:space="preserve"> A and Student A and B.  Feedback from both the</w:t>
      </w:r>
      <w:r>
        <w:rPr>
          <w:rFonts w:hint="eastAsia" w:ascii="Times New Roman" w:hAnsi="Times New Roman" w:eastAsia="宋体" w:cs="Times New Roman"/>
          <w:sz w:val="24"/>
          <w:szCs w:val="24"/>
          <w:lang w:val="en-US" w:eastAsia="zh-CN"/>
        </w:rPr>
        <w:t xml:space="preserve"> lecturer</w:t>
      </w:r>
      <w:r>
        <w:rPr>
          <w:rFonts w:ascii="Times New Roman" w:hAnsi="Times New Roman" w:cs="Times New Roman"/>
          <w:sz w:val="24"/>
          <w:szCs w:val="24"/>
        </w:rPr>
        <w:t xml:space="preserve"> and students who were interviewed have shown that factors that contribute to a student learning success in English include active involvement in the context of English learning process  (Tao and Zou, 2023).  Some of the ethical concerns in the study have also been taken into account. The main thing that was obtained from all participants is the informed consent. In addition, their confidentiality by use of anonymity were strictly followed so as to kept their identity secured. However, during the research, I have managed to navigate through the hard terrain of qualitative enquiry with a lot of sensitivity and making sure the students voices were authentically represented without being distorted along the way. During the interview process </w:t>
      </w:r>
      <w:r>
        <w:rPr>
          <w:rFonts w:hint="eastAsia" w:ascii="Times New Roman" w:hAnsi="Times New Roman" w:eastAsia="宋体" w:cs="Times New Roman"/>
          <w:sz w:val="24"/>
          <w:szCs w:val="24"/>
          <w:lang w:val="en-US" w:eastAsia="zh-CN"/>
        </w:rPr>
        <w:t>most</w:t>
      </w:r>
      <w:r>
        <w:rPr>
          <w:rFonts w:ascii="Times New Roman" w:hAnsi="Times New Roman" w:cs="Times New Roman"/>
          <w:sz w:val="24"/>
          <w:szCs w:val="24"/>
        </w:rPr>
        <w:t xml:space="preserve"> of the questions, which were, ask by word of mouth were answered in Chinese Language. </w:t>
      </w:r>
      <w:r>
        <w:rPr>
          <w:rFonts w:hint="eastAsia" w:ascii="Times New Roman" w:hAnsi="Times New Roman" w:eastAsia="宋体" w:cs="Times New Roman"/>
          <w:sz w:val="24"/>
          <w:szCs w:val="24"/>
          <w:lang w:val="en-US" w:eastAsia="zh-CN"/>
        </w:rPr>
        <w:t>All of the content</w:t>
      </w:r>
      <w:r>
        <w:rPr>
          <w:rFonts w:ascii="Times New Roman" w:hAnsi="Times New Roman" w:cs="Times New Roman"/>
          <w:sz w:val="24"/>
          <w:szCs w:val="24"/>
        </w:rPr>
        <w:t xml:space="preserve"> were requiring translation and I have made sure that the original message of the content was maintained.</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research findings shows different aspects of the nature of student engagement within the context of English language teaching class.  Each of the student perspective are the drivers of this research describing the types of influence, motivation and the participation as well as the overall learning experiences. The development of this research study has proven to be the instrument of revealing the factors that affect student </w:t>
      </w:r>
      <w:r>
        <w:rPr>
          <w:rFonts w:hint="eastAsia" w:ascii="Times New Roman" w:hAnsi="Times New Roman" w:eastAsia="宋体" w:cs="Times New Roman"/>
          <w:sz w:val="24"/>
          <w:szCs w:val="24"/>
          <w:lang w:val="en-US" w:eastAsia="zh-CN"/>
        </w:rPr>
        <w:t>engagement</w:t>
      </w:r>
      <w:r>
        <w:rPr>
          <w:rFonts w:ascii="Times New Roman" w:hAnsi="Times New Roman" w:cs="Times New Roman"/>
          <w:sz w:val="24"/>
          <w:szCs w:val="24"/>
        </w:rPr>
        <w:t xml:space="preserve"> and school environment. (Zaidi, 2020).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This research study is extended to go beyond the context of the English language teaching in </w:t>
      </w:r>
      <w:r>
        <w:rPr>
          <w:rFonts w:hint="eastAsia" w:ascii="Times New Roman" w:hAnsi="Times New Roman" w:eastAsia="宋体" w:cs="Times New Roman"/>
          <w:sz w:val="24"/>
          <w:szCs w:val="24"/>
          <w:lang w:val="en-US" w:eastAsia="zh-CN"/>
        </w:rPr>
        <w:t xml:space="preserve">the </w:t>
      </w:r>
      <w:r>
        <w:rPr>
          <w:rFonts w:ascii="Times New Roman" w:hAnsi="Times New Roman" w:cs="Times New Roman"/>
          <w:sz w:val="24"/>
          <w:szCs w:val="24"/>
        </w:rPr>
        <w:t>universit</w:t>
      </w:r>
      <w:r>
        <w:rPr>
          <w:rFonts w:hint="eastAsia" w:ascii="Times New Roman" w:hAnsi="Times New Roman" w:eastAsia="宋体" w:cs="Times New Roman"/>
          <w:sz w:val="24"/>
          <w:szCs w:val="24"/>
          <w:lang w:val="en-US" w:eastAsia="zh-CN"/>
        </w:rPr>
        <w:t>y</w:t>
      </w:r>
      <w:r>
        <w:rPr>
          <w:rFonts w:ascii="Times New Roman" w:hAnsi="Times New Roman" w:cs="Times New Roman"/>
          <w:sz w:val="24"/>
          <w:szCs w:val="24"/>
        </w:rPr>
        <w:t xml:space="preserve"> in </w:t>
      </w:r>
      <w:r>
        <w:rPr>
          <w:rFonts w:hint="eastAsia" w:ascii="Times New Roman" w:hAnsi="Times New Roman" w:eastAsia="宋体" w:cs="Times New Roman"/>
          <w:sz w:val="24"/>
          <w:szCs w:val="24"/>
          <w:lang w:val="en-US" w:eastAsia="zh-CN"/>
        </w:rPr>
        <w:t xml:space="preserve">mainland </w:t>
      </w:r>
      <w:r>
        <w:rPr>
          <w:rFonts w:ascii="Times New Roman" w:hAnsi="Times New Roman" w:cs="Times New Roman"/>
          <w:sz w:val="24"/>
          <w:szCs w:val="24"/>
        </w:rPr>
        <w:t xml:space="preserve">China, but it </w:t>
      </w:r>
      <w:r>
        <w:rPr>
          <w:rFonts w:hint="eastAsia" w:ascii="Times New Roman" w:hAnsi="Times New Roman" w:eastAsia="宋体" w:cs="Times New Roman"/>
          <w:sz w:val="24"/>
          <w:szCs w:val="24"/>
          <w:lang w:val="en-US" w:eastAsia="zh-CN"/>
        </w:rPr>
        <w:t xml:space="preserve">also </w:t>
      </w:r>
      <w:r>
        <w:rPr>
          <w:rFonts w:ascii="Times New Roman" w:hAnsi="Times New Roman" w:cs="Times New Roman"/>
          <w:sz w:val="24"/>
          <w:szCs w:val="24"/>
        </w:rPr>
        <w:t xml:space="preserve">offers extensive insights for learners and lecturers in a diverse school environment settings. Because of this subjective nature, developing a pedagogical framework that value the student perspective in the education system design and practices being implemented in the education sector. Lei and Medwell, (2021). Extensive research done in this project preparation design has enabled in the understanding of student </w:t>
      </w:r>
      <w:r>
        <w:rPr>
          <w:rFonts w:hint="eastAsia" w:ascii="Times New Roman" w:hAnsi="Times New Roman" w:eastAsia="宋体" w:cs="Times New Roman"/>
          <w:sz w:val="24"/>
          <w:szCs w:val="24"/>
          <w:lang w:val="en-US" w:eastAsia="zh-CN"/>
        </w:rPr>
        <w:t>engagement</w:t>
      </w:r>
      <w:r>
        <w:rPr>
          <w:rFonts w:ascii="Times New Roman" w:hAnsi="Times New Roman" w:cs="Times New Roman"/>
          <w:sz w:val="24"/>
          <w:szCs w:val="24"/>
        </w:rPr>
        <w:t xml:space="preserve"> showing guidelines of what teachers can utilize informed methods in the interventions and the improvement of educational outcome.</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To conclude with, this research study has adopt </w:t>
      </w:r>
      <w:r>
        <w:rPr>
          <w:rFonts w:hint="eastAsia" w:ascii="Times New Roman" w:hAnsi="Times New Roman" w:eastAsia="宋体" w:cs="Times New Roman"/>
          <w:sz w:val="24"/>
          <w:szCs w:val="24"/>
          <w:lang w:val="en-US" w:eastAsia="zh-CN"/>
        </w:rPr>
        <w:t>mixed research</w:t>
      </w:r>
      <w:r>
        <w:rPr>
          <w:rFonts w:ascii="Times New Roman" w:hAnsi="Times New Roman" w:cs="Times New Roman"/>
          <w:sz w:val="24"/>
          <w:szCs w:val="24"/>
        </w:rPr>
        <w:t xml:space="preserve"> methods since structured questions, which has been shared through surveys, has been utilized. The methods has been able to give enough feedbacks for preparing this research report.  The complexities, which were being faced in the research, study on student engagement within the English language-teaching context. In my findings, it shows that the significance of recognizing the subjective nature of knowledge development and making students perspectives valuable in enhancing their learning practices in their institutions. This research study has directly implicated so many aspects on student engagement in an English teaching class in</w:t>
      </w:r>
      <w:r>
        <w:rPr>
          <w:rFonts w:hint="eastAsia" w:ascii="Times New Roman" w:hAnsi="Times New Roman" w:eastAsia="宋体" w:cs="Times New Roman"/>
          <w:sz w:val="24"/>
          <w:szCs w:val="24"/>
          <w:lang w:val="en-US" w:eastAsia="zh-CN"/>
        </w:rPr>
        <w:t xml:space="preserve"> mainland</w:t>
      </w:r>
      <w:r>
        <w:rPr>
          <w:rFonts w:ascii="Times New Roman" w:hAnsi="Times New Roman" w:cs="Times New Roman"/>
          <w:sz w:val="24"/>
          <w:szCs w:val="24"/>
        </w:rPr>
        <w:t xml:space="preserve"> China. It puts everything to be in its practicality as in enhance academic practices in diverse education settings. </w:t>
      </w:r>
    </w:p>
    <w:p>
      <w:pPr>
        <w:pStyle w:val="3"/>
      </w:pPr>
      <w:bookmarkStart w:id="42" w:name="_Toc21262"/>
      <w:bookmarkStart w:id="43" w:name="_Toc11325"/>
      <w:bookmarkStart w:id="44" w:name="_Toc154735205"/>
      <w:r>
        <w:t>3.3 Participants</w:t>
      </w:r>
      <w:bookmarkEnd w:id="42"/>
      <w:bookmarkEnd w:id="43"/>
      <w:bookmarkEnd w:id="44"/>
    </w:p>
    <w:p>
      <w:pPr>
        <w:spacing w:line="480" w:lineRule="auto"/>
        <w:ind w:firstLine="480" w:firstLineChars="200"/>
        <w:jc w:val="left"/>
        <w:rPr>
          <w:rFonts w:ascii="Times New Roman" w:hAnsi="Times New Roman" w:cs="Times New Roman"/>
          <w:sz w:val="24"/>
          <w:szCs w:val="24"/>
        </w:rPr>
      </w:pPr>
      <w:r>
        <w:rPr>
          <w:rFonts w:hint="eastAsia" w:ascii="Times New Roman" w:hAnsi="Times New Roman" w:cs="Times New Roman"/>
          <w:sz w:val="24"/>
          <w:szCs w:val="24"/>
        </w:rPr>
        <w:t>This research was involving a group of 20 lecturers (19 in questionaire and 1 in interview) and a group of 110 Chinese university students in the first year (108 in quesionaire and 2 in interview).</w:t>
      </w:r>
      <w:r>
        <w:rPr>
          <w:rFonts w:ascii="Times New Roman" w:hAnsi="Times New Roman" w:cs="Times New Roman"/>
          <w:sz w:val="24"/>
          <w:szCs w:val="24"/>
        </w:rPr>
        <w:t xml:space="preserve"> The students were hailing in three different class majors. The reason why they were selected in that manner was to harmonize the issue of sampling challenge. This specific approach has helped in enhancing representation across the different majors. This method was opted because it gives a comprehensive approach to establishing wide range of experiences from the respondents. The reason for choosing to collect data from various students in other disciplines is to enhance the quality of the research study and hence strengthening the understanding of student engagement and how it can be done in different fields in the education settings in China.</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 xml:space="preserve">respondents </w:t>
      </w:r>
      <w:r>
        <w:rPr>
          <w:rFonts w:hint="eastAsia" w:ascii="Times New Roman" w:hAnsi="Times New Roman" w:eastAsia="宋体" w:cs="Times New Roman"/>
          <w:sz w:val="24"/>
          <w:szCs w:val="24"/>
          <w:lang w:val="en-US" w:eastAsia="zh-CN"/>
        </w:rPr>
        <w:t>have</w:t>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finished</w:t>
      </w:r>
      <w:r>
        <w:rPr>
          <w:rFonts w:ascii="Times New Roman" w:hAnsi="Times New Roman" w:cs="Times New Roman"/>
          <w:sz w:val="24"/>
          <w:szCs w:val="24"/>
        </w:rPr>
        <w:t xml:space="preserve"> a series of tasks and interviews to help in gathering information to find out their </w:t>
      </w:r>
      <w:r>
        <w:rPr>
          <w:rFonts w:hint="eastAsia" w:ascii="Times New Roman" w:hAnsi="Times New Roman" w:eastAsia="宋体" w:cs="Times New Roman"/>
          <w:sz w:val="24"/>
          <w:szCs w:val="24"/>
          <w:lang w:val="en-US" w:eastAsia="zh-CN"/>
        </w:rPr>
        <w:t>teaching and learning</w:t>
      </w:r>
      <w:r>
        <w:rPr>
          <w:rFonts w:ascii="Times New Roman" w:hAnsi="Times New Roman" w:cs="Times New Roman"/>
          <w:sz w:val="24"/>
          <w:szCs w:val="24"/>
        </w:rPr>
        <w:t xml:space="preserve"> experiences. The purpose of designing the assessment was to explore as to how the student engagement played out in their respective classes and various majors. Selecting students from different majors to answer the surveys and interviews was to provide a diverse representation of their respective majors for valuable student perspectives when it comes to analyzing student engagement in class. This methodology has contributed a lot in the study </w:t>
      </w:r>
      <w:r>
        <w:rPr>
          <w:rFonts w:hint="eastAsia" w:ascii="Times New Roman" w:hAnsi="Times New Roman" w:eastAsia="宋体" w:cs="Times New Roman"/>
          <w:sz w:val="24"/>
          <w:szCs w:val="24"/>
          <w:lang w:val="en-US" w:eastAsia="zh-CN"/>
        </w:rPr>
        <w:t xml:space="preserve">from </w:t>
      </w:r>
      <w:r>
        <w:rPr>
          <w:rFonts w:ascii="Times New Roman" w:hAnsi="Times New Roman" w:cs="Times New Roman"/>
          <w:sz w:val="24"/>
          <w:szCs w:val="24"/>
        </w:rPr>
        <w:t>Jiang and Peng</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 xml:space="preserve">(2023). Since the study revealed the different patterns and themes, it has clearly shown the unique significance of student participation in different majors. The first year students who were interview without considering their majors, they have share some of the commonalities and the disparities in their perspectives. This study has allowed me to focus on a meaningful comparisons and contrasts which has shed light on the nature of student participation.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this research study, some of the analysis have shown that academic majors influence student engagement level. Each major in our case has presented different challenges and the opportunities for shaping student interaction with their teachers and themselves in class.  The research study has shown the significance of taking into account subjects while researching and enhancing engagement in the </w:t>
      </w:r>
      <w:r>
        <w:rPr>
          <w:rFonts w:hint="eastAsia" w:ascii="Times New Roman" w:hAnsi="Times New Roman" w:eastAsia="宋体" w:cs="Times New Roman"/>
          <w:sz w:val="24"/>
          <w:szCs w:val="24"/>
          <w:lang w:val="en-US" w:eastAsia="zh-CN"/>
        </w:rPr>
        <w:t>higher education</w:t>
      </w:r>
      <w:r>
        <w:rPr>
          <w:rFonts w:ascii="Times New Roman" w:hAnsi="Times New Roman" w:cs="Times New Roman"/>
          <w:sz w:val="24"/>
          <w:szCs w:val="24"/>
        </w:rPr>
        <w:t xml:space="preserve"> environment. (Cao, 2023). therefore the research suggested that some of the approaches that are tailored to help in enhancing student engagement within ever academic subject. For researchers to understand and address the issues, may lead to coming up with effective methods of improving student participation and the success across various disciplines.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Moreover, student involvement has played a very important role in developing the respondent’s experience. The study describe how the size and structure and the teaching approaches of a class has influenced the students who are learning in an English class in China. (Feng et al., 2023). When the classes are small, it makes it more interactive and hence has fostered a sense of community and active involvement. When the lecture classes are very big, it tends to pose some challenges to maintaining high level of student engagements. It helps to emphasize the need for a tailored approach that addresses the varying challenges in various classes of different majors.</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Looking into extracurricular activities and the support education system, that is influencing student engagement. Apart from classes, respondents also were engaged in diverse extracurricular activities that enhances their overall college experience in china. Because of the availability of other programs such as mentorship, resources for academics and support from other network groups has contributed a lot in student engagement levels. (Imbaquingo and Cárdenas, 2023). The research has shown lack of connection of academic and factors that are not academic in enhancing a holistic engagement experience for the students who are in first year in the university.</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During the whole study process, I have maintained focus on enhancing ethical consideration while dealing with the respondents. I was able to take time informing their consent and put measures in place to safeguard their confidentiality and their anonymity of those who were involved in the interview. Because of the ethical practices that I maintained during the whole research process have enhanced my dedication towards conducting a rigorous and accountable research study (Xu et al., 2023). Because of their efforts, I was able to conduct a quality research study with a lot of valuable insights which has set up a very high standards for ethical research for this research. Respondents trust was not only respected but has also become the integral part of the success of the preparation and development of this research.</w:t>
      </w:r>
    </w:p>
    <w:p>
      <w:pPr>
        <w:pStyle w:val="3"/>
      </w:pPr>
      <w:bookmarkStart w:id="45" w:name="_Toc29777"/>
      <w:bookmarkStart w:id="46" w:name="_Toc154735206"/>
      <w:bookmarkStart w:id="47" w:name="_Toc12066"/>
      <w:r>
        <w:t>3.4 Data Collection Methods</w:t>
      </w:r>
      <w:bookmarkEnd w:id="45"/>
      <w:bookmarkEnd w:id="46"/>
      <w:bookmarkEnd w:id="47"/>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Qualitative and Quantitative data collection methods were used. This is what referred to as a mixed method is</w:t>
      </w:r>
      <w:r>
        <w:rPr>
          <w:rFonts w:hint="eastAsia" w:ascii="Times New Roman" w:hAnsi="Times New Roman" w:eastAsia="宋体" w:cs="Times New Roman"/>
          <w:sz w:val="24"/>
          <w:szCs w:val="24"/>
          <w:lang w:val="en-US" w:eastAsia="zh-CN"/>
        </w:rPr>
        <w:t xml:space="preserve"> for me</w:t>
      </w:r>
      <w:r>
        <w:rPr>
          <w:rFonts w:ascii="Times New Roman" w:hAnsi="Times New Roman" w:cs="Times New Roman"/>
          <w:sz w:val="24"/>
          <w:szCs w:val="24"/>
        </w:rPr>
        <w:t>. The use of this method has helped a lot in ensuring the research to be of high quality as it has utilize an expansive research when it comes to collecting information. For the success of data collection methods different tools were applied which include the use of Microsoft forms. This form has allowed the research interview or survey question to be created for the respondents to filled them in. once every respondent has been able to give the response, then the data collected were downloaded into excel and analyzed as has been shown in the following chapter. (Al-Bogami and Elyas, 2020). Seamlessly, interviews have been able to play a critical role in attaining individual experience on student engagement in English class in the context of teaching in class. The kind of the questions that has been structured for the purpose of collecting data from the respondents include the open ended questions.</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reason why Microsoft forms was used in creating survey content and questions is its efficiency and the security while undertaking data collection. It has not only enhance the data collection process but also has enhanced a seamless process for all the respondents who were involved. The tools consist of a very user-friendly interface, which is easy to learn and use within a very short period. In addition, data can be downloaded and analyzed in an excel format or can just be downloaded while the data is already summarized by the Microsoft form itself. Because of the security and efficiency of the Microsoft forms, the forms have also proven to be processing meaningful insights to the data that is being collected. This has been able to set up standards for future researchers as the best tool for collecting and analyzing data in the future.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Questionnaires has been the most viable tool for collecting necessary information in this research. The use of questionnaire has enhance a quantitative method of gathering and analyzing information from all the respondents as it involve structured questions and interview question being developed for the respondents to answer. Numerical data were collected to describe the various patterns and trends in the general engagement. Respondents in the whole survey process were able to give their responses according to how the understood the questions and as per their feelings.  The data obtain from all the respondents were quantified and analyzed using known software, which have been explained below. (Trust et al., 2023). because of this nature of using structure questionnaire in the form has enable the speedy collection of data as it has made the work of data entry to become easy as each of the respondent only analyzes the feed the data and the owner will just download the whole data in the form of a spread sheet as well as visualized data. (Gan et al., 2023).</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Under qualitative analysis of the study, interviews were gathered from various respondents where</w:t>
      </w:r>
      <w:r>
        <w:rPr>
          <w:rFonts w:hint="eastAsia" w:ascii="Times New Roman" w:hAnsi="Times New Roman" w:eastAsia="宋体" w:cs="Times New Roman"/>
          <w:sz w:val="24"/>
          <w:szCs w:val="24"/>
          <w:lang w:val="en-US" w:eastAsia="zh-CN"/>
        </w:rPr>
        <w:t xml:space="preserve"> one</w:t>
      </w:r>
      <w:r>
        <w:rPr>
          <w:rFonts w:ascii="Times New Roman" w:hAnsi="Times New Roman" w:cs="Times New Roman"/>
          <w:sz w:val="24"/>
          <w:szCs w:val="24"/>
        </w:rPr>
        <w:t xml:space="preserve"> lecture</w:t>
      </w:r>
      <w:r>
        <w:rPr>
          <w:rFonts w:hint="eastAsia" w:ascii="Times New Roman" w:hAnsi="Times New Roman" w:eastAsia="宋体" w:cs="Times New Roman"/>
          <w:sz w:val="24"/>
          <w:szCs w:val="24"/>
          <w:lang w:val="en-US" w:eastAsia="zh-CN"/>
        </w:rPr>
        <w:t>r</w:t>
      </w:r>
      <w:r>
        <w:rPr>
          <w:rFonts w:ascii="Times New Roman" w:hAnsi="Times New Roman" w:cs="Times New Roman"/>
          <w:sz w:val="24"/>
          <w:szCs w:val="24"/>
        </w:rPr>
        <w:t xml:space="preserve"> and two students from different majors were interviewed. During the interview process, I have dealt with the issue of some of the factors which hinders student engagement in class in China. The set questions for the interviews were open ended which have proven to be instrumental in the process of enhancing this research. Respondents has been able to articulate their feelings and thoughts by giving out divergent views based on the said topic of this research study. (Pawlak et al., 2021). Interviews have allowed the research to be more comprehensive and informative because of trusted information shared by the interviewees based on the subject matter. Microsoft forms were also used for these interview questions like was done for the questionnaire and survey questions. This has enhance a user-friendly platform for easy accessibility and can be filled remotely by the respondent. The interviews, which were done on call, was done through zoom. Most of the questions asked were answered in Chinese language but was later transcribe and the transcriber made sure that the theme of the content is not lost during transcription process. (Shan and Shan, 2023).</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With the participants during the interview, I was able to engage with them in an exclusive interview noting down some the important aspects hindering student engagement in Chinese universities. I was able to dig deeper into stories with the numbers. The use of </w:t>
      </w:r>
      <w:bookmarkStart w:id="48" w:name="OLE_LINK5"/>
      <w:bookmarkStart w:id="49" w:name="OLE_LINK4"/>
      <w:r>
        <w:rPr>
          <w:rFonts w:ascii="Times New Roman" w:hAnsi="Times New Roman" w:cs="Times New Roman"/>
          <w:sz w:val="24"/>
          <w:szCs w:val="24"/>
        </w:rPr>
        <w:t>open-ended</w:t>
      </w:r>
      <w:bookmarkEnd w:id="48"/>
      <w:r>
        <w:rPr>
          <w:rFonts w:ascii="Times New Roman" w:hAnsi="Times New Roman" w:cs="Times New Roman"/>
          <w:sz w:val="24"/>
          <w:szCs w:val="24"/>
        </w:rPr>
        <w:t xml:space="preserve"> </w:t>
      </w:r>
      <w:bookmarkEnd w:id="49"/>
      <w:r>
        <w:rPr>
          <w:rFonts w:ascii="Times New Roman" w:hAnsi="Times New Roman" w:cs="Times New Roman"/>
          <w:sz w:val="24"/>
          <w:szCs w:val="24"/>
        </w:rPr>
        <w:t>questions became the cornerstone of each individual experiences. I was able to capture every subtle of overlooks of the qualitative data. (Moorhouse and Kohnke, 2021).</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A mixed method of research was opted because of the expansive nature of the research. Both qualitative and quantitative approach were very important to this study. The research study needed exhaustive methods of making sure that no individual view in the sample size from the diverse environment and student majors was left out.  This has allowed for a holistic representation and interpretation of the subject matter. (Bacquet, 2020).  The use of questionnaire has given a macroscopic view of engagement trends, and the interviews. The synergy between these methods resulted in a more robust and effective portrayal of the research study.</w:t>
      </w:r>
    </w:p>
    <w:p>
      <w:pPr>
        <w:pStyle w:val="3"/>
      </w:pPr>
      <w:bookmarkStart w:id="50" w:name="_Toc154735207"/>
      <w:bookmarkStart w:id="51" w:name="_Toc12239"/>
      <w:bookmarkStart w:id="52" w:name="_Toc31978"/>
      <w:r>
        <w:t>3.5 Data Analysis</w:t>
      </w:r>
      <w:bookmarkEnd w:id="50"/>
      <w:bookmarkEnd w:id="51"/>
      <w:bookmarkEnd w:id="52"/>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A </w:t>
      </w:r>
      <w:r>
        <w:rPr>
          <w:rFonts w:hint="eastAsia" w:ascii="Times New Roman" w:hAnsi="Times New Roman" w:eastAsia="宋体" w:cs="Times New Roman"/>
          <w:sz w:val="24"/>
          <w:szCs w:val="24"/>
          <w:lang w:val="en-US" w:eastAsia="zh-CN"/>
        </w:rPr>
        <w:t xml:space="preserve">research </w:t>
      </w:r>
      <w:r>
        <w:rPr>
          <w:rFonts w:ascii="Times New Roman" w:hAnsi="Times New Roman" w:cs="Times New Roman"/>
          <w:sz w:val="24"/>
          <w:szCs w:val="24"/>
        </w:rPr>
        <w:t>tool called NVIvo, was used in the analysis process after data collection. This tool is used mostly for conducting thematic analysis . the method has enhance the identification and research analysis of the various trends and patterns based on different feedback that were obtained from the respondents. (Alemayehu and Chen, 2023). there was the need to understand some of the coding techniques as some of the commands were used during the analysis in the tool. The reason why coding was needed was to sought to indicate the dimension of the student engagement in the English language teaching class, thereby contributing to a more comprehensive understanding of the topic itself.</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While I work on the data collected during the interviews</w:t>
      </w:r>
      <w:r>
        <w:rPr>
          <w:rFonts w:hint="eastAsia" w:ascii="Times New Roman" w:hAnsi="Times New Roman" w:eastAsia="宋体" w:cs="Times New Roman"/>
          <w:sz w:val="24"/>
          <w:szCs w:val="24"/>
          <w:lang w:val="en-US" w:eastAsia="zh-CN"/>
        </w:rPr>
        <w:t xml:space="preserve"> and</w:t>
      </w:r>
      <w:r>
        <w:rPr>
          <w:rFonts w:ascii="Times New Roman" w:hAnsi="Times New Roman" w:cs="Times New Roman"/>
          <w:sz w:val="24"/>
          <w:szCs w:val="24"/>
        </w:rPr>
        <w:t xml:space="preserve"> questionairres, I was able to note some of the implications of</w:t>
      </w:r>
      <w:r>
        <w:rPr>
          <w:rFonts w:hint="eastAsia" w:ascii="Times New Roman" w:hAnsi="Times New Roman" w:eastAsia="宋体" w:cs="Times New Roman"/>
          <w:sz w:val="24"/>
          <w:szCs w:val="24"/>
          <w:lang w:val="en-US" w:eastAsia="zh-CN"/>
        </w:rPr>
        <w:t xml:space="preserve"> university</w:t>
      </w:r>
      <w:r>
        <w:rPr>
          <w:rFonts w:ascii="Times New Roman" w:hAnsi="Times New Roman" w:cs="Times New Roman"/>
          <w:sz w:val="24"/>
          <w:szCs w:val="24"/>
        </w:rPr>
        <w:t xml:space="preserve"> student involvement in class in diverse majors in China. NVIvo, comprise of some robust ability to provide structured framework for thematic analysis. (Saleem et al., 2023). The tool is very effective while handling qualitative data collected during interviews for the researchers to achieve the necessary patterns.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 xml:space="preserve">Data can be </w:t>
      </w:r>
      <w:r>
        <w:rPr>
          <w:rFonts w:hint="eastAsia" w:ascii="Times New Roman" w:hAnsi="Times New Roman" w:eastAsia="宋体" w:cs="Times New Roman"/>
          <w:sz w:val="24"/>
          <w:szCs w:val="24"/>
          <w:lang w:val="en-US" w:eastAsia="zh-CN"/>
        </w:rPr>
        <w:t xml:space="preserve">also </w:t>
      </w:r>
      <w:r>
        <w:rPr>
          <w:rFonts w:ascii="Times New Roman" w:hAnsi="Times New Roman" w:cs="Times New Roman"/>
          <w:sz w:val="24"/>
          <w:szCs w:val="24"/>
        </w:rPr>
        <w:t xml:space="preserve">categorized into different groups making it easy to assign codes to some elements that emerge during the analysis process. This method allow data to be explored and get interpreted on student engagement in the English language teaching environment (Chiu, 2021). </w:t>
      </w:r>
    </w:p>
    <w:p>
      <w:pPr>
        <w:pStyle w:val="3"/>
      </w:pPr>
      <w:bookmarkStart w:id="53" w:name="_Toc154735208"/>
      <w:bookmarkStart w:id="54" w:name="_Toc7964"/>
      <w:r>
        <w:t>3.6 NVIvo software analysis</w:t>
      </w:r>
      <w:bookmarkEnd w:id="53"/>
      <w:bookmarkEnd w:id="54"/>
      <w:r>
        <w:t xml:space="preserve"> </w:t>
      </w:r>
    </w:p>
    <w:p>
      <w:pPr>
        <w:spacing w:line="480" w:lineRule="auto"/>
        <w:jc w:val="lef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The main note in the NVivo software analysis, describes the backbone that focuses on student engagement in English teaching class in China. The sub notes in NVivo describes the factors influencing student engagement such as student classroom environment, motivation, teaching methods and student teacher interaction and finally the cultural influences. (Assunção et al., 2020). NVivo also helps in visualizing different patterns that makes the analysis easy to interpret the outcome of the results about the dataset. The purpose of NVivo is to not only organize the data collected but also visualize the patterns enhancing a deeper understanding the different aspects of student involvement in an English teaching class in a university in China.</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NVivo has been utilized in the analysis of the data collected from the three respondents who participated in the interviews organized by the researcher. The analysis undertaken through NVivo in-depth to help in developing a very comprehensive report with evidence. (Ruthotto et al., 2020).</w:t>
      </w:r>
    </w:p>
    <w:p>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pPr>
        <w:pStyle w:val="2"/>
        <w:jc w:val="center"/>
        <w:rPr>
          <w:rFonts w:hint="default" w:ascii="Times New Roman" w:hAnsi="Times New Roman" w:cs="Times New Roman"/>
          <w:sz w:val="30"/>
          <w:szCs w:val="30"/>
        </w:rPr>
      </w:pPr>
      <w:bookmarkStart w:id="55" w:name="_Toc16890"/>
      <w:bookmarkStart w:id="56" w:name="_Toc10517"/>
      <w:bookmarkStart w:id="57" w:name="_Toc154735209"/>
      <w:r>
        <w:rPr>
          <w:rFonts w:hint="default" w:ascii="Times New Roman" w:hAnsi="Times New Roman" w:cs="Times New Roman"/>
          <w:sz w:val="30"/>
          <w:szCs w:val="30"/>
        </w:rPr>
        <w:t>CHAPTER 4</w:t>
      </w:r>
      <w:bookmarkStart w:id="58" w:name="_Toc11855"/>
      <w:r>
        <w:rPr>
          <w:rFonts w:hint="default" w:ascii="Times New Roman" w:hAnsi="Times New Roman" w:cs="Times New Roman"/>
          <w:sz w:val="30"/>
          <w:szCs w:val="30"/>
        </w:rPr>
        <w:t>: FINDINGS</w:t>
      </w:r>
      <w:r>
        <w:rPr>
          <w:rFonts w:hint="default" w:ascii="Times New Roman" w:hAnsi="Times New Roman" w:cs="Times New Roman"/>
          <w:sz w:val="30"/>
          <w:szCs w:val="30"/>
          <w:lang w:val="en-US" w:eastAsia="zh-CN"/>
        </w:rPr>
        <w:t xml:space="preserve"> AND</w:t>
      </w:r>
      <w:r>
        <w:rPr>
          <w:rFonts w:hint="default" w:ascii="Times New Roman" w:hAnsi="Times New Roman" w:cs="Times New Roman"/>
          <w:sz w:val="30"/>
          <w:szCs w:val="30"/>
        </w:rPr>
        <w:t xml:space="preserve"> DATA ANALYSIS</w:t>
      </w:r>
      <w:bookmarkEnd w:id="55"/>
      <w:bookmarkEnd w:id="56"/>
      <w:bookmarkEnd w:id="57"/>
      <w:bookmarkEnd w:id="58"/>
    </w:p>
    <w:p>
      <w:pPr>
        <w:rPr>
          <w:rFonts w:hint="default"/>
        </w:rPr>
      </w:pPr>
    </w:p>
    <w:p/>
    <w:p>
      <w:pPr>
        <w:spacing w:line="480" w:lineRule="auto"/>
        <w:ind w:firstLine="480" w:firstLineChars="200"/>
        <w:jc w:val="left"/>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 xml:space="preserve">Looking into the data collected through surveys, interviews and observations. A clear understanding of how student engagement will help in English teaching class in Chinese University. The analysis has followed mixed approach of both qualitative and quantitative research and analysis. The analysis based on the interviews, surveys and observations has revealed various patterns hence giving out valuable insights for instructors, researchers and universities to aim in enhancing learning experience for all first year students across the different cultural settings. Most of the </w:t>
      </w:r>
      <w:r>
        <w:rPr>
          <w:rFonts w:hint="eastAsia" w:ascii="Times New Roman" w:hAnsi="Times New Roman" w:eastAsia="宋体" w:cs="Times New Roman"/>
          <w:sz w:val="24"/>
          <w:szCs w:val="24"/>
          <w:lang w:val="en-US" w:eastAsia="zh-CN"/>
        </w:rPr>
        <w:t>questionaires</w:t>
      </w:r>
      <w:r>
        <w:rPr>
          <w:rFonts w:ascii="Times New Roman" w:hAnsi="Times New Roman" w:cs="Times New Roman"/>
          <w:sz w:val="24"/>
          <w:szCs w:val="24"/>
        </w:rPr>
        <w:t xml:space="preserve"> and interviews done for quantitative analysis were facilitated by the use of Microsoft forms to develop questionnaires and thus has displayed the good performance of trends in student participation. Survey and interview questions were structured to help the quantification of the entire student, lectures responses that has enabled researchers to understand various statistical patterns.</w:t>
      </w:r>
      <w:r>
        <w:rPr>
          <w:rFonts w:ascii="Times New Roman" w:hAnsi="Times New Roman" w:cs="Times New Roman"/>
          <w:color w:val="222222"/>
          <w:sz w:val="24"/>
          <w:szCs w:val="24"/>
          <w:shd w:val="clear" w:color="auto" w:fill="FFFFFF"/>
        </w:rPr>
        <w:t xml:space="preserve"> (Moorhouse, and Kohnke, 2021)</w:t>
      </w:r>
      <w:r>
        <w:rPr>
          <w:rFonts w:hint="eastAsia" w:ascii="Times New Roman" w:hAnsi="Times New Roman" w:eastAsia="宋体" w:cs="Times New Roman"/>
          <w:color w:val="222222"/>
          <w:sz w:val="24"/>
          <w:szCs w:val="24"/>
          <w:shd w:val="clear" w:color="auto" w:fill="FFFFFF"/>
          <w:lang w:val="en-US" w:eastAsia="zh-CN"/>
        </w:rPr>
        <w:t>.</w:t>
      </w:r>
    </w:p>
    <w:p>
      <w:pPr>
        <w:pStyle w:val="3"/>
      </w:pPr>
      <w:bookmarkStart w:id="59" w:name="_Toc16364"/>
      <w:bookmarkStart w:id="60" w:name="_Toc154735210"/>
      <w:bookmarkStart w:id="61" w:name="_Toc25595"/>
      <w:bookmarkStart w:id="62" w:name="_Toc16913"/>
      <w:r>
        <w:t>4.1 Overall Engagement Trends:</w:t>
      </w:r>
      <w:bookmarkEnd w:id="59"/>
      <w:bookmarkEnd w:id="60"/>
      <w:bookmarkEnd w:id="61"/>
      <w:bookmarkEnd w:id="62"/>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research analysis of student participation in the English language teaching class, a prevailing trend has emerged, showing 85% of the respondents showing medium level engagements as stated by Ouyang et al., (2022). Because of this active and collective participation among the students, has enhanced a dynamic class environment, developing a strong sense of mutual support between teachers and students.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 xml:space="preserve">When engagement levels is broken down, there is a positive impact when it comes to academic achievement. Because of high level of student engagement in class helps to boost to impressive GPA to3.8, leading to a pass of 95% as stated by Ji et al., (2022). However, the low engagement group shows the stark contrast with an average of GPA 2.5 at a pass rate of 60%. This is according to Hew et al. (2020). </w:t>
      </w:r>
      <w:r>
        <w:rPr>
          <w:rFonts w:hint="eastAsia" w:ascii="Times New Roman" w:hAnsi="Times New Roman" w:eastAsia="宋体" w:cs="Times New Roman"/>
          <w:sz w:val="24"/>
          <w:szCs w:val="24"/>
          <w:lang w:val="en-US" w:eastAsia="zh-CN"/>
        </w:rPr>
        <w:t xml:space="preserve">The </w:t>
      </w:r>
      <w:r>
        <w:rPr>
          <w:rFonts w:ascii="Times New Roman" w:hAnsi="Times New Roman" w:cs="Times New Roman"/>
          <w:sz w:val="24"/>
          <w:szCs w:val="24"/>
        </w:rPr>
        <w:t>analysis is showing a correlation analysis of the significance of engagement which indicates a positive correlation of +0.75 based on the engagement and GPA. Another correlation of +0.82 based on engagement and the pass rate. This shows that a higher levels of engagement that correlates positively within the academic success and thus has been able to emphasize the relationship  between student engagement and achievement.</w:t>
      </w:r>
    </w:p>
    <w:p>
      <w:pPr>
        <w:spacing w:line="480" w:lineRule="auto"/>
        <w:ind w:firstLine="480" w:firstLineChars="200"/>
        <w:jc w:val="left"/>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 xml:space="preserve">When </w:t>
      </w:r>
      <w:r>
        <w:rPr>
          <w:rFonts w:hint="eastAsia" w:ascii="Times New Roman" w:hAnsi="Times New Roman" w:eastAsia="宋体" w:cs="Times New Roman"/>
          <w:sz w:val="24"/>
          <w:szCs w:val="24"/>
          <w:lang w:val="en-US" w:eastAsia="zh-CN"/>
        </w:rPr>
        <w:t>I</w:t>
      </w:r>
      <w:r>
        <w:rPr>
          <w:rFonts w:ascii="Times New Roman" w:hAnsi="Times New Roman" w:cs="Times New Roman"/>
          <w:sz w:val="24"/>
          <w:szCs w:val="24"/>
        </w:rPr>
        <w:t xml:space="preserve"> notice a positive correlation, it indicates that </w:t>
      </w:r>
      <w:r>
        <w:rPr>
          <w:rFonts w:hint="eastAsia" w:ascii="Times New Roman" w:hAnsi="Times New Roman" w:eastAsia="宋体" w:cs="Times New Roman"/>
          <w:sz w:val="24"/>
          <w:szCs w:val="24"/>
          <w:lang w:val="en-US" w:eastAsia="zh-CN"/>
        </w:rPr>
        <w:t>lecturer</w:t>
      </w:r>
      <w:r>
        <w:rPr>
          <w:rFonts w:ascii="Times New Roman" w:hAnsi="Times New Roman" w:cs="Times New Roman"/>
          <w:sz w:val="24"/>
          <w:szCs w:val="24"/>
        </w:rPr>
        <w:t xml:space="preserve"> has implemented innovative activities and enhanced collaborative projects to students. When students participate in projects that are collaborative it will lead to a notable average GPA improvement of 0.5 points and a 10% increase in the pass rate as stated by Inouye et al., (2023). Therefore, it means the use of innovative teaching methods in a learning institution enhances student engagement for learning and improving the academic performance in class. Over 90% of the students reported on the sense of mutual support, which has established a conducive and positive learning space for them to understand better in their majors. It has really played a critical role in the success of their academic performance. (De Souza et al., 2021). Because of this innovative method that has enhanced student activeness in class and thus improving the academic performance in the institution.</w:t>
      </w:r>
      <w:r>
        <w:rPr>
          <w:rFonts w:hint="eastAsia" w:ascii="Times New Roman" w:hAnsi="Times New Roman" w:eastAsia="宋体" w:cs="Times New Roman"/>
          <w:sz w:val="24"/>
          <w:szCs w:val="24"/>
          <w:lang w:val="en-US" w:eastAsia="zh-CN"/>
        </w:rP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To check a very long-term influence the retention rate matters a lot as of this concern. Over 90% of highly engaged students continue to the advanced levels in their studies. Those who are moderately engaged among students consist of a retention rate of about 70%. While those who are less engaged has shown a retention rate of about 40% (Lomer and Anthony-Okeke, 2019). this clearly describes the influence of </w:t>
      </w:r>
      <w:r>
        <w:rPr>
          <w:rFonts w:hint="eastAsia" w:ascii="Times New Roman" w:hAnsi="Times New Roman" w:eastAsia="宋体" w:cs="Times New Roman"/>
          <w:sz w:val="24"/>
          <w:szCs w:val="24"/>
          <w:lang w:val="en-US" w:eastAsia="zh-CN"/>
        </w:rPr>
        <w:t xml:space="preserve">student </w:t>
      </w:r>
      <w:r>
        <w:rPr>
          <w:rFonts w:ascii="Times New Roman" w:hAnsi="Times New Roman" w:cs="Times New Roman"/>
          <w:sz w:val="24"/>
          <w:szCs w:val="24"/>
        </w:rPr>
        <w:t>engagement in the overall student’s academic journey.</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To summarize, the data showing both the disciplinary expression of engagement and objective quantitative metrics, shows a true picture of the positive impact between student involvement and their academic performance in the class. Because of this reason of the relationship between learners who are engaged and academic performance, describe the need to do more research and redesigning the teaching methodologies to enhance and sustain conducive learning environment for all students. The classroom is a very dynamic space for learning and does require in establishing more methods of passing knowledge directly to students.</w:t>
      </w:r>
    </w:p>
    <w:tbl>
      <w:tblPr>
        <w:tblStyle w:val="30"/>
        <w:tblW w:w="9133" w:type="dxa"/>
        <w:tblInd w:w="132" w:type="dxa"/>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Layout w:type="autofit"/>
        <w:tblCellMar>
          <w:top w:w="0" w:type="dxa"/>
          <w:left w:w="108" w:type="dxa"/>
          <w:bottom w:w="0" w:type="dxa"/>
          <w:right w:w="108" w:type="dxa"/>
        </w:tblCellMar>
      </w:tblPr>
      <w:tblGrid>
        <w:gridCol w:w="3477"/>
        <w:gridCol w:w="2105"/>
        <w:gridCol w:w="2105"/>
        <w:gridCol w:w="1446"/>
      </w:tblGrid>
      <w:tr>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677" w:hRule="atLeast"/>
        </w:trPr>
        <w:tc>
          <w:tcPr>
            <w:tcW w:w="3477" w:type="dxa"/>
            <w:tcBorders>
              <w:top w:val="single" w:color="4472C4" w:themeColor="accent1" w:sz="4" w:space="0"/>
              <w:left w:val="single" w:color="4472C4" w:themeColor="accent1" w:sz="4" w:space="0"/>
              <w:bottom w:val="single" w:color="4472C4" w:themeColor="accent1" w:sz="4" w:space="0"/>
              <w:right w:val="nil"/>
              <w:insideH w:val="single" w:sz="4" w:space="0"/>
              <w:insideV w:val="nil"/>
            </w:tcBorders>
            <w:shd w:val="clear" w:color="auto" w:fill="4472C4" w:themeFill="accent1"/>
          </w:tcPr>
          <w:p>
            <w:pPr>
              <w:spacing w:after="0" w:line="480" w:lineRule="auto"/>
              <w:jc w:val="both"/>
              <w:rPr>
                <w:rFonts w:ascii="Times New Roman" w:hAnsi="Times New Roman" w:cs="Times New Roman"/>
                <w:b/>
                <w:bCs/>
                <w:color w:val="CCE8CF" w:themeColor="background1"/>
                <w:sz w:val="24"/>
                <w:szCs w:val="24"/>
                <w14:textFill>
                  <w14:solidFill>
                    <w14:schemeClr w14:val="bg1"/>
                  </w14:solidFill>
                </w14:textFill>
              </w:rPr>
            </w:pPr>
            <w:r>
              <w:rPr>
                <w:rFonts w:hint="eastAsia" w:ascii="Times New Roman" w:hAnsi="Times New Roman" w:eastAsia="宋体" w:cs="Times New Roman"/>
                <w:b/>
                <w:bCs/>
                <w:color w:val="CCE8CF" w:themeColor="background1"/>
                <w:sz w:val="24"/>
                <w:szCs w:val="24"/>
                <w:lang w:val="en-US" w:eastAsia="zh-CN"/>
                <w14:textFill>
                  <w14:solidFill>
                    <w14:schemeClr w14:val="bg1"/>
                  </w14:solidFill>
                </w14:textFill>
              </w:rPr>
              <w:t xml:space="preserve">Student </w:t>
            </w:r>
            <w:r>
              <w:rPr>
                <w:rFonts w:ascii="Times New Roman" w:hAnsi="Times New Roman" w:cs="Times New Roman"/>
                <w:b/>
                <w:bCs/>
                <w:color w:val="CCE8CF" w:themeColor="background1"/>
                <w:sz w:val="24"/>
                <w:szCs w:val="24"/>
                <w14:textFill>
                  <w14:solidFill>
                    <w14:schemeClr w14:val="bg1"/>
                  </w14:solidFill>
                </w14:textFill>
              </w:rPr>
              <w:t>Engagement Level</w:t>
            </w:r>
          </w:p>
        </w:tc>
        <w:tc>
          <w:tcPr>
            <w:tcW w:w="2105" w:type="dxa"/>
            <w:tcBorders>
              <w:top w:val="single" w:color="4472C4" w:themeColor="accent1" w:sz="4" w:space="0"/>
              <w:bottom w:val="single" w:color="4472C4" w:themeColor="accent1" w:sz="4" w:space="0"/>
              <w:right w:val="nil"/>
              <w:insideH w:val="single" w:sz="4" w:space="0"/>
              <w:insideV w:val="nil"/>
            </w:tcBorders>
            <w:shd w:val="clear" w:color="auto" w:fill="4472C4" w:themeFill="accent1"/>
          </w:tcPr>
          <w:p>
            <w:pPr>
              <w:spacing w:after="0" w:line="480" w:lineRule="auto"/>
              <w:jc w:val="both"/>
              <w:rPr>
                <w:rFonts w:ascii="Times New Roman" w:hAnsi="Times New Roman" w:cs="Times New Roman"/>
                <w:b/>
                <w:bCs/>
                <w:color w:val="CCE8CF" w:themeColor="background1"/>
                <w:sz w:val="24"/>
                <w:szCs w:val="24"/>
                <w14:textFill>
                  <w14:solidFill>
                    <w14:schemeClr w14:val="bg1"/>
                  </w14:solidFill>
                </w14:textFill>
              </w:rPr>
            </w:pPr>
            <w:r>
              <w:rPr>
                <w:rFonts w:ascii="Times New Roman" w:hAnsi="Times New Roman" w:cs="Times New Roman"/>
                <w:b/>
                <w:bCs/>
                <w:color w:val="CCE8CF" w:themeColor="background1"/>
                <w:sz w:val="24"/>
                <w:szCs w:val="24"/>
                <w14:textFill>
                  <w14:solidFill>
                    <w14:schemeClr w14:val="bg1"/>
                  </w14:solidFill>
                </w14:textFill>
              </w:rPr>
              <w:t>Percentage of Participants</w:t>
            </w:r>
          </w:p>
        </w:tc>
        <w:tc>
          <w:tcPr>
            <w:tcW w:w="2105" w:type="dxa"/>
            <w:tcBorders>
              <w:top w:val="single" w:color="4472C4" w:themeColor="accent1" w:sz="4" w:space="0"/>
              <w:bottom w:val="single" w:color="4472C4" w:themeColor="accent1" w:sz="4" w:space="0"/>
              <w:right w:val="nil"/>
              <w:insideH w:val="single" w:sz="4" w:space="0"/>
              <w:insideV w:val="nil"/>
            </w:tcBorders>
            <w:shd w:val="clear" w:color="auto" w:fill="4472C4" w:themeFill="accent1"/>
          </w:tcPr>
          <w:p>
            <w:pPr>
              <w:spacing w:after="0" w:line="480" w:lineRule="auto"/>
              <w:jc w:val="both"/>
              <w:rPr>
                <w:rFonts w:ascii="Times New Roman" w:hAnsi="Times New Roman" w:cs="Times New Roman"/>
                <w:b/>
                <w:bCs/>
                <w:color w:val="CCE8CF" w:themeColor="background1"/>
                <w:sz w:val="24"/>
                <w:szCs w:val="24"/>
                <w14:textFill>
                  <w14:solidFill>
                    <w14:schemeClr w14:val="bg1"/>
                  </w14:solidFill>
                </w14:textFill>
              </w:rPr>
            </w:pPr>
            <w:r>
              <w:rPr>
                <w:rFonts w:ascii="Times New Roman" w:hAnsi="Times New Roman" w:cs="Times New Roman"/>
                <w:b/>
                <w:bCs/>
                <w:color w:val="CCE8CF" w:themeColor="background1"/>
                <w:sz w:val="24"/>
                <w:szCs w:val="24"/>
                <w14:textFill>
                  <w14:solidFill>
                    <w14:schemeClr w14:val="bg1"/>
                  </w14:solidFill>
                </w14:textFill>
              </w:rPr>
              <w:t>Average GPA</w:t>
            </w:r>
          </w:p>
        </w:tc>
        <w:tc>
          <w:tcPr>
            <w:tcW w:w="1446" w:type="dxa"/>
            <w:tcBorders>
              <w:top w:val="single" w:color="4472C4" w:themeColor="accent1" w:sz="4" w:space="0"/>
              <w:bottom w:val="single" w:color="4472C4" w:themeColor="accent1" w:sz="4" w:space="0"/>
              <w:right w:val="single" w:color="4472C4" w:themeColor="accent1" w:sz="4" w:space="0"/>
              <w:insideH w:val="single" w:sz="4" w:space="0"/>
              <w:insideV w:val="nil"/>
            </w:tcBorders>
            <w:shd w:val="clear" w:color="auto" w:fill="4472C4" w:themeFill="accent1"/>
          </w:tcPr>
          <w:p>
            <w:pPr>
              <w:spacing w:after="0" w:line="480" w:lineRule="auto"/>
              <w:jc w:val="both"/>
              <w:rPr>
                <w:rFonts w:ascii="Times New Roman" w:hAnsi="Times New Roman" w:cs="Times New Roman"/>
                <w:b/>
                <w:bCs/>
                <w:color w:val="CCE8CF" w:themeColor="background1"/>
                <w:sz w:val="24"/>
                <w:szCs w:val="24"/>
                <w14:textFill>
                  <w14:solidFill>
                    <w14:schemeClr w14:val="bg1"/>
                  </w14:solidFill>
                </w14:textFill>
              </w:rPr>
            </w:pPr>
            <w:r>
              <w:rPr>
                <w:rFonts w:ascii="Times New Roman" w:hAnsi="Times New Roman" w:cs="Times New Roman"/>
                <w:b/>
                <w:bCs/>
                <w:color w:val="CCE8CF" w:themeColor="background1"/>
                <w:sz w:val="24"/>
                <w:szCs w:val="24"/>
                <w14:textFill>
                  <w14:solidFill>
                    <w14:schemeClr w14:val="bg1"/>
                  </w14:solidFill>
                </w14:textFill>
              </w:rPr>
              <w:t>Pass Rate</w:t>
            </w:r>
          </w:p>
        </w:tc>
      </w:tr>
      <w:tr>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347" w:hRule="atLeast"/>
        </w:trPr>
        <w:tc>
          <w:tcPr>
            <w:tcW w:w="3477" w:type="dxa"/>
            <w:shd w:val="clear" w:color="auto" w:fill="D9E2F3" w:themeFill="accent1" w:themeFillTint="33"/>
          </w:tcPr>
          <w:p>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High</w:t>
            </w:r>
          </w:p>
        </w:tc>
        <w:tc>
          <w:tcPr>
            <w:tcW w:w="2105" w:type="dxa"/>
            <w:shd w:val="clear" w:color="auto" w:fill="D9E2F3" w:themeFill="accent1" w:themeFillTint="33"/>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85%</w:t>
            </w:r>
          </w:p>
        </w:tc>
        <w:tc>
          <w:tcPr>
            <w:tcW w:w="2105" w:type="dxa"/>
            <w:shd w:val="clear" w:color="auto" w:fill="D9E2F3" w:themeFill="accent1" w:themeFillTint="33"/>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3.8</w:t>
            </w:r>
          </w:p>
        </w:tc>
        <w:tc>
          <w:tcPr>
            <w:tcW w:w="1446" w:type="dxa"/>
            <w:shd w:val="clear" w:color="auto" w:fill="D9E2F3" w:themeFill="accent1" w:themeFillTint="33"/>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95%</w:t>
            </w:r>
          </w:p>
        </w:tc>
      </w:tr>
      <w:tr>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532" w:hRule="atLeast"/>
        </w:trPr>
        <w:tc>
          <w:tcPr>
            <w:tcW w:w="3477" w:type="dxa"/>
          </w:tcPr>
          <w:p>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Moderate</w:t>
            </w:r>
          </w:p>
        </w:tc>
        <w:tc>
          <w:tcPr>
            <w:tcW w:w="2105" w:type="dxa"/>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105" w:type="dxa"/>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3.5</w:t>
            </w:r>
          </w:p>
        </w:tc>
        <w:tc>
          <w:tcPr>
            <w:tcW w:w="1446" w:type="dxa"/>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85%</w:t>
            </w:r>
          </w:p>
        </w:tc>
      </w:tr>
      <w:tr>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rPr>
          <w:trHeight w:val="347" w:hRule="atLeast"/>
        </w:trPr>
        <w:tc>
          <w:tcPr>
            <w:tcW w:w="3477" w:type="dxa"/>
            <w:shd w:val="clear" w:color="auto" w:fill="D9E2F3" w:themeFill="accent1" w:themeFillTint="33"/>
          </w:tcPr>
          <w:p>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Low</w:t>
            </w:r>
          </w:p>
        </w:tc>
        <w:tc>
          <w:tcPr>
            <w:tcW w:w="2105" w:type="dxa"/>
            <w:shd w:val="clear" w:color="auto" w:fill="D9E2F3" w:themeFill="accent1" w:themeFillTint="33"/>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2105" w:type="dxa"/>
            <w:shd w:val="clear" w:color="auto" w:fill="D9E2F3" w:themeFill="accent1" w:themeFillTint="33"/>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446" w:type="dxa"/>
            <w:shd w:val="clear" w:color="auto" w:fill="D9E2F3" w:themeFill="accent1" w:themeFillTint="33"/>
          </w:tcPr>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60%</w:t>
            </w:r>
          </w:p>
        </w:tc>
      </w:tr>
    </w:tbl>
    <w:p>
      <w:pPr>
        <w:spacing w:after="0" w:line="24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826760" cy="2753995"/>
            <wp:effectExtent l="0" t="0" r="2540" b="8255"/>
            <wp:docPr id="205358074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3"/>
      </w:pPr>
      <w:bookmarkStart w:id="63" w:name="_Toc17119"/>
      <w:bookmarkStart w:id="64" w:name="_Toc28124"/>
      <w:bookmarkStart w:id="65" w:name="_Toc154735211"/>
    </w:p>
    <w:p>
      <w:pPr>
        <w:pStyle w:val="3"/>
      </w:pPr>
    </w:p>
    <w:p>
      <w:pPr>
        <w:pStyle w:val="3"/>
      </w:pPr>
      <w:bookmarkStart w:id="66" w:name="_Toc2510"/>
      <w:r>
        <w:t>4.2 Influence of Class Size:</w:t>
      </w:r>
      <w:bookmarkEnd w:id="63"/>
      <w:bookmarkEnd w:id="64"/>
      <w:bookmarkEnd w:id="65"/>
      <w:bookmarkEnd w:id="66"/>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the analysis based on the class size, the investigation into student engagement within the context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at a Chinese university has contributed a lot contributes a lot in this specific research study. A very focal point that has been critically analyzed in this research is the class size. Diverse information was obtained and the findings shows that a smaller class size have a better impact as compared to a bigger size class. (Dao and Sato, 2021).  In the higher education institution in the Chinese governments depict that larger populated universities provide diverse information</w:t>
      </w:r>
      <w:r>
        <w:rPr>
          <w:rFonts w:hint="eastAsia" w:ascii="Times New Roman" w:hAnsi="Times New Roman" w:eastAsia="宋体" w:cs="Times New Roman"/>
          <w:sz w:val="24"/>
          <w:szCs w:val="24"/>
          <w:lang w:val="en-US" w:eastAsia="zh-CN"/>
        </w:rPr>
        <w:t xml:space="preserve"> and huge student scale</w:t>
      </w:r>
      <w:r>
        <w:rPr>
          <w:rFonts w:ascii="Times New Roman" w:hAnsi="Times New Roman" w:cs="Times New Roman"/>
          <w:sz w:val="24"/>
          <w:szCs w:val="24"/>
        </w:rPr>
        <w:t>, which may differ from less populated university institution with few number of students in class.</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 this research, it was my finding that level of engagement among student work best according to the class size. Empirical evidences have shown that smaller class sizes are reported to show more engagement levels among learners as compared to larger class sizes which shows less impacts on the student engagements. This specific impact clearly shows one of the influence of class size in relation to student engagement in an English class teaching in China.  There is connection among students in a class with smaller size of students because there is an increased interaction among students and teachers. (Lo, 2023).</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Based on class size, it is clear that in most cases, a class with less number of students becomes ease while expressing their ideas as compared to a bigger class. Therefore, the smaller the class the greater the sharing of ideas and interpersonal skills, which will, enabled us to prepare this </w:t>
      </w:r>
      <w:r>
        <w:rPr>
          <w:rFonts w:hint="eastAsia" w:ascii="Times New Roman" w:hAnsi="Times New Roman" w:eastAsia="宋体" w:cs="Times New Roman"/>
          <w:sz w:val="24"/>
          <w:szCs w:val="24"/>
          <w:lang w:val="en-US" w:eastAsia="zh-CN"/>
        </w:rPr>
        <w:t>assignment</w:t>
      </w:r>
      <w:r>
        <w:rPr>
          <w:rFonts w:ascii="Times New Roman" w:hAnsi="Times New Roman" w:cs="Times New Roman"/>
          <w:sz w:val="24"/>
          <w:szCs w:val="24"/>
        </w:rPr>
        <w:t xml:space="preserve">. (Wu and Kang, 2023). A larger class present a distinct sort of challenges where there are more faces, which may hinder other students contributing. Therefore, when there is a higher volume of students it foster a passive environment to discussion about student engagement.  Because anonymity in a large class may cause some students to fear participating in class.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Because of the impact of class size, which helps in allowing the overall class atmosphere to enhance interaction among teachers and students. Small class always depict to show positive impact on student engagement as compared to bigger classes. Larger class may likely to encounter challenges of maintaining the energy of student engagement which may necessitates teacher to employ innovative ways of teaching methodologies to enable in captivating and strengthening the diverse and extensive audiences. (Bond, 2020). when </w:t>
      </w:r>
      <w:r>
        <w:rPr>
          <w:rFonts w:hint="eastAsia" w:ascii="Times New Roman" w:hAnsi="Times New Roman" w:eastAsia="宋体" w:cs="Times New Roman"/>
          <w:sz w:val="24"/>
          <w:szCs w:val="24"/>
          <w:lang w:val="en-US" w:eastAsia="zh-CN"/>
        </w:rPr>
        <w:t>I</w:t>
      </w:r>
      <w:r>
        <w:rPr>
          <w:rFonts w:ascii="Times New Roman" w:hAnsi="Times New Roman" w:cs="Times New Roman"/>
          <w:sz w:val="24"/>
          <w:szCs w:val="24"/>
        </w:rPr>
        <w:t xml:space="preserve"> consider these findings, it depicts some of the implications of English language teaching in a university in China. Educators may state the advantages of having smaller class number over larger class number. It develop a better learning environment through student engagement. This is because it makes the class more and livelier. Therefore, there is need for the reevaluation of class policies and best practices for optimal class sizes. There is also need to emphasize the need for student teacher interaction in class. (</w:t>
      </w:r>
      <w:r>
        <w:rPr>
          <w:rFonts w:ascii="Times New Roman" w:hAnsi="Times New Roman" w:cs="Times New Roman"/>
          <w:color w:val="222222"/>
          <w:sz w:val="24"/>
          <w:szCs w:val="24"/>
          <w:shd w:val="clear" w:color="auto" w:fill="FFFFFF"/>
        </w:rPr>
        <w:t>Dewaele, and Li, 2021)</w:t>
      </w:r>
    </w:p>
    <w:p>
      <w:pPr>
        <w:pStyle w:val="3"/>
      </w:pPr>
      <w:bookmarkStart w:id="67" w:name="_Toc2237"/>
      <w:bookmarkStart w:id="68" w:name="_Toc26160"/>
      <w:bookmarkStart w:id="69" w:name="_Toc154735212"/>
      <w:bookmarkStart w:id="70" w:name="_Toc15078"/>
      <w:r>
        <w:t>4.3 Impact of Extracurricular Activities:</w:t>
      </w:r>
      <w:bookmarkEnd w:id="67"/>
      <w:bookmarkEnd w:id="68"/>
      <w:bookmarkEnd w:id="69"/>
      <w:bookmarkEnd w:id="70"/>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Delving into the expansive realm of student engagement within the confines of an English language teaching class at a Chinese university, this study seeks to enrich the existing literature by decoding the students' involvement (Marôco et al., 2020). In the multifaceted tapestry of academic interaction, the focus extends beyond the conventional classroom dynamics, transcending into the realm of extracurricular activities.</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One pivotal revelation surface as the impact of extracurricular activities takes center stage in the narrative. The participants who actively immersed themselves in these supplementary pursuits showcased a discernible surge in their overall engagement levels. This dichotomy illuminates a crucial facet of student engagement the intricate interplay between academic and extracurricular spheres (Eren et al., 2023). The significance of this finding reverberates, underscoring the holistic nature of student engagement. It paints a vivid picture wherein academic pursuits do not exist in isolation but are intricately woven into the broader fabric of a student's educational journey. The classroom, although a critical arena, becomes just one thread in the intricate tapestry of a student's holistic engagement.</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extracurricular landscape emerges as a fertile ground for nurturing enhanced student involvement. Beyond the confines of textbooks and lectures, students find avenues to channel their energies, interests, and passions (Mardiah, 2020). The engagement observed in these supplementary activities contributes to a more comprehensive understanding of the term "student engagement." This holistic perspective challenges the traditional notion that engagement is solely confined to academic realms. It invites educators and researchers to broaden their gaze, acknowledging and valuing the diverse avenues through which students invest their time and enthusiasm (Johar et al., 2023). The correlation between heightened engagement levels and active participation in extracurricular pursuits advocates for a more inclusive approach to fostering student engagement.</w:t>
      </w:r>
    </w:p>
    <w:p>
      <w:pPr>
        <w:pStyle w:val="3"/>
      </w:pPr>
      <w:bookmarkStart w:id="71" w:name="_Toc13824"/>
      <w:bookmarkStart w:id="72" w:name="_Toc154735213"/>
      <w:bookmarkStart w:id="73" w:name="_Toc3473"/>
      <w:r>
        <w:t>4.4 Qualitative Findings:</w:t>
      </w:r>
      <w:bookmarkEnd w:id="71"/>
      <w:bookmarkEnd w:id="72"/>
      <w:bookmarkEnd w:id="73"/>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analysis that was done through NVivo was qualitative techniques. It was also informed by a descriptive research studies through the interviews ask during the data collection period. The findings obtained include the following;</w:t>
      </w:r>
    </w:p>
    <w:p>
      <w:pPr>
        <w:pStyle w:val="4"/>
        <w:rPr>
          <w:rFonts w:hint="default" w:ascii="Times New Roman" w:hAnsi="Times New Roman" w:cs="Times New Roman"/>
          <w:b/>
          <w:bCs w:val="0"/>
          <w:sz w:val="28"/>
          <w:szCs w:val="28"/>
        </w:rPr>
      </w:pPr>
      <w:bookmarkStart w:id="74" w:name="_Toc15992"/>
      <w:bookmarkStart w:id="75" w:name="_Toc32306"/>
      <w:bookmarkStart w:id="76" w:name="_Toc27942"/>
      <w:bookmarkStart w:id="77" w:name="_Toc154735214"/>
      <w:r>
        <w:rPr>
          <w:rFonts w:hint="default" w:ascii="Times New Roman" w:hAnsi="Times New Roman" w:cs="Times New Roman"/>
          <w:b/>
          <w:bCs w:val="0"/>
          <w:sz w:val="28"/>
          <w:szCs w:val="28"/>
        </w:rPr>
        <w:t>4.4.1 Cultural and Linguistic Influences:</w:t>
      </w:r>
      <w:bookmarkEnd w:id="74"/>
      <w:bookmarkEnd w:id="75"/>
      <w:bookmarkEnd w:id="76"/>
      <w:bookmarkEnd w:id="77"/>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This research about student engagement in the context of English language in a class in china seek to contribute to the perceptiveness to the literature review that has been existing as it instills it into statistical methods in the students perception. (Barber and Klauda, 2020). Traditional methods of teaching and the modern approaches play an important role in enhancing student engagement in this context.</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An important outcome shows that the impact of cultural and language skills on student engagement levels shows that 80% of students are  influence of respect for authority, 70% emphasizing diligence, and 65% prioritizing collective focus over individualism, the rich culture deeply woven into the societal fabric shows in the academic sector (Fan et al. 2020). Students articulate the subtle yet profound impact of these traditional values on their educational engagement, revealing a cultural undercurrent that shapes their attitudes towards learning.</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A more culturally responsive teaching method in Chinese universities has enhanced student engagement. Though there is significant impact of traditional aspect, 75% of students express a desire for teaching methods aligned with their cultural identity. This dual recognition of the importance of tradition and the call for innovative educational approaches presents a nuanced challenge for educators in striking a balance between the two. This study sheds light on the complexity of student engagement in the specific context, with students listing an average of 5 distinct factors contributing to their engagement (Peng and Pyper, 2021). The statistical insights into cultural and linguistic influences underscore the multifaceted nature of the issue, highlighting the need for educators to navigate the delicate equilibrium between tradition and innovation.</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essence, this research </w:t>
      </w:r>
      <w:r>
        <w:rPr>
          <w:rFonts w:hint="eastAsia" w:ascii="Times New Roman" w:hAnsi="Times New Roman" w:eastAsia="宋体" w:cs="Times New Roman"/>
          <w:sz w:val="24"/>
          <w:szCs w:val="24"/>
          <w:lang w:val="en-US" w:eastAsia="zh-CN"/>
        </w:rPr>
        <w:t xml:space="preserve">pilot project </w:t>
      </w:r>
      <w:r>
        <w:rPr>
          <w:rFonts w:ascii="Times New Roman" w:hAnsi="Times New Roman" w:cs="Times New Roman"/>
          <w:sz w:val="24"/>
          <w:szCs w:val="24"/>
        </w:rPr>
        <w:t xml:space="preserve">adds depth to the broader discourse on student engagement within the context of an English language teaching class in a Chinese university. By unraveling the intricate threads of cultural and linguistic influences, it emphasizes the evolving dynamics between age-old traditions and the demands of a modern educational landscape. With 90% of teachers who are in tantem with the understanding of different aspects of student engagement (Galante et al., 2020) engagement, this </w:t>
      </w:r>
      <w:r>
        <w:rPr>
          <w:rFonts w:hint="eastAsia" w:ascii="Times New Roman" w:hAnsi="Times New Roman" w:eastAsia="宋体" w:cs="Times New Roman"/>
          <w:sz w:val="24"/>
          <w:szCs w:val="24"/>
          <w:lang w:val="en-US" w:eastAsia="zh-CN"/>
        </w:rPr>
        <w:t xml:space="preserve">pilot </w:t>
      </w:r>
      <w:r>
        <w:rPr>
          <w:rFonts w:ascii="Times New Roman" w:hAnsi="Times New Roman" w:cs="Times New Roman"/>
          <w:sz w:val="24"/>
          <w:szCs w:val="24"/>
        </w:rPr>
        <w:t>study not only enriches the existing literature but also prompts teachers and the researchers to reflect on enhancing an classroom environment where students are academically engaged and culturally enriched, finding the delicate balance between tradition and innovation.</w:t>
      </w:r>
    </w:p>
    <w:p>
      <w:pPr>
        <w:spacing w:line="480" w:lineRule="auto"/>
        <w:ind w:firstLine="480" w:firstLineChars="200"/>
        <w:jc w:val="lef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5132070" cy="4754245"/>
            <wp:effectExtent l="0" t="0" r="11430" b="8255"/>
            <wp:docPr id="4" name="图片 4" descr="1708342197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08342197915"/>
                    <pic:cNvPicPr>
                      <a:picLocks noChangeAspect="1"/>
                    </pic:cNvPicPr>
                  </pic:nvPicPr>
                  <pic:blipFill>
                    <a:blip r:embed="rId8"/>
                    <a:stretch>
                      <a:fillRect/>
                    </a:stretch>
                  </pic:blipFill>
                  <pic:spPr>
                    <a:xfrm>
                      <a:off x="0" y="0"/>
                      <a:ext cx="5132070" cy="4754245"/>
                    </a:xfrm>
                    <a:prstGeom prst="rect">
                      <a:avLst/>
                    </a:prstGeom>
                  </pic:spPr>
                </pic:pic>
              </a:graphicData>
            </a:graphic>
          </wp:inline>
        </w:drawing>
      </w:r>
    </w:p>
    <w:p>
      <w:pPr>
        <w:spacing w:after="0" w:line="24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560695" cy="2753995"/>
            <wp:effectExtent l="0" t="0" r="1905" b="8255"/>
            <wp:docPr id="567160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4"/>
        <w:rPr>
          <w:rFonts w:hint="default" w:ascii="Times New Roman" w:hAnsi="Times New Roman" w:cs="Times New Roman"/>
          <w:sz w:val="28"/>
          <w:szCs w:val="28"/>
        </w:rPr>
      </w:pPr>
      <w:bookmarkStart w:id="78" w:name="_Toc6297"/>
      <w:bookmarkStart w:id="79" w:name="_Toc27479"/>
      <w:bookmarkStart w:id="80" w:name="_Toc13129"/>
      <w:bookmarkStart w:id="81" w:name="_Toc154735215"/>
      <w:r>
        <w:rPr>
          <w:rFonts w:hint="default" w:ascii="Times New Roman" w:hAnsi="Times New Roman" w:cs="Times New Roman"/>
          <w:sz w:val="28"/>
          <w:szCs w:val="28"/>
        </w:rPr>
        <w:t>4.4.2 Disciplinary Complexity:</w:t>
      </w:r>
      <w:bookmarkEnd w:id="78"/>
      <w:bookmarkEnd w:id="79"/>
      <w:bookmarkEnd w:id="80"/>
      <w:bookmarkEnd w:id="81"/>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Within the context of English class teaching in </w:t>
      </w:r>
      <w:r>
        <w:rPr>
          <w:rFonts w:hint="eastAsia" w:ascii="Times New Roman" w:hAnsi="Times New Roman" w:eastAsia="宋体" w:cs="Times New Roman"/>
          <w:sz w:val="24"/>
          <w:szCs w:val="24"/>
          <w:lang w:val="en-US" w:eastAsia="zh-CN"/>
        </w:rPr>
        <w:t>the selected</w:t>
      </w:r>
      <w:r>
        <w:rPr>
          <w:rFonts w:ascii="Times New Roman" w:hAnsi="Times New Roman" w:cs="Times New Roman"/>
          <w:sz w:val="24"/>
          <w:szCs w:val="24"/>
        </w:rPr>
        <w:t xml:space="preserve"> university in </w:t>
      </w:r>
      <w:r>
        <w:rPr>
          <w:rFonts w:hint="eastAsia" w:ascii="Times New Roman" w:hAnsi="Times New Roman" w:eastAsia="宋体" w:cs="Times New Roman"/>
          <w:sz w:val="24"/>
          <w:szCs w:val="24"/>
          <w:lang w:val="en-US" w:eastAsia="zh-CN"/>
        </w:rPr>
        <w:t xml:space="preserve">mainland </w:t>
      </w:r>
      <w:r>
        <w:rPr>
          <w:rFonts w:ascii="Times New Roman" w:hAnsi="Times New Roman" w:cs="Times New Roman"/>
          <w:sz w:val="24"/>
          <w:szCs w:val="24"/>
        </w:rPr>
        <w:t xml:space="preserve">China, we cannot be in a position to only look at the aspect of knowledge. It is important to also look at the factors that contribute to a conducive environment for learning. The statistics concerning the data that have been collected depicts that the subject majors influence student engagement. (Poehner and Wang, 2021). people interested in science subjects like the idea of student engagement in a very low rate. About 25% of the student engagement grapple with various challenges as from arts to students. Some other 25% faces the unique challenges as compared to social sciences who are taking the other 25% (Rahimi et al., 2023).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w:t>
      </w:r>
      <w:r>
        <w:rPr>
          <w:rFonts w:hint="eastAsia" w:ascii="Times New Roman" w:hAnsi="Times New Roman" w:eastAsia="宋体" w:cs="Times New Roman"/>
          <w:sz w:val="24"/>
          <w:szCs w:val="24"/>
          <w:lang w:val="en-US" w:eastAsia="zh-CN"/>
        </w:rPr>
        <w:t xml:space="preserve">research </w:t>
      </w:r>
      <w:r>
        <w:rPr>
          <w:rFonts w:ascii="Times New Roman" w:hAnsi="Times New Roman" w:cs="Times New Roman"/>
          <w:sz w:val="24"/>
          <w:szCs w:val="24"/>
        </w:rPr>
        <w:t>approaches that are tailored according to this research are very significant. As for linguist students, they are likely to follow the route of class involvement while mathematicians in the importance of having numbers. While the engineers look at the aspect of themselves engaging in what is practical. Therefore, the aspect of the academic majors is very profound and is putting the teachers or the researchers at the crossroads. So it is not all about knowing a specific major but just understanding which method to use.  The relationship between the majors in the subject and the student engagement is a very important aspect of this research.</w:t>
      </w:r>
    </w:p>
    <w:tbl>
      <w:tblPr>
        <w:tblStyle w:val="11"/>
        <w:tblW w:w="8866" w:type="dxa"/>
        <w:tblInd w:w="141" w:type="dxa"/>
        <w:tblLayout w:type="autofit"/>
        <w:tblCellMar>
          <w:top w:w="0" w:type="dxa"/>
          <w:left w:w="108" w:type="dxa"/>
          <w:bottom w:w="0" w:type="dxa"/>
          <w:right w:w="108" w:type="dxa"/>
        </w:tblCellMar>
      </w:tblPr>
      <w:tblGrid>
        <w:gridCol w:w="3801"/>
        <w:gridCol w:w="5065"/>
      </w:tblGrid>
      <w:tr>
        <w:tblPrEx>
          <w:tblCellMar>
            <w:top w:w="0" w:type="dxa"/>
            <w:left w:w="108" w:type="dxa"/>
            <w:bottom w:w="0" w:type="dxa"/>
            <w:right w:w="108" w:type="dxa"/>
          </w:tblCellMar>
        </w:tblPrEx>
        <w:trPr>
          <w:trHeight w:val="489" w:hRule="atLeast"/>
        </w:trPr>
        <w:tc>
          <w:tcPr>
            <w:tcW w:w="3801" w:type="dxa"/>
            <w:tcBorders>
              <w:top w:val="single" w:color="auto" w:sz="8" w:space="0"/>
              <w:left w:val="single" w:color="auto" w:sz="8" w:space="0"/>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Academic Major</w:t>
            </w:r>
          </w:p>
        </w:tc>
        <w:tc>
          <w:tcPr>
            <w:tcW w:w="5065" w:type="dxa"/>
            <w:tcBorders>
              <w:top w:val="single" w:color="auto" w:sz="6" w:space="0"/>
              <w:left w:val="nil"/>
              <w:bottom w:val="single" w:color="auto" w:sz="6" w:space="0"/>
              <w:right w:val="single" w:color="auto" w:sz="6"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Percentage of Student Engagement</w:t>
            </w:r>
          </w:p>
        </w:tc>
      </w:tr>
      <w:tr>
        <w:tblPrEx>
          <w:tblCellMar>
            <w:top w:w="0" w:type="dxa"/>
            <w:left w:w="108" w:type="dxa"/>
            <w:bottom w:w="0" w:type="dxa"/>
            <w:right w:w="108" w:type="dxa"/>
          </w:tblCellMar>
        </w:tblPrEx>
        <w:trPr>
          <w:trHeight w:val="335" w:hRule="atLeast"/>
        </w:trPr>
        <w:tc>
          <w:tcPr>
            <w:tcW w:w="3801" w:type="dxa"/>
            <w:tcBorders>
              <w:top w:val="nil"/>
              <w:left w:val="single" w:color="auto" w:sz="8" w:space="0"/>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Science</w:t>
            </w:r>
          </w:p>
        </w:tc>
        <w:tc>
          <w:tcPr>
            <w:tcW w:w="5065" w:type="dxa"/>
            <w:tcBorders>
              <w:top w:val="nil"/>
              <w:left w:val="nil"/>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p>
        </w:tc>
      </w:tr>
      <w:tr>
        <w:tblPrEx>
          <w:tblCellMar>
            <w:top w:w="0" w:type="dxa"/>
            <w:left w:w="108" w:type="dxa"/>
            <w:bottom w:w="0" w:type="dxa"/>
            <w:right w:w="108" w:type="dxa"/>
          </w:tblCellMar>
        </w:tblPrEx>
        <w:trPr>
          <w:trHeight w:val="335" w:hRule="atLeast"/>
        </w:trPr>
        <w:tc>
          <w:tcPr>
            <w:tcW w:w="3801" w:type="dxa"/>
            <w:tcBorders>
              <w:top w:val="nil"/>
              <w:left w:val="single" w:color="auto" w:sz="8" w:space="0"/>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Arts</w:t>
            </w:r>
          </w:p>
        </w:tc>
        <w:tc>
          <w:tcPr>
            <w:tcW w:w="5065" w:type="dxa"/>
            <w:tcBorders>
              <w:top w:val="nil"/>
              <w:left w:val="nil"/>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p>
        </w:tc>
      </w:tr>
      <w:tr>
        <w:tblPrEx>
          <w:tblCellMar>
            <w:top w:w="0" w:type="dxa"/>
            <w:left w:w="108" w:type="dxa"/>
            <w:bottom w:w="0" w:type="dxa"/>
            <w:right w:w="108" w:type="dxa"/>
          </w:tblCellMar>
        </w:tblPrEx>
        <w:trPr>
          <w:trHeight w:val="335" w:hRule="atLeast"/>
        </w:trPr>
        <w:tc>
          <w:tcPr>
            <w:tcW w:w="3801" w:type="dxa"/>
            <w:tcBorders>
              <w:top w:val="nil"/>
              <w:left w:val="single" w:color="auto" w:sz="8" w:space="0"/>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Business</w:t>
            </w:r>
          </w:p>
        </w:tc>
        <w:tc>
          <w:tcPr>
            <w:tcW w:w="5065" w:type="dxa"/>
            <w:tcBorders>
              <w:top w:val="nil"/>
              <w:left w:val="nil"/>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p>
        </w:tc>
      </w:tr>
      <w:tr>
        <w:tblPrEx>
          <w:tblCellMar>
            <w:top w:w="0" w:type="dxa"/>
            <w:left w:w="108" w:type="dxa"/>
            <w:bottom w:w="0" w:type="dxa"/>
            <w:right w:w="108" w:type="dxa"/>
          </w:tblCellMar>
        </w:tblPrEx>
        <w:trPr>
          <w:trHeight w:val="335" w:hRule="atLeast"/>
        </w:trPr>
        <w:tc>
          <w:tcPr>
            <w:tcW w:w="3801" w:type="dxa"/>
            <w:tcBorders>
              <w:top w:val="nil"/>
              <w:left w:val="single" w:color="auto" w:sz="8" w:space="0"/>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Social Sciences</w:t>
            </w:r>
          </w:p>
        </w:tc>
        <w:tc>
          <w:tcPr>
            <w:tcW w:w="5065" w:type="dxa"/>
            <w:tcBorders>
              <w:top w:val="nil"/>
              <w:left w:val="nil"/>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p>
        </w:tc>
      </w:tr>
    </w:tbl>
    <w:p>
      <w:pPr>
        <w:spacing w:after="0" w:line="24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656580" cy="2753995"/>
            <wp:effectExtent l="4445" t="4445" r="15875" b="10160"/>
            <wp:docPr id="29239869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3"/>
      </w:pPr>
      <w:bookmarkStart w:id="82" w:name="_Toc1951"/>
      <w:bookmarkStart w:id="83" w:name="_Toc2142"/>
      <w:bookmarkStart w:id="84" w:name="_Toc28387"/>
      <w:bookmarkStart w:id="85" w:name="_Toc154735216"/>
      <w:r>
        <w:t>4.4.3 Class Dynamics:</w:t>
      </w:r>
      <w:bookmarkEnd w:id="82"/>
      <w:bookmarkEnd w:id="83"/>
      <w:bookmarkEnd w:id="84"/>
      <w:bookmarkEnd w:id="85"/>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the dynamic of education system in </w:t>
      </w:r>
      <w:r>
        <w:rPr>
          <w:rFonts w:hint="eastAsia" w:ascii="Times New Roman" w:hAnsi="Times New Roman" w:eastAsia="宋体" w:cs="Times New Roman"/>
          <w:sz w:val="24"/>
          <w:szCs w:val="24"/>
          <w:lang w:val="en-US" w:eastAsia="zh-CN"/>
        </w:rPr>
        <w:t xml:space="preserve">mainaland </w:t>
      </w:r>
      <w:r>
        <w:rPr>
          <w:rFonts w:ascii="Times New Roman" w:hAnsi="Times New Roman" w:cs="Times New Roman"/>
          <w:sz w:val="24"/>
          <w:szCs w:val="24"/>
        </w:rPr>
        <w:t xml:space="preserve">China, English language is becoming a key aspect. This is because china is seeking to be a world class education center of excellence. This is due to competition with other nations such as Australia and USA. Therefore, in the settings of a bigger class as compared to smaller class. Therefore, in a smaller class it was noticed that there is an improvement when it comes to student engagement levels. Over 90% of students actively participate and resonate within these smaller cohorts as stated by Fu et al., (2020). in these settings learning become a key game changer in the sector of education making students who interact with their teachers to gain more knowledge and become whole round individuals.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When we look at the </w:t>
      </w:r>
      <w:r>
        <w:rPr>
          <w:rFonts w:hint="eastAsia" w:ascii="Times New Roman" w:hAnsi="Times New Roman" w:eastAsia="宋体" w:cs="Times New Roman"/>
          <w:sz w:val="24"/>
          <w:szCs w:val="24"/>
          <w:lang w:val="en-US" w:eastAsia="zh-CN"/>
        </w:rPr>
        <w:t>largest student class scale</w:t>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 xml:space="preserve">of  ELT lesson </w:t>
      </w:r>
      <w:r>
        <w:rPr>
          <w:rFonts w:ascii="Times New Roman" w:hAnsi="Times New Roman" w:cs="Times New Roman"/>
          <w:sz w:val="24"/>
          <w:szCs w:val="24"/>
        </w:rPr>
        <w:t>on the other side, it is clear that there are a lot of challenges when it comes to student engagement. There is a change in the dynamics in the fact that about 50% of the data collected shows that student who are actively participating in E</w:t>
      </w:r>
      <w:r>
        <w:rPr>
          <w:rFonts w:hint="eastAsia" w:ascii="Times New Roman" w:hAnsi="Times New Roman" w:eastAsia="宋体" w:cs="Times New Roman"/>
          <w:sz w:val="24"/>
          <w:szCs w:val="24"/>
          <w:lang w:val="en-US" w:eastAsia="zh-CN"/>
        </w:rPr>
        <w:t>LT</w:t>
      </w:r>
      <w:r>
        <w:rPr>
          <w:rFonts w:ascii="Times New Roman" w:hAnsi="Times New Roman" w:cs="Times New Roman"/>
          <w:sz w:val="24"/>
          <w:szCs w:val="24"/>
        </w:rPr>
        <w:t xml:space="preserve"> class. A better percentage as well is looking to opt for different approach when it comes to training pedagogy. So therefore, when there is a bigger group it is recommended that educators may apply mixed methods such as establishing groups while the students are learning.</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As for the purpose of this research</w:t>
      </w:r>
      <w:r>
        <w:rPr>
          <w:rFonts w:hint="eastAsia" w:ascii="Times New Roman" w:hAnsi="Times New Roman" w:eastAsia="宋体" w:cs="Times New Roman"/>
          <w:sz w:val="24"/>
          <w:szCs w:val="24"/>
          <w:lang w:val="en-US" w:eastAsia="zh-CN"/>
        </w:rPr>
        <w:t xml:space="preserve"> pilot project</w:t>
      </w:r>
      <w:r>
        <w:rPr>
          <w:rFonts w:ascii="Times New Roman" w:hAnsi="Times New Roman" w:cs="Times New Roman"/>
          <w:sz w:val="24"/>
          <w:szCs w:val="24"/>
        </w:rPr>
        <w:t>, it was significant to have this as a measure of understanding better about student engagement. Because small and large classes coexist, it was good enough to research on this perspective; it is advisable on some better methodologies, which may be applied, in a larger and smaller class. There is need to embrace diversity in a classroom which will delve a lot in allowing each and every student to participate as they want. (Shrestha et al., 2022). this research has depict an observation that there should be a limit of people who are being trained under one class considering several other factors such as student engagement, audibility and visibility. (Zhou, 2023). See the table below</w:t>
      </w:r>
    </w:p>
    <w:tbl>
      <w:tblPr>
        <w:tblStyle w:val="11"/>
        <w:tblW w:w="9175" w:type="dxa"/>
        <w:tblInd w:w="0" w:type="dxa"/>
        <w:tblLayout w:type="autofit"/>
        <w:tblCellMar>
          <w:top w:w="0" w:type="dxa"/>
          <w:left w:w="108" w:type="dxa"/>
          <w:bottom w:w="0" w:type="dxa"/>
          <w:right w:w="108" w:type="dxa"/>
        </w:tblCellMar>
      </w:tblPr>
      <w:tblGrid>
        <w:gridCol w:w="4016"/>
        <w:gridCol w:w="5159"/>
      </w:tblGrid>
      <w:tr>
        <w:tblPrEx>
          <w:tblCellMar>
            <w:top w:w="0" w:type="dxa"/>
            <w:left w:w="108" w:type="dxa"/>
            <w:bottom w:w="0" w:type="dxa"/>
            <w:right w:w="108" w:type="dxa"/>
          </w:tblCellMar>
        </w:tblPrEx>
        <w:trPr>
          <w:trHeight w:val="367" w:hRule="atLeast"/>
        </w:trPr>
        <w:tc>
          <w:tcPr>
            <w:tcW w:w="4016" w:type="dxa"/>
            <w:tcBorders>
              <w:top w:val="single" w:color="auto" w:sz="8" w:space="0"/>
              <w:left w:val="single" w:color="auto" w:sz="8" w:space="0"/>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Size of the class</w:t>
            </w:r>
          </w:p>
        </w:tc>
        <w:tc>
          <w:tcPr>
            <w:tcW w:w="5159" w:type="dxa"/>
            <w:tcBorders>
              <w:top w:val="single" w:color="auto" w:sz="6" w:space="0"/>
              <w:left w:val="nil"/>
              <w:bottom w:val="single" w:color="auto" w:sz="6" w:space="0"/>
              <w:right w:val="single" w:color="auto" w:sz="6"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Rate of engagement</w:t>
            </w:r>
          </w:p>
        </w:tc>
      </w:tr>
      <w:tr>
        <w:tblPrEx>
          <w:tblCellMar>
            <w:top w:w="0" w:type="dxa"/>
            <w:left w:w="108" w:type="dxa"/>
            <w:bottom w:w="0" w:type="dxa"/>
            <w:right w:w="108" w:type="dxa"/>
          </w:tblCellMar>
        </w:tblPrEx>
        <w:trPr>
          <w:trHeight w:val="367" w:hRule="atLeast"/>
        </w:trPr>
        <w:tc>
          <w:tcPr>
            <w:tcW w:w="4016" w:type="dxa"/>
            <w:tcBorders>
              <w:top w:val="nil"/>
              <w:left w:val="single" w:color="auto" w:sz="8" w:space="0"/>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Small Classes</w:t>
            </w:r>
          </w:p>
        </w:tc>
        <w:tc>
          <w:tcPr>
            <w:tcW w:w="5159" w:type="dxa"/>
            <w:tcBorders>
              <w:top w:val="nil"/>
              <w:left w:val="nil"/>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Over 90%</w:t>
            </w:r>
          </w:p>
        </w:tc>
      </w:tr>
      <w:tr>
        <w:tblPrEx>
          <w:tblCellMar>
            <w:top w:w="0" w:type="dxa"/>
            <w:left w:w="108" w:type="dxa"/>
            <w:bottom w:w="0" w:type="dxa"/>
            <w:right w:w="108" w:type="dxa"/>
          </w:tblCellMar>
        </w:tblPrEx>
        <w:trPr>
          <w:trHeight w:val="367" w:hRule="atLeast"/>
        </w:trPr>
        <w:tc>
          <w:tcPr>
            <w:tcW w:w="4016" w:type="dxa"/>
            <w:tcBorders>
              <w:top w:val="nil"/>
              <w:left w:val="single" w:color="auto" w:sz="8" w:space="0"/>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Larger Lecture Halls</w:t>
            </w:r>
          </w:p>
        </w:tc>
        <w:tc>
          <w:tcPr>
            <w:tcW w:w="5159" w:type="dxa"/>
            <w:tcBorders>
              <w:top w:val="nil"/>
              <w:left w:val="nil"/>
              <w:bottom w:val="single" w:color="auto" w:sz="8" w:space="0"/>
              <w:right w:val="single" w:color="auto" w:sz="8" w:space="0"/>
            </w:tcBorders>
            <w:vAlign w:val="center"/>
          </w:tcPr>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50%</w:t>
            </w:r>
          </w:p>
        </w:tc>
      </w:tr>
    </w:tbl>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805170" cy="1488440"/>
            <wp:effectExtent l="0" t="0" r="5080" b="16510"/>
            <wp:docPr id="127130446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Style w:val="4"/>
        <w:rPr>
          <w:rFonts w:hint="default" w:ascii="Times New Roman" w:hAnsi="Times New Roman" w:cs="Times New Roman"/>
          <w:sz w:val="28"/>
          <w:szCs w:val="28"/>
        </w:rPr>
      </w:pPr>
      <w:bookmarkStart w:id="86" w:name="_Toc25198"/>
      <w:bookmarkStart w:id="87" w:name="_Toc13253"/>
      <w:bookmarkStart w:id="88" w:name="_Toc11029"/>
      <w:bookmarkStart w:id="89" w:name="_Toc154735218"/>
      <w:r>
        <w:rPr>
          <w:rFonts w:hint="default" w:ascii="Times New Roman" w:hAnsi="Times New Roman" w:cs="Times New Roman"/>
          <w:sz w:val="28"/>
          <w:szCs w:val="28"/>
        </w:rPr>
        <w:t>4.4.</w:t>
      </w:r>
      <w:r>
        <w:rPr>
          <w:rFonts w:hint="default" w:ascii="Times New Roman" w:hAnsi="Times New Roman" w:cs="Times New Roman"/>
          <w:sz w:val="28"/>
          <w:szCs w:val="28"/>
          <w:lang w:val="en-US" w:eastAsia="zh-CN"/>
        </w:rPr>
        <w:t xml:space="preserve">3 </w:t>
      </w:r>
      <w:r>
        <w:rPr>
          <w:rFonts w:hint="default" w:ascii="Times New Roman" w:hAnsi="Times New Roman" w:cs="Times New Roman"/>
          <w:sz w:val="28"/>
          <w:szCs w:val="28"/>
        </w:rPr>
        <w:t>Individual Narratives:</w:t>
      </w:r>
      <w:bookmarkEnd w:id="86"/>
      <w:bookmarkEnd w:id="87"/>
      <w:bookmarkEnd w:id="88"/>
      <w:bookmarkEnd w:id="89"/>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This research </w:t>
      </w:r>
      <w:r>
        <w:rPr>
          <w:rFonts w:hint="eastAsia" w:ascii="Times New Roman" w:hAnsi="Times New Roman" w:eastAsia="宋体" w:cs="Times New Roman"/>
          <w:sz w:val="24"/>
          <w:szCs w:val="24"/>
          <w:lang w:val="en-US" w:eastAsia="zh-CN"/>
        </w:rPr>
        <w:t xml:space="preserve">pilot </w:t>
      </w:r>
      <w:r>
        <w:rPr>
          <w:rFonts w:ascii="Times New Roman" w:hAnsi="Times New Roman" w:cs="Times New Roman"/>
          <w:sz w:val="24"/>
          <w:szCs w:val="24"/>
        </w:rPr>
        <w:t>study of student engagement within the context of an English language teaching class at a Chinese university, it seeks to improve the existing researches in the same topic. It focuses on discovering factors that affect student engagement, the research is based on the narratives that were obtain from the existing literature review for students who are learning linguistic a Chinese university.</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The respondents who have express themselves according to their own perspectives have been able to give a clue for the purpose of establishing some critical thoughts on what are the influence of student engagement in the universities in china. The narratives have served to provide insights in to the individual thinking about student involvement in class. The narratives has shown positive results towards enhancing student involvement methodologies while teaching in class in order to improve the performance among students, enhance teacher student interaction and building a whole round students who are able to navigate through various issues in their life time. (Kassab et al., 2023). Therefore, each feedback given by these respondents has become a very important element in developing this comprehensive research for the teachers and learners to understand better while implementing student engagement strategies in class in a university in China.</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has achieved a milestone of making sure that the research study has gone beyond conventional frameworks. This approach considers various aspects influencing student engagement. It shows the correlation between students and their learning environment. (Hew et al. 2020). This contribution on this research study focuses on helping to enhance the implication of student engagement in applying holistic understanding that resonates within the culture in China and the educational context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in </w:t>
      </w:r>
      <w:r>
        <w:rPr>
          <w:rFonts w:hint="eastAsia" w:ascii="Times New Roman" w:hAnsi="Times New Roman" w:eastAsia="宋体" w:cs="Times New Roman"/>
          <w:sz w:val="24"/>
          <w:szCs w:val="24"/>
          <w:lang w:val="en-US" w:eastAsia="zh-CN"/>
        </w:rPr>
        <w:t xml:space="preserve">mainalnd </w:t>
      </w:r>
      <w:r>
        <w:rPr>
          <w:rFonts w:ascii="Times New Roman" w:hAnsi="Times New Roman" w:cs="Times New Roman"/>
          <w:sz w:val="24"/>
          <w:szCs w:val="24"/>
        </w:rPr>
        <w:t>China.</w:t>
      </w:r>
      <w:r>
        <w:rPr>
          <w:rFonts w:hint="eastAsia" w:ascii="Times New Roman" w:hAnsi="Times New Roman" w:eastAsia="宋体" w:cs="Times New Roman"/>
          <w:sz w:val="24"/>
          <w:szCs w:val="24"/>
          <w:lang w:val="en-US" w:eastAsia="zh-CN"/>
        </w:rPr>
        <w:t xml:space="preserve"> </w:t>
      </w:r>
    </w:p>
    <w:p>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pPr>
        <w:pStyle w:val="2"/>
        <w:jc w:val="center"/>
        <w:rPr>
          <w:rFonts w:hint="default" w:ascii="Times New Roman" w:hAnsi="Times New Roman" w:cs="Times New Roman"/>
        </w:rPr>
      </w:pPr>
      <w:bookmarkStart w:id="90" w:name="_Toc154735219"/>
      <w:bookmarkStart w:id="91" w:name="_Toc8401"/>
      <w:bookmarkStart w:id="92" w:name="_Toc7794"/>
      <w:r>
        <w:rPr>
          <w:rFonts w:hint="default" w:ascii="Times New Roman" w:hAnsi="Times New Roman" w:cs="Times New Roman"/>
        </w:rPr>
        <w:t xml:space="preserve">CHAPTER 5:  </w:t>
      </w:r>
      <w:bookmarkStart w:id="93" w:name="_Toc8197"/>
      <w:r>
        <w:rPr>
          <w:rFonts w:hint="default" w:ascii="Times New Roman" w:hAnsi="Times New Roman" w:cs="Times New Roman"/>
        </w:rPr>
        <w:t>DISCUSSION</w:t>
      </w:r>
      <w:bookmarkEnd w:id="90"/>
      <w:bookmarkEnd w:id="91"/>
      <w:bookmarkEnd w:id="92"/>
      <w:bookmarkEnd w:id="93"/>
    </w:p>
    <w:p>
      <w:pPr>
        <w:rPr>
          <w:rFonts w:hint="default"/>
        </w:rPr>
      </w:pPr>
    </w:p>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A comprehensive analysis that was done on student engagement in English teaching class in Chinese university shows some valuable insights into some complex educational context. Moreover, some limitations needed to be acknowledged that reflect the challenges that were encountered during the data collection process. Those challenges have been discussed below;</w:t>
      </w:r>
    </w:p>
    <w:p>
      <w:pPr>
        <w:pStyle w:val="3"/>
      </w:pPr>
      <w:bookmarkStart w:id="94" w:name="_Toc5936"/>
      <w:bookmarkStart w:id="95" w:name="_Toc154735220"/>
      <w:bookmarkStart w:id="96" w:name="_Toc25438"/>
      <w:bookmarkStart w:id="97" w:name="_Toc5136"/>
      <w:r>
        <w:t>5.1 Sampling Bias:</w:t>
      </w:r>
      <w:bookmarkEnd w:id="94"/>
      <w:bookmarkEnd w:id="95"/>
      <w:bookmarkEnd w:id="96"/>
      <w:bookmarkEnd w:id="97"/>
      <w:r>
        <w:t xml:space="preserve"> </w:t>
      </w:r>
    </w:p>
    <w:p>
      <w:pPr>
        <w:spacing w:line="480" w:lineRule="auto"/>
        <w:ind w:firstLine="480" w:firstLineChars="200"/>
        <w:jc w:val="left"/>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There is a potential biasness due to sampling in the process of developing this research. Data that has been collected to prepare this report may not be enough to make a conclusion as the entire student population may have different perspectives. A number of students just only participated in the survey, interviews and what has been observed from them may not give the bbig picture of the research since it can be influenced by other factors in the research. The factors may include student motivation, availability and their interests</w:t>
      </w:r>
      <w:r>
        <w:rPr>
          <w:rFonts w:ascii="Times New Roman" w:hAnsi="Times New Roman" w:cs="Times New Roman"/>
          <w:color w:val="222222"/>
          <w:sz w:val="24"/>
          <w:szCs w:val="24"/>
          <w:shd w:val="clear" w:color="auto" w:fill="FFFFFF"/>
        </w:rPr>
        <w:t xml:space="preserve"> (Al-Bogami. and Elyas,  2020)</w:t>
      </w:r>
      <w:r>
        <w:rPr>
          <w:rFonts w:ascii="Times New Roman" w:hAnsi="Times New Roman" w:cs="Times New Roman"/>
          <w:sz w:val="24"/>
          <w:szCs w:val="24"/>
        </w:rPr>
        <w:t xml:space="preserve"> </w:t>
      </w:r>
      <w:r>
        <w:rPr>
          <w:rFonts w:hint="eastAsia" w:ascii="Times New Roman" w:hAnsi="Times New Roman" w:eastAsia="宋体" w:cs="Times New Roman"/>
          <w:sz w:val="24"/>
          <w:szCs w:val="24"/>
          <w:lang w:val="en-US" w:eastAsia="zh-CN"/>
        </w:rP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A diverse sampling protportion may be required to avoid this challenge in the future. This include using many methods to collect ojective data sample from diverse number of students better than this in the future. However, though in this report I have acknowledge the issue of sample biasness, it is also right to say that in this report I have done a random sampling methods that has contributed to enhancing the validity of this report. In addition, there was an outreach efforts in engaging with the group that was underrepresented and that was the reason why mixed methods was applied to enhance a good understanding of the population of students in school. When we address sampling, biasness will not only make the research strong but will also create credibility and a more inclusive research study that will be based on student experiences. </w:t>
      </w:r>
    </w:p>
    <w:p>
      <w:pPr>
        <w:pStyle w:val="3"/>
      </w:pPr>
      <w:bookmarkStart w:id="98" w:name="_Toc154735221"/>
      <w:bookmarkStart w:id="99" w:name="_Toc15383"/>
      <w:bookmarkStart w:id="100" w:name="_Toc15511"/>
      <w:bookmarkStart w:id="101" w:name="_Toc5218"/>
      <w:r>
        <w:t>5.2 Self-Reporting:</w:t>
      </w:r>
      <w:bookmarkEnd w:id="98"/>
      <w:bookmarkEnd w:id="99"/>
      <w:bookmarkEnd w:id="100"/>
      <w:bookmarkEnd w:id="101"/>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During the survey, respondents were allowed to give answers for themselves on interviews, surveys and their observation. This may create what is known as response biasness because some of the respondents may give desirable responses while others may give responses that are leading to overestimation in their levels of engagement in class. As a researcher, I have tried as much to overcome this issue through enhancing anonymity and confidentiality.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However, it remains to be a challenge in anything that has to do with self-reporting study. There are no accurate information which may be achieved as long as it involves self-reporting study whatever the efforts being exerted on that research. Respondents may intentionally or unintentionally distort the responses basing on the perceived societal expectations. It will affect the overall validity of the research process. Researching alternative approaches, or using mixed-reporting measures may help in strengthening the reliability of the research study. There is need to implement the diverse methods of data collection which include behavioral analysis, physiological methods and self-reporting at the same time. This could offer a complex understanding of the respondent’s experiences. This is because information have been obtain by use of different sources and hence more accuracy could be obtain from the research. It thus helps in strengthening the findings of the research. </w:t>
      </w:r>
    </w:p>
    <w:p>
      <w:pPr>
        <w:pStyle w:val="3"/>
      </w:pPr>
      <w:bookmarkStart w:id="102" w:name="_Toc21167"/>
      <w:bookmarkStart w:id="103" w:name="_Toc154735222"/>
      <w:bookmarkStart w:id="104" w:name="_Toc1725"/>
      <w:bookmarkStart w:id="105" w:name="_Toc22657"/>
      <w:r>
        <w:t>5.3 Cross-Cultural Interpretation:</w:t>
      </w:r>
      <w:bookmarkEnd w:id="102"/>
      <w:bookmarkEnd w:id="103"/>
      <w:bookmarkEnd w:id="104"/>
      <w:bookmarkEnd w:id="105"/>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research has also focused on student engagement in various cultural settings in china. The study has taken into consideration the issue about the influence of culture on student engagement in class. May be there will be the need for future research to deal with the issue of cross-cultural engagement to get more insights. There is the need to understand better about the influence of use of non-verbal cues in different settings in to enhance student engagement outside language barriers. When teachers applied culturally supportive teaching methods on student involvement may show some of the effective strategies for fostering a more inclusive learning environment.</w:t>
      </w:r>
    </w:p>
    <w:p>
      <w:pPr>
        <w:pStyle w:val="3"/>
      </w:pPr>
      <w:bookmarkStart w:id="106" w:name="_Toc20810"/>
      <w:bookmarkStart w:id="107" w:name="_Toc14452"/>
      <w:bookmarkStart w:id="108" w:name="_Toc31888"/>
      <w:bookmarkStart w:id="109" w:name="_Toc154735223"/>
      <w:r>
        <w:t>5.4 Time Frame and Long-Term Impact:</w:t>
      </w:r>
      <w:bookmarkEnd w:id="106"/>
      <w:bookmarkEnd w:id="107"/>
      <w:bookmarkEnd w:id="108"/>
      <w:bookmarkEnd w:id="109"/>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This research process is set to be completed in a span of a set timeline. Each phase of the research study is allocated to have a timeline. Particularly, research study is broken into different phases such as problem identification, requirements analysis, project design, data collection, data analysis and reporting or documentation process. The use of a period set for each phase will help in enhancing the study is completed and published within a specified timeline. Allocating time helps the researcher to take serious actions about the study. A comprehensive research process targeting quality report will be achieved. Regarding the long-term impact, describe the various patterns to whether engagement strategies may contribute to lasting positive impacts in the sector of education.</w:t>
      </w:r>
    </w:p>
    <w:p>
      <w:pPr>
        <w:pStyle w:val="3"/>
      </w:pPr>
      <w:bookmarkStart w:id="110" w:name="_Toc11900"/>
      <w:bookmarkStart w:id="111" w:name="_Toc154735224"/>
      <w:bookmarkStart w:id="112" w:name="_Toc15932"/>
      <w:bookmarkStart w:id="113" w:name="_Toc10466"/>
      <w:r>
        <w:t>5.5 Limited Generalizability:</w:t>
      </w:r>
      <w:bookmarkEnd w:id="110"/>
      <w:bookmarkEnd w:id="111"/>
      <w:bookmarkEnd w:id="112"/>
      <w:bookmarkEnd w:id="113"/>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The findings has shown valuable analysis in the context of English language teaching at the Chinese university. These findings were generalized to have been happening in other institution in china. In some aspects, educational setting varies with the institutions. This means what works in another institution may not be working in the other institution. Therefore, there is need for researchers to exercise caution while applying these findings in various Chinese universities. </w:t>
      </w:r>
    </w:p>
    <w:p>
      <w:pPr>
        <w:pStyle w:val="3"/>
      </w:pPr>
      <w:bookmarkStart w:id="114" w:name="_Toc154735225"/>
      <w:bookmarkStart w:id="115" w:name="_Toc6845"/>
      <w:bookmarkStart w:id="116" w:name="_Toc15174"/>
      <w:bookmarkStart w:id="117" w:name="_Toc11374"/>
      <w:r>
        <w:t>5.6. Qualitative Interpretation:</w:t>
      </w:r>
      <w:bookmarkEnd w:id="114"/>
      <w:bookmarkEnd w:id="115"/>
      <w:bookmarkEnd w:id="116"/>
      <w:bookmarkEnd w:id="117"/>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If a researcher </w:t>
      </w:r>
      <w:r>
        <w:rPr>
          <w:rFonts w:hint="eastAsia" w:ascii="Times New Roman" w:hAnsi="Times New Roman" w:eastAsia="宋体" w:cs="Times New Roman"/>
          <w:sz w:val="24"/>
          <w:szCs w:val="24"/>
          <w:lang w:val="en-US" w:eastAsia="zh-CN"/>
        </w:rPr>
        <w:t xml:space="preserve">has </w:t>
      </w:r>
      <w:r>
        <w:rPr>
          <w:rFonts w:ascii="Times New Roman" w:hAnsi="Times New Roman" w:cs="Times New Roman"/>
          <w:sz w:val="24"/>
          <w:szCs w:val="24"/>
        </w:rPr>
        <w:t xml:space="preserve">bias, it may affect how qualitative research and analysis can be conducted. This is because based on the reports from the data collected; the researcher will interpret the results as he understands. There is need to maintain transparency for coming up with a good research study that convey the actual message concerning the importance of involving students in a class session. Several data were collected separately in the sample size to help in achieving the different students and teacher views in undertaking this research study. The reason for having different perspectives is to improve the validity of this research study. When a sample is taken from very diverse groups of individuals, there is a little bit of trust as the information comes from different groups of people from different majors in class. </w:t>
      </w:r>
    </w:p>
    <w:p>
      <w:pPr>
        <w:pStyle w:val="3"/>
      </w:pPr>
      <w:bookmarkStart w:id="118" w:name="_Toc154735226"/>
      <w:bookmarkStart w:id="119" w:name="_Toc20965"/>
      <w:bookmarkStart w:id="120" w:name="_Toc22258"/>
      <w:bookmarkStart w:id="121" w:name="_Toc27786"/>
      <w:r>
        <w:t>5.7 Comprehensive Understanding:</w:t>
      </w:r>
      <w:bookmarkEnd w:id="118"/>
      <w:bookmarkEnd w:id="119"/>
      <w:bookmarkEnd w:id="120"/>
      <w:bookmarkEnd w:id="121"/>
      <w: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 this study, both qualitative and quantitative research methods were used</w:t>
      </w:r>
      <w:r>
        <w:rPr>
          <w:rFonts w:hint="eastAsia" w:ascii="Times New Roman" w:hAnsi="Times New Roman" w:eastAsia="宋体" w:cs="Times New Roman"/>
          <w:sz w:val="24"/>
          <w:szCs w:val="24"/>
          <w:lang w:val="en-US" w:eastAsia="zh-CN"/>
        </w:rPr>
        <w:t xml:space="preserve"> as mixed research method</w:t>
      </w:r>
      <w:r>
        <w:rPr>
          <w:rFonts w:ascii="Times New Roman" w:hAnsi="Times New Roman" w:cs="Times New Roman"/>
          <w:sz w:val="24"/>
          <w:szCs w:val="24"/>
        </w:rPr>
        <w:t xml:space="preserve">. The approaches offers a complex understanding of student engagement. Data were collected through surveys, interviews and direct observation. This method offers a holistic view of enhancing complex dynamics. The use of this mixed approach reveals the various patterns that not only covers the patterns that describe a periocular trends and researching the kind of motivations and experiences that shapes student engagement. Both numerical and descriptive data has allowed in the interpretation of this research study.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quantitative findings highlight the strong correlation between engagement levels and academic performance, retention rates, and class size. These insights can inform pedagogical strategies and policies to improve student engagement and success. Moreover, the data reveals a noteworthy trend displaying a positive association between proactive student participation in extracurricular activities and overall academic achievements. As institutions delve into these quantitative insights, tailored interventions can be designed to enhance the holistic educational experience, fostering a conducive environment for both learning and personal growth. When we use these elements, students and researchers can collectively discuss the education environment and enhances student engagement and help in student potential to the success that is a long term.</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Qualitative analysis investigates the cultural, linguistic, and individual factors influencing engagement. These narratives offer a deeper understanding of the student experience and the role of tradition, culture, and discipline in shaping engagement. By embracing qualitative depth, educators gain valuable insights into the nuanced interplay of cultural dynamics within the educational landscape. This approach allows for a more holistic comprehension of how language, traditions, and personal backgrounds intertwine to impact learning.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This holistic understanding, in turn, empowers educators to tailor their teaching methods, fostering an inclusive environment that respects and leverages the rich tapestry of students' diverse backgrounds. Through qualitative analysis, education becomes a collaborative journey where cultural nuances are not just acknowledged but celebrated for the unique perspectives, they bring to the learning process. Ultimately, qualitative analysis serves as a compass, guiding educators toward fostering a more inclusive and enriching educational environment.</w:t>
      </w:r>
    </w:p>
    <w:p>
      <w:pPr>
        <w:pStyle w:val="4"/>
        <w:jc w:val="left"/>
        <w:rPr>
          <w:rFonts w:hint="default" w:ascii="Times New Roman" w:hAnsi="Times New Roman" w:cs="Times New Roman"/>
          <w:sz w:val="28"/>
          <w:szCs w:val="28"/>
        </w:rPr>
      </w:pPr>
      <w:bookmarkStart w:id="122" w:name="_Toc28736"/>
      <w:bookmarkStart w:id="123" w:name="_Toc154735227"/>
      <w:r>
        <w:rPr>
          <w:rFonts w:hint="default" w:ascii="Times New Roman" w:hAnsi="Times New Roman" w:cs="Times New Roman"/>
          <w:sz w:val="28"/>
          <w:szCs w:val="28"/>
        </w:rPr>
        <w:t>5.7.1 Cross-Cultural Perspective:</w:t>
      </w:r>
      <w:bookmarkEnd w:id="122"/>
      <w:bookmarkEnd w:id="123"/>
      <w:r>
        <w:rPr>
          <w:rFonts w:hint="default" w:ascii="Times New Roman" w:hAnsi="Times New Roman" w:cs="Times New Roman"/>
          <w:sz w:val="28"/>
          <w:szCs w:val="28"/>
        </w:rP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study specifically examines student engagement in a cross-cultural context, shedding light on the interplay between traditional values and modern educational approaches. This cross-cultural perspective contributes to a more nuanced understanding of student engagement. By delving into the intricate dynamics of student engagement across diverse cultural backgrounds, researchers gain valuable insights into the factors influencing learning experiences. The juxtaposition of traditional values and contemporary educational methods not only unveils challenges but also highlights potential opportunities for fostering a more inclusive and effective learning environment. In adopting a cross-cultural perspective, educators and policymakers can tailor strategies that resonate with the cultural fabric of diverse student populations, ultimately enriching the educational landscape.</w:t>
      </w:r>
    </w:p>
    <w:p>
      <w:pPr>
        <w:pStyle w:val="4"/>
        <w:rPr>
          <w:rFonts w:hint="default" w:ascii="Times New Roman" w:hAnsi="Times New Roman" w:cs="Times New Roman"/>
          <w:sz w:val="28"/>
          <w:szCs w:val="28"/>
        </w:rPr>
      </w:pPr>
      <w:bookmarkStart w:id="124" w:name="_Toc154735228"/>
      <w:bookmarkStart w:id="125" w:name="_Toc2064"/>
      <w:r>
        <w:rPr>
          <w:rFonts w:hint="default" w:ascii="Times New Roman" w:hAnsi="Times New Roman" w:cs="Times New Roman"/>
          <w:sz w:val="28"/>
          <w:szCs w:val="28"/>
        </w:rPr>
        <w:t>5.7.2 Practical Implications:</w:t>
      </w:r>
      <w:bookmarkEnd w:id="124"/>
      <w:bookmarkEnd w:id="125"/>
      <w:r>
        <w:rPr>
          <w:rFonts w:hint="default" w:ascii="Times New Roman" w:hAnsi="Times New Roman" w:cs="Times New Roman"/>
          <w:sz w:val="28"/>
          <w:szCs w:val="28"/>
        </w:rP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research provides practical implications for educators and institutions, emphasizing the importance of class size, extracurricular activities, and culturally responsive teaching methods in fostering engagement. These recommendations can guide educational practices in similar settings. Implementing smaller class sizes allows for more personalized attention, enhancing student-teacher interactions and overall academic performance. Incorporating diverse extracurricular activities not only enriches students' experiences but also cultivates a sense of community and belonging. Furthermore, embracing culturally responsive teaching methods ensures a more inclusive and supportive learning environment, promoting academic success for students from diverse backgrounds.</w:t>
      </w:r>
    </w:p>
    <w:p>
      <w:pPr>
        <w:pStyle w:val="4"/>
        <w:rPr>
          <w:rFonts w:hint="default" w:ascii="Times New Roman" w:hAnsi="Times New Roman" w:cs="Times New Roman"/>
          <w:sz w:val="28"/>
          <w:szCs w:val="28"/>
        </w:rPr>
      </w:pPr>
      <w:bookmarkStart w:id="126" w:name="_Toc23399"/>
      <w:bookmarkStart w:id="127" w:name="_Toc154735229"/>
      <w:r>
        <w:rPr>
          <w:rFonts w:hint="default" w:ascii="Times New Roman" w:hAnsi="Times New Roman" w:cs="Times New Roman"/>
          <w:sz w:val="28"/>
          <w:szCs w:val="28"/>
        </w:rPr>
        <w:t>5.7.3 Holistic Approach:</w:t>
      </w:r>
      <w:bookmarkEnd w:id="126"/>
      <w:bookmarkEnd w:id="127"/>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Student involvement in the context of English language in class in China enhance a holistic approach to students understanding better and being able to interact freely with each other and their teachers. This holistic approach helps in recognizing students in several dimensions in their learning journey. It emphasizes the inputs of nurturing not only the intellectuals but as socially and emotionally wellbeing of the students. </w:t>
      </w:r>
    </w:p>
    <w:p>
      <w:pPr>
        <w:pStyle w:val="4"/>
        <w:rPr>
          <w:rFonts w:hint="default" w:ascii="Times New Roman" w:hAnsi="Times New Roman" w:cs="Times New Roman"/>
          <w:sz w:val="28"/>
          <w:szCs w:val="28"/>
        </w:rPr>
      </w:pPr>
      <w:bookmarkStart w:id="128" w:name="_Toc1355"/>
      <w:bookmarkStart w:id="129" w:name="_Toc32576"/>
      <w:bookmarkStart w:id="130" w:name="_Toc154735230"/>
      <w:bookmarkStart w:id="131" w:name="_Toc31576"/>
      <w:r>
        <w:rPr>
          <w:rFonts w:hint="default" w:ascii="Times New Roman" w:hAnsi="Times New Roman" w:cs="Times New Roman"/>
          <w:sz w:val="28"/>
          <w:szCs w:val="28"/>
        </w:rPr>
        <w:t>5.7.4 Future Research Directions:</w:t>
      </w:r>
      <w:bookmarkEnd w:id="128"/>
      <w:bookmarkEnd w:id="129"/>
      <w:bookmarkEnd w:id="130"/>
      <w:bookmarkEnd w:id="131"/>
      <w:r>
        <w:rPr>
          <w:rFonts w:hint="default" w:ascii="Times New Roman" w:hAnsi="Times New Roman" w:cs="Times New Roman"/>
          <w:sz w:val="28"/>
          <w:szCs w:val="28"/>
        </w:rPr>
        <w:t xml:space="preserve">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Regarding the future research, there should be a long-term solution to the engagement strategies. Several studies are only focusing on the outcomes that are so instant. This describes how engagement may influence individuals. Researchers need to find out whether long-term engagement could be achieve or sustainable and may lead to a high retention rate. There is also the need to understand better on the disciplinary strategies in student engagement.</w:t>
      </w:r>
      <w:r>
        <w:rPr>
          <w:rFonts w:ascii="Times New Roman" w:hAnsi="Times New Roman" w:cs="Times New Roman"/>
          <w:color w:val="222222"/>
          <w:sz w:val="24"/>
          <w:szCs w:val="24"/>
          <w:shd w:val="clear" w:color="auto" w:fill="FFFFFF"/>
        </w:rPr>
        <w:t xml:space="preserve"> (Zhu, Pang, and Chen, 2023) </w:t>
      </w:r>
      <w:r>
        <w:rPr>
          <w:rFonts w:ascii="Times New Roman" w:hAnsi="Times New Roman" w:cs="Times New Roman"/>
          <w:sz w:val="24"/>
          <w:szCs w:val="24"/>
        </w:rPr>
        <w:t xml:space="preserve"> For example, in sciences, STEM methods work well when teaching in a classroom. Therefore there is need to established further in every subject to explore various methods that can be utilized in each subject.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The use of technologies is a very promising aspect to future research. The aspect of use of Microsoft forms, may lead to another technology coming, which will help to boast the research process. There include the use of virtual reality, artificial intelligence as well as the use of cutting edge tools in undertaking the research. However, there is also the need to integrate the traditional methods of teaching together with modern methods that enhance student engagement.</w:t>
      </w:r>
    </w:p>
    <w:p>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pPr>
        <w:pStyle w:val="2"/>
        <w:jc w:val="center"/>
        <w:rPr>
          <w:rFonts w:hint="default" w:ascii="Times New Roman" w:hAnsi="Times New Roman" w:cs="Times New Roman"/>
          <w:sz w:val="30"/>
          <w:szCs w:val="30"/>
        </w:rPr>
      </w:pPr>
      <w:bookmarkStart w:id="132" w:name="_Toc154735231"/>
      <w:bookmarkStart w:id="133" w:name="_Toc12170"/>
      <w:bookmarkStart w:id="134" w:name="_Toc25575"/>
      <w:r>
        <w:rPr>
          <w:rFonts w:hint="default" w:ascii="Times New Roman" w:hAnsi="Times New Roman" w:cs="Times New Roman"/>
          <w:sz w:val="30"/>
          <w:szCs w:val="30"/>
        </w:rPr>
        <w:t xml:space="preserve">CHAPTER 6: </w:t>
      </w:r>
      <w:bookmarkStart w:id="135" w:name="OLE_LINK2"/>
      <w:r>
        <w:rPr>
          <w:rFonts w:hint="default" w:ascii="Times New Roman" w:hAnsi="Times New Roman" w:cs="Times New Roman"/>
          <w:sz w:val="30"/>
          <w:szCs w:val="30"/>
        </w:rPr>
        <w:t>CONCLUSIONS AND</w:t>
      </w:r>
      <w:bookmarkEnd w:id="135"/>
      <w:r>
        <w:rPr>
          <w:rFonts w:hint="default" w:ascii="Times New Roman" w:hAnsi="Times New Roman" w:cs="Times New Roman"/>
          <w:sz w:val="30"/>
          <w:szCs w:val="30"/>
        </w:rPr>
        <w:t xml:space="preserve"> RECOMMENDATIONS</w:t>
      </w:r>
      <w:bookmarkEnd w:id="132"/>
      <w:bookmarkEnd w:id="133"/>
      <w:bookmarkEnd w:id="134"/>
    </w:p>
    <w:p>
      <w:pPr>
        <w:rPr>
          <w:rFonts w:hint="default"/>
        </w:rPr>
      </w:pPr>
    </w:p>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In conclusion, crucial findings on focusing in the refection upon the journey on the research study of the difficulties, which may pose an impact on student engagement within the context of English language in the class in Chinese university. Double method of approach such as quantitative and qualitative research approaches has come out to be the key factors in the successful identification of all the aspects of this form of educational system in </w:t>
      </w:r>
      <w:r>
        <w:rPr>
          <w:rFonts w:hint="eastAsia" w:ascii="Times New Roman" w:hAnsi="Times New Roman" w:eastAsia="宋体" w:cs="Times New Roman"/>
          <w:sz w:val="24"/>
          <w:szCs w:val="24"/>
          <w:lang w:val="en-US" w:eastAsia="zh-CN"/>
        </w:rPr>
        <w:t xml:space="preserve">mainaland </w:t>
      </w:r>
      <w:r>
        <w:rPr>
          <w:rFonts w:ascii="Times New Roman" w:hAnsi="Times New Roman" w:cs="Times New Roman"/>
          <w:sz w:val="24"/>
          <w:szCs w:val="24"/>
        </w:rPr>
        <w:t xml:space="preserve">China.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However, if we rely on self-reported data to analyses the student engagement in the context of English language in China and the inherent nature of the qualitative findings, it will help in enhancing a careful interpretation of results that were obtain during the data collection process. I will propose the incorporation of different methods of research as with regard to the future research. It will assist in the integrations of both internal and external observations. This type of approach is considered efficient and effective as it gives more impact to developing a very comprehensive report based on the different aspects of student engagement in this context.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 addition, I support the way in which collaboration among researchers, students and lectures is fostered like has been done in this research. Research question were structured for both lecturers, students and researchers to answer them. Feedback were saved and analyze for the purpose of coming up with this research study. This basic part of the research process have led to the data collection and analysis process to be achieved in a very interesting way. It has enhanced the collection of data based on student perspective, lecturer perspective and researcher perspective. This offers a more holistic research that has the view of every stakeholder.  A collective involvement in the research was experienced. It makes the quality of the report to be at a higher level as compared to when the focus is only on students.</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This research study has shed light for the future studies, where it has pointed out areas that require deeper investigations. The influence of the cultural aspects on student engagement has stood as a focal point guiding the researchers like me in delving in the traditional values that affect student engagement in English teaching class in Chinese University. Modern methods of teaching approach are more applicable in modern education systems. A more research understanding can be obtained by studying multiple academic researchers of the several years. Nature of students who are in class, for a researcher to understand better, there is need for expansive research to align all several aspects that may be hindering student engagement in class. When we compare the various studies and researchers that have been developed in various universities and colleges globally, it is easy to have a broader understanding on how the idea could work better. It makes the teachers and students to have more confidence in understanding effective teaching methodologies. In addition, I have been able to embrace the challenges that are being posed by the kind of research we are doing in the modern days. I have taken note that researchers should be able to apply innovative ways in ensuring new methodologies to reveal the factors that hinders student engagement.</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 xml:space="preserve">Finally, in the student engagement research, I uphold it to stand as a thread that is woven with the focus, curiosity and pursuit of knowledge. I have understood the various limitation, the kind of achievements, and the various types of the implication that I have come through in this particular research study. There is a sense of humility that the recognition to the understanding of this research study is ever evolving. There is a serious need for a call to action so that a continuous research through innovative methods can be implemented. These recommendations that I have stated in this last chapter does not only server as a conclusion but invitation to the discussion based on the topic of this research. It support scholars, researchers and educators including students who will like to contribute in enhancing student engagement in English teaching class. </w:t>
      </w:r>
    </w:p>
    <w:p>
      <w:pPr>
        <w:spacing w:line="48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In conclusion, this chapter of the research study comprise of the future works on student engagement. A discussion based on the different phases of implementing student engagement in universities in China. The research study provides a clear methodology of how researchers could use in implementing their own studies. The research has stated with introducing the research study, the literature review of the research based on the past researches, methodologies that have been used in coming up with the research, key findings, discussion and recommendations.</w:t>
      </w:r>
    </w:p>
    <w:p>
      <w:pPr>
        <w:spacing w:beforeAutospacing="1" w:after="0" w:afterAutospacing="1" w:line="480" w:lineRule="auto"/>
        <w:jc w:val="both"/>
        <w:rPr>
          <w:rFonts w:ascii="Times New Roman" w:hAnsi="Times New Roman" w:cs="Times New Roman"/>
          <w:sz w:val="24"/>
          <w:szCs w:val="24"/>
        </w:rPr>
        <w:sectPr>
          <w:pgSz w:w="12240" w:h="15840"/>
          <w:pgMar w:top="1440" w:right="1440" w:bottom="1440" w:left="1440" w:header="720" w:footer="720" w:gutter="0"/>
          <w:pgBorders>
            <w:top w:val="none" w:sz="0" w:space="0"/>
            <w:left w:val="none" w:sz="0" w:space="0"/>
            <w:bottom w:val="none" w:sz="0" w:space="0"/>
            <w:right w:val="none" w:sz="0" w:space="0"/>
          </w:pgBorders>
          <w:cols w:space="720" w:num="1"/>
        </w:sectPr>
      </w:pPr>
    </w:p>
    <w:p>
      <w:pPr>
        <w:pStyle w:val="2"/>
      </w:pPr>
      <w:bookmarkStart w:id="136" w:name="_Toc154735232"/>
      <w:bookmarkStart w:id="137" w:name="_Toc10975"/>
      <w:bookmarkStart w:id="138" w:name="OLE_LINK23"/>
      <w:r>
        <w:t>REFERENCES</w:t>
      </w:r>
      <w:bookmarkEnd w:id="136"/>
      <w:bookmarkEnd w:id="137"/>
    </w:p>
    <w:p/>
    <w:bookmarkEnd w:id="138"/>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Abid, T., Zahid, G., Shahid, N. and Bukhari, M., 2021. Online teaching experience during the COVID-19 in Pakistan: Pedagogy–technology balance and student engagement. </w:t>
      </w:r>
      <w:r>
        <w:rPr>
          <w:rFonts w:ascii="Times New Roman" w:hAnsi="Times New Roman" w:cs="Times New Roman"/>
          <w:i/>
          <w:iCs/>
          <w:color w:val="222222"/>
          <w:sz w:val="24"/>
          <w:szCs w:val="24"/>
          <w:shd w:val="clear" w:color="auto" w:fill="FFFFFF"/>
        </w:rPr>
        <w:t>Fudan Journal of the Humanities and Social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 pp.367-391.</w:t>
      </w:r>
      <w:r>
        <w:rPr>
          <w:rFonts w:ascii="Times New Roman" w:hAnsi="Times New Roman" w:cs="Times New Roman"/>
          <w:sz w:val="24"/>
          <w:szCs w:val="24"/>
        </w:rPr>
        <w:t xml:space="preserve"> </w:t>
      </w:r>
      <w:r>
        <w:fldChar w:fldCharType="begin"/>
      </w:r>
      <w:r>
        <w:instrText xml:space="preserve"> HYPERLINK "https://link.springer.com/article/10.1007/s40647-021-00325-7" </w:instrText>
      </w:r>
      <w:r>
        <w:fldChar w:fldCharType="separate"/>
      </w:r>
      <w:r>
        <w:rPr>
          <w:rStyle w:val="17"/>
          <w:rFonts w:ascii="Times New Roman" w:hAnsi="Times New Roman" w:cs="Times New Roman"/>
          <w:sz w:val="24"/>
          <w:szCs w:val="24"/>
          <w:shd w:val="clear" w:color="auto" w:fill="FFFFFF"/>
        </w:rPr>
        <w:t>https://link.springer.com/article/10.1007/s40647-021-00325-7</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Al-Bogami, B. and Elyas, T., 2020. Promoting middle school students’ engagement through incorporating iPad apps in EFL/ESL classes. </w:t>
      </w:r>
      <w:r>
        <w:rPr>
          <w:rFonts w:ascii="Times New Roman" w:hAnsi="Times New Roman" w:cs="Times New Roman"/>
          <w:i/>
          <w:iCs/>
          <w:color w:val="222222"/>
          <w:sz w:val="24"/>
          <w:szCs w:val="24"/>
          <w:shd w:val="clear" w:color="auto" w:fill="FFFFFF"/>
        </w:rPr>
        <w:t>SAGE Open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(2), p.2158244020926570.</w:t>
      </w:r>
      <w:r>
        <w:rPr>
          <w:rFonts w:ascii="Times New Roman" w:hAnsi="Times New Roman" w:cs="Times New Roman"/>
          <w:sz w:val="24"/>
          <w:szCs w:val="24"/>
        </w:rPr>
        <w:t xml:space="preserve"> </w:t>
      </w:r>
      <w:r>
        <w:fldChar w:fldCharType="begin"/>
      </w:r>
      <w:r>
        <w:instrText xml:space="preserve"> HYPERLINK "https://journals.sagepub.com/doi/full/10.1177/2158244020926570" </w:instrText>
      </w:r>
      <w:r>
        <w:fldChar w:fldCharType="separate"/>
      </w:r>
      <w:r>
        <w:rPr>
          <w:rStyle w:val="17"/>
          <w:rFonts w:ascii="Times New Roman" w:hAnsi="Times New Roman" w:cs="Times New Roman"/>
          <w:sz w:val="24"/>
          <w:szCs w:val="24"/>
          <w:shd w:val="clear" w:color="auto" w:fill="FFFFFF"/>
        </w:rPr>
        <w:t>https://journals.sagepub.com/doi/full/10.1177/2158244020926570</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Alemayehu, L. and Chen, H.L., 2023. Learner and instructor-related challenges for learners’ engagement in MOOCs: A review of 2014–2020 publications in selected SSCI indexed journals. </w:t>
      </w:r>
      <w:r>
        <w:rPr>
          <w:rFonts w:ascii="Times New Roman" w:hAnsi="Times New Roman" w:cs="Times New Roman"/>
          <w:i/>
          <w:iCs/>
          <w:color w:val="222222"/>
          <w:sz w:val="24"/>
          <w:szCs w:val="24"/>
          <w:shd w:val="clear" w:color="auto" w:fill="FFFFFF"/>
        </w:rPr>
        <w:t>Interactive Learning Environments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31</w:t>
      </w:r>
      <w:r>
        <w:rPr>
          <w:rFonts w:ascii="Times New Roman" w:hAnsi="Times New Roman" w:cs="Times New Roman"/>
          <w:color w:val="222222"/>
          <w:sz w:val="24"/>
          <w:szCs w:val="24"/>
          <w:shd w:val="clear" w:color="auto" w:fill="FFFFFF"/>
        </w:rPr>
        <w:t>(5), pp.3172-3194.</w:t>
      </w:r>
      <w:r>
        <w:rPr>
          <w:rFonts w:ascii="Times New Roman" w:hAnsi="Times New Roman" w:cs="Times New Roman"/>
          <w:sz w:val="24"/>
          <w:szCs w:val="24"/>
        </w:rPr>
        <w:t xml:space="preserve"> </w:t>
      </w:r>
      <w:r>
        <w:fldChar w:fldCharType="begin"/>
      </w:r>
      <w:r>
        <w:instrText xml:space="preserve"> HYPERLINK "https://www.tandfonline.com/doi/abs/10.1080/10494820.2021.1920430" </w:instrText>
      </w:r>
      <w:r>
        <w:fldChar w:fldCharType="separate"/>
      </w:r>
      <w:r>
        <w:rPr>
          <w:rStyle w:val="17"/>
          <w:rFonts w:ascii="Times New Roman" w:hAnsi="Times New Roman" w:cs="Times New Roman"/>
          <w:sz w:val="24"/>
          <w:szCs w:val="24"/>
          <w:shd w:val="clear" w:color="auto" w:fill="FFFFFF"/>
        </w:rPr>
        <w:t>https://www.tandfonline.com/doi/abs/10.1080/10494820.2021.1920430</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Alshuraiaan, A., 2023. Exploring the relationship between teacher-student interaction patterns and language learning outcomes in TESOL classrooms. </w:t>
      </w:r>
      <w:r>
        <w:rPr>
          <w:rFonts w:ascii="Times New Roman" w:hAnsi="Times New Roman" w:cs="Times New Roman"/>
          <w:i/>
          <w:iCs/>
          <w:color w:val="222222"/>
          <w:sz w:val="24"/>
          <w:szCs w:val="24"/>
          <w:shd w:val="clear" w:color="auto" w:fill="FFFFFF"/>
        </w:rPr>
        <w:t>Journal of English Language Teaching and Applied Linguistics</w:t>
      </w:r>
      <w:r>
        <w:rPr>
          <w:rFonts w:ascii="Times New Roman" w:hAnsi="Times New Roman" w:cs="Times New Roman"/>
          <w:color w:val="222222"/>
          <w:sz w:val="24"/>
          <w:szCs w:val="24"/>
          <w:shd w:val="clear" w:color="auto" w:fill="FFFFFF"/>
        </w:rPr>
        <w:t>, 5(3), pp.25-34.</w:t>
      </w:r>
      <w:r>
        <w:rPr>
          <w:rFonts w:ascii="Times New Roman" w:hAnsi="Times New Roman" w:cs="Times New Roman"/>
          <w:sz w:val="24"/>
          <w:szCs w:val="24"/>
        </w:rPr>
        <w:t xml:space="preserve"> </w:t>
      </w:r>
      <w:r>
        <w:fldChar w:fldCharType="begin"/>
      </w:r>
      <w:r>
        <w:instrText xml:space="preserve"> HYPERLINK "https://al-kindipublisher.com/index.php/jeltal/article/view/5592" </w:instrText>
      </w:r>
      <w:r>
        <w:fldChar w:fldCharType="separate"/>
      </w:r>
      <w:r>
        <w:rPr>
          <w:rStyle w:val="17"/>
          <w:rFonts w:ascii="Times New Roman" w:hAnsi="Times New Roman" w:cs="Times New Roman"/>
          <w:sz w:val="24"/>
          <w:szCs w:val="24"/>
          <w:shd w:val="clear" w:color="auto" w:fill="FFFFFF"/>
        </w:rPr>
        <w:t>https://al-kindipublisher.com/index.php/jeltal/article/view/5592</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An, J. and Thomas, N., 2021. Students’ beliefs about the role of interaction for science learning and language learning in EMI science classes: Evidence from high schools in China. </w:t>
      </w:r>
      <w:r>
        <w:rPr>
          <w:rFonts w:ascii="Times New Roman" w:hAnsi="Times New Roman" w:cs="Times New Roman"/>
          <w:i/>
          <w:iCs/>
          <w:color w:val="222222"/>
          <w:sz w:val="24"/>
          <w:szCs w:val="24"/>
          <w:shd w:val="clear" w:color="auto" w:fill="FFFFFF"/>
        </w:rPr>
        <w:t>Linguistics and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65</w:t>
      </w:r>
      <w:r>
        <w:rPr>
          <w:rFonts w:ascii="Times New Roman" w:hAnsi="Times New Roman" w:cs="Times New Roman"/>
          <w:color w:val="222222"/>
          <w:sz w:val="24"/>
          <w:szCs w:val="24"/>
          <w:shd w:val="clear" w:color="auto" w:fill="FFFFFF"/>
        </w:rPr>
        <w:t>, p.100972.</w:t>
      </w:r>
      <w:r>
        <w:rPr>
          <w:rFonts w:ascii="Times New Roman" w:hAnsi="Times New Roman" w:cs="Times New Roman"/>
          <w:sz w:val="24"/>
          <w:szCs w:val="24"/>
        </w:rPr>
        <w:t xml:space="preserve"> </w:t>
      </w:r>
      <w:r>
        <w:fldChar w:fldCharType="begin"/>
      </w:r>
      <w:r>
        <w:instrText xml:space="preserve"> HYPERLINK "https://www.sciencedirect.com/science/article/abs/pii/S0898589821000723" </w:instrText>
      </w:r>
      <w:r>
        <w:fldChar w:fldCharType="separate"/>
      </w:r>
      <w:r>
        <w:rPr>
          <w:rStyle w:val="17"/>
          <w:rFonts w:ascii="Times New Roman" w:hAnsi="Times New Roman" w:cs="Times New Roman"/>
          <w:sz w:val="24"/>
          <w:szCs w:val="24"/>
          <w:shd w:val="clear" w:color="auto" w:fill="FFFFFF"/>
        </w:rPr>
        <w:t>https://www.sciencedirect.com/science/article/abs/pii/S0898589821000723</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Assunção, H., Lin, S.W., Sit, P.S., Cheung, K.C., Harju-Luukkainen, H., Smith, T., Maloa, B., Campos, J.Á.D.B., Ilic, I.S., Esposito, G. and Francesca, F.M., 2020. University student engagement inventory (USEI): transcultural validity evidence across four continents.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 p.2796.</w:t>
      </w:r>
      <w:r>
        <w:rPr>
          <w:rFonts w:ascii="Times New Roman" w:hAnsi="Times New Roman" w:cs="Times New Roman"/>
          <w:sz w:val="24"/>
          <w:szCs w:val="24"/>
        </w:rPr>
        <w:t xml:space="preserve"> </w:t>
      </w:r>
      <w:r>
        <w:fldChar w:fldCharType="begin"/>
      </w:r>
      <w:r>
        <w:instrText xml:space="preserve"> HYPERLINK "https://www.frontiersin.org/articles/10.3389/fpsyg.2019.02796/full" </w:instrText>
      </w:r>
      <w:r>
        <w:fldChar w:fldCharType="separate"/>
      </w:r>
      <w:r>
        <w:rPr>
          <w:rStyle w:val="17"/>
          <w:rFonts w:ascii="Times New Roman" w:hAnsi="Times New Roman" w:cs="Times New Roman"/>
          <w:sz w:val="24"/>
          <w:szCs w:val="24"/>
          <w:shd w:val="clear" w:color="auto" w:fill="FFFFFF"/>
        </w:rPr>
        <w:t>https://www.frontiersin.org/articles/10.3389/fpsyg.2019.02796/full</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Aubrey, S., King, J. and Almukhaild, H., 2022. Language learner engagement during speaking tasks: A longitudinal study. </w:t>
      </w:r>
      <w:r>
        <w:rPr>
          <w:rFonts w:ascii="Times New Roman" w:hAnsi="Times New Roman" w:cs="Times New Roman"/>
          <w:i/>
          <w:iCs/>
          <w:color w:val="222222"/>
          <w:sz w:val="24"/>
          <w:szCs w:val="24"/>
          <w:shd w:val="clear" w:color="auto" w:fill="FFFFFF"/>
        </w:rPr>
        <w:t>RELC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53</w:t>
      </w:r>
      <w:r>
        <w:rPr>
          <w:rFonts w:ascii="Times New Roman" w:hAnsi="Times New Roman" w:cs="Times New Roman"/>
          <w:color w:val="222222"/>
          <w:sz w:val="24"/>
          <w:szCs w:val="24"/>
          <w:shd w:val="clear" w:color="auto" w:fill="FFFFFF"/>
        </w:rPr>
        <w:t>(3), pp.519-533.</w:t>
      </w:r>
      <w:r>
        <w:rPr>
          <w:rFonts w:ascii="Times New Roman" w:hAnsi="Times New Roman" w:cs="Times New Roman"/>
          <w:sz w:val="24"/>
          <w:szCs w:val="24"/>
        </w:rPr>
        <w:t xml:space="preserve"> </w:t>
      </w:r>
      <w:r>
        <w:fldChar w:fldCharType="begin"/>
      </w:r>
      <w:r>
        <w:instrText xml:space="preserve"> HYPERLINK "https://journals.sagepub.com/doi/abs/10.1177/0033688220945418" </w:instrText>
      </w:r>
      <w:r>
        <w:fldChar w:fldCharType="separate"/>
      </w:r>
      <w:r>
        <w:rPr>
          <w:rStyle w:val="17"/>
          <w:rFonts w:ascii="Times New Roman" w:hAnsi="Times New Roman" w:cs="Times New Roman"/>
          <w:sz w:val="24"/>
          <w:szCs w:val="24"/>
          <w:shd w:val="clear" w:color="auto" w:fill="FFFFFF"/>
        </w:rPr>
        <w:t>https://journals.sagepub.com/doi/abs/10.1177/0033688220945418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Bacquet, J.N., 2020. Implications of summative and formative assessment in Japan–A review of the current literature. </w:t>
      </w:r>
      <w:r>
        <w:rPr>
          <w:rFonts w:ascii="Times New Roman" w:hAnsi="Times New Roman" w:cs="Times New Roman"/>
          <w:i/>
          <w:iCs/>
          <w:color w:val="222222"/>
          <w:sz w:val="24"/>
          <w:szCs w:val="24"/>
          <w:shd w:val="clear" w:color="auto" w:fill="FFFFFF"/>
        </w:rPr>
        <w:t>International Journal of Education and Literacy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(2), pp.28-35.</w:t>
      </w:r>
      <w:r>
        <w:rPr>
          <w:rFonts w:ascii="Times New Roman" w:hAnsi="Times New Roman" w:cs="Times New Roman"/>
          <w:sz w:val="24"/>
          <w:szCs w:val="24"/>
        </w:rPr>
        <w:t xml:space="preserve"> </w:t>
      </w:r>
      <w:r>
        <w:fldChar w:fldCharType="begin"/>
      </w:r>
      <w:r>
        <w:instrText xml:space="preserve"> HYPERLINK "https://journals.aiac.org.au/index.php/IJELS/article/view/5996" </w:instrText>
      </w:r>
      <w:r>
        <w:fldChar w:fldCharType="separate"/>
      </w:r>
      <w:r>
        <w:rPr>
          <w:rStyle w:val="17"/>
          <w:rFonts w:ascii="Times New Roman" w:hAnsi="Times New Roman" w:cs="Times New Roman"/>
          <w:sz w:val="24"/>
          <w:szCs w:val="24"/>
          <w:shd w:val="clear" w:color="auto" w:fill="FFFFFF"/>
        </w:rPr>
        <w:t>https://journals.aiac.org.au/index.php/IJELS/article/view/5996</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Bao, C., Zhang, L.J. and Dixon, H.R., 2021. Teacher engagement in language teaching: Investigating self-Efficacy for teaching based on the project “Sino-Greece online Chinese language classrooms”.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 p.710736.</w:t>
      </w:r>
      <w:r>
        <w:rPr>
          <w:rFonts w:ascii="Times New Roman" w:hAnsi="Times New Roman" w:cs="Times New Roman"/>
          <w:sz w:val="24"/>
          <w:szCs w:val="24"/>
        </w:rPr>
        <w:t xml:space="preserve"> </w:t>
      </w:r>
      <w:r>
        <w:fldChar w:fldCharType="begin"/>
      </w:r>
      <w:r>
        <w:instrText xml:space="preserve"> HYPERLINK "https://www.frontiersin.org/articles/10.3389/fpsyg.2021.710736/full" </w:instrText>
      </w:r>
      <w:r>
        <w:fldChar w:fldCharType="separate"/>
      </w:r>
      <w:r>
        <w:rPr>
          <w:rStyle w:val="17"/>
          <w:rFonts w:ascii="Times New Roman" w:hAnsi="Times New Roman" w:cs="Times New Roman"/>
          <w:sz w:val="24"/>
          <w:szCs w:val="24"/>
          <w:shd w:val="clear" w:color="auto" w:fill="FFFFFF"/>
        </w:rPr>
        <w:t>https://www.frontiersin.org/articles/10.3389/fpsyg.2021.710736/full</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Barber, A.T. and Klauda, S.L., 2020. How reading motivation and engagement enable reading achievement: Policy implications. </w:t>
      </w:r>
      <w:r>
        <w:rPr>
          <w:rFonts w:ascii="Times New Roman" w:hAnsi="Times New Roman" w:cs="Times New Roman"/>
          <w:i/>
          <w:iCs/>
          <w:color w:val="222222"/>
          <w:sz w:val="24"/>
          <w:szCs w:val="24"/>
          <w:shd w:val="clear" w:color="auto" w:fill="FFFFFF"/>
        </w:rPr>
        <w:t>Policy Insights from the Behavioral and Brain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w:t>
      </w:r>
      <w:r>
        <w:rPr>
          <w:rFonts w:ascii="Times New Roman" w:hAnsi="Times New Roman" w:cs="Times New Roman"/>
          <w:color w:val="222222"/>
          <w:sz w:val="24"/>
          <w:szCs w:val="24"/>
          <w:shd w:val="clear" w:color="auto" w:fill="FFFFFF"/>
        </w:rPr>
        <w:t>(1), pp.27-34.</w:t>
      </w:r>
      <w:r>
        <w:rPr>
          <w:rFonts w:ascii="Times New Roman" w:hAnsi="Times New Roman" w:cs="Times New Roman"/>
          <w:sz w:val="24"/>
          <w:szCs w:val="24"/>
        </w:rPr>
        <w:t xml:space="preserve"> </w:t>
      </w:r>
      <w:r>
        <w:fldChar w:fldCharType="begin"/>
      </w:r>
      <w:r>
        <w:instrText xml:space="preserve"> HYPERLINK "https://journals.sagepub.com/doi/full/10.1177/2372732219893385" </w:instrText>
      </w:r>
      <w:r>
        <w:fldChar w:fldCharType="separate"/>
      </w:r>
      <w:r>
        <w:rPr>
          <w:rStyle w:val="17"/>
          <w:rFonts w:ascii="Times New Roman" w:hAnsi="Times New Roman" w:cs="Times New Roman"/>
          <w:sz w:val="24"/>
          <w:szCs w:val="24"/>
          <w:shd w:val="clear" w:color="auto" w:fill="FFFFFF"/>
        </w:rPr>
        <w:t>https://journals.sagepub.com/doi/full/10.1177/2372732219893385</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Benlahcene, A., Kaur, A. and Awang-Hashim, R., 2021. Basic psychological needs satisfaction and student engagement: the importance of novelty satisfaction. </w:t>
      </w:r>
      <w:r>
        <w:rPr>
          <w:rFonts w:ascii="Times New Roman" w:hAnsi="Times New Roman" w:cs="Times New Roman"/>
          <w:i/>
          <w:iCs/>
          <w:color w:val="222222"/>
          <w:sz w:val="24"/>
          <w:szCs w:val="24"/>
          <w:shd w:val="clear" w:color="auto" w:fill="FFFFFF"/>
        </w:rPr>
        <w:t>Journal of Applied Research in 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w:t>
      </w:r>
      <w:r>
        <w:rPr>
          <w:rFonts w:ascii="Times New Roman" w:hAnsi="Times New Roman" w:cs="Times New Roman"/>
          <w:color w:val="222222"/>
          <w:sz w:val="24"/>
          <w:szCs w:val="24"/>
          <w:shd w:val="clear" w:color="auto" w:fill="FFFFFF"/>
        </w:rPr>
        <w:t>(5), pp.1290-1304.</w:t>
      </w:r>
      <w:r>
        <w:rPr>
          <w:rFonts w:ascii="Times New Roman" w:hAnsi="Times New Roman" w:cs="Times New Roman"/>
          <w:sz w:val="24"/>
          <w:szCs w:val="24"/>
        </w:rPr>
        <w:t xml:space="preserve"> </w:t>
      </w:r>
      <w:r>
        <w:fldChar w:fldCharType="begin"/>
      </w:r>
      <w:r>
        <w:instrText xml:space="preserve"> HYPERLINK "https://www.emerald.com/insight/content/doi/10.1108/JARHE-06-2020-0157/full/html" </w:instrText>
      </w:r>
      <w:r>
        <w:fldChar w:fldCharType="separate"/>
      </w:r>
      <w:r>
        <w:rPr>
          <w:rStyle w:val="17"/>
          <w:rFonts w:ascii="Times New Roman" w:hAnsi="Times New Roman" w:cs="Times New Roman"/>
          <w:sz w:val="24"/>
          <w:szCs w:val="24"/>
          <w:shd w:val="clear" w:color="auto" w:fill="FFFFFF"/>
        </w:rPr>
        <w:t>https://www.emerald.com/insight/content/doi/10.1108/JARHE-06-2020-0157/full/html</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Bond, M., 2020. Facilitating student engagement through the flipped learning approach in K-12: A systematic review. </w:t>
      </w:r>
      <w:r>
        <w:rPr>
          <w:rFonts w:ascii="Times New Roman" w:hAnsi="Times New Roman" w:cs="Times New Roman"/>
          <w:i/>
          <w:iCs/>
          <w:color w:val="222222"/>
          <w:sz w:val="24"/>
          <w:szCs w:val="24"/>
          <w:shd w:val="clear" w:color="auto" w:fill="FFFFFF"/>
        </w:rPr>
        <w:t>Computers &amp;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151</w:t>
      </w:r>
      <w:r>
        <w:rPr>
          <w:rFonts w:ascii="Times New Roman" w:hAnsi="Times New Roman" w:cs="Times New Roman"/>
          <w:color w:val="222222"/>
          <w:sz w:val="24"/>
          <w:szCs w:val="24"/>
          <w:shd w:val="clear" w:color="auto" w:fill="FFFFFF"/>
        </w:rPr>
        <w:t>, p.103819.</w:t>
      </w:r>
      <w:r>
        <w:rPr>
          <w:rFonts w:ascii="Times New Roman" w:hAnsi="Times New Roman" w:cs="Times New Roman"/>
          <w:sz w:val="24"/>
          <w:szCs w:val="24"/>
        </w:rPr>
        <w:t xml:space="preserve"> </w:t>
      </w:r>
      <w:r>
        <w:fldChar w:fldCharType="begin"/>
      </w:r>
      <w:r>
        <w:instrText xml:space="preserve"> HYPERLINK "https://www.sciencedirect.com/science/article/abs/pii/S036013152030021X" </w:instrText>
      </w:r>
      <w:r>
        <w:fldChar w:fldCharType="separate"/>
      </w:r>
      <w:r>
        <w:rPr>
          <w:rStyle w:val="17"/>
          <w:rFonts w:ascii="Times New Roman" w:hAnsi="Times New Roman" w:cs="Times New Roman"/>
          <w:sz w:val="24"/>
          <w:szCs w:val="24"/>
          <w:shd w:val="clear" w:color="auto" w:fill="FFFFFF"/>
        </w:rPr>
        <w:t>https://www.sciencedirect.com/science/article/abs/pii/S036013152030021X</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Borg, S. and Liu, Y., 2013. Chinese college English teachers' research engagement. </w:t>
      </w:r>
      <w:r>
        <w:rPr>
          <w:rFonts w:ascii="Times New Roman" w:hAnsi="Times New Roman" w:cs="Times New Roman"/>
          <w:i/>
          <w:iCs/>
          <w:color w:val="222222"/>
          <w:sz w:val="24"/>
          <w:szCs w:val="24"/>
          <w:shd w:val="clear" w:color="auto" w:fill="FFFFFF"/>
        </w:rPr>
        <w:t>Tesol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47</w:t>
      </w:r>
      <w:r>
        <w:rPr>
          <w:rFonts w:ascii="Times New Roman" w:hAnsi="Times New Roman" w:cs="Times New Roman"/>
          <w:color w:val="222222"/>
          <w:sz w:val="24"/>
          <w:szCs w:val="24"/>
          <w:shd w:val="clear" w:color="auto" w:fill="FFFFFF"/>
        </w:rPr>
        <w:t>(2), pp.270-299.</w:t>
      </w:r>
      <w:r>
        <w:rPr>
          <w:rFonts w:ascii="Times New Roman" w:hAnsi="Times New Roman" w:cs="Times New Roman"/>
          <w:sz w:val="24"/>
          <w:szCs w:val="24"/>
        </w:rPr>
        <w:t xml:space="preserve"> </w:t>
      </w:r>
      <w:r>
        <w:fldChar w:fldCharType="begin"/>
      </w:r>
      <w:r>
        <w:instrText xml:space="preserve"> HYPERLINK "https://onlinelibrary.wiley.com/doi/abs/10.1002/tesq.56" </w:instrText>
      </w:r>
      <w:r>
        <w:fldChar w:fldCharType="separate"/>
      </w:r>
      <w:r>
        <w:rPr>
          <w:rStyle w:val="17"/>
          <w:rFonts w:ascii="Times New Roman" w:hAnsi="Times New Roman" w:cs="Times New Roman"/>
          <w:sz w:val="24"/>
          <w:szCs w:val="24"/>
          <w:shd w:val="clear" w:color="auto" w:fill="FFFFFF"/>
        </w:rPr>
        <w:t>https://onlinelibrary.wiley.com/doi/abs/10.1002/tesq.56</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Braun, V. and Clarke, V., 2006. Using thematic analysis in psychology. </w:t>
      </w:r>
      <w:r>
        <w:rPr>
          <w:rFonts w:ascii="Times New Roman" w:hAnsi="Times New Roman" w:cs="Times New Roman"/>
          <w:i/>
          <w:iCs/>
          <w:color w:val="222222"/>
          <w:sz w:val="24"/>
          <w:szCs w:val="24"/>
          <w:shd w:val="clear" w:color="auto" w:fill="FFFFFF"/>
        </w:rPr>
        <w:t>Qualitative research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(2), p.77.</w:t>
      </w:r>
      <w:r>
        <w:rPr>
          <w:rFonts w:ascii="Times New Roman" w:hAnsi="Times New Roman" w:cs="Times New Roman"/>
          <w:sz w:val="24"/>
          <w:szCs w:val="24"/>
        </w:rPr>
        <w:t xml:space="preserve"> </w:t>
      </w:r>
      <w:r>
        <w:fldChar w:fldCharType="begin"/>
      </w:r>
      <w:r>
        <w:instrText xml:space="preserve"> HYPERLINK "https://biotap.utk.edu/wp-content/uploads/2019/10/Using-thematic-analysis-in-psychology-1.pdf.pdf" </w:instrText>
      </w:r>
      <w:r>
        <w:fldChar w:fldCharType="separate"/>
      </w:r>
      <w:r>
        <w:rPr>
          <w:rStyle w:val="17"/>
          <w:rFonts w:ascii="Times New Roman" w:hAnsi="Times New Roman" w:cs="Times New Roman"/>
          <w:sz w:val="24"/>
          <w:szCs w:val="24"/>
          <w:shd w:val="clear" w:color="auto" w:fill="FFFFFF"/>
        </w:rPr>
        <w:t>https://biotap.utk.edu/wp-content/uploads/2019/10/Using-thematic-analysis-in-psychology-1.pdf.pdf</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Style w:val="17"/>
          <w:rFonts w:ascii="Times New Roman" w:hAnsi="Times New Roman" w:cs="Times New Roman"/>
          <w:sz w:val="24"/>
          <w:szCs w:val="24"/>
          <w:shd w:val="clear" w:color="auto" w:fill="FFFFFF"/>
        </w:rPr>
      </w:pPr>
      <w:r>
        <w:rPr>
          <w:rFonts w:ascii="Times New Roman" w:hAnsi="Times New Roman" w:cs="Times New Roman"/>
          <w:color w:val="222222"/>
          <w:sz w:val="24"/>
          <w:szCs w:val="24"/>
          <w:shd w:val="clear" w:color="auto" w:fill="FFFFFF"/>
        </w:rPr>
        <w:t>Cao, W., 2023. A meta-analysis of effects of blended learning on performance, attitude, achievement, and engagement across different countries.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14.</w:t>
      </w:r>
      <w:r>
        <w:rPr>
          <w:rFonts w:ascii="Times New Roman" w:hAnsi="Times New Roman" w:cs="Times New Roman"/>
          <w:sz w:val="24"/>
          <w:szCs w:val="24"/>
        </w:rPr>
        <w:t xml:space="preserve"> </w:t>
      </w:r>
      <w:r>
        <w:fldChar w:fldCharType="begin"/>
      </w:r>
      <w:r>
        <w:instrText xml:space="preserve"> HYPERLINK "https://www.ncbi.nlm.nih.gov/pmc/articles/PMC10369798/" </w:instrText>
      </w:r>
      <w:r>
        <w:fldChar w:fldCharType="separate"/>
      </w:r>
      <w:r>
        <w:rPr>
          <w:rStyle w:val="17"/>
          <w:rFonts w:ascii="Times New Roman" w:hAnsi="Times New Roman" w:cs="Times New Roman"/>
          <w:sz w:val="24"/>
          <w:szCs w:val="24"/>
          <w:shd w:val="clear" w:color="auto" w:fill="FFFFFF"/>
        </w:rPr>
        <w:t>https://www.ncbi.nlm.nih.gov/pmc/articles/PMC10369798/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hint="eastAsia" w:ascii="Times New Roman" w:hAnsi="Times New Roman" w:cs="Times New Roman"/>
          <w:color w:val="222222"/>
          <w:sz w:val="24"/>
          <w:szCs w:val="24"/>
          <w:shd w:val="clear" w:color="auto" w:fill="FFFFFF"/>
        </w:rPr>
        <w:t xml:space="preserve">Carr, R., Palmer, S. and Hagel, P. (2015) ‘Active learning: The importance of developing a comprehensive measure’, </w:t>
      </w:r>
      <w:r>
        <w:rPr>
          <w:rFonts w:hint="eastAsia" w:ascii="Times New Roman" w:hAnsi="Times New Roman" w:cs="Times New Roman"/>
          <w:i/>
          <w:iCs/>
          <w:color w:val="222222"/>
          <w:sz w:val="24"/>
          <w:szCs w:val="24"/>
          <w:shd w:val="clear" w:color="auto" w:fill="FFFFFF"/>
        </w:rPr>
        <w:t>Active Learning in Higher Education</w:t>
      </w:r>
      <w:r>
        <w:rPr>
          <w:rFonts w:hint="eastAsia" w:ascii="Times New Roman" w:hAnsi="Times New Roman" w:cs="Times New Roman"/>
          <w:color w:val="222222"/>
          <w:sz w:val="24"/>
          <w:szCs w:val="24"/>
          <w:shd w:val="clear" w:color="auto" w:fill="FFFFFF"/>
        </w:rPr>
        <w:t xml:space="preserve">, 16(3), pp. 173–186. doi:10.1177/1469787415589529. </w:t>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Carless, D., 2020. Longitudinal perspectives on students’ experiences of feedback: A need for teacher–student partnerships. </w:t>
      </w:r>
      <w:r>
        <w:rPr>
          <w:rFonts w:ascii="Times New Roman" w:hAnsi="Times New Roman" w:cs="Times New Roman"/>
          <w:i/>
          <w:iCs/>
          <w:color w:val="222222"/>
          <w:sz w:val="24"/>
          <w:szCs w:val="24"/>
          <w:shd w:val="clear" w:color="auto" w:fill="FFFFFF"/>
        </w:rPr>
        <w:t>Higher Education Research &amp;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39</w:t>
      </w:r>
      <w:r>
        <w:rPr>
          <w:rFonts w:ascii="Times New Roman" w:hAnsi="Times New Roman" w:cs="Times New Roman"/>
          <w:color w:val="222222"/>
          <w:sz w:val="24"/>
          <w:szCs w:val="24"/>
          <w:shd w:val="clear" w:color="auto" w:fill="FFFFFF"/>
        </w:rPr>
        <w:t>(3), pp.425-438.</w:t>
      </w:r>
      <w:r>
        <w:rPr>
          <w:rFonts w:ascii="Times New Roman" w:hAnsi="Times New Roman" w:cs="Times New Roman"/>
          <w:sz w:val="24"/>
          <w:szCs w:val="24"/>
        </w:rPr>
        <w:t xml:space="preserve"> </w:t>
      </w:r>
      <w:r>
        <w:fldChar w:fldCharType="begin"/>
      </w:r>
      <w:r>
        <w:instrText xml:space="preserve"> HYPERLINK "https://www.tandfonline.com/doi/abs/10.1080/07294360.2019.1684455" </w:instrText>
      </w:r>
      <w:r>
        <w:fldChar w:fldCharType="separate"/>
      </w:r>
      <w:r>
        <w:rPr>
          <w:rStyle w:val="17"/>
          <w:rFonts w:ascii="Times New Roman" w:hAnsi="Times New Roman" w:cs="Times New Roman"/>
          <w:sz w:val="24"/>
          <w:szCs w:val="24"/>
          <w:shd w:val="clear" w:color="auto" w:fill="FFFFFF"/>
        </w:rPr>
        <w:t>https://www.tandfonline.com/doi/abs/10.1080/07294360.2019.1684455</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Chiu, T.K., 2021. Digital support for student engagement in blended learning based on self-determination theory. </w:t>
      </w:r>
      <w:r>
        <w:rPr>
          <w:rFonts w:ascii="Times New Roman" w:hAnsi="Times New Roman" w:cs="Times New Roman"/>
          <w:i/>
          <w:iCs/>
          <w:color w:val="222222"/>
          <w:sz w:val="24"/>
          <w:szCs w:val="24"/>
          <w:shd w:val="clear" w:color="auto" w:fill="FFFFFF"/>
        </w:rPr>
        <w:t>Computers in Human Behavior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124</w:t>
      </w:r>
      <w:r>
        <w:rPr>
          <w:rFonts w:ascii="Times New Roman" w:hAnsi="Times New Roman" w:cs="Times New Roman"/>
          <w:color w:val="222222"/>
          <w:sz w:val="24"/>
          <w:szCs w:val="24"/>
          <w:shd w:val="clear" w:color="auto" w:fill="FFFFFF"/>
        </w:rPr>
        <w:t>, p.106909.</w:t>
      </w:r>
      <w:r>
        <w:rPr>
          <w:rFonts w:ascii="Times New Roman" w:hAnsi="Times New Roman" w:cs="Times New Roman"/>
          <w:sz w:val="24"/>
          <w:szCs w:val="24"/>
        </w:rPr>
        <w:t xml:space="preserve"> </w:t>
      </w:r>
      <w:r>
        <w:fldChar w:fldCharType="begin"/>
      </w:r>
      <w:r>
        <w:instrText xml:space="preserve"> HYPERLINK "https://www.sciencedirect.com/science/article/pii/S0747563221002326" </w:instrText>
      </w:r>
      <w:r>
        <w:fldChar w:fldCharType="separate"/>
      </w:r>
      <w:r>
        <w:rPr>
          <w:rStyle w:val="17"/>
          <w:rFonts w:ascii="Times New Roman" w:hAnsi="Times New Roman" w:cs="Times New Roman"/>
          <w:sz w:val="24"/>
          <w:szCs w:val="24"/>
          <w:shd w:val="clear" w:color="auto" w:fill="FFFFFF"/>
        </w:rPr>
        <w:t>https://www.sciencedirect.com/science/article/pii/S0747563221002326</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Creswell, J.W. and Clark, V.P., 2011. Mixed methods research. </w:t>
      </w:r>
      <w:r>
        <w:rPr>
          <w:rFonts w:ascii="Times New Roman" w:hAnsi="Times New Roman" w:cs="Times New Roman"/>
          <w:i/>
          <w:iCs/>
          <w:color w:val="222222"/>
          <w:sz w:val="24"/>
          <w:szCs w:val="24"/>
          <w:shd w:val="clear" w:color="auto" w:fill="FFFFFF"/>
        </w:rPr>
        <w:t>SAGE Publications</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r>
        <w:fldChar w:fldCharType="begin"/>
      </w:r>
      <w:r>
        <w:instrText xml:space="preserve"> HYPERLINK "https://toc.library.ethz.ch/objects/pdf/z01_978-1-4129-7517-9_01.pdf" </w:instrText>
      </w:r>
      <w:r>
        <w:fldChar w:fldCharType="separate"/>
      </w:r>
      <w:r>
        <w:rPr>
          <w:rStyle w:val="17"/>
          <w:rFonts w:ascii="Times New Roman" w:hAnsi="Times New Roman" w:cs="Times New Roman"/>
          <w:sz w:val="24"/>
          <w:szCs w:val="24"/>
          <w:shd w:val="clear" w:color="auto" w:fill="FFFFFF"/>
        </w:rPr>
        <w:t>https://toc.library.ethz.ch/objects/pdf/z01_978-1-4129-7517-9_01.pdf</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Dao, P. and Sato, M., 2021. Exploring fluctuations in the relationship between learners’ positive emotional engagement and their interactional behaviours.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(6), pp.972-994.</w:t>
      </w:r>
      <w:r>
        <w:rPr>
          <w:rFonts w:ascii="Times New Roman" w:hAnsi="Times New Roman" w:cs="Times New Roman"/>
          <w:sz w:val="24"/>
          <w:szCs w:val="24"/>
        </w:rPr>
        <w:t xml:space="preserve"> </w:t>
      </w:r>
      <w:r>
        <w:fldChar w:fldCharType="begin"/>
      </w:r>
      <w:r>
        <w:instrText xml:space="preserve"> HYPERLINK "https://journals.sagepub.com/doi/abs/10.1177/13621688211044238" </w:instrText>
      </w:r>
      <w:r>
        <w:fldChar w:fldCharType="separate"/>
      </w:r>
      <w:r>
        <w:rPr>
          <w:rStyle w:val="17"/>
          <w:rFonts w:ascii="Times New Roman" w:hAnsi="Times New Roman" w:cs="Times New Roman"/>
          <w:sz w:val="24"/>
          <w:szCs w:val="24"/>
          <w:shd w:val="clear" w:color="auto" w:fill="FFFFFF"/>
        </w:rPr>
        <w:t>https://journals.sagepub.com/doi/abs/10.1177/13621688211044238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Davies, J.A., Davies, L.J., Conlon, B., Emerson, J., Hainsworth, H. and McDonough, H.G., 2020. Responding to COVID-19 in EAP contexts: A comparison of courses at four Sino-foreign universities. </w:t>
      </w:r>
      <w:r>
        <w:rPr>
          <w:rFonts w:ascii="Times New Roman" w:hAnsi="Times New Roman" w:cs="Times New Roman"/>
          <w:i/>
          <w:iCs/>
          <w:color w:val="222222"/>
          <w:sz w:val="24"/>
          <w:szCs w:val="24"/>
          <w:shd w:val="clear" w:color="auto" w:fill="FFFFFF"/>
        </w:rPr>
        <w:t>International Journal of TESOL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w:t>
      </w:r>
      <w:r>
        <w:rPr>
          <w:rFonts w:ascii="Times New Roman" w:hAnsi="Times New Roman" w:cs="Times New Roman"/>
          <w:color w:val="222222"/>
          <w:sz w:val="24"/>
          <w:szCs w:val="24"/>
          <w:shd w:val="clear" w:color="auto" w:fill="FFFFFF"/>
        </w:rPr>
        <w:t>(2), pp.32-51.</w:t>
      </w:r>
      <w:r>
        <w:rPr>
          <w:rFonts w:ascii="Times New Roman" w:hAnsi="Times New Roman" w:cs="Times New Roman"/>
          <w:sz w:val="24"/>
          <w:szCs w:val="24"/>
        </w:rPr>
        <w:t xml:space="preserve"> </w:t>
      </w:r>
      <w:r>
        <w:fldChar w:fldCharType="begin"/>
      </w:r>
      <w:r>
        <w:instrText xml:space="preserve"> HYPERLINK "https://www.tesolunion.org/attachments/files/0MZG36M2ZJ6ZWVK3NMU2AMGE49NMU1FY2Y5BMTM5BYMFK9NZK10MGM5AMZE56Y2YZ9MJVMDMDZH9MGU4FMTHLBYTEY6LJKZ8MTUZ6MTEZBLJKX.pdf" </w:instrText>
      </w:r>
      <w:r>
        <w:fldChar w:fldCharType="separate"/>
      </w:r>
      <w:r>
        <w:rPr>
          <w:rStyle w:val="17"/>
          <w:rFonts w:ascii="Times New Roman" w:hAnsi="Times New Roman" w:cs="Times New Roman"/>
          <w:sz w:val="24"/>
          <w:szCs w:val="24"/>
          <w:shd w:val="clear" w:color="auto" w:fill="FFFFFF"/>
        </w:rPr>
        <w:t>https://www.tesolunion.org/attachments/files/0MZG36M2ZJ6ZWVK3NMU2AMGE49NMU1FY2Y5BMTM5BYMFK9NZK10MGM5AMZE56Y2YZ9MJVMDMDZH9MGU4FMTHLBYTEY6LJKZ8MTUZ6MTEZBLJKX.pdf</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 Souza, R., Parveen, R., Chupradit, S., Velasco, L.G., Arcinas, M., Tabuena, A.C., Pentang, J. and Ventayen, R.J.M., 2021. Language teachers’ pedagogical orientations in integrating technology in the online classroom: Its effect on students motivation and engagement. </w:t>
      </w:r>
      <w:r>
        <w:rPr>
          <w:rFonts w:ascii="Times New Roman" w:hAnsi="Times New Roman" w:cs="Times New Roman"/>
          <w:i/>
          <w:iCs/>
          <w:color w:val="222222"/>
          <w:sz w:val="24"/>
          <w:szCs w:val="24"/>
          <w:shd w:val="clear" w:color="auto" w:fill="FFFFFF"/>
        </w:rPr>
        <w:t>Turkish Journal of Computer and Mathematics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 xml:space="preserve">. </w:t>
      </w:r>
      <w:r>
        <w:fldChar w:fldCharType="begin"/>
      </w:r>
      <w:r>
        <w:instrText xml:space="preserve"> HYPERLINK "https://papers.ssrn.com/sol3/papers.cfm?abstract_id=3844678" </w:instrText>
      </w:r>
      <w:r>
        <w:fldChar w:fldCharType="separate"/>
      </w:r>
      <w:r>
        <w:rPr>
          <w:rStyle w:val="17"/>
          <w:rFonts w:ascii="Times New Roman" w:hAnsi="Times New Roman" w:cs="Times New Roman"/>
          <w:sz w:val="24"/>
          <w:szCs w:val="24"/>
          <w:shd w:val="clear" w:color="auto" w:fill="FFFFFF"/>
        </w:rPr>
        <w:t>https://papers.ssrn.com/sol3/papers.cfm?abstract_id=3844678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Dewaele, J.M. and Li, C., 2021. Teacher enthusiasm and students’ social-behavioral learning engagement: The mediating role of student enjoyment and boredom in Chinese EFL classes.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 xml:space="preserve">(6), pp.922-945. </w:t>
      </w:r>
      <w:r>
        <w:fldChar w:fldCharType="begin"/>
      </w:r>
      <w:r>
        <w:instrText xml:space="preserve"> HYPERLINK "https://journals.sagepub.com/doi/abs/10.1177/13621688211014538" </w:instrText>
      </w:r>
      <w:r>
        <w:fldChar w:fldCharType="separate"/>
      </w:r>
      <w:r>
        <w:rPr>
          <w:rStyle w:val="17"/>
          <w:rFonts w:ascii="Times New Roman" w:hAnsi="Times New Roman" w:cs="Times New Roman"/>
          <w:sz w:val="24"/>
          <w:szCs w:val="24"/>
          <w:shd w:val="clear" w:color="auto" w:fill="FFFFFF"/>
        </w:rPr>
        <w:t>https://journals.sagepub.com/doi/abs/10.1177/13621688211014538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DiCicco‐Bloom, B. and Crabtree, B.F., 2006. The qualitative research interviews. </w:t>
      </w:r>
      <w:r>
        <w:rPr>
          <w:rFonts w:ascii="Times New Roman" w:hAnsi="Times New Roman" w:cs="Times New Roman"/>
          <w:i/>
          <w:iCs/>
          <w:color w:val="222222"/>
          <w:sz w:val="24"/>
          <w:szCs w:val="24"/>
          <w:shd w:val="clear" w:color="auto" w:fill="FFFFFF"/>
        </w:rPr>
        <w:t>Medical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40</w:t>
      </w:r>
      <w:r>
        <w:rPr>
          <w:rFonts w:ascii="Times New Roman" w:hAnsi="Times New Roman" w:cs="Times New Roman"/>
          <w:color w:val="222222"/>
          <w:sz w:val="24"/>
          <w:szCs w:val="24"/>
          <w:shd w:val="clear" w:color="auto" w:fill="FFFFFF"/>
        </w:rPr>
        <w:t>(4), pp.314-321.</w:t>
      </w:r>
      <w:r>
        <w:rPr>
          <w:rFonts w:ascii="Times New Roman" w:hAnsi="Times New Roman" w:cs="Times New Roman"/>
          <w:sz w:val="24"/>
          <w:szCs w:val="24"/>
        </w:rPr>
        <w:t xml:space="preserve"> </w:t>
      </w:r>
      <w:r>
        <w:fldChar w:fldCharType="begin"/>
      </w:r>
      <w:r>
        <w:instrText xml:space="preserve"> HYPERLINK "https://asmepublications.onlinelibrary.wiley.com/doi/full/10.1111/j.1365-2929.2006.02418.x" </w:instrText>
      </w:r>
      <w:r>
        <w:fldChar w:fldCharType="separate"/>
      </w:r>
      <w:r>
        <w:rPr>
          <w:rStyle w:val="17"/>
          <w:rFonts w:ascii="Times New Roman" w:hAnsi="Times New Roman" w:cs="Times New Roman"/>
          <w:sz w:val="24"/>
          <w:szCs w:val="24"/>
          <w:shd w:val="clear" w:color="auto" w:fill="FFFFFF"/>
        </w:rPr>
        <w:t>https://asmepublications.onlinelibrary.wiley.com/doi/full/10.1111/j.1365-2929.2006.02418.x</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Dincer, A., Yeşilyurt, S., Noels, K.A. and Vargas Lascano, D.I., 2019. Self-determination and classroom engagement of EFL learners: A mixed-methods study of the self-system model of motivational development. </w:t>
      </w:r>
      <w:r>
        <w:rPr>
          <w:rFonts w:ascii="Times New Roman" w:hAnsi="Times New Roman" w:cs="Times New Roman"/>
          <w:i/>
          <w:iCs/>
          <w:color w:val="222222"/>
          <w:sz w:val="24"/>
          <w:szCs w:val="24"/>
          <w:shd w:val="clear" w:color="auto" w:fill="FFFFFF"/>
        </w:rPr>
        <w:t>Sage Open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(2), p.2158244019853913.</w:t>
      </w:r>
      <w:r>
        <w:rPr>
          <w:rFonts w:ascii="Times New Roman" w:hAnsi="Times New Roman" w:cs="Times New Roman"/>
          <w:sz w:val="24"/>
          <w:szCs w:val="24"/>
        </w:rPr>
        <w:t xml:space="preserve"> </w:t>
      </w:r>
      <w:r>
        <w:fldChar w:fldCharType="begin"/>
      </w:r>
      <w:r>
        <w:instrText xml:space="preserve"> HYPERLINK "https://journals.sagepub.com/doi/full/10.1177/2158244019853913" </w:instrText>
      </w:r>
      <w:r>
        <w:fldChar w:fldCharType="separate"/>
      </w:r>
      <w:r>
        <w:rPr>
          <w:rStyle w:val="17"/>
          <w:rFonts w:ascii="Times New Roman" w:hAnsi="Times New Roman" w:cs="Times New Roman"/>
          <w:sz w:val="24"/>
          <w:szCs w:val="24"/>
          <w:shd w:val="clear" w:color="auto" w:fill="FFFFFF"/>
        </w:rPr>
        <w:t>https://journals.sagepub.com/doi/full/10.1177/2158244019853913</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Eren, A. and Rakıcıoğlu-Söylemez, A., 2023. Language mindsets, perceived instrumentality, engagement and graded performance in English as a foreign language student.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27(3), pp.544-574.</w:t>
      </w:r>
      <w:r>
        <w:rPr>
          <w:rFonts w:ascii="Times New Roman" w:hAnsi="Times New Roman" w:cs="Times New Roman"/>
          <w:sz w:val="24"/>
          <w:szCs w:val="24"/>
        </w:rPr>
        <w:t xml:space="preserve"> </w:t>
      </w:r>
      <w:r>
        <w:fldChar w:fldCharType="begin"/>
      </w:r>
      <w:r>
        <w:instrText xml:space="preserve"> HYPERLINK "https://journals.sagepub.com/doi/abs/10.1177/1362168820958400" </w:instrText>
      </w:r>
      <w:r>
        <w:fldChar w:fldCharType="separate"/>
      </w:r>
      <w:r>
        <w:rPr>
          <w:rStyle w:val="17"/>
          <w:rFonts w:ascii="Times New Roman" w:hAnsi="Times New Roman" w:cs="Times New Roman"/>
          <w:sz w:val="24"/>
          <w:szCs w:val="24"/>
          <w:shd w:val="clear" w:color="auto" w:fill="FFFFFF"/>
        </w:rPr>
        <w:t>https://journals.sagepub.com/doi/abs/10.1177/1362168820958400</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Fan, M., Sidhu, G.K., Khor, M. and Jiang, H., 2023. Student Learning Engagement with Emerging Technologies in the EFL Classroom in China: A Case Study. </w:t>
      </w:r>
      <w:r>
        <w:rPr>
          <w:rFonts w:ascii="Times New Roman" w:hAnsi="Times New Roman" w:cs="Times New Roman"/>
          <w:i/>
          <w:iCs/>
          <w:color w:val="222222"/>
          <w:sz w:val="24"/>
          <w:szCs w:val="24"/>
          <w:shd w:val="clear" w:color="auto" w:fill="FFFFFF"/>
        </w:rPr>
        <w:t>Environment-Behaviour Proceedings Journal</w:t>
      </w:r>
      <w:r>
        <w:rPr>
          <w:rFonts w:ascii="Times New Roman" w:hAnsi="Times New Roman" w:cs="Times New Roman"/>
          <w:color w:val="222222"/>
          <w:sz w:val="24"/>
          <w:szCs w:val="24"/>
          <w:shd w:val="clear" w:color="auto" w:fill="FFFFFF"/>
        </w:rPr>
        <w:t>, 8(24), pp.119-125.</w:t>
      </w:r>
      <w:r>
        <w:rPr>
          <w:rFonts w:ascii="Times New Roman" w:hAnsi="Times New Roman" w:cs="Times New Roman"/>
          <w:sz w:val="24"/>
          <w:szCs w:val="24"/>
        </w:rPr>
        <w:t xml:space="preserve"> </w:t>
      </w:r>
      <w:r>
        <w:fldChar w:fldCharType="begin"/>
      </w:r>
      <w:r>
        <w:instrText xml:space="preserve"> HYPERLINK "https://ebpj.e-iph.co.uk/index.php/EBProceedings/article/view/4652" </w:instrText>
      </w:r>
      <w:r>
        <w:fldChar w:fldCharType="separate"/>
      </w:r>
      <w:r>
        <w:rPr>
          <w:rStyle w:val="17"/>
          <w:rFonts w:ascii="Times New Roman" w:hAnsi="Times New Roman" w:cs="Times New Roman"/>
          <w:sz w:val="24"/>
          <w:szCs w:val="24"/>
          <w:shd w:val="clear" w:color="auto" w:fill="FFFFFF"/>
        </w:rPr>
        <w:t>https://ebpj.e-iph.co.uk/index.php/EBProceedings/article/view/4652</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Fan, Y. and Xu, J., 2020. Exploring student engagement with peer feedback on L2 writing. </w:t>
      </w:r>
      <w:r>
        <w:rPr>
          <w:rFonts w:ascii="Times New Roman" w:hAnsi="Times New Roman" w:cs="Times New Roman"/>
          <w:i/>
          <w:iCs/>
          <w:color w:val="222222"/>
          <w:sz w:val="24"/>
          <w:szCs w:val="24"/>
          <w:shd w:val="clear" w:color="auto" w:fill="FFFFFF"/>
        </w:rPr>
        <w:t>Journal of Second Language Writing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50</w:t>
      </w:r>
      <w:r>
        <w:rPr>
          <w:rFonts w:ascii="Times New Roman" w:hAnsi="Times New Roman" w:cs="Times New Roman"/>
          <w:color w:val="222222"/>
          <w:sz w:val="24"/>
          <w:szCs w:val="24"/>
          <w:shd w:val="clear" w:color="auto" w:fill="FFFFFF"/>
        </w:rPr>
        <w:t>, p.100775.</w:t>
      </w:r>
      <w:r>
        <w:rPr>
          <w:rFonts w:ascii="Times New Roman" w:hAnsi="Times New Roman" w:cs="Times New Roman"/>
          <w:sz w:val="24"/>
          <w:szCs w:val="24"/>
        </w:rPr>
        <w:t xml:space="preserve"> </w:t>
      </w:r>
      <w:r>
        <w:fldChar w:fldCharType="begin"/>
      </w:r>
      <w:r>
        <w:instrText xml:space="preserve"> HYPERLINK "https://www.sciencedirect.com/science/article/abs/pii/S1060374320300746" </w:instrText>
      </w:r>
      <w:r>
        <w:fldChar w:fldCharType="separate"/>
      </w:r>
      <w:r>
        <w:rPr>
          <w:rStyle w:val="17"/>
          <w:rFonts w:ascii="Times New Roman" w:hAnsi="Times New Roman" w:cs="Times New Roman"/>
          <w:sz w:val="24"/>
          <w:szCs w:val="24"/>
          <w:shd w:val="clear" w:color="auto" w:fill="FFFFFF"/>
        </w:rPr>
        <w:t>https://www.sciencedirect.com/science/article/abs/pii/S1060374320300746</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Feng, L., He, L. and Ding, J., 2023. The Association between Perceived Teacher Support, Students’ ICT Self-Efficacy, and Online English Academic Engagement in the Blended Learning Context.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15(8), p.6839.</w:t>
      </w:r>
      <w:r>
        <w:rPr>
          <w:rFonts w:ascii="Times New Roman" w:hAnsi="Times New Roman" w:cs="Times New Roman"/>
          <w:sz w:val="24"/>
          <w:szCs w:val="24"/>
        </w:rPr>
        <w:t xml:space="preserve"> </w:t>
      </w:r>
      <w:r>
        <w:fldChar w:fldCharType="begin"/>
      </w:r>
      <w:r>
        <w:instrText xml:space="preserve"> HYPERLINK "https://www.mdpi.com/2071-1050/15/8/6839" </w:instrText>
      </w:r>
      <w:r>
        <w:fldChar w:fldCharType="separate"/>
      </w:r>
      <w:r>
        <w:rPr>
          <w:rStyle w:val="17"/>
          <w:rFonts w:ascii="Times New Roman" w:hAnsi="Times New Roman" w:cs="Times New Roman"/>
          <w:sz w:val="24"/>
          <w:szCs w:val="24"/>
          <w:shd w:val="clear" w:color="auto" w:fill="FFFFFF"/>
        </w:rPr>
        <w:t>https://www.mdpi.com/2071-1050/15/8/6839</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Fredricks, J.A., Blumenfeld, P.C. and Paris, A.H., 2004. School engagement: Potential of the concept, state of the evidence. </w:t>
      </w:r>
      <w:r>
        <w:rPr>
          <w:rFonts w:ascii="Times New Roman" w:hAnsi="Times New Roman" w:cs="Times New Roman"/>
          <w:i/>
          <w:iCs/>
          <w:color w:val="222222"/>
          <w:sz w:val="24"/>
          <w:szCs w:val="24"/>
          <w:shd w:val="clear" w:color="auto" w:fill="FFFFFF"/>
        </w:rPr>
        <w:t>Review of educational research</w:t>
      </w:r>
      <w:r>
        <w:rPr>
          <w:rFonts w:ascii="Times New Roman" w:hAnsi="Times New Roman" w:cs="Times New Roman"/>
          <w:color w:val="222222"/>
          <w:sz w:val="24"/>
          <w:szCs w:val="24"/>
          <w:shd w:val="clear" w:color="auto" w:fill="FFFFFF"/>
        </w:rPr>
        <w:t>, 74(1), pp.59-109.</w:t>
      </w:r>
      <w:r>
        <w:rPr>
          <w:rFonts w:ascii="Times New Roman" w:hAnsi="Times New Roman" w:cs="Times New Roman"/>
          <w:sz w:val="24"/>
          <w:szCs w:val="24"/>
        </w:rPr>
        <w:t xml:space="preserve"> </w:t>
      </w:r>
      <w:r>
        <w:fldChar w:fldCharType="begin"/>
      </w:r>
      <w:r>
        <w:instrText xml:space="preserve"> HYPERLINK "https://journals.sagepub.com/doi/abs/10.3102/00346543074001059" </w:instrText>
      </w:r>
      <w:r>
        <w:fldChar w:fldCharType="separate"/>
      </w:r>
      <w:r>
        <w:rPr>
          <w:rStyle w:val="17"/>
          <w:rFonts w:ascii="Times New Roman" w:hAnsi="Times New Roman" w:cs="Times New Roman"/>
          <w:sz w:val="24"/>
          <w:szCs w:val="24"/>
          <w:shd w:val="clear" w:color="auto" w:fill="FFFFFF"/>
        </w:rPr>
        <w:t>https://journals.sagepub.com/doi/abs/10.3102/00346543074001059</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Fu, S., Gu, H. and Yang, B., 2020. The affordances of AI‐enabled automatic scoring applications on learners’ continuous learning intention: An empirical study in China. </w:t>
      </w:r>
      <w:r>
        <w:rPr>
          <w:rFonts w:ascii="Times New Roman" w:hAnsi="Times New Roman" w:cs="Times New Roman"/>
          <w:i/>
          <w:iCs/>
          <w:color w:val="222222"/>
          <w:sz w:val="24"/>
          <w:szCs w:val="24"/>
          <w:shd w:val="clear" w:color="auto" w:fill="FFFFFF"/>
        </w:rPr>
        <w:t>British Journal of Educational Technology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51</w:t>
      </w:r>
      <w:r>
        <w:rPr>
          <w:rFonts w:ascii="Times New Roman" w:hAnsi="Times New Roman" w:cs="Times New Roman"/>
          <w:color w:val="222222"/>
          <w:sz w:val="24"/>
          <w:szCs w:val="24"/>
          <w:shd w:val="clear" w:color="auto" w:fill="FFFFFF"/>
        </w:rPr>
        <w:t xml:space="preserve">(5), pp.1674-1692. </w:t>
      </w:r>
      <w:r>
        <w:fldChar w:fldCharType="begin"/>
      </w:r>
      <w:r>
        <w:instrText xml:space="preserve"> HYPERLINK "https://bera-journals.onlinelibrary.wiley.com/doi/abs/10.1111/bjet.12995" </w:instrText>
      </w:r>
      <w:r>
        <w:fldChar w:fldCharType="separate"/>
      </w:r>
      <w:r>
        <w:rPr>
          <w:rStyle w:val="17"/>
          <w:rFonts w:ascii="Times New Roman" w:hAnsi="Times New Roman" w:cs="Times New Roman"/>
          <w:sz w:val="24"/>
          <w:szCs w:val="24"/>
          <w:shd w:val="clear" w:color="auto" w:fill="FFFFFF"/>
        </w:rPr>
        <w:t>https://bera-journals.onlinelibrary.wiley.com/doi/abs/10.1111/bjet.12995</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Galante, A., Okubo, K., Cole, C., Elkader, N.A., Carozza, N., Wilkinson, C., Wotton, C. and Vasic, J., 2020. “English‐Only Is Not the Way to Go”: Teachers’ Perceptions of Plurilingual Instruction in an English Program at a Canadian University. </w:t>
      </w:r>
      <w:r>
        <w:rPr>
          <w:rFonts w:ascii="Times New Roman" w:hAnsi="Times New Roman" w:cs="Times New Roman"/>
          <w:i/>
          <w:iCs/>
          <w:color w:val="222222"/>
          <w:sz w:val="24"/>
          <w:szCs w:val="24"/>
          <w:shd w:val="clear" w:color="auto" w:fill="FFFFFF"/>
        </w:rPr>
        <w:t>Tesol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54</w:t>
      </w:r>
      <w:r>
        <w:rPr>
          <w:rFonts w:ascii="Times New Roman" w:hAnsi="Times New Roman" w:cs="Times New Roman"/>
          <w:color w:val="222222"/>
          <w:sz w:val="24"/>
          <w:szCs w:val="24"/>
          <w:shd w:val="clear" w:color="auto" w:fill="FFFFFF"/>
        </w:rPr>
        <w:t>(4), pp.980-1009.</w:t>
      </w:r>
      <w:r>
        <w:rPr>
          <w:rFonts w:ascii="Times New Roman" w:hAnsi="Times New Roman" w:cs="Times New Roman"/>
          <w:sz w:val="24"/>
          <w:szCs w:val="24"/>
        </w:rPr>
        <w:t xml:space="preserve"> </w:t>
      </w:r>
      <w:r>
        <w:fldChar w:fldCharType="begin"/>
      </w:r>
      <w:r>
        <w:instrText xml:space="preserve"> HYPERLINK "https://onlinelibrary.wiley.com/doi/abs/10.1002/tesq.584" </w:instrText>
      </w:r>
      <w:r>
        <w:fldChar w:fldCharType="separate"/>
      </w:r>
      <w:r>
        <w:rPr>
          <w:rStyle w:val="17"/>
          <w:rFonts w:ascii="Times New Roman" w:hAnsi="Times New Roman" w:cs="Times New Roman"/>
          <w:sz w:val="24"/>
          <w:szCs w:val="24"/>
          <w:shd w:val="clear" w:color="auto" w:fill="FFFFFF"/>
        </w:rPr>
        <w:t>https://onlinelibrary.wiley.com/doi/abs/10.1002/tesq.584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Gan, Z., Liu, F. and Nang, H., 2023. The Role of Self-Efficacy, Task Value, and Intrinsic and Extrinsic Motivations in Students’ Feedback Engagement in English Learning. </w:t>
      </w:r>
      <w:r>
        <w:rPr>
          <w:rFonts w:ascii="Times New Roman" w:hAnsi="Times New Roman" w:cs="Times New Roman"/>
          <w:i/>
          <w:iCs/>
          <w:color w:val="222222"/>
          <w:sz w:val="24"/>
          <w:szCs w:val="24"/>
          <w:shd w:val="clear" w:color="auto" w:fill="FFFFFF"/>
        </w:rPr>
        <w:t>Behavioral Sciences</w:t>
      </w:r>
      <w:r>
        <w:rPr>
          <w:rFonts w:ascii="Times New Roman" w:hAnsi="Times New Roman" w:cs="Times New Roman"/>
          <w:color w:val="222222"/>
          <w:sz w:val="24"/>
          <w:szCs w:val="24"/>
          <w:shd w:val="clear" w:color="auto" w:fill="FFFFFF"/>
        </w:rPr>
        <w:t>, 13(5), p.428.</w:t>
      </w:r>
      <w:r>
        <w:rPr>
          <w:rFonts w:ascii="Times New Roman" w:hAnsi="Times New Roman" w:cs="Times New Roman"/>
          <w:sz w:val="24"/>
          <w:szCs w:val="24"/>
        </w:rPr>
        <w:t xml:space="preserve"> </w:t>
      </w:r>
      <w:r>
        <w:fldChar w:fldCharType="begin"/>
      </w:r>
      <w:r>
        <w:instrText xml:space="preserve"> HYPERLINK "https://www.mdpi.com/2076-328X/13/5/428" </w:instrText>
      </w:r>
      <w:r>
        <w:fldChar w:fldCharType="separate"/>
      </w:r>
      <w:r>
        <w:rPr>
          <w:rStyle w:val="17"/>
          <w:rFonts w:ascii="Times New Roman" w:hAnsi="Times New Roman" w:cs="Times New Roman"/>
          <w:sz w:val="24"/>
          <w:szCs w:val="24"/>
          <w:shd w:val="clear" w:color="auto" w:fill="FFFFFF"/>
        </w:rPr>
        <w:t>https://www.mdpi.com/2076-328X/13/5/428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Gao, L., 2023. Contemporary American literature in Online Learning: fostering Reading Motivation and Student Engagement. </w:t>
      </w:r>
      <w:r>
        <w:rPr>
          <w:rFonts w:ascii="Times New Roman" w:hAnsi="Times New Roman" w:cs="Times New Roman"/>
          <w:i/>
          <w:iCs/>
          <w:color w:val="222222"/>
          <w:sz w:val="24"/>
          <w:szCs w:val="24"/>
          <w:shd w:val="clear" w:color="auto" w:fill="FFFFFF"/>
        </w:rPr>
        <w:t>Education and Information Technologies</w:t>
      </w:r>
      <w:r>
        <w:rPr>
          <w:rFonts w:ascii="Times New Roman" w:hAnsi="Times New Roman" w:cs="Times New Roman"/>
          <w:color w:val="222222"/>
          <w:sz w:val="24"/>
          <w:szCs w:val="24"/>
          <w:shd w:val="clear" w:color="auto" w:fill="FFFFFF"/>
        </w:rPr>
        <w:t>, 28(4), pp.4725-4740.</w:t>
      </w:r>
      <w:r>
        <w:rPr>
          <w:rFonts w:ascii="Times New Roman" w:hAnsi="Times New Roman" w:cs="Times New Roman"/>
          <w:sz w:val="24"/>
          <w:szCs w:val="24"/>
        </w:rPr>
        <w:t xml:space="preserve"> </w:t>
      </w:r>
      <w:r>
        <w:fldChar w:fldCharType="begin"/>
      </w:r>
      <w:r>
        <w:instrText xml:space="preserve"> HYPERLINK "https://link.springer.com/article/10.1007/s10639-022-11329-5" </w:instrText>
      </w:r>
      <w:r>
        <w:fldChar w:fldCharType="separate"/>
      </w:r>
      <w:r>
        <w:rPr>
          <w:rStyle w:val="17"/>
          <w:rFonts w:ascii="Times New Roman" w:hAnsi="Times New Roman" w:cs="Times New Roman"/>
          <w:sz w:val="24"/>
          <w:szCs w:val="24"/>
          <w:shd w:val="clear" w:color="auto" w:fill="FFFFFF"/>
        </w:rPr>
        <w:t>https://link.springer.com/article/10.1007/s10639-022-11329-5</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Guo, Y., Xu, J. and Chen, C., 2023. Measurement of engagement in the foreign language classroom and its effect on language achievement: The case of Chinese college EFL students. </w:t>
      </w:r>
      <w:r>
        <w:rPr>
          <w:rFonts w:ascii="Times New Roman" w:hAnsi="Times New Roman" w:cs="Times New Roman"/>
          <w:i/>
          <w:iCs/>
          <w:color w:val="222222"/>
          <w:sz w:val="24"/>
          <w:szCs w:val="24"/>
          <w:shd w:val="clear" w:color="auto" w:fill="FFFFFF"/>
        </w:rPr>
        <w:t>International Review of Applied Linguistics in Language Teaching</w:t>
      </w:r>
      <w:r>
        <w:rPr>
          <w:rFonts w:ascii="Times New Roman" w:hAnsi="Times New Roman" w:cs="Times New Roman"/>
          <w:color w:val="222222"/>
          <w:sz w:val="24"/>
          <w:szCs w:val="24"/>
          <w:shd w:val="clear" w:color="auto" w:fill="FFFFFF"/>
        </w:rPr>
        <w:t>, 61(3), pp.1225-1270.</w:t>
      </w:r>
      <w:r>
        <w:rPr>
          <w:rFonts w:ascii="Times New Roman" w:hAnsi="Times New Roman" w:cs="Times New Roman"/>
          <w:sz w:val="24"/>
          <w:szCs w:val="24"/>
        </w:rPr>
        <w:t xml:space="preserve"> </w:t>
      </w:r>
      <w:r>
        <w:fldChar w:fldCharType="begin"/>
      </w:r>
      <w:r>
        <w:instrText xml:space="preserve"> HYPERLINK "https://www.degruyter.com/document/doi/10.1515/iral-2021-0118/html" </w:instrText>
      </w:r>
      <w:r>
        <w:fldChar w:fldCharType="separate"/>
      </w:r>
      <w:r>
        <w:rPr>
          <w:rStyle w:val="17"/>
          <w:rFonts w:ascii="Times New Roman" w:hAnsi="Times New Roman" w:cs="Times New Roman"/>
          <w:sz w:val="24"/>
          <w:szCs w:val="24"/>
          <w:shd w:val="clear" w:color="auto" w:fill="FFFFFF"/>
        </w:rPr>
        <w:t>https://www.degruyter.com/document/doi/10.1515/iral-2021-0118/html</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Han, C. and Fan, Q., 2020. Using self-assessment as a formative assessment tool in an English-Chinese interpreting course: student views and perceptions of its utility. </w:t>
      </w:r>
      <w:r>
        <w:rPr>
          <w:rFonts w:ascii="Times New Roman" w:hAnsi="Times New Roman" w:cs="Times New Roman"/>
          <w:i/>
          <w:iCs/>
          <w:color w:val="222222"/>
          <w:sz w:val="24"/>
          <w:szCs w:val="24"/>
          <w:shd w:val="clear" w:color="auto" w:fill="FFFFFF"/>
        </w:rPr>
        <w:t>Perspectives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(1), pp.109-125.</w:t>
      </w:r>
      <w:r>
        <w:rPr>
          <w:rFonts w:ascii="Times New Roman" w:hAnsi="Times New Roman" w:cs="Times New Roman"/>
          <w:sz w:val="24"/>
          <w:szCs w:val="24"/>
        </w:rPr>
        <w:t xml:space="preserve"> </w:t>
      </w:r>
      <w:r>
        <w:fldChar w:fldCharType="begin"/>
      </w:r>
      <w:r>
        <w:instrText xml:space="preserve"> HYPERLINK "https://www.tandfonline.com/doi/abs/10.1080/0907676X.2019.1615516" </w:instrText>
      </w:r>
      <w:r>
        <w:fldChar w:fldCharType="separate"/>
      </w:r>
      <w:r>
        <w:rPr>
          <w:rStyle w:val="17"/>
          <w:rFonts w:ascii="Times New Roman" w:hAnsi="Times New Roman" w:cs="Times New Roman"/>
          <w:sz w:val="24"/>
          <w:szCs w:val="24"/>
          <w:shd w:val="clear" w:color="auto" w:fill="FFFFFF"/>
        </w:rPr>
        <w:t>https://www.tandfonline.com/doi/abs/10.1080/0907676X.2019.1615516</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sz w:val="24"/>
          <w:szCs w:val="24"/>
        </w:rPr>
      </w:pPr>
      <w:r>
        <w:rPr>
          <w:rFonts w:ascii="Times New Roman" w:hAnsi="Times New Roman" w:cs="Times New Roman"/>
          <w:color w:val="222222"/>
          <w:sz w:val="24"/>
          <w:szCs w:val="24"/>
          <w:shd w:val="clear" w:color="auto" w:fill="FFFFFF"/>
        </w:rPr>
        <w:t>Han, Y. (2019). Written corrective feedback from an ecological perspective: The interaction between the context and individual learners. </w:t>
      </w:r>
      <w:r>
        <w:rPr>
          <w:rFonts w:ascii="Times New Roman" w:hAnsi="Times New Roman" w:cs="Times New Roman"/>
          <w:i/>
          <w:iCs/>
          <w:color w:val="222222"/>
          <w:sz w:val="24"/>
          <w:szCs w:val="24"/>
          <w:shd w:val="clear" w:color="auto" w:fill="FFFFFF"/>
        </w:rPr>
        <w:t>System</w:t>
      </w:r>
      <w:r>
        <w:rPr>
          <w:rFonts w:ascii="Times New Roman" w:hAnsi="Times New Roman" w:cs="Times New Roman"/>
          <w:color w:val="222222"/>
          <w:sz w:val="24"/>
          <w:szCs w:val="24"/>
          <w:shd w:val="clear" w:color="auto" w:fill="FFFFFF"/>
        </w:rPr>
        <w:t>, 80, 288-303.</w:t>
      </w:r>
      <w:r>
        <w:rPr>
          <w:rFonts w:ascii="Times New Roman" w:hAnsi="Times New Roman" w:cs="Times New Roman"/>
          <w:sz w:val="24"/>
          <w:szCs w:val="24"/>
        </w:rPr>
        <w:t xml:space="preserve"> </w:t>
      </w:r>
      <w:r>
        <w:fldChar w:fldCharType="begin"/>
      </w:r>
      <w:r>
        <w:instrText xml:space="preserve"> HYPERLINK "https://www.sciencedirect.com/science/article/abs/pii/S0346251X18303142" </w:instrText>
      </w:r>
      <w:r>
        <w:fldChar w:fldCharType="separate"/>
      </w:r>
      <w:r>
        <w:rPr>
          <w:rStyle w:val="17"/>
          <w:rFonts w:ascii="Times New Roman" w:hAnsi="Times New Roman" w:cs="Times New Roman"/>
          <w:sz w:val="24"/>
          <w:szCs w:val="24"/>
        </w:rPr>
        <w:t>https://www.sciencedirect.com/science/article/abs/pii/S0346251X18303142</w:t>
      </w:r>
      <w:r>
        <w:rPr>
          <w:rStyle w:val="17"/>
          <w:rFonts w:ascii="Times New Roman" w:hAnsi="Times New Roman" w:cs="Times New Roman"/>
          <w:sz w:val="24"/>
          <w:szCs w:val="24"/>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Heng, T.T., 2023. Sociocultural attuned understanding of and engagement with Chinese international undergraduates. </w:t>
      </w:r>
      <w:r>
        <w:rPr>
          <w:rFonts w:ascii="Times New Roman" w:hAnsi="Times New Roman" w:cs="Times New Roman"/>
          <w:i/>
          <w:iCs/>
          <w:color w:val="222222"/>
          <w:sz w:val="24"/>
          <w:szCs w:val="24"/>
          <w:shd w:val="clear" w:color="auto" w:fill="FFFFFF"/>
        </w:rPr>
        <w:t>Journal of Diversity in Higher Education</w:t>
      </w:r>
      <w:r>
        <w:rPr>
          <w:rFonts w:ascii="Times New Roman" w:hAnsi="Times New Roman" w:cs="Times New Roman"/>
          <w:color w:val="222222"/>
          <w:sz w:val="24"/>
          <w:szCs w:val="24"/>
          <w:shd w:val="clear" w:color="auto" w:fill="FFFFFF"/>
        </w:rPr>
        <w:t>, 16(1), p.26.</w:t>
      </w:r>
      <w:r>
        <w:rPr>
          <w:rFonts w:ascii="Times New Roman" w:hAnsi="Times New Roman" w:cs="Times New Roman"/>
          <w:sz w:val="24"/>
          <w:szCs w:val="24"/>
        </w:rPr>
        <w:t xml:space="preserve"> </w:t>
      </w:r>
      <w:r>
        <w:fldChar w:fldCharType="begin"/>
      </w:r>
      <w:r>
        <w:instrText xml:space="preserve"> HYPERLINK "https://psycnet.apa.org/record/2021-17006-001" </w:instrText>
      </w:r>
      <w:r>
        <w:fldChar w:fldCharType="separate"/>
      </w:r>
      <w:r>
        <w:rPr>
          <w:rStyle w:val="17"/>
          <w:rFonts w:ascii="Times New Roman" w:hAnsi="Times New Roman" w:cs="Times New Roman"/>
          <w:sz w:val="24"/>
          <w:szCs w:val="24"/>
          <w:shd w:val="clear" w:color="auto" w:fill="FFFFFF"/>
        </w:rPr>
        <w:t>https://psycnet.apa.org/record/2021-17006-001</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Hew, K.F., Huang, W., Du, J. and Jia, C., 2023. Using chatbots to support student goal setting and social presence in fully online activities: learner engagement and perceptions. </w:t>
      </w:r>
      <w:r>
        <w:rPr>
          <w:rFonts w:ascii="Times New Roman" w:hAnsi="Times New Roman" w:cs="Times New Roman"/>
          <w:i/>
          <w:iCs/>
          <w:color w:val="222222"/>
          <w:sz w:val="24"/>
          <w:szCs w:val="24"/>
          <w:shd w:val="clear" w:color="auto" w:fill="FFFFFF"/>
        </w:rPr>
        <w:t>Journal of Computing in Higher Education</w:t>
      </w:r>
      <w:r>
        <w:rPr>
          <w:rFonts w:ascii="Times New Roman" w:hAnsi="Times New Roman" w:cs="Times New Roman"/>
          <w:color w:val="222222"/>
          <w:sz w:val="24"/>
          <w:szCs w:val="24"/>
          <w:shd w:val="clear" w:color="auto" w:fill="FFFFFF"/>
        </w:rPr>
        <w:t>, 35(1), pp.40-68.</w:t>
      </w:r>
      <w:r>
        <w:rPr>
          <w:rFonts w:ascii="Times New Roman" w:hAnsi="Times New Roman" w:cs="Times New Roman"/>
          <w:sz w:val="24"/>
          <w:szCs w:val="24"/>
        </w:rPr>
        <w:t xml:space="preserve"> </w:t>
      </w:r>
      <w:r>
        <w:fldChar w:fldCharType="begin"/>
      </w:r>
      <w:r>
        <w:instrText xml:space="preserve"> HYPERLINK "https://link.springer.com/article/10.1007/s12528-022-09338-x" </w:instrText>
      </w:r>
      <w:r>
        <w:fldChar w:fldCharType="separate"/>
      </w:r>
      <w:r>
        <w:rPr>
          <w:rStyle w:val="17"/>
          <w:rFonts w:ascii="Times New Roman" w:hAnsi="Times New Roman" w:cs="Times New Roman"/>
          <w:sz w:val="24"/>
          <w:szCs w:val="24"/>
          <w:shd w:val="clear" w:color="auto" w:fill="FFFFFF"/>
        </w:rPr>
        <w:t>https://link.springer.com/article/10.1007/s12528-022-09338-x</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Hiver, P., Al-Hoorie, A.H. and Mercer, S. eds., 2020. </w:t>
      </w:r>
      <w:r>
        <w:rPr>
          <w:rFonts w:ascii="Times New Roman" w:hAnsi="Times New Roman" w:cs="Times New Roman"/>
          <w:i w:val="0"/>
          <w:iCs w:val="0"/>
          <w:color w:val="222222"/>
          <w:sz w:val="24"/>
          <w:szCs w:val="24"/>
          <w:shd w:val="clear" w:color="auto" w:fill="FFFFFF"/>
        </w:rPr>
        <w:t>Student engagement in the language classroom</w:t>
      </w:r>
      <w:r>
        <w:rPr>
          <w:rFonts w:ascii="Times New Roman" w:hAnsi="Times New Roman" w:cs="Times New Roman"/>
          <w:color w:val="222222"/>
          <w:sz w:val="24"/>
          <w:szCs w:val="24"/>
          <w:shd w:val="clear" w:color="auto" w:fill="FFFFFF"/>
        </w:rPr>
        <w:t xml:space="preserve"> (Vol. 11). </w:t>
      </w:r>
      <w:r>
        <w:rPr>
          <w:rFonts w:ascii="Times New Roman" w:hAnsi="Times New Roman" w:cs="Times New Roman"/>
          <w:i/>
          <w:iCs/>
          <w:color w:val="222222"/>
          <w:sz w:val="24"/>
          <w:szCs w:val="24"/>
          <w:shd w:val="clear" w:color="auto" w:fill="FFFFFF"/>
        </w:rPr>
        <w:t>Multilingual Matters</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r>
        <w:fldChar w:fldCharType="begin"/>
      </w:r>
      <w:r>
        <w:instrText xml:space="preserve"> HYPERLINK "https://www.researchgate.net/profile/Ali-Al-Hoorie/publication/346671681_Measuring_L2_Engagement_A_Review_of_Issues_and_Applications/links/5fcdcb3d92851c00f858a404/Measuring-L2-Engagement-A-Review-of-Issues-and-Applications.pdf" </w:instrText>
      </w:r>
      <w:r>
        <w:fldChar w:fldCharType="separate"/>
      </w:r>
      <w:r>
        <w:rPr>
          <w:rStyle w:val="17"/>
          <w:rFonts w:ascii="Times New Roman" w:hAnsi="Times New Roman" w:cs="Times New Roman"/>
          <w:sz w:val="24"/>
          <w:szCs w:val="24"/>
          <w:shd w:val="clear" w:color="auto" w:fill="FFFFFF"/>
        </w:rPr>
        <w:t>https://www.researchgate.net/profile/Ali-Al-Hoorie/publication/346671681_Measuring_L2_Engagement_A_Review_of_Issues_and_Applications/links/5fcdcb3d92851c00f858a404/Measuring-L2-Engagement-A-Review-of-Issues-and-Applications.pdf</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Hu, J. and Wu, P., 2020. Understanding English language learning in tertiary English-medium instruction contexts in China. </w:t>
      </w:r>
      <w:r>
        <w:rPr>
          <w:rFonts w:ascii="Times New Roman" w:hAnsi="Times New Roman" w:cs="Times New Roman"/>
          <w:i/>
          <w:iCs/>
          <w:color w:val="222222"/>
          <w:sz w:val="24"/>
          <w:szCs w:val="24"/>
          <w:shd w:val="clear" w:color="auto" w:fill="FFFFFF"/>
        </w:rPr>
        <w:t>System</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93</w:t>
      </w:r>
      <w:r>
        <w:rPr>
          <w:rFonts w:ascii="Times New Roman" w:hAnsi="Times New Roman" w:cs="Times New Roman"/>
          <w:color w:val="222222"/>
          <w:sz w:val="24"/>
          <w:szCs w:val="24"/>
          <w:shd w:val="clear" w:color="auto" w:fill="FFFFFF"/>
        </w:rPr>
        <w:t>, p.102305.</w:t>
      </w:r>
      <w:r>
        <w:rPr>
          <w:rFonts w:ascii="Times New Roman" w:hAnsi="Times New Roman" w:cs="Times New Roman"/>
          <w:sz w:val="24"/>
          <w:szCs w:val="24"/>
        </w:rPr>
        <w:t xml:space="preserve"> </w:t>
      </w:r>
      <w:r>
        <w:fldChar w:fldCharType="begin"/>
      </w:r>
      <w:r>
        <w:instrText xml:space="preserve"> HYPERLINK "https://www.sciencedirect.com/science/article/abs/pii/S0346251X19309170" </w:instrText>
      </w:r>
      <w:r>
        <w:fldChar w:fldCharType="separate"/>
      </w:r>
      <w:r>
        <w:rPr>
          <w:rStyle w:val="17"/>
          <w:rFonts w:ascii="Times New Roman" w:hAnsi="Times New Roman" w:cs="Times New Roman"/>
          <w:sz w:val="24"/>
          <w:szCs w:val="24"/>
          <w:shd w:val="clear" w:color="auto" w:fill="FFFFFF"/>
        </w:rPr>
        <w:t>https://www.sciencedirect.com/science/article/abs/pii/S0346251X19309170</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Imbaquingo, A. and Cárdenas, J., 2023. Project-Based Learning as a Methodology to Improve Reading and Comprehension Skills in the English Language. </w:t>
      </w:r>
      <w:r>
        <w:rPr>
          <w:rFonts w:ascii="Times New Roman" w:hAnsi="Times New Roman" w:cs="Times New Roman"/>
          <w:i/>
          <w:iCs/>
          <w:color w:val="222222"/>
          <w:sz w:val="24"/>
          <w:szCs w:val="24"/>
          <w:shd w:val="clear" w:color="auto" w:fill="FFFFFF"/>
        </w:rPr>
        <w:t>Education Sciences</w:t>
      </w:r>
      <w:r>
        <w:rPr>
          <w:rFonts w:ascii="Times New Roman" w:hAnsi="Times New Roman" w:cs="Times New Roman"/>
          <w:color w:val="222222"/>
          <w:sz w:val="24"/>
          <w:szCs w:val="24"/>
          <w:shd w:val="clear" w:color="auto" w:fill="FFFFFF"/>
        </w:rPr>
        <w:t>, 13(6), p.587.</w:t>
      </w:r>
      <w:r>
        <w:rPr>
          <w:rFonts w:ascii="Times New Roman" w:hAnsi="Times New Roman" w:cs="Times New Roman"/>
          <w:sz w:val="24"/>
          <w:szCs w:val="24"/>
        </w:rPr>
        <w:t xml:space="preserve"> </w:t>
      </w:r>
      <w:r>
        <w:fldChar w:fldCharType="begin"/>
      </w:r>
      <w:r>
        <w:instrText xml:space="preserve"> HYPERLINK "https://www.mdpi.com/2227-7102/13/6/587" </w:instrText>
      </w:r>
      <w:r>
        <w:fldChar w:fldCharType="separate"/>
      </w:r>
      <w:r>
        <w:rPr>
          <w:rStyle w:val="17"/>
          <w:rFonts w:ascii="Times New Roman" w:hAnsi="Times New Roman" w:cs="Times New Roman"/>
          <w:sz w:val="24"/>
          <w:szCs w:val="24"/>
          <w:shd w:val="clear" w:color="auto" w:fill="FFFFFF"/>
        </w:rPr>
        <w:t>https://www.mdpi.com/2227-7102/13/6/587</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Inouye, K., Lee, S. and Oldac, Y.I., 2023. A systematic review of student agency in international higher education. </w:t>
      </w:r>
      <w:r>
        <w:rPr>
          <w:rFonts w:ascii="Times New Roman" w:hAnsi="Times New Roman" w:cs="Times New Roman"/>
          <w:i/>
          <w:iCs/>
          <w:color w:val="222222"/>
          <w:sz w:val="24"/>
          <w:szCs w:val="24"/>
          <w:shd w:val="clear" w:color="auto" w:fill="FFFFFF"/>
        </w:rPr>
        <w:t>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86</w:t>
      </w:r>
      <w:r>
        <w:rPr>
          <w:rFonts w:ascii="Times New Roman" w:hAnsi="Times New Roman" w:cs="Times New Roman"/>
          <w:color w:val="222222"/>
          <w:sz w:val="24"/>
          <w:szCs w:val="24"/>
          <w:shd w:val="clear" w:color="auto" w:fill="FFFFFF"/>
        </w:rPr>
        <w:t xml:space="preserve">(4), pp.891-911. </w:t>
      </w:r>
      <w:r>
        <w:fldChar w:fldCharType="begin"/>
      </w:r>
      <w:r>
        <w:instrText xml:space="preserve"> HYPERLINK "https://link.springer.com/article/10.1007/s10734-022-00952-3" </w:instrText>
      </w:r>
      <w:r>
        <w:fldChar w:fldCharType="separate"/>
      </w:r>
      <w:r>
        <w:rPr>
          <w:rStyle w:val="17"/>
          <w:rFonts w:ascii="Times New Roman" w:hAnsi="Times New Roman" w:cs="Times New Roman"/>
          <w:sz w:val="24"/>
          <w:szCs w:val="24"/>
          <w:shd w:val="clear" w:color="auto" w:fill="FFFFFF"/>
        </w:rPr>
        <w:t>https://link.springer.com/article/10.1007/s10734-022-00952-3</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Ji, H., Park, S. and Shin, H.W., 2022. Investigating the link between engagement, readiness, and satisfaction in a synchronous online second language learning environment. </w:t>
      </w:r>
      <w:r>
        <w:rPr>
          <w:rFonts w:ascii="Times New Roman" w:hAnsi="Times New Roman" w:cs="Times New Roman"/>
          <w:i/>
          <w:iCs/>
          <w:color w:val="222222"/>
          <w:sz w:val="24"/>
          <w:szCs w:val="24"/>
          <w:shd w:val="clear" w:color="auto" w:fill="FFFFFF"/>
        </w:rPr>
        <w:t>System</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105</w:t>
      </w:r>
      <w:r>
        <w:rPr>
          <w:rFonts w:ascii="Times New Roman" w:hAnsi="Times New Roman" w:cs="Times New Roman"/>
          <w:color w:val="222222"/>
          <w:sz w:val="24"/>
          <w:szCs w:val="24"/>
          <w:shd w:val="clear" w:color="auto" w:fill="FFFFFF"/>
        </w:rPr>
        <w:t>, p.102720.</w:t>
      </w:r>
      <w:r>
        <w:rPr>
          <w:rFonts w:ascii="Times New Roman" w:hAnsi="Times New Roman" w:cs="Times New Roman"/>
          <w:sz w:val="24"/>
          <w:szCs w:val="24"/>
        </w:rPr>
        <w:t xml:space="preserve"> </w:t>
      </w:r>
      <w:r>
        <w:fldChar w:fldCharType="begin"/>
      </w:r>
      <w:r>
        <w:instrText xml:space="preserve"> HYPERLINK "https://www.sciencedirect.com/science/article/abs/pii/S0346251X2200001X" </w:instrText>
      </w:r>
      <w:r>
        <w:fldChar w:fldCharType="separate"/>
      </w:r>
      <w:r>
        <w:rPr>
          <w:rStyle w:val="17"/>
          <w:rFonts w:ascii="Times New Roman" w:hAnsi="Times New Roman" w:cs="Times New Roman"/>
          <w:sz w:val="24"/>
          <w:szCs w:val="24"/>
          <w:shd w:val="clear" w:color="auto" w:fill="FFFFFF"/>
        </w:rPr>
        <w:t>https://www.sciencedirect.com/science/article/abs/pii/S0346251X2200001X</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Jiang, L., Yu, S. and Zhao, Y., 2021. Teacher engagement with digital multimodal composing in a Chinese tertiary EFL curriculum.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(4), pp.613-632.</w:t>
      </w:r>
      <w:r>
        <w:rPr>
          <w:rFonts w:ascii="Times New Roman" w:hAnsi="Times New Roman" w:cs="Times New Roman"/>
          <w:sz w:val="24"/>
          <w:szCs w:val="24"/>
        </w:rPr>
        <w:t xml:space="preserve"> </w:t>
      </w:r>
      <w:r>
        <w:fldChar w:fldCharType="begin"/>
      </w:r>
      <w:r>
        <w:instrText xml:space="preserve"> HYPERLINK "https://journals.sagepub.com/doi/abs/10.1177/1362168819864975" </w:instrText>
      </w:r>
      <w:r>
        <w:fldChar w:fldCharType="separate"/>
      </w:r>
      <w:r>
        <w:rPr>
          <w:rStyle w:val="17"/>
          <w:rFonts w:ascii="Times New Roman" w:hAnsi="Times New Roman" w:cs="Times New Roman"/>
          <w:sz w:val="24"/>
          <w:szCs w:val="24"/>
          <w:shd w:val="clear" w:color="auto" w:fill="FFFFFF"/>
        </w:rPr>
        <w:t>https://journals.sagepub.com/doi/abs/10.1177/1362168819864975</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Jiang, Y. and Peng, J.E., 2023. Exploring the relationships between learners’ engagement, autonomy, and academic performance in an English language MOOC. Computer </w:t>
      </w:r>
      <w:r>
        <w:rPr>
          <w:rFonts w:ascii="Times New Roman" w:hAnsi="Times New Roman" w:cs="Times New Roman"/>
          <w:i/>
          <w:iCs/>
          <w:color w:val="222222"/>
          <w:sz w:val="24"/>
          <w:szCs w:val="24"/>
          <w:shd w:val="clear" w:color="auto" w:fill="FFFFFF"/>
        </w:rPr>
        <w:t>Assisted Language Learning</w:t>
      </w:r>
      <w:r>
        <w:rPr>
          <w:rFonts w:ascii="Times New Roman" w:hAnsi="Times New Roman" w:cs="Times New Roman"/>
          <w:color w:val="222222"/>
          <w:sz w:val="24"/>
          <w:szCs w:val="24"/>
          <w:shd w:val="clear" w:color="auto" w:fill="FFFFFF"/>
        </w:rPr>
        <w:t>, pp.1-26.</w:t>
      </w:r>
      <w:r>
        <w:rPr>
          <w:rFonts w:ascii="Times New Roman" w:hAnsi="Times New Roman" w:cs="Times New Roman"/>
          <w:sz w:val="24"/>
          <w:szCs w:val="24"/>
        </w:rPr>
        <w:t xml:space="preserve"> </w:t>
      </w:r>
      <w:r>
        <w:fldChar w:fldCharType="begin"/>
      </w:r>
      <w:r>
        <w:instrText xml:space="preserve"> HYPERLINK "https://www.tandfonline.com/doi/abs/10.1080/09588221.2022.2164777" </w:instrText>
      </w:r>
      <w:r>
        <w:fldChar w:fldCharType="separate"/>
      </w:r>
      <w:r>
        <w:rPr>
          <w:rStyle w:val="17"/>
          <w:rFonts w:ascii="Times New Roman" w:hAnsi="Times New Roman" w:cs="Times New Roman"/>
          <w:sz w:val="24"/>
          <w:szCs w:val="24"/>
          <w:shd w:val="clear" w:color="auto" w:fill="FFFFFF"/>
        </w:rPr>
        <w:t>https://www.tandfonline.com/doi/abs/10.1080/09588221.2022.2164777</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Johar, N.A., Kew, S.N., Tasir, Z. and Koh, E., 2023. Learning Analytics on Student Engagement to Enhance Students’ Learning Performance: A Systematic Review.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15(10), p.7849.</w:t>
      </w:r>
      <w:r>
        <w:rPr>
          <w:rFonts w:ascii="Times New Roman" w:hAnsi="Times New Roman" w:cs="Times New Roman"/>
          <w:sz w:val="24"/>
          <w:szCs w:val="24"/>
        </w:rPr>
        <w:t xml:space="preserve"> </w:t>
      </w:r>
      <w:r>
        <w:fldChar w:fldCharType="begin"/>
      </w:r>
      <w:r>
        <w:instrText xml:space="preserve"> HYPERLINK "https://www.mdpi.com/2071-1050/15/10/7849" </w:instrText>
      </w:r>
      <w:r>
        <w:fldChar w:fldCharType="separate"/>
      </w:r>
      <w:r>
        <w:rPr>
          <w:rStyle w:val="17"/>
          <w:rFonts w:ascii="Times New Roman" w:hAnsi="Times New Roman" w:cs="Times New Roman"/>
          <w:sz w:val="24"/>
          <w:szCs w:val="24"/>
          <w:shd w:val="clear" w:color="auto" w:fill="FFFFFF"/>
        </w:rPr>
        <w:t>https://www.mdpi.com/2071-1050/15/10/7849</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Johnson, R.B. and Onwuegbuzie, A.J., 2004. Mixed methods research: A research paradigm whose time has come. </w:t>
      </w:r>
      <w:r>
        <w:rPr>
          <w:rFonts w:ascii="Times New Roman" w:hAnsi="Times New Roman" w:cs="Times New Roman"/>
          <w:i/>
          <w:iCs/>
          <w:color w:val="222222"/>
          <w:sz w:val="24"/>
          <w:szCs w:val="24"/>
          <w:shd w:val="clear" w:color="auto" w:fill="FFFFFF"/>
        </w:rPr>
        <w:t>Educational researcher</w:t>
      </w:r>
      <w:r>
        <w:rPr>
          <w:rFonts w:ascii="Times New Roman" w:hAnsi="Times New Roman" w:cs="Times New Roman"/>
          <w:color w:val="222222"/>
          <w:sz w:val="24"/>
          <w:szCs w:val="24"/>
          <w:shd w:val="clear" w:color="auto" w:fill="FFFFFF"/>
        </w:rPr>
        <w:t>, 33(7), pp.14-26.</w:t>
      </w:r>
      <w:r>
        <w:rPr>
          <w:rFonts w:ascii="Times New Roman" w:hAnsi="Times New Roman" w:cs="Times New Roman"/>
          <w:sz w:val="24"/>
          <w:szCs w:val="24"/>
        </w:rPr>
        <w:t xml:space="preserve"> </w:t>
      </w:r>
      <w:r>
        <w:fldChar w:fldCharType="begin"/>
      </w:r>
      <w:r>
        <w:instrText xml:space="preserve"> HYPERLINK "https://journals.sagepub.com/doi/abs/10.3102/0013189x033007014" </w:instrText>
      </w:r>
      <w:r>
        <w:fldChar w:fldCharType="separate"/>
      </w:r>
      <w:r>
        <w:rPr>
          <w:rStyle w:val="17"/>
          <w:rFonts w:ascii="Times New Roman" w:hAnsi="Times New Roman" w:cs="Times New Roman"/>
          <w:sz w:val="24"/>
          <w:szCs w:val="24"/>
          <w:shd w:val="clear" w:color="auto" w:fill="FFFFFF"/>
        </w:rPr>
        <w:t>https://journals.sagepub.com/doi/abs/10.3102/0013189x033007014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Jumiaty, A.A. and Kuswoyo, H., 2023. UNDERGRADUATE STUDENTSâ€™ PERCEPTIONS TOWARDS LECTURERâ€™ S CLASSROOM MANAGEMENT IN THE INDONESIAN TERTIARY CONTEXT. </w:t>
      </w:r>
      <w:r>
        <w:rPr>
          <w:rFonts w:ascii="Times New Roman" w:hAnsi="Times New Roman" w:cs="Times New Roman"/>
          <w:i/>
          <w:iCs/>
          <w:color w:val="222222"/>
          <w:sz w:val="24"/>
          <w:szCs w:val="24"/>
          <w:shd w:val="clear" w:color="auto" w:fill="FFFFFF"/>
        </w:rPr>
        <w:t>Linguistics and Literature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(1), pp.89-99.</w:t>
      </w:r>
      <w:r>
        <w:rPr>
          <w:rFonts w:ascii="Times New Roman" w:hAnsi="Times New Roman" w:cs="Times New Roman"/>
          <w:sz w:val="24"/>
          <w:szCs w:val="24"/>
        </w:rPr>
        <w:t xml:space="preserve"> </w:t>
      </w:r>
      <w:r>
        <w:fldChar w:fldCharType="begin"/>
      </w:r>
      <w:r>
        <w:instrText xml:space="preserve"> HYPERLINK "https://jim.teknokrat.ac.id/index.php/linguistics_and_literature/article/view/3252" </w:instrText>
      </w:r>
      <w:r>
        <w:fldChar w:fldCharType="separate"/>
      </w:r>
      <w:r>
        <w:rPr>
          <w:rStyle w:val="17"/>
          <w:rFonts w:ascii="Times New Roman" w:hAnsi="Times New Roman" w:cs="Times New Roman"/>
          <w:sz w:val="24"/>
          <w:szCs w:val="24"/>
          <w:shd w:val="clear" w:color="auto" w:fill="FFFFFF"/>
        </w:rPr>
        <w:t>https://jim.teknokrat.ac.id/index.php/linguistics_and_literature/article/view/3252</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Kaiying, C.H.E.N. and Jing, C.A.I., 2022. A Case Study of Student Engagement in Online EFL Courses for Young Learners in China. </w:t>
      </w:r>
      <w:r>
        <w:rPr>
          <w:rFonts w:ascii="Times New Roman" w:hAnsi="Times New Roman" w:cs="Times New Roman"/>
          <w:i/>
          <w:iCs/>
          <w:color w:val="222222"/>
          <w:sz w:val="24"/>
          <w:szCs w:val="24"/>
          <w:shd w:val="clear" w:color="auto" w:fill="FFFFFF"/>
        </w:rPr>
        <w:t>Asian Journal of English Language Teaching</w:t>
      </w:r>
      <w:r>
        <w:rPr>
          <w:rFonts w:ascii="Times New Roman" w:hAnsi="Times New Roman" w:cs="Times New Roman"/>
          <w:color w:val="222222"/>
          <w:sz w:val="24"/>
          <w:szCs w:val="24"/>
          <w:shd w:val="clear" w:color="auto" w:fill="FFFFFF"/>
        </w:rPr>
        <w:t>, 31.</w:t>
      </w:r>
      <w:r>
        <w:rPr>
          <w:rFonts w:ascii="Times New Roman" w:hAnsi="Times New Roman" w:cs="Times New Roman"/>
          <w:sz w:val="24"/>
          <w:szCs w:val="24"/>
        </w:rPr>
        <w:t xml:space="preserve"> </w:t>
      </w:r>
      <w:r>
        <w:fldChar w:fldCharType="begin"/>
      </w:r>
      <w:r>
        <w:instrText xml:space="preserve"> HYPERLINK "https://openurl.ebsco.com/EPDB%3Agcd%3A4%3A9178452/detailv2?sid=ebsco%3Aplink%3Ascholar&amp;id=ebsco%3Agcd%3A162576727&amp;crl=c" </w:instrText>
      </w:r>
      <w:r>
        <w:fldChar w:fldCharType="separate"/>
      </w:r>
      <w:r>
        <w:rPr>
          <w:rStyle w:val="17"/>
          <w:rFonts w:ascii="Times New Roman" w:hAnsi="Times New Roman" w:cs="Times New Roman"/>
          <w:sz w:val="24"/>
          <w:szCs w:val="24"/>
          <w:shd w:val="clear" w:color="auto" w:fill="FFFFFF"/>
        </w:rPr>
        <w:t>https://openurl.ebsco.com/EPDB%3Agcd%3A4%3A9178452/detailv2?sid=ebsco%3Aplink%3Ascholar&amp;id=ebsco%3Agcd%3A162576727&amp;crl=c</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Kassab, S.E., Taylor, D. and Hamdy, H., 2023. Student engagement in health professions education: AMEE Guide No. 152. </w:t>
      </w:r>
      <w:r>
        <w:rPr>
          <w:rFonts w:ascii="Times New Roman" w:hAnsi="Times New Roman" w:cs="Times New Roman"/>
          <w:i/>
          <w:iCs/>
          <w:color w:val="222222"/>
          <w:sz w:val="24"/>
          <w:szCs w:val="24"/>
          <w:shd w:val="clear" w:color="auto" w:fill="FFFFFF"/>
        </w:rPr>
        <w:t>Medical Teacher</w:t>
      </w:r>
      <w:r>
        <w:rPr>
          <w:rFonts w:ascii="Times New Roman" w:hAnsi="Times New Roman" w:cs="Times New Roman"/>
          <w:color w:val="222222"/>
          <w:sz w:val="24"/>
          <w:szCs w:val="24"/>
          <w:shd w:val="clear" w:color="auto" w:fill="FFFFFF"/>
        </w:rPr>
        <w:t>, 45(9), pp.949-965.</w:t>
      </w:r>
      <w:r>
        <w:rPr>
          <w:rFonts w:ascii="Times New Roman" w:hAnsi="Times New Roman" w:cs="Times New Roman"/>
          <w:sz w:val="24"/>
          <w:szCs w:val="24"/>
        </w:rPr>
        <w:t xml:space="preserve"> </w:t>
      </w:r>
      <w:r>
        <w:fldChar w:fldCharType="begin"/>
      </w:r>
      <w:r>
        <w:instrText xml:space="preserve"> HYPERLINK "https://www.tandfonline.com/doi/abs/10.1080/0142159X.2022.2137018" </w:instrText>
      </w:r>
      <w:r>
        <w:fldChar w:fldCharType="separate"/>
      </w:r>
      <w:r>
        <w:rPr>
          <w:rStyle w:val="17"/>
          <w:rFonts w:ascii="Times New Roman" w:hAnsi="Times New Roman" w:cs="Times New Roman"/>
          <w:sz w:val="24"/>
          <w:szCs w:val="24"/>
          <w:shd w:val="clear" w:color="auto" w:fill="FFFFFF"/>
        </w:rPr>
        <w:t>https://www.tandfonline.com/doi/abs/10.1080/0142159X.2022.2137018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Kettle, M., 2017. </w:t>
      </w:r>
      <w:r>
        <w:rPr>
          <w:rFonts w:ascii="Times New Roman" w:hAnsi="Times New Roman" w:cs="Times New Roman"/>
          <w:i/>
          <w:iCs/>
          <w:color w:val="222222"/>
          <w:sz w:val="24"/>
          <w:szCs w:val="24"/>
          <w:shd w:val="clear" w:color="auto" w:fill="FFFFFF"/>
        </w:rPr>
        <w:t>International student engagement in higher education: Transforming practices, pedagogies and participation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i/>
          <w:iCs/>
          <w:color w:val="222222"/>
          <w:sz w:val="24"/>
          <w:szCs w:val="24"/>
          <w:shd w:val="clear" w:color="auto" w:fill="FFFFFF"/>
        </w:rPr>
        <w:t>Multilingual Matters</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r>
        <w:fldChar w:fldCharType="begin"/>
      </w:r>
      <w:r>
        <w:instrText xml:space="preserve"> HYPERLINK "https://oxfordre.com/education/display/10.1093/acrefore/9780190264093.001.0001/acrefore-9780190264093-e-304?rskey=OpVgHJ" </w:instrText>
      </w:r>
      <w:r>
        <w:fldChar w:fldCharType="separate"/>
      </w:r>
      <w:r>
        <w:rPr>
          <w:rStyle w:val="17"/>
          <w:rFonts w:ascii="Times New Roman" w:hAnsi="Times New Roman" w:cs="Times New Roman"/>
          <w:sz w:val="24"/>
          <w:szCs w:val="24"/>
          <w:shd w:val="clear" w:color="auto" w:fill="FFFFFF"/>
        </w:rPr>
        <w:t>https://oxfordre.com/education/display/10.1093/acrefore/9780190264093.001.0001/acrefore-9780190264093-e-304?rskey=OpVgHJ</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Lai, H.M., Hsieh, P.J., Uden, L. and Yang, C.H., 2021. A multilevel investigation of factors influencing university students’ behavioral engagement in flipped classrooms. </w:t>
      </w:r>
      <w:r>
        <w:rPr>
          <w:rFonts w:ascii="Times New Roman" w:hAnsi="Times New Roman" w:cs="Times New Roman"/>
          <w:i/>
          <w:iCs/>
          <w:color w:val="222222"/>
          <w:sz w:val="24"/>
          <w:szCs w:val="24"/>
          <w:shd w:val="clear" w:color="auto" w:fill="FFFFFF"/>
        </w:rPr>
        <w:t>Computers &amp;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175</w:t>
      </w:r>
      <w:r>
        <w:rPr>
          <w:rFonts w:ascii="Times New Roman" w:hAnsi="Times New Roman" w:cs="Times New Roman"/>
          <w:color w:val="222222"/>
          <w:sz w:val="24"/>
          <w:szCs w:val="24"/>
          <w:shd w:val="clear" w:color="auto" w:fill="FFFFFF"/>
        </w:rPr>
        <w:t xml:space="preserve">, p.104318. </w:t>
      </w:r>
      <w:r>
        <w:fldChar w:fldCharType="begin"/>
      </w:r>
      <w:r>
        <w:instrText xml:space="preserve"> HYPERLINK "https://www.sciencedirect.com/science/article/abs/pii/S0360131521001950" </w:instrText>
      </w:r>
      <w:r>
        <w:fldChar w:fldCharType="separate"/>
      </w:r>
      <w:r>
        <w:rPr>
          <w:rStyle w:val="17"/>
          <w:rFonts w:ascii="Times New Roman" w:hAnsi="Times New Roman" w:cs="Times New Roman"/>
          <w:sz w:val="24"/>
          <w:szCs w:val="24"/>
          <w:shd w:val="clear" w:color="auto" w:fill="FFFFFF"/>
        </w:rPr>
        <w:t>https://www.sciencedirect.com/science/article/abs/pii/S0360131521001950</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Lam, S.F., Jimerson, S., Wong, B.P., Kikas, E., Shin, H., Veiga, F.H., Hatzichristou, C., Polychroni, F., Cefai, C., Negovan, V. and Stanculescu, E., 2014. Understanding and measuring student engagement in school: the results of an international study from 12 countries. </w:t>
      </w:r>
      <w:r>
        <w:rPr>
          <w:rFonts w:ascii="Times New Roman" w:hAnsi="Times New Roman" w:cs="Times New Roman"/>
          <w:i/>
          <w:iCs/>
          <w:color w:val="222222"/>
          <w:sz w:val="24"/>
          <w:szCs w:val="24"/>
          <w:shd w:val="clear" w:color="auto" w:fill="FFFFFF"/>
        </w:rPr>
        <w:t>School Psychology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(2), p.213.</w:t>
      </w:r>
      <w:r>
        <w:rPr>
          <w:rFonts w:ascii="Times New Roman" w:hAnsi="Times New Roman" w:cs="Times New Roman"/>
          <w:sz w:val="24"/>
          <w:szCs w:val="24"/>
        </w:rPr>
        <w:t xml:space="preserve"> </w:t>
      </w:r>
      <w:r>
        <w:fldChar w:fldCharType="begin"/>
      </w:r>
      <w:r>
        <w:instrText xml:space="preserve"> HYPERLINK "https://psycnet.apa.org/record/2014-24263-001" </w:instrText>
      </w:r>
      <w:r>
        <w:fldChar w:fldCharType="separate"/>
      </w:r>
      <w:r>
        <w:rPr>
          <w:rStyle w:val="17"/>
          <w:rFonts w:ascii="Times New Roman" w:hAnsi="Times New Roman" w:cs="Times New Roman"/>
          <w:sz w:val="24"/>
          <w:szCs w:val="24"/>
          <w:shd w:val="clear" w:color="auto" w:fill="FFFFFF"/>
        </w:rPr>
        <w:t>https://psycnet.apa.org/record/2014-24263-001</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Lambert, C. and Zhang, G., 2019. Engagement in the use of English and Chinese as foreign languages: The role of learner‐generated content in instructional task design. </w:t>
      </w:r>
      <w:r>
        <w:rPr>
          <w:rFonts w:ascii="Times New Roman" w:hAnsi="Times New Roman" w:cs="Times New Roman"/>
          <w:i/>
          <w:iCs/>
          <w:color w:val="222222"/>
          <w:sz w:val="24"/>
          <w:szCs w:val="24"/>
          <w:shd w:val="clear" w:color="auto" w:fill="FFFFFF"/>
        </w:rPr>
        <w:t>The Modern Language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103</w:t>
      </w:r>
      <w:r>
        <w:rPr>
          <w:rFonts w:ascii="Times New Roman" w:hAnsi="Times New Roman" w:cs="Times New Roman"/>
          <w:color w:val="222222"/>
          <w:sz w:val="24"/>
          <w:szCs w:val="24"/>
          <w:shd w:val="clear" w:color="auto" w:fill="FFFFFF"/>
        </w:rPr>
        <w:t>(2), pp.391-411.</w:t>
      </w:r>
      <w:r>
        <w:rPr>
          <w:rFonts w:ascii="Times New Roman" w:hAnsi="Times New Roman" w:cs="Times New Roman"/>
          <w:sz w:val="24"/>
          <w:szCs w:val="24"/>
        </w:rPr>
        <w:t xml:space="preserve"> </w:t>
      </w:r>
      <w:r>
        <w:fldChar w:fldCharType="begin"/>
      </w:r>
      <w:r>
        <w:instrText xml:space="preserve"> HYPERLINK "https://onlinelibrary.wiley.com/doi/abs/10.1111/modl.12560" </w:instrText>
      </w:r>
      <w:r>
        <w:fldChar w:fldCharType="separate"/>
      </w:r>
      <w:r>
        <w:rPr>
          <w:rStyle w:val="17"/>
          <w:rFonts w:ascii="Times New Roman" w:hAnsi="Times New Roman" w:cs="Times New Roman"/>
          <w:sz w:val="24"/>
          <w:szCs w:val="24"/>
          <w:shd w:val="clear" w:color="auto" w:fill="FFFFFF"/>
        </w:rPr>
        <w:t>https://onlinelibrary.wiley.com/doi/abs/10.1111/modl.12560</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Lei, M. and Medwell, J., 2021. Impact of the COVID-19 pandemic on student teachers: How the shift to online collaborative learning affects student teachers’ learning and future teaching in a Chinese context. </w:t>
      </w:r>
      <w:r>
        <w:rPr>
          <w:rFonts w:ascii="Times New Roman" w:hAnsi="Times New Roman" w:cs="Times New Roman"/>
          <w:i/>
          <w:iCs/>
          <w:color w:val="222222"/>
          <w:sz w:val="24"/>
          <w:szCs w:val="24"/>
          <w:shd w:val="clear" w:color="auto" w:fill="FFFFFF"/>
        </w:rPr>
        <w:t>Asia Pacific Education Review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w:t>
      </w:r>
      <w:r>
        <w:rPr>
          <w:rFonts w:ascii="Times New Roman" w:hAnsi="Times New Roman" w:cs="Times New Roman"/>
          <w:color w:val="222222"/>
          <w:sz w:val="24"/>
          <w:szCs w:val="24"/>
          <w:shd w:val="clear" w:color="auto" w:fill="FFFFFF"/>
        </w:rPr>
        <w:t>, pp.169-179.</w:t>
      </w:r>
      <w:r>
        <w:rPr>
          <w:rFonts w:ascii="Times New Roman" w:hAnsi="Times New Roman" w:cs="Times New Roman"/>
          <w:sz w:val="24"/>
          <w:szCs w:val="24"/>
        </w:rPr>
        <w:t xml:space="preserve"> </w:t>
      </w:r>
      <w:r>
        <w:fldChar w:fldCharType="begin"/>
      </w:r>
      <w:r>
        <w:instrText xml:space="preserve"> HYPERLINK "https://link.springer.com/article/10.1007/s12564-021-09686-w" </w:instrText>
      </w:r>
      <w:r>
        <w:fldChar w:fldCharType="separate"/>
      </w:r>
      <w:r>
        <w:rPr>
          <w:rStyle w:val="17"/>
          <w:rFonts w:ascii="Times New Roman" w:hAnsi="Times New Roman" w:cs="Times New Roman"/>
          <w:sz w:val="24"/>
          <w:szCs w:val="24"/>
          <w:shd w:val="clear" w:color="auto" w:fill="FFFFFF"/>
        </w:rPr>
        <w:t>https://link.springer.com/article/10.1007/s12564-021-09686-w</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 Y., Chen, K., Su, Y. and Yue, X., 2021. Do social regulation strategies predict learning engagement and learning outcomes? A study of English language learners in wiki-supported literature circles activities. </w:t>
      </w:r>
      <w:r>
        <w:rPr>
          <w:rFonts w:ascii="Times New Roman" w:hAnsi="Times New Roman" w:cs="Times New Roman"/>
          <w:i/>
          <w:iCs/>
          <w:color w:val="222222"/>
          <w:sz w:val="24"/>
          <w:szCs w:val="24"/>
          <w:shd w:val="clear" w:color="auto" w:fill="FFFFFF"/>
        </w:rPr>
        <w:t>Educational Technology Research and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69</w:t>
      </w:r>
      <w:r>
        <w:rPr>
          <w:rFonts w:ascii="Times New Roman" w:hAnsi="Times New Roman" w:cs="Times New Roman"/>
          <w:color w:val="222222"/>
          <w:sz w:val="24"/>
          <w:szCs w:val="24"/>
          <w:shd w:val="clear" w:color="auto" w:fill="FFFFFF"/>
        </w:rPr>
        <w:t>, pp.917-943.</w:t>
      </w:r>
      <w:r>
        <w:rPr>
          <w:rFonts w:ascii="Times New Roman" w:hAnsi="Times New Roman" w:cs="Times New Roman"/>
          <w:sz w:val="24"/>
          <w:szCs w:val="24"/>
        </w:rPr>
        <w:t xml:space="preserve"> </w:t>
      </w:r>
      <w:r>
        <w:fldChar w:fldCharType="begin"/>
      </w:r>
      <w:r>
        <w:instrText xml:space="preserve"> HYPERLINK "https://link.springer.com/article/10.1007/s11423-020-09934-7" </w:instrText>
      </w:r>
      <w:r>
        <w:fldChar w:fldCharType="separate"/>
      </w:r>
      <w:r>
        <w:rPr>
          <w:rStyle w:val="17"/>
          <w:rFonts w:ascii="Times New Roman" w:hAnsi="Times New Roman" w:cs="Times New Roman"/>
          <w:sz w:val="24"/>
          <w:szCs w:val="24"/>
          <w:shd w:val="clear" w:color="auto" w:fill="FFFFFF"/>
        </w:rPr>
        <w:t>https://link.springer.com/article/10.1007/s11423-020-09934-7</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Liu, G.L., Zhang, Y. and Zhang, R., 2023. Examining the relationships among motivation, informal digital learning of English, and foreign language enjoyment: An explanatory mixed-method study.</w:t>
      </w:r>
      <w:r>
        <w:rPr>
          <w:rFonts w:ascii="Times New Roman" w:hAnsi="Times New Roman" w:cs="Times New Roman"/>
          <w:i/>
          <w:iCs/>
          <w:color w:val="222222"/>
          <w:sz w:val="24"/>
          <w:szCs w:val="24"/>
          <w:shd w:val="clear" w:color="auto" w:fill="FFFFFF"/>
        </w:rPr>
        <w:t> ReCALL</w:t>
      </w:r>
      <w:r>
        <w:rPr>
          <w:rFonts w:ascii="Times New Roman" w:hAnsi="Times New Roman" w:cs="Times New Roman"/>
          <w:color w:val="222222"/>
          <w:sz w:val="24"/>
          <w:szCs w:val="24"/>
          <w:shd w:val="clear" w:color="auto" w:fill="FFFFFF"/>
        </w:rPr>
        <w:t>, pp.1-17.</w:t>
      </w:r>
      <w:r>
        <w:rPr>
          <w:rFonts w:ascii="Times New Roman" w:hAnsi="Times New Roman" w:cs="Times New Roman"/>
          <w:sz w:val="24"/>
          <w:szCs w:val="24"/>
        </w:rPr>
        <w:t xml:space="preserve"> </w:t>
      </w:r>
      <w:r>
        <w:fldChar w:fldCharType="begin"/>
      </w:r>
      <w:r>
        <w:instrText xml:space="preserve"> HYPERLINK "https://www.cambridge.org/core/journals/recall/article/examining-the-relationships-among-motivation-informal-digital-learning-of-english-and-foreign-language-enjoyment-an-explanatory-mixedmethod-study/554AB4818AF2AC7DE9941993D8DD88D5" </w:instrText>
      </w:r>
      <w:r>
        <w:fldChar w:fldCharType="separate"/>
      </w:r>
      <w:r>
        <w:rPr>
          <w:rStyle w:val="17"/>
          <w:rFonts w:ascii="Times New Roman" w:hAnsi="Times New Roman" w:cs="Times New Roman"/>
          <w:sz w:val="24"/>
          <w:szCs w:val="24"/>
          <w:shd w:val="clear" w:color="auto" w:fill="FFFFFF"/>
        </w:rPr>
        <w:t>https://www.cambridge.org/core/journals/recall/article/examining-the-relationships-among-motivation-informal-digital-learning-of-english-and-foreign-language-enjoyment-an-explanatory-mixedmethod-study/554AB4818AF2AC7DE9941993D8DD88D5</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Lo, S., 2023. Viewing dual-subtitled videos under different learning conditions: effects on learners’ behavioral, emotional, and cognitive engagement. </w:t>
      </w:r>
      <w:r>
        <w:rPr>
          <w:rFonts w:ascii="Times New Roman" w:hAnsi="Times New Roman" w:cs="Times New Roman"/>
          <w:i/>
          <w:iCs/>
          <w:color w:val="222222"/>
          <w:sz w:val="24"/>
          <w:szCs w:val="24"/>
          <w:shd w:val="clear" w:color="auto" w:fill="FFFFFF"/>
        </w:rPr>
        <w:t>Computer Assisted Language Learning</w:t>
      </w:r>
      <w:r>
        <w:rPr>
          <w:rFonts w:ascii="Times New Roman" w:hAnsi="Times New Roman" w:cs="Times New Roman"/>
          <w:color w:val="222222"/>
          <w:sz w:val="24"/>
          <w:szCs w:val="24"/>
          <w:shd w:val="clear" w:color="auto" w:fill="FFFFFF"/>
        </w:rPr>
        <w:t>, pp.1-31.</w:t>
      </w:r>
      <w:r>
        <w:rPr>
          <w:rFonts w:ascii="Times New Roman" w:hAnsi="Times New Roman" w:cs="Times New Roman"/>
          <w:sz w:val="24"/>
          <w:szCs w:val="24"/>
        </w:rPr>
        <w:t xml:space="preserve"> </w:t>
      </w:r>
      <w:r>
        <w:fldChar w:fldCharType="begin"/>
      </w:r>
      <w:r>
        <w:instrText xml:space="preserve"> HYPERLINK "https://www.tandfonline.com/doi/abs/10.1080/09588221.2023.2219711" </w:instrText>
      </w:r>
      <w:r>
        <w:fldChar w:fldCharType="separate"/>
      </w:r>
      <w:r>
        <w:rPr>
          <w:rStyle w:val="17"/>
          <w:rFonts w:ascii="Times New Roman" w:hAnsi="Times New Roman" w:cs="Times New Roman"/>
          <w:sz w:val="24"/>
          <w:szCs w:val="24"/>
          <w:shd w:val="clear" w:color="auto" w:fill="FFFFFF"/>
        </w:rPr>
        <w:t>https://www.tandfonline.com/doi/abs/10.1080/09588221.2023.2219711</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Lomer, S. and Anthony-Okeke, L., 2019. Ethically engaging international students: student generated material in an active blended learning model. </w:t>
      </w:r>
      <w:r>
        <w:rPr>
          <w:rFonts w:ascii="Times New Roman" w:hAnsi="Times New Roman" w:cs="Times New Roman"/>
          <w:i/>
          <w:iCs/>
          <w:color w:val="222222"/>
          <w:sz w:val="24"/>
          <w:szCs w:val="24"/>
          <w:shd w:val="clear" w:color="auto" w:fill="FFFFFF"/>
        </w:rPr>
        <w:t>Teaching in 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(5), pp.613-632.</w:t>
      </w:r>
      <w:r>
        <w:rPr>
          <w:rFonts w:ascii="Times New Roman" w:hAnsi="Times New Roman" w:cs="Times New Roman"/>
          <w:sz w:val="24"/>
          <w:szCs w:val="24"/>
        </w:rPr>
        <w:t xml:space="preserve"> </w:t>
      </w:r>
      <w:r>
        <w:fldChar w:fldCharType="begin"/>
      </w:r>
      <w:r>
        <w:instrText xml:space="preserve"> HYPERLINK "https://www.tandfonline.com/doi/abs/10.1080/13562517.2019.1617264" </w:instrText>
      </w:r>
      <w:r>
        <w:fldChar w:fldCharType="separate"/>
      </w:r>
      <w:r>
        <w:rPr>
          <w:rStyle w:val="17"/>
          <w:rFonts w:ascii="Times New Roman" w:hAnsi="Times New Roman" w:cs="Times New Roman"/>
          <w:sz w:val="24"/>
          <w:szCs w:val="24"/>
          <w:shd w:val="clear" w:color="auto" w:fill="FFFFFF"/>
        </w:rPr>
        <w:t>https://www.tandfonline.com/doi/abs/10.1080/13562517.2019.1617264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 Y. and Wei, C., 2022. The relationship between perceived classroom climate and academic performance among English-major teacher education students in Guangxi, China: The mediating role of student engagement.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w:t>
      </w:r>
      <w:r>
        <w:rPr>
          <w:rFonts w:ascii="Times New Roman" w:hAnsi="Times New Roman" w:cs="Times New Roman"/>
          <w:color w:val="222222"/>
          <w:sz w:val="24"/>
          <w:szCs w:val="24"/>
          <w:shd w:val="clear" w:color="auto" w:fill="FFFFFF"/>
        </w:rPr>
        <w:t>, p.939661.</w:t>
      </w:r>
      <w:r>
        <w:rPr>
          <w:rFonts w:ascii="Times New Roman" w:hAnsi="Times New Roman" w:cs="Times New Roman"/>
          <w:sz w:val="24"/>
          <w:szCs w:val="24"/>
        </w:rPr>
        <w:t xml:space="preserve"> </w:t>
      </w:r>
      <w:r>
        <w:fldChar w:fldCharType="begin"/>
      </w:r>
      <w:r>
        <w:instrText xml:space="preserve"> HYPERLINK "https://www.frontiersin.org/articles/10.3389/fpsyg.2022.939661/full" </w:instrText>
      </w:r>
      <w:r>
        <w:fldChar w:fldCharType="separate"/>
      </w:r>
      <w:r>
        <w:rPr>
          <w:rStyle w:val="17"/>
          <w:rFonts w:ascii="Times New Roman" w:hAnsi="Times New Roman" w:cs="Times New Roman"/>
          <w:sz w:val="24"/>
          <w:szCs w:val="24"/>
          <w:shd w:val="clear" w:color="auto" w:fill="FFFFFF"/>
        </w:rPr>
        <w:t>https://www.frontiersin.org/articles/10.3389/fpsyg.2022.939661/full</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Mao, Z. and Lee, I., 2023. Student Engagement with Written Feedback: Critical Issues and Way Forward. </w:t>
      </w:r>
      <w:r>
        <w:rPr>
          <w:rFonts w:ascii="Times New Roman" w:hAnsi="Times New Roman" w:cs="Times New Roman"/>
          <w:i/>
          <w:iCs/>
          <w:color w:val="222222"/>
          <w:sz w:val="24"/>
          <w:szCs w:val="24"/>
          <w:shd w:val="clear" w:color="auto" w:fill="FFFFFF"/>
        </w:rPr>
        <w:t>RELC Journal</w:t>
      </w:r>
      <w:r>
        <w:rPr>
          <w:rFonts w:ascii="Times New Roman" w:hAnsi="Times New Roman" w:cs="Times New Roman"/>
          <w:color w:val="222222"/>
          <w:sz w:val="24"/>
          <w:szCs w:val="24"/>
          <w:shd w:val="clear" w:color="auto" w:fill="FFFFFF"/>
        </w:rPr>
        <w:t>, p.00336882221150811.</w:t>
      </w:r>
      <w:r>
        <w:rPr>
          <w:rFonts w:ascii="Times New Roman" w:hAnsi="Times New Roman" w:cs="Times New Roman"/>
          <w:sz w:val="24"/>
          <w:szCs w:val="24"/>
        </w:rPr>
        <w:t xml:space="preserve"> </w:t>
      </w:r>
      <w:r>
        <w:fldChar w:fldCharType="begin"/>
      </w:r>
      <w:r>
        <w:instrText xml:space="preserve"> HYPERLINK "https://journals.sagepub.com/doi/abs/10.1177/00336882221150811" </w:instrText>
      </w:r>
      <w:r>
        <w:fldChar w:fldCharType="separate"/>
      </w:r>
      <w:r>
        <w:rPr>
          <w:rStyle w:val="17"/>
          <w:rFonts w:ascii="Times New Roman" w:hAnsi="Times New Roman" w:cs="Times New Roman"/>
          <w:sz w:val="24"/>
          <w:szCs w:val="24"/>
          <w:shd w:val="clear" w:color="auto" w:fill="FFFFFF"/>
        </w:rPr>
        <w:t>https://journals.sagepub.com/doi/abs/10.1177/00336882221150811</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Mardiah, H., 2020. The use of e-learning to teach English in the time of the Covid-19 pandemic. </w:t>
      </w:r>
      <w:r>
        <w:rPr>
          <w:rFonts w:ascii="Times New Roman" w:hAnsi="Times New Roman" w:cs="Times New Roman"/>
          <w:i/>
          <w:iCs/>
          <w:color w:val="222222"/>
          <w:sz w:val="24"/>
          <w:szCs w:val="24"/>
          <w:shd w:val="clear" w:color="auto" w:fill="FFFFFF"/>
        </w:rPr>
        <w:t>English Teaching and Linguistics Journal (ETLiJ)</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(2), pp.45-55.</w:t>
      </w:r>
      <w:r>
        <w:rPr>
          <w:rFonts w:ascii="Times New Roman" w:hAnsi="Times New Roman" w:cs="Times New Roman"/>
          <w:sz w:val="24"/>
          <w:szCs w:val="24"/>
        </w:rPr>
        <w:t xml:space="preserve"> </w:t>
      </w:r>
      <w:r>
        <w:fldChar w:fldCharType="begin"/>
      </w:r>
      <w:r>
        <w:instrText xml:space="preserve"> HYPERLINK "https://jurnal.umsu.ac.id/index.php/ETLiJ/article/view/4894" </w:instrText>
      </w:r>
      <w:r>
        <w:fldChar w:fldCharType="separate"/>
      </w:r>
      <w:r>
        <w:rPr>
          <w:rStyle w:val="17"/>
          <w:rFonts w:ascii="Times New Roman" w:hAnsi="Times New Roman" w:cs="Times New Roman"/>
          <w:sz w:val="24"/>
          <w:szCs w:val="24"/>
          <w:shd w:val="clear" w:color="auto" w:fill="FFFFFF"/>
        </w:rPr>
        <w:t>https://jurnal.umsu.ac.id/index.php/ETLiJ/article/view/4894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Marôco, J., Assunção, H., Harju-Luukkainen, H., Lin, S.W., Sit, P.S., Cheung, K.C., Maloa, B., Ilic, I.S., Smith, T.J. and Campos, J.A., 2020. Predictors of academic efficacy and dropout intention in university students: Can engagement suppress burnout? </w:t>
      </w:r>
      <w:r>
        <w:rPr>
          <w:rFonts w:ascii="Times New Roman" w:hAnsi="Times New Roman" w:cs="Times New Roman"/>
          <w:i/>
          <w:iCs/>
          <w:color w:val="222222"/>
          <w:sz w:val="24"/>
          <w:szCs w:val="24"/>
          <w:shd w:val="clear" w:color="auto" w:fill="FFFFFF"/>
        </w:rPr>
        <w:t>PLoS One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w:t>
      </w:r>
      <w:r>
        <w:rPr>
          <w:rFonts w:ascii="Times New Roman" w:hAnsi="Times New Roman" w:cs="Times New Roman"/>
          <w:color w:val="222222"/>
          <w:sz w:val="24"/>
          <w:szCs w:val="24"/>
          <w:shd w:val="clear" w:color="auto" w:fill="FFFFFF"/>
        </w:rPr>
        <w:t>(10), p.e0239816.</w:t>
      </w:r>
      <w:r>
        <w:rPr>
          <w:rFonts w:ascii="Times New Roman" w:hAnsi="Times New Roman" w:cs="Times New Roman"/>
          <w:sz w:val="24"/>
          <w:szCs w:val="24"/>
        </w:rPr>
        <w:t xml:space="preserve"> </w:t>
      </w:r>
      <w:r>
        <w:fldChar w:fldCharType="begin"/>
      </w:r>
      <w:r>
        <w:instrText xml:space="preserve"> HYPERLINK "https://journals.plos.org/plosone/article?id=10.1371/journal.pone.0239816" </w:instrText>
      </w:r>
      <w:r>
        <w:fldChar w:fldCharType="separate"/>
      </w:r>
      <w:r>
        <w:rPr>
          <w:rStyle w:val="17"/>
          <w:rFonts w:ascii="Times New Roman" w:hAnsi="Times New Roman" w:cs="Times New Roman"/>
          <w:sz w:val="24"/>
          <w:szCs w:val="24"/>
          <w:shd w:val="clear" w:color="auto" w:fill="FFFFFF"/>
        </w:rPr>
        <w:t>https://journals.plos.org/plosone/article?id=10.1371/journal.pone.0239816</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Moorhouse, B.L. and Kohnke, L., 2021. Responses of the English-language-teaching community to the COVID-19 pandemic. </w:t>
      </w:r>
      <w:r>
        <w:rPr>
          <w:rFonts w:ascii="Times New Roman" w:hAnsi="Times New Roman" w:cs="Times New Roman"/>
          <w:i/>
          <w:iCs/>
          <w:color w:val="222222"/>
          <w:sz w:val="24"/>
          <w:szCs w:val="24"/>
          <w:shd w:val="clear" w:color="auto" w:fill="FFFFFF"/>
        </w:rPr>
        <w:t>RELC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52</w:t>
      </w:r>
      <w:r>
        <w:rPr>
          <w:rFonts w:ascii="Times New Roman" w:hAnsi="Times New Roman" w:cs="Times New Roman"/>
          <w:color w:val="222222"/>
          <w:sz w:val="24"/>
          <w:szCs w:val="24"/>
          <w:shd w:val="clear" w:color="auto" w:fill="FFFFFF"/>
        </w:rPr>
        <w:t xml:space="preserve">(3), pp.359-378. </w:t>
      </w:r>
      <w:r>
        <w:fldChar w:fldCharType="begin"/>
      </w:r>
      <w:r>
        <w:instrText xml:space="preserve"> HYPERLINK "https://journals.sagepub.com/doi/full/10.1177/00336882211053052" </w:instrText>
      </w:r>
      <w:r>
        <w:fldChar w:fldCharType="separate"/>
      </w:r>
      <w:r>
        <w:rPr>
          <w:rStyle w:val="17"/>
          <w:rFonts w:ascii="Times New Roman" w:hAnsi="Times New Roman" w:cs="Times New Roman"/>
          <w:sz w:val="24"/>
          <w:szCs w:val="24"/>
          <w:shd w:val="clear" w:color="auto" w:fill="FFFFFF"/>
        </w:rPr>
        <w:t>https://journals.sagepub.com/doi/full/10.1177/00336882211053052</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Nguyen, M.X.N.C., Dao, P., Iwashita, N. and Spinelli, F., 2023. Teacher learners theorizing from practice: A case of the concept of learner engagement in interactive second language learning tasks. </w:t>
      </w:r>
      <w:r>
        <w:rPr>
          <w:rFonts w:ascii="Times New Roman" w:hAnsi="Times New Roman" w:cs="Times New Roman"/>
          <w:i/>
          <w:iCs/>
          <w:color w:val="222222"/>
          <w:sz w:val="24"/>
          <w:szCs w:val="24"/>
          <w:shd w:val="clear" w:color="auto" w:fill="FFFFFF"/>
        </w:rPr>
        <w:t>Teaching and Teacher Education</w:t>
      </w:r>
      <w:r>
        <w:rPr>
          <w:rFonts w:ascii="Times New Roman" w:hAnsi="Times New Roman" w:cs="Times New Roman"/>
          <w:color w:val="222222"/>
          <w:sz w:val="24"/>
          <w:szCs w:val="24"/>
          <w:shd w:val="clear" w:color="auto" w:fill="FFFFFF"/>
        </w:rPr>
        <w:t>, 129, p.104151.</w:t>
      </w:r>
      <w:r>
        <w:rPr>
          <w:rFonts w:ascii="Times New Roman" w:hAnsi="Times New Roman" w:cs="Times New Roman"/>
          <w:sz w:val="24"/>
          <w:szCs w:val="24"/>
        </w:rPr>
        <w:t xml:space="preserve"> </w:t>
      </w:r>
      <w:r>
        <w:fldChar w:fldCharType="begin"/>
      </w:r>
      <w:r>
        <w:instrText xml:space="preserve"> HYPERLINK "https://www.sciencedirect.com/science/article/pii/S0742051X23001397" </w:instrText>
      </w:r>
      <w:r>
        <w:fldChar w:fldCharType="separate"/>
      </w:r>
      <w:r>
        <w:rPr>
          <w:rStyle w:val="17"/>
          <w:rFonts w:ascii="Times New Roman" w:hAnsi="Times New Roman" w:cs="Times New Roman"/>
          <w:sz w:val="24"/>
          <w:szCs w:val="24"/>
          <w:shd w:val="clear" w:color="auto" w:fill="FFFFFF"/>
        </w:rPr>
        <w:t>https://www.sciencedirect.com/science/article/pii/S0742051X23001397</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Ouyang, F., Zheng, L. and Jiao, P., 2022. Artificial intelligence in online higher education: A systematic review of empirical research from 2011 to 2020. </w:t>
      </w:r>
      <w:r>
        <w:rPr>
          <w:rFonts w:ascii="Times New Roman" w:hAnsi="Times New Roman" w:cs="Times New Roman"/>
          <w:i/>
          <w:iCs/>
          <w:color w:val="222222"/>
          <w:sz w:val="24"/>
          <w:szCs w:val="24"/>
          <w:shd w:val="clear" w:color="auto" w:fill="FFFFFF"/>
        </w:rPr>
        <w:t>Education and Information Technologies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27</w:t>
      </w:r>
      <w:r>
        <w:rPr>
          <w:rFonts w:ascii="Times New Roman" w:hAnsi="Times New Roman" w:cs="Times New Roman"/>
          <w:color w:val="222222"/>
          <w:sz w:val="24"/>
          <w:szCs w:val="24"/>
          <w:shd w:val="clear" w:color="auto" w:fill="FFFFFF"/>
        </w:rPr>
        <w:t>(6), pp.7893-7925.</w:t>
      </w:r>
      <w:r>
        <w:rPr>
          <w:rFonts w:ascii="Times New Roman" w:hAnsi="Times New Roman" w:cs="Times New Roman"/>
          <w:sz w:val="24"/>
          <w:szCs w:val="24"/>
        </w:rPr>
        <w:t xml:space="preserve"> </w:t>
      </w:r>
      <w:r>
        <w:fldChar w:fldCharType="begin"/>
      </w:r>
      <w:r>
        <w:instrText xml:space="preserve"> HYPERLINK "https://link.springer.com/article/10.1007/s10639-022-10925-9" </w:instrText>
      </w:r>
      <w:r>
        <w:fldChar w:fldCharType="separate"/>
      </w:r>
      <w:r>
        <w:rPr>
          <w:rStyle w:val="17"/>
          <w:rFonts w:ascii="Times New Roman" w:hAnsi="Times New Roman" w:cs="Times New Roman"/>
          <w:sz w:val="24"/>
          <w:szCs w:val="24"/>
          <w:shd w:val="clear" w:color="auto" w:fill="FFFFFF"/>
        </w:rPr>
        <w:t>https://link.springer.com/article/10.1007/s10639-022-10925-9</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Pan, Z., Wang, Y. and Derakhshan, A., 2023. Unpacking Chinese EFL students’ academic engagement and psychological well-being: The roles of language teachers’ affective scaffolding. </w:t>
      </w:r>
      <w:r>
        <w:rPr>
          <w:rFonts w:ascii="Times New Roman" w:hAnsi="Times New Roman" w:cs="Times New Roman"/>
          <w:i/>
          <w:iCs/>
          <w:color w:val="222222"/>
          <w:sz w:val="24"/>
          <w:szCs w:val="24"/>
          <w:shd w:val="clear" w:color="auto" w:fill="FFFFFF"/>
        </w:rPr>
        <w:t>Journal of Psycholinguistic Research</w:t>
      </w:r>
      <w:r>
        <w:rPr>
          <w:rFonts w:ascii="Times New Roman" w:hAnsi="Times New Roman" w:cs="Times New Roman"/>
          <w:color w:val="222222"/>
          <w:sz w:val="24"/>
          <w:szCs w:val="24"/>
          <w:shd w:val="clear" w:color="auto" w:fill="FFFFFF"/>
        </w:rPr>
        <w:t xml:space="preserve">, pp.1-21. </w:t>
      </w:r>
      <w:r>
        <w:fldChar w:fldCharType="begin"/>
      </w:r>
      <w:r>
        <w:instrText xml:space="preserve"> HYPERLINK "https://link.springer.com/article/10.1007/s10936-023-09974-z" </w:instrText>
      </w:r>
      <w:r>
        <w:fldChar w:fldCharType="separate"/>
      </w:r>
      <w:r>
        <w:rPr>
          <w:rStyle w:val="17"/>
          <w:rFonts w:ascii="Times New Roman" w:hAnsi="Times New Roman" w:cs="Times New Roman"/>
          <w:sz w:val="24"/>
          <w:szCs w:val="24"/>
          <w:shd w:val="clear" w:color="auto" w:fill="FFFFFF"/>
        </w:rPr>
        <w:t>https://link.springer.com/article/10.1007/s10936-023-09974-z</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Pawlak, M., Derakhshan, A., Mehdizadeh, M. and Kruk, M., 2021. Boredom in online English language classes: Mediating variables and coping strategies.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p.13621688211064944.</w:t>
      </w:r>
      <w:r>
        <w:rPr>
          <w:rFonts w:ascii="Times New Roman" w:hAnsi="Times New Roman" w:cs="Times New Roman"/>
          <w:sz w:val="24"/>
          <w:szCs w:val="24"/>
        </w:rPr>
        <w:t xml:space="preserve"> </w:t>
      </w:r>
      <w:r>
        <w:fldChar w:fldCharType="begin"/>
      </w:r>
      <w:r>
        <w:instrText xml:space="preserve"> HYPERLINK "https://journals.sagepub.com/doi/abs/10.1177/13621688211064944" </w:instrText>
      </w:r>
      <w:r>
        <w:fldChar w:fldCharType="separate"/>
      </w:r>
      <w:r>
        <w:rPr>
          <w:rStyle w:val="17"/>
          <w:rFonts w:ascii="Times New Roman" w:hAnsi="Times New Roman" w:cs="Times New Roman"/>
          <w:sz w:val="24"/>
          <w:szCs w:val="24"/>
          <w:shd w:val="clear" w:color="auto" w:fill="FFFFFF"/>
        </w:rPr>
        <w:t>https://journals.sagepub.com/doi/abs/10.1177/13621688211064944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Peng, Y. and Pyper, J.S., 2021. Finding success with pedagogical innovation: A case from CSL teachers’ experiences with TBLT.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(4), pp.633-655.</w:t>
      </w:r>
      <w:r>
        <w:rPr>
          <w:rFonts w:ascii="Times New Roman" w:hAnsi="Times New Roman" w:cs="Times New Roman"/>
          <w:sz w:val="24"/>
          <w:szCs w:val="24"/>
        </w:rPr>
        <w:t xml:space="preserve"> </w:t>
      </w:r>
      <w:r>
        <w:fldChar w:fldCharType="begin"/>
      </w:r>
      <w:r>
        <w:instrText xml:space="preserve"> HYPERLINK "https://journals.sagepub.com/doi/abs/10.1177/1362168819862132" </w:instrText>
      </w:r>
      <w:r>
        <w:fldChar w:fldCharType="separate"/>
      </w:r>
      <w:r>
        <w:rPr>
          <w:rStyle w:val="17"/>
          <w:rFonts w:ascii="Times New Roman" w:hAnsi="Times New Roman" w:cs="Times New Roman"/>
          <w:sz w:val="24"/>
          <w:szCs w:val="24"/>
          <w:shd w:val="clear" w:color="auto" w:fill="FFFFFF"/>
        </w:rPr>
        <w:t>https://journals.sagepub.com/doi/abs/10.1177/1362168819862132</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Poehner, M.E. and Wang, Z., 2021. Dynamic assessment and second language development. </w:t>
      </w:r>
      <w:r>
        <w:rPr>
          <w:rFonts w:ascii="Times New Roman" w:hAnsi="Times New Roman" w:cs="Times New Roman"/>
          <w:i/>
          <w:iCs/>
          <w:color w:val="222222"/>
          <w:sz w:val="24"/>
          <w:szCs w:val="24"/>
          <w:shd w:val="clear" w:color="auto" w:fill="FFFFFF"/>
        </w:rPr>
        <w:t>Language Teaching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54</w:t>
      </w:r>
      <w:r>
        <w:rPr>
          <w:rFonts w:ascii="Times New Roman" w:hAnsi="Times New Roman" w:cs="Times New Roman"/>
          <w:color w:val="222222"/>
          <w:sz w:val="24"/>
          <w:szCs w:val="24"/>
          <w:shd w:val="clear" w:color="auto" w:fill="FFFFFF"/>
        </w:rPr>
        <w:t>(4), pp.472-490.</w:t>
      </w:r>
      <w:r>
        <w:rPr>
          <w:rFonts w:ascii="Times New Roman" w:hAnsi="Times New Roman" w:cs="Times New Roman"/>
          <w:sz w:val="24"/>
          <w:szCs w:val="24"/>
        </w:rPr>
        <w:t xml:space="preserve"> </w:t>
      </w:r>
      <w:r>
        <w:fldChar w:fldCharType="begin"/>
      </w:r>
      <w:r>
        <w:instrText xml:space="preserve"> HYPERLINK "https://www.cambridge.org/core/journals/language-teaching/article/abs/dynamic-assessment-and-second-language-development/6926234FDE72C27BF93941383DCB6388" </w:instrText>
      </w:r>
      <w:r>
        <w:fldChar w:fldCharType="separate"/>
      </w:r>
      <w:r>
        <w:rPr>
          <w:rStyle w:val="17"/>
          <w:rFonts w:ascii="Times New Roman" w:hAnsi="Times New Roman" w:cs="Times New Roman"/>
          <w:sz w:val="24"/>
          <w:szCs w:val="24"/>
          <w:shd w:val="clear" w:color="auto" w:fill="FFFFFF"/>
        </w:rPr>
        <w:t>https://www.cambridge.org/core/journals/language-teaching/article/abs/dynamic-assessment-and-second-language-development/6926234FDE72C27BF93941383DCB6388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Rahimi, M. and Ong, K.K.W., 2023. Exploring expert teachers' cognitions and practices of teaching English speaking and their students’ experiences and engagement. </w:t>
      </w:r>
      <w:r>
        <w:rPr>
          <w:rFonts w:ascii="Times New Roman" w:hAnsi="Times New Roman" w:cs="Times New Roman"/>
          <w:i/>
          <w:iCs/>
          <w:color w:val="222222"/>
          <w:sz w:val="24"/>
          <w:szCs w:val="24"/>
          <w:shd w:val="clear" w:color="auto" w:fill="FFFFFF"/>
        </w:rPr>
        <w:t>System</w:t>
      </w:r>
      <w:r>
        <w:rPr>
          <w:rFonts w:ascii="Times New Roman" w:hAnsi="Times New Roman" w:cs="Times New Roman"/>
          <w:color w:val="222222"/>
          <w:sz w:val="24"/>
          <w:szCs w:val="24"/>
          <w:shd w:val="clear" w:color="auto" w:fill="FFFFFF"/>
        </w:rPr>
        <w:t>, p.103064.</w:t>
      </w:r>
      <w:r>
        <w:rPr>
          <w:rFonts w:ascii="Times New Roman" w:hAnsi="Times New Roman" w:cs="Times New Roman"/>
          <w:sz w:val="24"/>
          <w:szCs w:val="24"/>
        </w:rPr>
        <w:t xml:space="preserve"> </w:t>
      </w:r>
      <w:r>
        <w:fldChar w:fldCharType="begin"/>
      </w:r>
      <w:r>
        <w:instrText xml:space="preserve"> HYPERLINK "https://www.sciencedirect.com/science/article/pii/S0346251X23000866" </w:instrText>
      </w:r>
      <w:r>
        <w:fldChar w:fldCharType="separate"/>
      </w:r>
      <w:r>
        <w:rPr>
          <w:rStyle w:val="17"/>
          <w:rFonts w:ascii="Times New Roman" w:hAnsi="Times New Roman" w:cs="Times New Roman"/>
          <w:sz w:val="24"/>
          <w:szCs w:val="24"/>
          <w:shd w:val="clear" w:color="auto" w:fill="FFFFFF"/>
        </w:rPr>
        <w:t>https://www.sciencedirect.com/science/article/pii/S0346251X23000866</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Ranalli, J., 2021. L2 student engagement with automated feedback on writing: Potential for learning and issues of trust. </w:t>
      </w:r>
      <w:r>
        <w:rPr>
          <w:rFonts w:ascii="Times New Roman" w:hAnsi="Times New Roman" w:cs="Times New Roman"/>
          <w:i/>
          <w:iCs/>
          <w:color w:val="222222"/>
          <w:sz w:val="24"/>
          <w:szCs w:val="24"/>
          <w:shd w:val="clear" w:color="auto" w:fill="FFFFFF"/>
        </w:rPr>
        <w:t>Journal of Second Language Writing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52</w:t>
      </w:r>
      <w:r>
        <w:rPr>
          <w:rFonts w:ascii="Times New Roman" w:hAnsi="Times New Roman" w:cs="Times New Roman"/>
          <w:color w:val="222222"/>
          <w:sz w:val="24"/>
          <w:szCs w:val="24"/>
          <w:shd w:val="clear" w:color="auto" w:fill="FFFFFF"/>
        </w:rPr>
        <w:t>, p.100816.</w:t>
      </w:r>
      <w:r>
        <w:rPr>
          <w:rFonts w:ascii="Times New Roman" w:hAnsi="Times New Roman" w:cs="Times New Roman"/>
          <w:sz w:val="24"/>
          <w:szCs w:val="24"/>
        </w:rPr>
        <w:t xml:space="preserve"> </w:t>
      </w:r>
      <w:r>
        <w:fldChar w:fldCharType="begin"/>
      </w:r>
      <w:r>
        <w:instrText xml:space="preserve"> HYPERLINK "https://www.sciencedirect.com/science/article/abs/pii/S106037432100031X" </w:instrText>
      </w:r>
      <w:r>
        <w:fldChar w:fldCharType="separate"/>
      </w:r>
      <w:r>
        <w:rPr>
          <w:rStyle w:val="17"/>
          <w:rFonts w:ascii="Times New Roman" w:hAnsi="Times New Roman" w:cs="Times New Roman"/>
          <w:sz w:val="24"/>
          <w:szCs w:val="24"/>
          <w:shd w:val="clear" w:color="auto" w:fill="FFFFFF"/>
        </w:rPr>
        <w:t>https://www.sciencedirect.com/science/article/abs/pii/S106037432100031X</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Ruthotto, I., Kreth, Q., Stevens, J., Trively, C. and Melkers, J., 2020. Lurking and participation in the virtual classroom: The effects of gender, race, and age among graduate students in computer science. </w:t>
      </w:r>
      <w:r>
        <w:rPr>
          <w:rFonts w:ascii="Times New Roman" w:hAnsi="Times New Roman" w:cs="Times New Roman"/>
          <w:i/>
          <w:iCs/>
          <w:color w:val="222222"/>
          <w:sz w:val="24"/>
          <w:szCs w:val="24"/>
          <w:shd w:val="clear" w:color="auto" w:fill="FFFFFF"/>
        </w:rPr>
        <w:t>Computers &amp;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151</w:t>
      </w:r>
      <w:r>
        <w:rPr>
          <w:rFonts w:ascii="Times New Roman" w:hAnsi="Times New Roman" w:cs="Times New Roman"/>
          <w:color w:val="222222"/>
          <w:sz w:val="24"/>
          <w:szCs w:val="24"/>
          <w:shd w:val="clear" w:color="auto" w:fill="FFFFFF"/>
        </w:rPr>
        <w:t>, p.103854.</w:t>
      </w:r>
      <w:r>
        <w:rPr>
          <w:rFonts w:ascii="Times New Roman" w:hAnsi="Times New Roman" w:cs="Times New Roman"/>
          <w:sz w:val="24"/>
          <w:szCs w:val="24"/>
        </w:rPr>
        <w:t xml:space="preserve"> </w:t>
      </w:r>
      <w:r>
        <w:fldChar w:fldCharType="begin"/>
      </w:r>
      <w:r>
        <w:instrText xml:space="preserve"> HYPERLINK "https://www.sciencedirect.com/science/article/abs/pii/S0360131520300543" </w:instrText>
      </w:r>
      <w:r>
        <w:fldChar w:fldCharType="separate"/>
      </w:r>
      <w:r>
        <w:rPr>
          <w:rStyle w:val="17"/>
          <w:rFonts w:ascii="Times New Roman" w:hAnsi="Times New Roman" w:cs="Times New Roman"/>
          <w:sz w:val="24"/>
          <w:szCs w:val="24"/>
          <w:shd w:val="clear" w:color="auto" w:fill="FFFFFF"/>
        </w:rPr>
        <w:t>https://www.sciencedirect.com/science/article/abs/pii/S0360131520300543</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Saleem, M., Larik, A.R. and Bukhari, S.G.A.S., 2023. Loopholes in developing English communicative competence: A comparative case study of Pakistan and China. </w:t>
      </w:r>
      <w:r>
        <w:rPr>
          <w:rFonts w:ascii="Times New Roman" w:hAnsi="Times New Roman" w:cs="Times New Roman"/>
          <w:i/>
          <w:iCs/>
          <w:color w:val="222222"/>
          <w:sz w:val="24"/>
          <w:szCs w:val="24"/>
          <w:shd w:val="clear" w:color="auto" w:fill="FFFFFF"/>
        </w:rPr>
        <w:t>Research in Comparative and International Education</w:t>
      </w:r>
      <w:r>
        <w:rPr>
          <w:rFonts w:ascii="Times New Roman" w:hAnsi="Times New Roman" w:cs="Times New Roman"/>
          <w:color w:val="222222"/>
          <w:sz w:val="24"/>
          <w:szCs w:val="24"/>
          <w:shd w:val="clear" w:color="auto" w:fill="FFFFFF"/>
        </w:rPr>
        <w:t>, 18(3), pp.373-394.</w:t>
      </w:r>
      <w:r>
        <w:rPr>
          <w:rFonts w:ascii="Times New Roman" w:hAnsi="Times New Roman" w:cs="Times New Roman"/>
          <w:sz w:val="24"/>
          <w:szCs w:val="24"/>
        </w:rPr>
        <w:t xml:space="preserve"> </w:t>
      </w:r>
      <w:r>
        <w:fldChar w:fldCharType="begin"/>
      </w:r>
      <w:r>
        <w:instrText xml:space="preserve"> HYPERLINK "https://journals.sagepub.com/doi/abs/10.1177/17454999221128474" </w:instrText>
      </w:r>
      <w:r>
        <w:fldChar w:fldCharType="separate"/>
      </w:r>
      <w:r>
        <w:rPr>
          <w:rStyle w:val="17"/>
          <w:rFonts w:ascii="Times New Roman" w:hAnsi="Times New Roman" w:cs="Times New Roman"/>
          <w:sz w:val="24"/>
          <w:szCs w:val="24"/>
          <w:shd w:val="clear" w:color="auto" w:fill="FFFFFF"/>
        </w:rPr>
        <w:t>https://journals.sagepub.com/doi/abs/10.1177/17454999221128474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Shan, J. and Shan, A., 2023. Exploring internationalization of higher education: Chinese postgraduate students’ oral participation in English during their experience at a UK university.</w:t>
      </w:r>
      <w:r>
        <w:rPr>
          <w:rFonts w:ascii="Times New Roman" w:hAnsi="Times New Roman" w:cs="Times New Roman"/>
          <w:sz w:val="24"/>
          <w:szCs w:val="24"/>
        </w:rPr>
        <w:t xml:space="preserve"> </w:t>
      </w:r>
      <w:r>
        <w:fldChar w:fldCharType="begin"/>
      </w:r>
      <w:r>
        <w:instrText xml:space="preserve"> HYPERLINK "https://era.ed.ac.uk/handle/1842/40684" </w:instrText>
      </w:r>
      <w:r>
        <w:fldChar w:fldCharType="separate"/>
      </w:r>
      <w:r>
        <w:rPr>
          <w:rStyle w:val="17"/>
          <w:rFonts w:ascii="Times New Roman" w:hAnsi="Times New Roman" w:cs="Times New Roman"/>
          <w:sz w:val="24"/>
          <w:szCs w:val="24"/>
          <w:shd w:val="clear" w:color="auto" w:fill="FFFFFF"/>
        </w:rPr>
        <w:t>https://era.ed.ac.uk/handle/1842/40684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Sharif Nia, H., Azad Moghddam, H., Marôco, J., Rahmatpour, P., Allen, K.A., Kaur, H., Kaveh, O., Gorgulu, O. and Pahlevan Sharif, S., 2023. A psychometric lens for e-learning: examining the validity and reliability of the Persian Version of University Students’ Engagement Inventory (P-USEI). </w:t>
      </w:r>
      <w:r>
        <w:rPr>
          <w:rFonts w:ascii="Times New Roman" w:hAnsi="Times New Roman" w:cs="Times New Roman"/>
          <w:i/>
          <w:iCs/>
          <w:color w:val="222222"/>
          <w:sz w:val="24"/>
          <w:szCs w:val="24"/>
          <w:shd w:val="clear" w:color="auto" w:fill="FFFFFF"/>
        </w:rPr>
        <w:t>The Asia-Pacific Education Researcher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32</w:t>
      </w:r>
      <w:r>
        <w:rPr>
          <w:rFonts w:ascii="Times New Roman" w:hAnsi="Times New Roman" w:cs="Times New Roman"/>
          <w:color w:val="222222"/>
          <w:sz w:val="24"/>
          <w:szCs w:val="24"/>
          <w:shd w:val="clear" w:color="auto" w:fill="FFFFFF"/>
        </w:rPr>
        <w:t>(4), pp.573-582.</w:t>
      </w:r>
      <w:r>
        <w:rPr>
          <w:rFonts w:ascii="Times New Roman" w:hAnsi="Times New Roman" w:cs="Times New Roman"/>
          <w:sz w:val="24"/>
          <w:szCs w:val="24"/>
        </w:rPr>
        <w:t xml:space="preserve"> </w:t>
      </w:r>
      <w:r>
        <w:fldChar w:fldCharType="begin"/>
      </w:r>
      <w:r>
        <w:instrText xml:space="preserve"> HYPERLINK "https://link.springer.com/article/10.1007/s40299-022-00677-y" </w:instrText>
      </w:r>
      <w:r>
        <w:fldChar w:fldCharType="separate"/>
      </w:r>
      <w:r>
        <w:rPr>
          <w:rStyle w:val="17"/>
          <w:rFonts w:ascii="Times New Roman" w:hAnsi="Times New Roman" w:cs="Times New Roman"/>
          <w:sz w:val="24"/>
          <w:szCs w:val="24"/>
          <w:shd w:val="clear" w:color="auto" w:fill="FFFFFF"/>
        </w:rPr>
        <w:t>https://link.springer.com/article/10.1007/s40299-022-00677-y</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Shen, R. and Chong, S.W., 2023. Learner engagement with written corrective feedback in ESL and EFL contexts: a qualitative research synthesis using a perception-based framework. </w:t>
      </w:r>
      <w:r>
        <w:rPr>
          <w:rFonts w:ascii="Times New Roman" w:hAnsi="Times New Roman" w:cs="Times New Roman"/>
          <w:i/>
          <w:iCs/>
          <w:color w:val="222222"/>
          <w:sz w:val="24"/>
          <w:szCs w:val="24"/>
          <w:shd w:val="clear" w:color="auto" w:fill="FFFFFF"/>
        </w:rPr>
        <w:t>Assessment &amp; Evaluation in Higher Education</w:t>
      </w:r>
      <w:r>
        <w:rPr>
          <w:rFonts w:ascii="Times New Roman" w:hAnsi="Times New Roman" w:cs="Times New Roman"/>
          <w:color w:val="222222"/>
          <w:sz w:val="24"/>
          <w:szCs w:val="24"/>
          <w:shd w:val="clear" w:color="auto" w:fill="FFFFFF"/>
        </w:rPr>
        <w:t>, 48(3), pp.276-290.</w:t>
      </w:r>
      <w:r>
        <w:rPr>
          <w:rFonts w:ascii="Times New Roman" w:hAnsi="Times New Roman" w:cs="Times New Roman"/>
          <w:sz w:val="24"/>
          <w:szCs w:val="24"/>
        </w:rPr>
        <w:t xml:space="preserve"> </w:t>
      </w:r>
      <w:r>
        <w:fldChar w:fldCharType="begin"/>
      </w:r>
      <w:r>
        <w:instrText xml:space="preserve"> HYPERLINK "https://www.tandfonline.com/doi/full/10.1080/02602938.2022.2072468" </w:instrText>
      </w:r>
      <w:r>
        <w:fldChar w:fldCharType="separate"/>
      </w:r>
      <w:r>
        <w:rPr>
          <w:rStyle w:val="17"/>
          <w:rFonts w:ascii="Times New Roman" w:hAnsi="Times New Roman" w:cs="Times New Roman"/>
          <w:sz w:val="24"/>
          <w:szCs w:val="24"/>
          <w:shd w:val="clear" w:color="auto" w:fill="FFFFFF"/>
        </w:rPr>
        <w:t>https://www.tandfonline.com/doi/full/10.1080/02602938.2022.2072468</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Shrestha, S., Haque, S., Dawadi, S. and Giri, R.A., 2022. Preparations for and practices of online education during the Covid-19 pandemic: A study of Bangladesh and Nepal. </w:t>
      </w:r>
      <w:r>
        <w:rPr>
          <w:rFonts w:ascii="Times New Roman" w:hAnsi="Times New Roman" w:cs="Times New Roman"/>
          <w:i/>
          <w:iCs/>
          <w:color w:val="222222"/>
          <w:sz w:val="24"/>
          <w:szCs w:val="24"/>
          <w:shd w:val="clear" w:color="auto" w:fill="FFFFFF"/>
        </w:rPr>
        <w:t>Education and information technologies</w:t>
      </w:r>
      <w:r>
        <w:rPr>
          <w:rFonts w:ascii="Times New Roman" w:hAnsi="Times New Roman" w:cs="Times New Roman"/>
          <w:color w:val="222222"/>
          <w:sz w:val="24"/>
          <w:szCs w:val="24"/>
          <w:shd w:val="clear" w:color="auto" w:fill="FFFFFF"/>
        </w:rPr>
        <w:t>, pp.1-23.</w:t>
      </w:r>
      <w:r>
        <w:rPr>
          <w:rFonts w:ascii="Times New Roman" w:hAnsi="Times New Roman" w:cs="Times New Roman"/>
          <w:sz w:val="24"/>
          <w:szCs w:val="24"/>
        </w:rPr>
        <w:t xml:space="preserve"> </w:t>
      </w:r>
      <w:r>
        <w:fldChar w:fldCharType="begin"/>
      </w:r>
      <w:r>
        <w:instrText xml:space="preserve"> HYPERLINK "https://link.springer.com/article/10.1007/s10639-021-10659-0" </w:instrText>
      </w:r>
      <w:r>
        <w:fldChar w:fldCharType="separate"/>
      </w:r>
      <w:r>
        <w:rPr>
          <w:rStyle w:val="17"/>
          <w:rFonts w:ascii="Times New Roman" w:hAnsi="Times New Roman" w:cs="Times New Roman"/>
          <w:sz w:val="24"/>
          <w:szCs w:val="24"/>
          <w:shd w:val="clear" w:color="auto" w:fill="FFFFFF"/>
        </w:rPr>
        <w:t>https://link.springer.com/article/10.1007/s10639-021-10659-0</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Su, F., Zou, D., Wang, L. and Kohnke, L., 2023. Student engagement and teaching presence in blended learning and emergency remote teaching. </w:t>
      </w:r>
      <w:r>
        <w:rPr>
          <w:rFonts w:ascii="Times New Roman" w:hAnsi="Times New Roman" w:cs="Times New Roman"/>
          <w:i/>
          <w:iCs/>
          <w:color w:val="222222"/>
          <w:sz w:val="24"/>
          <w:szCs w:val="24"/>
          <w:shd w:val="clear" w:color="auto" w:fill="FFFFFF"/>
        </w:rPr>
        <w:t>Journal of Computers in Education</w:t>
      </w:r>
      <w:r>
        <w:rPr>
          <w:rFonts w:ascii="Times New Roman" w:hAnsi="Times New Roman" w:cs="Times New Roman"/>
          <w:color w:val="222222"/>
          <w:sz w:val="24"/>
          <w:szCs w:val="24"/>
          <w:shd w:val="clear" w:color="auto" w:fill="FFFFFF"/>
        </w:rPr>
        <w:t>, pp.1-26.</w:t>
      </w:r>
      <w:r>
        <w:rPr>
          <w:rFonts w:ascii="Times New Roman" w:hAnsi="Times New Roman" w:cs="Times New Roman"/>
          <w:sz w:val="24"/>
          <w:szCs w:val="24"/>
        </w:rPr>
        <w:t xml:space="preserve"> </w:t>
      </w:r>
      <w:r>
        <w:fldChar w:fldCharType="begin"/>
      </w:r>
      <w:r>
        <w:instrText xml:space="preserve"> HYPERLINK "https://link.springer.com/article/10.1007/s40692-023-00263-1" </w:instrText>
      </w:r>
      <w:r>
        <w:fldChar w:fldCharType="separate"/>
      </w:r>
      <w:r>
        <w:rPr>
          <w:rStyle w:val="17"/>
          <w:rFonts w:ascii="Times New Roman" w:hAnsi="Times New Roman" w:cs="Times New Roman"/>
          <w:sz w:val="24"/>
          <w:szCs w:val="24"/>
          <w:shd w:val="clear" w:color="auto" w:fill="FFFFFF"/>
        </w:rPr>
        <w:t>https://link.springer.com/article/10.1007/s40692-023-00263-1</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Sullivan, G.M. and Artino Jr, A.R., 2013. Analyzing and interpreting data from Likert-type scales. </w:t>
      </w:r>
      <w:r>
        <w:rPr>
          <w:rFonts w:ascii="Times New Roman" w:hAnsi="Times New Roman" w:cs="Times New Roman"/>
          <w:i/>
          <w:iCs/>
          <w:color w:val="222222"/>
          <w:sz w:val="24"/>
          <w:szCs w:val="24"/>
          <w:shd w:val="clear" w:color="auto" w:fill="FFFFFF"/>
        </w:rPr>
        <w:t>Journal of graduate medical education</w:t>
      </w:r>
      <w:r>
        <w:rPr>
          <w:rFonts w:ascii="Times New Roman" w:hAnsi="Times New Roman" w:cs="Times New Roman"/>
          <w:color w:val="222222"/>
          <w:sz w:val="24"/>
          <w:szCs w:val="24"/>
          <w:shd w:val="clear" w:color="auto" w:fill="FFFFFF"/>
        </w:rPr>
        <w:t>, 5(4), pp.541-542.</w:t>
      </w:r>
      <w:r>
        <w:rPr>
          <w:rFonts w:ascii="Times New Roman" w:hAnsi="Times New Roman" w:cs="Times New Roman"/>
          <w:sz w:val="24"/>
          <w:szCs w:val="24"/>
        </w:rPr>
        <w:t xml:space="preserve"> </w:t>
      </w:r>
      <w:r>
        <w:fldChar w:fldCharType="begin"/>
      </w:r>
      <w:r>
        <w:instrText xml:space="preserve"> HYPERLINK "https://meridian.allenpress.com/jgme/article/5/4/541/34037/Analyzing-and-Interpreting-Data-From-Likert-Type" </w:instrText>
      </w:r>
      <w:r>
        <w:fldChar w:fldCharType="separate"/>
      </w:r>
      <w:r>
        <w:rPr>
          <w:rStyle w:val="17"/>
          <w:rFonts w:ascii="Times New Roman" w:hAnsi="Times New Roman" w:cs="Times New Roman"/>
          <w:sz w:val="24"/>
          <w:szCs w:val="24"/>
          <w:shd w:val="clear" w:color="auto" w:fill="FFFFFF"/>
        </w:rPr>
        <w:t>https://meridian.allenpress.com/jgme/article/5/4/541/34037/Analyzing-and-Interpreting-Data-From-Likert-Type</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Teng, Y. and Wang, X., 2023. Full caption, English proficiency and their relationships with behavioral, cognitive and emotional student engagement in Chinese EFL college content-based instruction video learning. </w:t>
      </w:r>
      <w:r>
        <w:rPr>
          <w:rFonts w:ascii="Times New Roman" w:hAnsi="Times New Roman" w:cs="Times New Roman"/>
          <w:i/>
          <w:iCs/>
          <w:color w:val="222222"/>
          <w:sz w:val="24"/>
          <w:szCs w:val="24"/>
          <w:shd w:val="clear" w:color="auto" w:fill="FFFFFF"/>
        </w:rPr>
        <w:t>Education and Information Technologies</w:t>
      </w:r>
      <w:r>
        <w:rPr>
          <w:rFonts w:ascii="Times New Roman" w:hAnsi="Times New Roman" w:cs="Times New Roman"/>
          <w:color w:val="222222"/>
          <w:sz w:val="24"/>
          <w:szCs w:val="24"/>
          <w:shd w:val="clear" w:color="auto" w:fill="FFFFFF"/>
        </w:rPr>
        <w:t>, pp.1-20.</w:t>
      </w:r>
      <w:r>
        <w:rPr>
          <w:rFonts w:ascii="Times New Roman" w:hAnsi="Times New Roman" w:cs="Times New Roman"/>
          <w:sz w:val="24"/>
          <w:szCs w:val="24"/>
        </w:rPr>
        <w:t xml:space="preserve"> </w:t>
      </w:r>
      <w:r>
        <w:fldChar w:fldCharType="begin"/>
      </w:r>
      <w:r>
        <w:instrText xml:space="preserve"> HYPERLINK "https://link.springer.com/article/10.1007/s10639-023-12342-y" </w:instrText>
      </w:r>
      <w:r>
        <w:fldChar w:fldCharType="separate"/>
      </w:r>
      <w:r>
        <w:rPr>
          <w:rStyle w:val="17"/>
          <w:rFonts w:ascii="Times New Roman" w:hAnsi="Times New Roman" w:cs="Times New Roman"/>
          <w:sz w:val="24"/>
          <w:szCs w:val="24"/>
          <w:shd w:val="clear" w:color="auto" w:fill="FFFFFF"/>
        </w:rPr>
        <w:t>https://link.springer.com/article/10.1007/s10639-023-12342-y</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Tong, P., Yin, Z. and Tsung, L., 2022. Student engagement and authentic language use on WeChat for learning Chinese as a foreign language. </w:t>
      </w:r>
      <w:r>
        <w:rPr>
          <w:rFonts w:ascii="Times New Roman" w:hAnsi="Times New Roman" w:cs="Times New Roman"/>
          <w:i/>
          <w:iCs/>
          <w:color w:val="222222"/>
          <w:sz w:val="24"/>
          <w:szCs w:val="24"/>
          <w:shd w:val="clear" w:color="auto" w:fill="FFFFFF"/>
        </w:rPr>
        <w:t>Computer Assisted Language Learning</w:t>
      </w:r>
      <w:r>
        <w:rPr>
          <w:rFonts w:ascii="Times New Roman" w:hAnsi="Times New Roman" w:cs="Times New Roman"/>
          <w:color w:val="222222"/>
          <w:sz w:val="24"/>
          <w:szCs w:val="24"/>
          <w:shd w:val="clear" w:color="auto" w:fill="FFFFFF"/>
        </w:rPr>
        <w:t>, pp.1-32.</w:t>
      </w:r>
      <w:r>
        <w:rPr>
          <w:rFonts w:ascii="Times New Roman" w:hAnsi="Times New Roman" w:cs="Times New Roman"/>
          <w:sz w:val="24"/>
          <w:szCs w:val="24"/>
        </w:rPr>
        <w:t xml:space="preserve"> </w:t>
      </w:r>
      <w:r>
        <w:fldChar w:fldCharType="begin"/>
      </w:r>
      <w:r>
        <w:instrText xml:space="preserve"> HYPERLINK "https://www.tandfonline.com/doi/abs/10.1080/09588221.2022.2052906" </w:instrText>
      </w:r>
      <w:r>
        <w:fldChar w:fldCharType="separate"/>
      </w:r>
      <w:r>
        <w:rPr>
          <w:rStyle w:val="17"/>
          <w:rFonts w:ascii="Times New Roman" w:hAnsi="Times New Roman" w:cs="Times New Roman"/>
          <w:sz w:val="24"/>
          <w:szCs w:val="24"/>
          <w:shd w:val="clear" w:color="auto" w:fill="FFFFFF"/>
        </w:rPr>
        <w:t>https://www.tandfonline.com/doi/abs/10.1080/09588221.2022.2052906</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Trust, T., Maloy, R.W. and Edwards, S., 2023. College student engagement in OER design projects: Impacts on attitudes, motivation, and learning. </w:t>
      </w:r>
      <w:r>
        <w:rPr>
          <w:rFonts w:ascii="Times New Roman" w:hAnsi="Times New Roman" w:cs="Times New Roman"/>
          <w:i/>
          <w:iCs/>
          <w:color w:val="222222"/>
          <w:sz w:val="24"/>
          <w:szCs w:val="24"/>
          <w:shd w:val="clear" w:color="auto" w:fill="FFFFFF"/>
        </w:rPr>
        <w:t>Active Learning in 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(3), pp.353-371.</w:t>
      </w:r>
      <w:r>
        <w:rPr>
          <w:rFonts w:ascii="Times New Roman" w:hAnsi="Times New Roman" w:cs="Times New Roman"/>
          <w:sz w:val="24"/>
          <w:szCs w:val="24"/>
        </w:rPr>
        <w:t xml:space="preserve"> </w:t>
      </w:r>
      <w:r>
        <w:fldChar w:fldCharType="begin"/>
      </w:r>
      <w:r>
        <w:instrText xml:space="preserve"> HYPERLINK "https://journals.sagepub.com/doi/abs/10.1177/14697874221081454" </w:instrText>
      </w:r>
      <w:r>
        <w:fldChar w:fldCharType="separate"/>
      </w:r>
      <w:r>
        <w:rPr>
          <w:rStyle w:val="17"/>
          <w:rFonts w:ascii="Times New Roman" w:hAnsi="Times New Roman" w:cs="Times New Roman"/>
          <w:sz w:val="24"/>
          <w:szCs w:val="24"/>
          <w:shd w:val="clear" w:color="auto" w:fill="FFFFFF"/>
        </w:rPr>
        <w:t>https://journals.sagepub.com/doi/abs/10.1177/14697874221081454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Wang, H., Wang, Y. and Li, S., 2023. Unpacking the relationships between emotions and achievement of EFL learners in China: Engagement as a mediator.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14, p.1098916.</w:t>
      </w:r>
      <w:r>
        <w:rPr>
          <w:rFonts w:ascii="Times New Roman" w:hAnsi="Times New Roman" w:cs="Times New Roman"/>
          <w:sz w:val="24"/>
          <w:szCs w:val="24"/>
        </w:rPr>
        <w:t xml:space="preserve"> </w:t>
      </w:r>
      <w:r>
        <w:fldChar w:fldCharType="begin"/>
      </w:r>
      <w:r>
        <w:instrText xml:space="preserve"> HYPERLINK "https://www.frontiersin.org/articles/10.3389/fpsyg.2023.1098916/full" </w:instrText>
      </w:r>
      <w:r>
        <w:fldChar w:fldCharType="separate"/>
      </w:r>
      <w:r>
        <w:rPr>
          <w:rStyle w:val="17"/>
          <w:rFonts w:ascii="Times New Roman" w:hAnsi="Times New Roman" w:cs="Times New Roman"/>
          <w:sz w:val="24"/>
          <w:szCs w:val="24"/>
          <w:shd w:val="clear" w:color="auto" w:fill="FFFFFF"/>
        </w:rPr>
        <w:t>https://www.frontiersin.org/articles/10.3389/fpsyg.2023.1098916/full</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Wu, Y. and Kang, X., 2023. Relationship between perceived teacher support and learning engagement in EFL context: The mediating role of achievement emotions. </w:t>
      </w:r>
      <w:r>
        <w:rPr>
          <w:rFonts w:ascii="Times New Roman" w:hAnsi="Times New Roman" w:cs="Times New Roman"/>
          <w:i/>
          <w:iCs/>
          <w:color w:val="222222"/>
          <w:sz w:val="24"/>
          <w:szCs w:val="24"/>
          <w:shd w:val="clear" w:color="auto" w:fill="FFFFFF"/>
        </w:rPr>
        <w:t>International Journal of Education and Humanities</w:t>
      </w:r>
      <w:r>
        <w:rPr>
          <w:rFonts w:ascii="Times New Roman" w:hAnsi="Times New Roman" w:cs="Times New Roman"/>
          <w:color w:val="222222"/>
          <w:sz w:val="24"/>
          <w:szCs w:val="24"/>
          <w:shd w:val="clear" w:color="auto" w:fill="FFFFFF"/>
        </w:rPr>
        <w:t>, 3(1), pp.85-98.</w:t>
      </w:r>
      <w:r>
        <w:rPr>
          <w:rFonts w:ascii="Times New Roman" w:hAnsi="Times New Roman" w:cs="Times New Roman"/>
          <w:sz w:val="24"/>
          <w:szCs w:val="24"/>
        </w:rPr>
        <w:t xml:space="preserve"> </w:t>
      </w:r>
      <w:r>
        <w:fldChar w:fldCharType="begin"/>
      </w:r>
      <w:r>
        <w:instrText xml:space="preserve"> HYPERLINK "https://i-jeh.com/index.php/ijeh/article/view/141" </w:instrText>
      </w:r>
      <w:r>
        <w:fldChar w:fldCharType="separate"/>
      </w:r>
      <w:r>
        <w:rPr>
          <w:rStyle w:val="17"/>
          <w:rFonts w:ascii="Times New Roman" w:hAnsi="Times New Roman" w:cs="Times New Roman"/>
          <w:sz w:val="24"/>
          <w:szCs w:val="24"/>
          <w:shd w:val="clear" w:color="auto" w:fill="FFFFFF"/>
        </w:rPr>
        <w:t>https://i-jeh.com/index.php/ijeh/article/view/141</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Xu, B., Stephens, J.M. and Lee, K., 2023. Assessing Student Engagement in Collaborative Learning: Development and Validation of New Measure in China. </w:t>
      </w:r>
      <w:r>
        <w:rPr>
          <w:rFonts w:ascii="Times New Roman" w:hAnsi="Times New Roman" w:cs="Times New Roman"/>
          <w:i/>
          <w:iCs/>
          <w:color w:val="222222"/>
          <w:sz w:val="24"/>
          <w:szCs w:val="24"/>
          <w:shd w:val="clear" w:color="auto" w:fill="FFFFFF"/>
        </w:rPr>
        <w:t>The Asia-Pacific Education Researcher</w:t>
      </w:r>
      <w:r>
        <w:rPr>
          <w:rFonts w:ascii="Times New Roman" w:hAnsi="Times New Roman" w:cs="Times New Roman"/>
          <w:color w:val="222222"/>
          <w:sz w:val="24"/>
          <w:szCs w:val="24"/>
          <w:shd w:val="clear" w:color="auto" w:fill="FFFFFF"/>
        </w:rPr>
        <w:t>, pp.1-11.</w:t>
      </w:r>
      <w:r>
        <w:rPr>
          <w:rFonts w:ascii="Times New Roman" w:hAnsi="Times New Roman" w:cs="Times New Roman"/>
          <w:sz w:val="24"/>
          <w:szCs w:val="24"/>
        </w:rPr>
        <w:t xml:space="preserve"> </w:t>
      </w:r>
      <w:r>
        <w:fldChar w:fldCharType="begin"/>
      </w:r>
      <w:r>
        <w:instrText xml:space="preserve"> HYPERLINK "https://link.springer.com/article/10.1007/s40299-023-00737-x" </w:instrText>
      </w:r>
      <w:r>
        <w:fldChar w:fldCharType="separate"/>
      </w:r>
      <w:r>
        <w:rPr>
          <w:rStyle w:val="17"/>
          <w:rFonts w:ascii="Times New Roman" w:hAnsi="Times New Roman" w:cs="Times New Roman"/>
          <w:sz w:val="24"/>
          <w:szCs w:val="24"/>
          <w:shd w:val="clear" w:color="auto" w:fill="FFFFFF"/>
        </w:rPr>
        <w:t>https://link.springer.com/article/10.1007/s40299-023-00737-x</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Yanbo, W., Bazari, N.A. and Anuar, R., 2023. Theoretical Construction and Research Perspectives of Student Engagement in Foreign Language Education. </w:t>
      </w:r>
      <w:r>
        <w:rPr>
          <w:rFonts w:ascii="Times New Roman" w:hAnsi="Times New Roman" w:cs="Times New Roman"/>
          <w:i/>
          <w:iCs/>
          <w:color w:val="222222"/>
          <w:sz w:val="24"/>
          <w:szCs w:val="24"/>
          <w:shd w:val="clear" w:color="auto" w:fill="FFFFFF"/>
        </w:rPr>
        <w:t>Asian Journal of University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19</w:t>
      </w:r>
      <w:r>
        <w:rPr>
          <w:rFonts w:ascii="Times New Roman" w:hAnsi="Times New Roman" w:cs="Times New Roman"/>
          <w:color w:val="222222"/>
          <w:sz w:val="24"/>
          <w:szCs w:val="24"/>
          <w:shd w:val="clear" w:color="auto" w:fill="FFFFFF"/>
        </w:rPr>
        <w:t>(1), pp.133-146.</w:t>
      </w:r>
      <w:r>
        <w:rPr>
          <w:rFonts w:ascii="Times New Roman" w:hAnsi="Times New Roman" w:cs="Times New Roman"/>
          <w:sz w:val="24"/>
          <w:szCs w:val="24"/>
        </w:rPr>
        <w:t xml:space="preserve"> </w:t>
      </w:r>
      <w:r>
        <w:fldChar w:fldCharType="begin"/>
      </w:r>
      <w:r>
        <w:instrText xml:space="preserve"> HYPERLINK "https://ajue.uitm.edu.my/wp-content/uploads/2023/01/11-Done_F_Nazeera_Student-Engagement-in-Foreign-Language-Education.pdf" </w:instrText>
      </w:r>
      <w:r>
        <w:fldChar w:fldCharType="separate"/>
      </w:r>
      <w:r>
        <w:rPr>
          <w:rStyle w:val="17"/>
          <w:rFonts w:ascii="Times New Roman" w:hAnsi="Times New Roman" w:cs="Times New Roman"/>
          <w:sz w:val="24"/>
          <w:szCs w:val="24"/>
          <w:shd w:val="clear" w:color="auto" w:fill="FFFFFF"/>
        </w:rPr>
        <w:t>https://ajue.uitm.edu.my/wp-content/uploads/2023/01/11-Done_F_Nazeera_Student-Engagement-in-Foreign-Language-Education.pdf</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Yang, D., Wang, H., Metwally, A.H.S. and Huang, R., 2023. Student engagement during emergency remote teaching: A scoping review. </w:t>
      </w:r>
      <w:r>
        <w:rPr>
          <w:rFonts w:ascii="Times New Roman" w:hAnsi="Times New Roman" w:cs="Times New Roman"/>
          <w:i/>
          <w:iCs/>
          <w:color w:val="222222"/>
          <w:sz w:val="24"/>
          <w:szCs w:val="24"/>
          <w:shd w:val="clear" w:color="auto" w:fill="FFFFFF"/>
        </w:rPr>
        <w:t>Smart Learning Environments</w:t>
      </w:r>
      <w:r>
        <w:rPr>
          <w:rFonts w:ascii="Times New Roman" w:hAnsi="Times New Roman" w:cs="Times New Roman"/>
          <w:color w:val="222222"/>
          <w:sz w:val="24"/>
          <w:szCs w:val="24"/>
          <w:shd w:val="clear" w:color="auto" w:fill="FFFFFF"/>
        </w:rPr>
        <w:t>, 10(1), pp.1-17.</w:t>
      </w:r>
      <w:r>
        <w:rPr>
          <w:rFonts w:ascii="Times New Roman" w:hAnsi="Times New Roman" w:cs="Times New Roman"/>
          <w:sz w:val="24"/>
          <w:szCs w:val="24"/>
        </w:rPr>
        <w:t xml:space="preserve"> </w:t>
      </w:r>
      <w:r>
        <w:fldChar w:fldCharType="begin"/>
      </w:r>
      <w:r>
        <w:instrText xml:space="preserve"> HYPERLINK "https://slejournal.springeropen.com/articles/10.1186/s40561-023-00240-2" </w:instrText>
      </w:r>
      <w:r>
        <w:fldChar w:fldCharType="separate"/>
      </w:r>
      <w:r>
        <w:rPr>
          <w:rStyle w:val="17"/>
          <w:rFonts w:ascii="Times New Roman" w:hAnsi="Times New Roman" w:cs="Times New Roman"/>
          <w:sz w:val="24"/>
          <w:szCs w:val="24"/>
          <w:shd w:val="clear" w:color="auto" w:fill="FFFFFF"/>
        </w:rPr>
        <w:t>https://slejournal.springeropen.com/articles/10.1186/s40561-023-00240-2</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Yang, X. and Hu, J., 2023. Chinese college students’ preferences for mobile-assisted language learning classes and their effects on student engagement in English language classrooms. </w:t>
      </w:r>
      <w:r>
        <w:rPr>
          <w:rFonts w:ascii="Times New Roman" w:hAnsi="Times New Roman" w:cs="Times New Roman"/>
          <w:i/>
          <w:iCs/>
          <w:color w:val="222222"/>
          <w:sz w:val="24"/>
          <w:szCs w:val="24"/>
          <w:shd w:val="clear" w:color="auto" w:fill="FFFFFF"/>
        </w:rPr>
        <w:t>Innovation in Language Learning and Teaching</w:t>
      </w:r>
      <w:r>
        <w:rPr>
          <w:rFonts w:ascii="Times New Roman" w:hAnsi="Times New Roman" w:cs="Times New Roman"/>
          <w:color w:val="222222"/>
          <w:sz w:val="24"/>
          <w:szCs w:val="24"/>
          <w:shd w:val="clear" w:color="auto" w:fill="FFFFFF"/>
        </w:rPr>
        <w:t xml:space="preserve">, pp.1-14. </w:t>
      </w:r>
      <w:r>
        <w:fldChar w:fldCharType="begin"/>
      </w:r>
      <w:r>
        <w:instrText xml:space="preserve"> HYPERLINK "https://www.tandfonline.com/doi/abs/10.1080/17501229.2023.2207564" </w:instrText>
      </w:r>
      <w:r>
        <w:fldChar w:fldCharType="separate"/>
      </w:r>
      <w:r>
        <w:rPr>
          <w:rStyle w:val="17"/>
          <w:rFonts w:ascii="Times New Roman" w:hAnsi="Times New Roman" w:cs="Times New Roman"/>
          <w:sz w:val="24"/>
          <w:szCs w:val="24"/>
          <w:shd w:val="clear" w:color="auto" w:fill="FFFFFF"/>
        </w:rPr>
        <w:t>https://www.tandfonline.com/doi/abs/10.1080/17501229.2023.2207564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Yu, S., Jiang, L. and Zhou, N., 2023. The impact of L2 writing instructional approaches on student writing motivation and engagement.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27(4), pp.958-973.</w:t>
      </w:r>
      <w:r>
        <w:rPr>
          <w:rFonts w:ascii="Times New Roman" w:hAnsi="Times New Roman" w:cs="Times New Roman"/>
          <w:sz w:val="24"/>
          <w:szCs w:val="24"/>
        </w:rPr>
        <w:t xml:space="preserve"> </w:t>
      </w:r>
      <w:r>
        <w:fldChar w:fldCharType="begin"/>
      </w:r>
      <w:r>
        <w:instrText xml:space="preserve"> HYPERLINK "https://journals.sagepub.com/doi/abs/10.1177/1362168820957024" </w:instrText>
      </w:r>
      <w:r>
        <w:fldChar w:fldCharType="separate"/>
      </w:r>
      <w:r>
        <w:rPr>
          <w:rStyle w:val="17"/>
          <w:rFonts w:ascii="Times New Roman" w:hAnsi="Times New Roman" w:cs="Times New Roman"/>
          <w:sz w:val="24"/>
          <w:szCs w:val="24"/>
          <w:shd w:val="clear" w:color="auto" w:fill="FFFFFF"/>
        </w:rPr>
        <w:t>https://journals.sagepub.com/doi/abs/10.1177/1362168820957024</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Yundayani, A., Abdullah, F., Tandiana, S.T. and Sutrisno, B., 2021. Students' cognitive engagement during emergency remote teaching: Evidence from the Indonesian EFL milieu. </w:t>
      </w:r>
      <w:r>
        <w:rPr>
          <w:rFonts w:ascii="Times New Roman" w:hAnsi="Times New Roman" w:cs="Times New Roman"/>
          <w:i/>
          <w:iCs/>
          <w:color w:val="222222"/>
          <w:sz w:val="24"/>
          <w:szCs w:val="24"/>
          <w:shd w:val="clear" w:color="auto" w:fill="FFFFFF"/>
        </w:rPr>
        <w:t>Journal of Language and Linguistic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w:t>
      </w:r>
      <w:r>
        <w:rPr>
          <w:rFonts w:ascii="Times New Roman" w:hAnsi="Times New Roman" w:cs="Times New Roman"/>
          <w:color w:val="222222"/>
          <w:sz w:val="24"/>
          <w:szCs w:val="24"/>
          <w:shd w:val="clear" w:color="auto" w:fill="FFFFFF"/>
        </w:rPr>
        <w:t>(1), pp.17-33.</w:t>
      </w:r>
      <w:r>
        <w:rPr>
          <w:rFonts w:ascii="Times New Roman" w:hAnsi="Times New Roman" w:cs="Times New Roman"/>
          <w:sz w:val="24"/>
          <w:szCs w:val="24"/>
        </w:rPr>
        <w:t xml:space="preserve"> </w:t>
      </w:r>
      <w:r>
        <w:fldChar w:fldCharType="begin"/>
      </w:r>
      <w:r>
        <w:instrText xml:space="preserve"> HYPERLINK "https://search.informit.org/doi/abs/10.3316/informit.220161520823209" </w:instrText>
      </w:r>
      <w:r>
        <w:fldChar w:fldCharType="separate"/>
      </w:r>
      <w:r>
        <w:rPr>
          <w:rStyle w:val="17"/>
          <w:rFonts w:ascii="Times New Roman" w:hAnsi="Times New Roman" w:cs="Times New Roman"/>
          <w:sz w:val="24"/>
          <w:szCs w:val="24"/>
          <w:shd w:val="clear" w:color="auto" w:fill="FFFFFF"/>
        </w:rPr>
        <w:t>https://search.informit.org/doi/abs/10.3316/informit.220161520823209</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Zaidi, R., 2020. Dual-language books: Enhancing engagement and language awareness. </w:t>
      </w:r>
      <w:r>
        <w:rPr>
          <w:rFonts w:ascii="Times New Roman" w:hAnsi="Times New Roman" w:cs="Times New Roman"/>
          <w:i/>
          <w:iCs/>
          <w:color w:val="222222"/>
          <w:sz w:val="24"/>
          <w:szCs w:val="24"/>
          <w:shd w:val="clear" w:color="auto" w:fill="FFFFFF"/>
        </w:rPr>
        <w:t>Journal of Literacy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52</w:t>
      </w:r>
      <w:r>
        <w:rPr>
          <w:rFonts w:ascii="Times New Roman" w:hAnsi="Times New Roman" w:cs="Times New Roman"/>
          <w:color w:val="222222"/>
          <w:sz w:val="24"/>
          <w:szCs w:val="24"/>
          <w:shd w:val="clear" w:color="auto" w:fill="FFFFFF"/>
        </w:rPr>
        <w:t>(3), pp.269-292.</w:t>
      </w:r>
      <w:r>
        <w:rPr>
          <w:rFonts w:ascii="Times New Roman" w:hAnsi="Times New Roman" w:cs="Times New Roman"/>
          <w:sz w:val="24"/>
          <w:szCs w:val="24"/>
        </w:rPr>
        <w:t xml:space="preserve"> </w:t>
      </w:r>
      <w:r>
        <w:fldChar w:fldCharType="begin"/>
      </w:r>
      <w:r>
        <w:instrText xml:space="preserve"> HYPERLINK "https://journals.sagepub.com/doi/full/10.1177/1086296X20939559" </w:instrText>
      </w:r>
      <w:r>
        <w:fldChar w:fldCharType="separate"/>
      </w:r>
      <w:r>
        <w:rPr>
          <w:rStyle w:val="17"/>
          <w:rFonts w:ascii="Times New Roman" w:hAnsi="Times New Roman" w:cs="Times New Roman"/>
          <w:sz w:val="24"/>
          <w:szCs w:val="24"/>
          <w:shd w:val="clear" w:color="auto" w:fill="FFFFFF"/>
        </w:rPr>
        <w:t>https://journals.sagepub.com/doi/full/10.1177/1086296X20939559</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Zheng, C., Liang, J.C., Chai, C.S., Chen, X. and Liu, H., 2023. Comparing high school students’ online self-regulation and engagement in English language learning. </w:t>
      </w:r>
      <w:r>
        <w:rPr>
          <w:rFonts w:ascii="Times New Roman" w:hAnsi="Times New Roman" w:cs="Times New Roman"/>
          <w:i/>
          <w:iCs/>
          <w:color w:val="222222"/>
          <w:sz w:val="24"/>
          <w:szCs w:val="24"/>
          <w:shd w:val="clear" w:color="auto" w:fill="FFFFFF"/>
        </w:rPr>
        <w:t>System</w:t>
      </w:r>
      <w:r>
        <w:rPr>
          <w:rFonts w:ascii="Times New Roman" w:hAnsi="Times New Roman" w:cs="Times New Roman"/>
          <w:color w:val="222222"/>
          <w:sz w:val="24"/>
          <w:szCs w:val="24"/>
          <w:shd w:val="clear" w:color="auto" w:fill="FFFFFF"/>
        </w:rPr>
        <w:t>, 115, p.103037.</w:t>
      </w:r>
      <w:r>
        <w:rPr>
          <w:rFonts w:ascii="Times New Roman" w:hAnsi="Times New Roman" w:cs="Times New Roman"/>
          <w:sz w:val="24"/>
          <w:szCs w:val="24"/>
        </w:rPr>
        <w:t xml:space="preserve"> </w:t>
      </w:r>
      <w:r>
        <w:fldChar w:fldCharType="begin"/>
      </w:r>
      <w:r>
        <w:instrText xml:space="preserve"> HYPERLINK "https://www.sciencedirect.com/science/article/abs/pii/S0346251X23000593" </w:instrText>
      </w:r>
      <w:r>
        <w:fldChar w:fldCharType="separate"/>
      </w:r>
      <w:r>
        <w:rPr>
          <w:rStyle w:val="17"/>
          <w:rFonts w:ascii="Times New Roman" w:hAnsi="Times New Roman" w:cs="Times New Roman"/>
          <w:sz w:val="24"/>
          <w:szCs w:val="24"/>
          <w:shd w:val="clear" w:color="auto" w:fill="FFFFFF"/>
        </w:rPr>
        <w:t>https://www.sciencedirect.com/science/article/abs/pii/S0346251X23000593</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Zhou, Q., 2023. Translating Willingness to Communicate into Learner Talk in a Chinese as a Foreign Language (CFL) Classroom.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p.13621688231176035.</w:t>
      </w:r>
      <w:r>
        <w:rPr>
          <w:rFonts w:ascii="Times New Roman" w:hAnsi="Times New Roman" w:cs="Times New Roman"/>
          <w:sz w:val="24"/>
          <w:szCs w:val="24"/>
        </w:rPr>
        <w:t xml:space="preserve"> </w:t>
      </w:r>
      <w:r>
        <w:fldChar w:fldCharType="begin"/>
      </w:r>
      <w:r>
        <w:instrText xml:space="preserve"> HYPERLINK "https://journals.sagepub.com/doi/abs/10.1177/13621688231176035" </w:instrText>
      </w:r>
      <w:r>
        <w:fldChar w:fldCharType="separate"/>
      </w:r>
      <w:r>
        <w:rPr>
          <w:rStyle w:val="17"/>
          <w:rFonts w:ascii="Times New Roman" w:hAnsi="Times New Roman" w:cs="Times New Roman"/>
          <w:sz w:val="24"/>
          <w:szCs w:val="24"/>
          <w:shd w:val="clear" w:color="auto" w:fill="FFFFFF"/>
        </w:rPr>
        <w:t>https://journals.sagepub.com/doi/abs/10.1177/13621688231176035</w:t>
      </w:r>
      <w:r>
        <w:rPr>
          <w:rStyle w:val="17"/>
          <w:rFonts w:ascii="Times New Roman" w:hAnsi="Times New Roman" w:cs="Times New Roman"/>
          <w:sz w:val="24"/>
          <w:szCs w:val="24"/>
          <w:shd w:val="clear" w:color="auto" w:fill="FFFFFF"/>
        </w:rPr>
        <w:fldChar w:fldCharType="end"/>
      </w:r>
    </w:p>
    <w:p>
      <w:pPr>
        <w:spacing w:line="480" w:lineRule="auto"/>
        <w:ind w:left="450" w:hanging="720"/>
        <w:jc w:val="left"/>
        <w:rPr>
          <w:rFonts w:ascii="Times New Roman" w:hAnsi="Times New Roman" w:cs="Times New Roman"/>
          <w:sz w:val="24"/>
          <w:szCs w:val="24"/>
        </w:rPr>
      </w:pPr>
      <w:r>
        <w:rPr>
          <w:rFonts w:ascii="Times New Roman" w:hAnsi="Times New Roman" w:cs="Times New Roman"/>
          <w:color w:val="222222"/>
          <w:sz w:val="24"/>
          <w:szCs w:val="24"/>
          <w:shd w:val="clear" w:color="auto" w:fill="FFFFFF"/>
        </w:rPr>
        <w:t>Zhu, Y., Pang, W. and Chen, B.B., 2023. The student engagement scale: evidence of psychometric validity in Chinese and English language subjects from grade 4 to grade 6 in China. </w:t>
      </w:r>
      <w:r>
        <w:rPr>
          <w:rFonts w:ascii="Times New Roman" w:hAnsi="Times New Roman" w:cs="Times New Roman"/>
          <w:i/>
          <w:iCs/>
          <w:color w:val="222222"/>
          <w:sz w:val="24"/>
          <w:szCs w:val="24"/>
          <w:shd w:val="clear" w:color="auto" w:fill="FFFFFF"/>
        </w:rPr>
        <w:t>Educational Psychology</w:t>
      </w:r>
      <w:r>
        <w:rPr>
          <w:rFonts w:ascii="Times New Roman" w:hAnsi="Times New Roman" w:cs="Times New Roman"/>
          <w:color w:val="222222"/>
          <w:sz w:val="24"/>
          <w:szCs w:val="24"/>
          <w:shd w:val="clear" w:color="auto" w:fill="FFFFFF"/>
        </w:rPr>
        <w:t>, 43(2-3), pp.173-186.</w:t>
      </w:r>
      <w:r>
        <w:rPr>
          <w:rFonts w:ascii="Times New Roman" w:hAnsi="Times New Roman" w:cs="Times New Roman"/>
          <w:sz w:val="24"/>
          <w:szCs w:val="24"/>
        </w:rPr>
        <w:t xml:space="preserve"> </w:t>
      </w:r>
      <w:r>
        <w:fldChar w:fldCharType="begin"/>
      </w:r>
      <w:r>
        <w:instrText xml:space="preserve"> HYPERLINK "https://www.tandfonline.com/doi/abs/10.1080/01443410.2023.2169253" </w:instrText>
      </w:r>
      <w:r>
        <w:fldChar w:fldCharType="separate"/>
      </w:r>
      <w:r>
        <w:rPr>
          <w:rStyle w:val="17"/>
          <w:rFonts w:ascii="Times New Roman" w:hAnsi="Times New Roman" w:cs="Times New Roman"/>
          <w:sz w:val="24"/>
          <w:szCs w:val="24"/>
          <w:shd w:val="clear" w:color="auto" w:fill="FFFFFF"/>
        </w:rPr>
        <w:t>https://www.tandfonline.com/doi/abs/10.1080/01443410.2023.2169253</w:t>
      </w:r>
      <w:r>
        <w:rPr>
          <w:rStyle w:val="17"/>
          <w:rFonts w:ascii="Times New Roman" w:hAnsi="Times New Roman" w:cs="Times New Roman"/>
          <w:sz w:val="24"/>
          <w:szCs w:val="24"/>
          <w:shd w:val="clear" w:color="auto" w:fill="FFFFFF"/>
        </w:rPr>
        <w:fldChar w:fldCharType="end"/>
      </w:r>
    </w:p>
    <w:sectPr>
      <w:headerReference r:id="rId5" w:type="default"/>
      <w:pgSz w:w="12240" w:h="15840"/>
      <w:pgMar w:top="1440" w:right="1440" w:bottom="1440" w:left="1440" w:header="720" w:footer="720" w:gutter="0"/>
      <w:pgBorders>
        <w:top w:val="none" w:sz="0" w:space="0"/>
        <w:left w:val="none" w:sz="0" w:space="0"/>
        <w:bottom w:val="none" w:sz="0" w:space="0"/>
        <w:right w:val="none" w:sz="0" w:space="0"/>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1747100"/>
      <w:docPartObj>
        <w:docPartGallery w:val="autotext"/>
      </w:docPartObj>
    </w:sdtPr>
    <w:sdtEndPr>
      <w:rPr>
        <w:rFonts w:ascii="Times New Roman" w:hAnsi="Times New Roman" w:cs="Times New Roman"/>
        <w:sz w:val="24"/>
        <w:szCs w:val="24"/>
      </w:rPr>
    </w:sdtEndPr>
    <w:sdtContent>
      <w:p>
        <w:pPr>
          <w:pStyle w:val="7"/>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69</w:t>
        </w:r>
        <w:r>
          <w:rPr>
            <w:rFonts w:ascii="Times New Roman" w:hAnsi="Times New Roman" w:cs="Times New Roman"/>
            <w:sz w:val="24"/>
            <w:szCs w:val="24"/>
          </w:rPr>
          <w:fldChar w:fldCharType="end"/>
        </w:r>
      </w:p>
    </w:sdtContent>
  </w:sdt>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0640FD"/>
    <w:multiLevelType w:val="multilevel"/>
    <w:tmpl w:val="110640FD"/>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849056B"/>
    <w:multiLevelType w:val="multilevel"/>
    <w:tmpl w:val="6849056B"/>
    <w:lvl w:ilvl="0" w:tentative="0">
      <w:start w:val="1"/>
      <w:numFmt w:val="bullet"/>
      <w:lvlText w:val=""/>
      <w:lvlJc w:val="left"/>
      <w:pPr>
        <w:ind w:left="1440" w:hanging="360"/>
      </w:pPr>
      <w:rPr>
        <w:rFonts w:hint="default" w:ascii="Symbol" w:hAnsi="Symbol"/>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gwN2ZiMmY4MzI0OTcyODM3NjM5Y2I3NTcxMmRkOGYifQ=="/>
  </w:docVars>
  <w:rsids>
    <w:rsidRoot w:val="00DC1FF0"/>
    <w:rsid w:val="00014534"/>
    <w:rsid w:val="000164F0"/>
    <w:rsid w:val="000502F7"/>
    <w:rsid w:val="00056CA4"/>
    <w:rsid w:val="000B3C61"/>
    <w:rsid w:val="000F598C"/>
    <w:rsid w:val="001171CC"/>
    <w:rsid w:val="00132848"/>
    <w:rsid w:val="0015504A"/>
    <w:rsid w:val="00173C3D"/>
    <w:rsid w:val="001746D0"/>
    <w:rsid w:val="00186DFE"/>
    <w:rsid w:val="001A3BC9"/>
    <w:rsid w:val="001B12C2"/>
    <w:rsid w:val="00261E4E"/>
    <w:rsid w:val="002A0D5B"/>
    <w:rsid w:val="002B07EE"/>
    <w:rsid w:val="002E786F"/>
    <w:rsid w:val="00302562"/>
    <w:rsid w:val="00311771"/>
    <w:rsid w:val="00322E56"/>
    <w:rsid w:val="00334351"/>
    <w:rsid w:val="003564D4"/>
    <w:rsid w:val="00364DEB"/>
    <w:rsid w:val="00376924"/>
    <w:rsid w:val="003809CB"/>
    <w:rsid w:val="0038153B"/>
    <w:rsid w:val="003910F3"/>
    <w:rsid w:val="003A2162"/>
    <w:rsid w:val="003A4F1B"/>
    <w:rsid w:val="003B42B7"/>
    <w:rsid w:val="00401D2D"/>
    <w:rsid w:val="00446F8B"/>
    <w:rsid w:val="00454587"/>
    <w:rsid w:val="00491CB5"/>
    <w:rsid w:val="004A633A"/>
    <w:rsid w:val="004D0E5B"/>
    <w:rsid w:val="005323DF"/>
    <w:rsid w:val="00532583"/>
    <w:rsid w:val="0055285E"/>
    <w:rsid w:val="005A19D0"/>
    <w:rsid w:val="005D0CAB"/>
    <w:rsid w:val="005E7891"/>
    <w:rsid w:val="00620D9C"/>
    <w:rsid w:val="0063744D"/>
    <w:rsid w:val="0064432C"/>
    <w:rsid w:val="00654187"/>
    <w:rsid w:val="006934AD"/>
    <w:rsid w:val="0069470A"/>
    <w:rsid w:val="006A38C2"/>
    <w:rsid w:val="006A6CFA"/>
    <w:rsid w:val="007043DF"/>
    <w:rsid w:val="007233A2"/>
    <w:rsid w:val="00761212"/>
    <w:rsid w:val="00762860"/>
    <w:rsid w:val="00767318"/>
    <w:rsid w:val="007836C3"/>
    <w:rsid w:val="00797C38"/>
    <w:rsid w:val="007A01BF"/>
    <w:rsid w:val="007C15D3"/>
    <w:rsid w:val="007D140A"/>
    <w:rsid w:val="00814FBC"/>
    <w:rsid w:val="00844C50"/>
    <w:rsid w:val="008669A3"/>
    <w:rsid w:val="00871B61"/>
    <w:rsid w:val="00873E37"/>
    <w:rsid w:val="00874133"/>
    <w:rsid w:val="008A10D8"/>
    <w:rsid w:val="008B7021"/>
    <w:rsid w:val="008D30F9"/>
    <w:rsid w:val="00937C13"/>
    <w:rsid w:val="00950734"/>
    <w:rsid w:val="00983DC1"/>
    <w:rsid w:val="009E5935"/>
    <w:rsid w:val="009E7218"/>
    <w:rsid w:val="009E7C30"/>
    <w:rsid w:val="009F2CA9"/>
    <w:rsid w:val="00A126CE"/>
    <w:rsid w:val="00A418E6"/>
    <w:rsid w:val="00A640D7"/>
    <w:rsid w:val="00A714A0"/>
    <w:rsid w:val="00A728D0"/>
    <w:rsid w:val="00A86B08"/>
    <w:rsid w:val="00A904B4"/>
    <w:rsid w:val="00A95756"/>
    <w:rsid w:val="00AA4D1D"/>
    <w:rsid w:val="00AC351F"/>
    <w:rsid w:val="00AC638C"/>
    <w:rsid w:val="00AC7E1E"/>
    <w:rsid w:val="00AD114A"/>
    <w:rsid w:val="00AF2FF4"/>
    <w:rsid w:val="00AF5A57"/>
    <w:rsid w:val="00AF5B95"/>
    <w:rsid w:val="00B21CDE"/>
    <w:rsid w:val="00B757C7"/>
    <w:rsid w:val="00B76978"/>
    <w:rsid w:val="00BB1187"/>
    <w:rsid w:val="00BB63B6"/>
    <w:rsid w:val="00BE5ABE"/>
    <w:rsid w:val="00C13E7D"/>
    <w:rsid w:val="00C25D9A"/>
    <w:rsid w:val="00C40731"/>
    <w:rsid w:val="00C50CED"/>
    <w:rsid w:val="00C56F27"/>
    <w:rsid w:val="00C80D08"/>
    <w:rsid w:val="00C82F55"/>
    <w:rsid w:val="00CB48FB"/>
    <w:rsid w:val="00CC58F3"/>
    <w:rsid w:val="00CE3BFD"/>
    <w:rsid w:val="00CE3F4A"/>
    <w:rsid w:val="00CF6E16"/>
    <w:rsid w:val="00D046E9"/>
    <w:rsid w:val="00D13C0F"/>
    <w:rsid w:val="00D344E9"/>
    <w:rsid w:val="00D5508C"/>
    <w:rsid w:val="00D5724B"/>
    <w:rsid w:val="00D8182E"/>
    <w:rsid w:val="00D8574B"/>
    <w:rsid w:val="00D85A47"/>
    <w:rsid w:val="00D93892"/>
    <w:rsid w:val="00DC1FF0"/>
    <w:rsid w:val="00DD185A"/>
    <w:rsid w:val="00DE4F9E"/>
    <w:rsid w:val="00E02441"/>
    <w:rsid w:val="00E055AC"/>
    <w:rsid w:val="00E208F0"/>
    <w:rsid w:val="00E2518B"/>
    <w:rsid w:val="00E33F07"/>
    <w:rsid w:val="00E66FB5"/>
    <w:rsid w:val="00E868C6"/>
    <w:rsid w:val="00EA711C"/>
    <w:rsid w:val="00EB5B5F"/>
    <w:rsid w:val="00EE04E3"/>
    <w:rsid w:val="00F005A6"/>
    <w:rsid w:val="00F11D1E"/>
    <w:rsid w:val="00F127A2"/>
    <w:rsid w:val="00F17FC1"/>
    <w:rsid w:val="00F32E6B"/>
    <w:rsid w:val="00F62C7C"/>
    <w:rsid w:val="00F63EAD"/>
    <w:rsid w:val="00F82AA3"/>
    <w:rsid w:val="00F90C58"/>
    <w:rsid w:val="00FA7974"/>
    <w:rsid w:val="00FC1BDE"/>
    <w:rsid w:val="00FD0FDB"/>
    <w:rsid w:val="00FE42F1"/>
    <w:rsid w:val="045101B4"/>
    <w:rsid w:val="34CE72D7"/>
    <w:rsid w:val="4C444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6"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26"/>
    <w:autoRedefine/>
    <w:qFormat/>
    <w:uiPriority w:val="9"/>
    <w:pPr>
      <w:keepNext/>
      <w:keepLines/>
      <w:spacing w:before="240" w:after="0"/>
      <w:outlineLvl w:val="0"/>
    </w:pPr>
    <w:rPr>
      <w:rFonts w:asciiTheme="majorHAnsi" w:hAnsiTheme="majorHAnsi" w:eastAsiaTheme="majorEastAsia" w:cstheme="majorBidi"/>
      <w:b/>
      <w:sz w:val="32"/>
      <w:szCs w:val="32"/>
    </w:rPr>
  </w:style>
  <w:style w:type="paragraph" w:styleId="3">
    <w:name w:val="heading 2"/>
    <w:basedOn w:val="1"/>
    <w:link w:val="18"/>
    <w:autoRedefine/>
    <w:qFormat/>
    <w:uiPriority w:val="9"/>
    <w:pPr>
      <w:spacing w:before="100" w:beforeAutospacing="1" w:after="100" w:afterAutospacing="1" w:line="240" w:lineRule="auto"/>
      <w:outlineLvl w:val="1"/>
    </w:pPr>
    <w:rPr>
      <w:rFonts w:ascii="Times New Roman" w:hAnsi="Times New Roman" w:eastAsia="Times New Roman" w:cs="Times New Roman"/>
      <w:b/>
      <w:bCs/>
      <w:kern w:val="0"/>
      <w:sz w:val="28"/>
      <w:szCs w:val="36"/>
      <w14:ligatures w14:val="none"/>
    </w:rPr>
  </w:style>
  <w:style w:type="paragraph" w:styleId="4">
    <w:name w:val="heading 3"/>
    <w:basedOn w:val="1"/>
    <w:next w:val="1"/>
    <w:link w:val="28"/>
    <w:unhideWhenUsed/>
    <w:qFormat/>
    <w:uiPriority w:val="9"/>
    <w:pPr>
      <w:keepNext/>
      <w:keepLines/>
      <w:spacing w:before="40" w:after="0"/>
      <w:outlineLvl w:val="2"/>
    </w:pPr>
    <w:rPr>
      <w:rFonts w:asciiTheme="majorHAnsi" w:hAnsiTheme="majorHAnsi" w:eastAsiaTheme="majorEastAsia" w:cstheme="majorBidi"/>
      <w:b/>
      <w:sz w:val="24"/>
      <w:szCs w:val="24"/>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5">
    <w:name w:val="toc 3"/>
    <w:basedOn w:val="1"/>
    <w:next w:val="1"/>
    <w:autoRedefine/>
    <w:unhideWhenUsed/>
    <w:qFormat/>
    <w:uiPriority w:val="39"/>
    <w:pPr>
      <w:spacing w:after="100"/>
      <w:ind w:left="440"/>
    </w:pPr>
  </w:style>
  <w:style w:type="paragraph" w:styleId="6">
    <w:name w:val="footer"/>
    <w:basedOn w:val="1"/>
    <w:link w:val="23"/>
    <w:unhideWhenUsed/>
    <w:qFormat/>
    <w:uiPriority w:val="99"/>
    <w:pPr>
      <w:tabs>
        <w:tab w:val="center" w:pos="4680"/>
        <w:tab w:val="right" w:pos="9360"/>
      </w:tabs>
      <w:spacing w:after="0" w:line="240" w:lineRule="auto"/>
    </w:pPr>
  </w:style>
  <w:style w:type="paragraph" w:styleId="7">
    <w:name w:val="header"/>
    <w:basedOn w:val="1"/>
    <w:link w:val="22"/>
    <w:autoRedefine/>
    <w:unhideWhenUsed/>
    <w:qFormat/>
    <w:uiPriority w:val="99"/>
    <w:pPr>
      <w:tabs>
        <w:tab w:val="center" w:pos="4680"/>
        <w:tab w:val="right" w:pos="9360"/>
      </w:tabs>
      <w:spacing w:after="0" w:line="240" w:lineRule="auto"/>
    </w:pPr>
  </w:style>
  <w:style w:type="paragraph" w:styleId="8">
    <w:name w:val="toc 1"/>
    <w:basedOn w:val="1"/>
    <w:next w:val="1"/>
    <w:autoRedefine/>
    <w:unhideWhenUsed/>
    <w:qFormat/>
    <w:uiPriority w:val="39"/>
  </w:style>
  <w:style w:type="paragraph" w:styleId="9">
    <w:name w:val="toc 2"/>
    <w:basedOn w:val="1"/>
    <w:next w:val="1"/>
    <w:autoRedefine/>
    <w:unhideWhenUsed/>
    <w:qFormat/>
    <w:uiPriority w:val="39"/>
    <w:pPr>
      <w:ind w:left="420" w:leftChars="200"/>
    </w:pPr>
  </w:style>
  <w:style w:type="paragraph" w:styleId="10">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table" w:styleId="12">
    <w:name w:val="Table Grid"/>
    <w:basedOn w:val="11"/>
    <w:autoRedefine/>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autoRedefine/>
    <w:qFormat/>
    <w:uiPriority w:val="22"/>
    <w:rPr>
      <w:b/>
      <w:bCs/>
    </w:rPr>
  </w:style>
  <w:style w:type="character" w:styleId="15">
    <w:name w:val="FollowedHyperlink"/>
    <w:basedOn w:val="13"/>
    <w:autoRedefine/>
    <w:semiHidden/>
    <w:unhideWhenUsed/>
    <w:qFormat/>
    <w:uiPriority w:val="99"/>
    <w:rPr>
      <w:color w:val="800080"/>
      <w:u w:val="single"/>
    </w:rPr>
  </w:style>
  <w:style w:type="character" w:styleId="16">
    <w:name w:val="Emphasis"/>
    <w:basedOn w:val="13"/>
    <w:autoRedefine/>
    <w:qFormat/>
    <w:uiPriority w:val="20"/>
    <w:rPr>
      <w:i/>
      <w:iCs/>
    </w:rPr>
  </w:style>
  <w:style w:type="character" w:styleId="17">
    <w:name w:val="Hyperlink"/>
    <w:basedOn w:val="13"/>
    <w:autoRedefine/>
    <w:unhideWhenUsed/>
    <w:qFormat/>
    <w:uiPriority w:val="99"/>
    <w:rPr>
      <w:color w:val="0000FF"/>
      <w:u w:val="single"/>
    </w:rPr>
  </w:style>
  <w:style w:type="character" w:customStyle="1" w:styleId="18">
    <w:name w:val="Heading 2 Char"/>
    <w:basedOn w:val="13"/>
    <w:link w:val="3"/>
    <w:autoRedefine/>
    <w:qFormat/>
    <w:uiPriority w:val="9"/>
    <w:rPr>
      <w:rFonts w:ascii="Times New Roman" w:hAnsi="Times New Roman" w:eastAsia="Times New Roman" w:cs="Times New Roman"/>
      <w:b/>
      <w:bCs/>
      <w:kern w:val="0"/>
      <w:sz w:val="28"/>
      <w:szCs w:val="36"/>
      <w14:ligatures w14:val="none"/>
    </w:rPr>
  </w:style>
  <w:style w:type="paragraph" w:customStyle="1" w:styleId="19">
    <w:name w:val="HTML Top of Form"/>
    <w:basedOn w:val="1"/>
    <w:next w:val="1"/>
    <w:link w:val="20"/>
    <w:autoRedefine/>
    <w:semiHidden/>
    <w:unhideWhenUsed/>
    <w:qFormat/>
    <w:uiPriority w:val="99"/>
    <w:pPr>
      <w:pBdr>
        <w:bottom w:val="single" w:color="auto" w:sz="6" w:space="1"/>
      </w:pBdr>
      <w:spacing w:after="0" w:line="240" w:lineRule="auto"/>
      <w:jc w:val="center"/>
    </w:pPr>
    <w:rPr>
      <w:rFonts w:ascii="Arial" w:hAnsi="Arial" w:eastAsia="Times New Roman" w:cs="Arial"/>
      <w:vanish/>
      <w:kern w:val="0"/>
      <w:sz w:val="16"/>
      <w:szCs w:val="16"/>
      <w14:ligatures w14:val="none"/>
    </w:rPr>
  </w:style>
  <w:style w:type="character" w:customStyle="1" w:styleId="20">
    <w:name w:val="z-Top of Form Char"/>
    <w:basedOn w:val="13"/>
    <w:link w:val="19"/>
    <w:autoRedefine/>
    <w:semiHidden/>
    <w:qFormat/>
    <w:uiPriority w:val="99"/>
    <w:rPr>
      <w:rFonts w:ascii="Arial" w:hAnsi="Arial" w:eastAsia="Times New Roman" w:cs="Arial"/>
      <w:vanish/>
      <w:kern w:val="0"/>
      <w:sz w:val="16"/>
      <w:szCs w:val="16"/>
      <w14:ligatures w14:val="none"/>
    </w:rPr>
  </w:style>
  <w:style w:type="paragraph" w:styleId="21">
    <w:name w:val="List Paragraph"/>
    <w:basedOn w:val="1"/>
    <w:autoRedefine/>
    <w:qFormat/>
    <w:uiPriority w:val="34"/>
    <w:pPr>
      <w:ind w:left="720"/>
      <w:contextualSpacing/>
    </w:pPr>
  </w:style>
  <w:style w:type="character" w:customStyle="1" w:styleId="22">
    <w:name w:val="Header Char"/>
    <w:basedOn w:val="13"/>
    <w:link w:val="7"/>
    <w:autoRedefine/>
    <w:qFormat/>
    <w:uiPriority w:val="99"/>
  </w:style>
  <w:style w:type="character" w:customStyle="1" w:styleId="23">
    <w:name w:val="Footer Char"/>
    <w:basedOn w:val="13"/>
    <w:link w:val="6"/>
    <w:autoRedefine/>
    <w:qFormat/>
    <w:uiPriority w:val="99"/>
  </w:style>
  <w:style w:type="paragraph" w:customStyle="1" w:styleId="24">
    <w:name w:val="msonormal"/>
    <w:basedOn w:val="1"/>
    <w:autoRedefine/>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customStyle="1" w:styleId="25">
    <w:name w:val="z-Top of Form1"/>
    <w:basedOn w:val="1"/>
    <w:next w:val="1"/>
    <w:autoRedefine/>
    <w:semiHidden/>
    <w:qFormat/>
    <w:uiPriority w:val="99"/>
    <w:pPr>
      <w:pBdr>
        <w:bottom w:val="single" w:color="auto" w:sz="6" w:space="1"/>
      </w:pBdr>
      <w:spacing w:after="0" w:line="240" w:lineRule="auto"/>
      <w:jc w:val="center"/>
    </w:pPr>
    <w:rPr>
      <w:rFonts w:ascii="Arial" w:hAnsi="Arial" w:eastAsia="Times New Roman" w:cs="Arial"/>
      <w:vanish/>
      <w:kern w:val="0"/>
      <w:sz w:val="16"/>
      <w:szCs w:val="16"/>
      <w14:ligatures w14:val="none"/>
    </w:rPr>
  </w:style>
  <w:style w:type="character" w:customStyle="1" w:styleId="26">
    <w:name w:val="Heading 1 Char"/>
    <w:basedOn w:val="13"/>
    <w:link w:val="2"/>
    <w:qFormat/>
    <w:uiPriority w:val="9"/>
    <w:rPr>
      <w:rFonts w:asciiTheme="majorHAnsi" w:hAnsiTheme="majorHAnsi" w:eastAsiaTheme="majorEastAsia" w:cstheme="majorBidi"/>
      <w:b/>
      <w:sz w:val="32"/>
      <w:szCs w:val="32"/>
    </w:rPr>
  </w:style>
  <w:style w:type="paragraph" w:customStyle="1" w:styleId="27">
    <w:name w:val="TOC Heading"/>
    <w:basedOn w:val="2"/>
    <w:next w:val="1"/>
    <w:autoRedefine/>
    <w:unhideWhenUsed/>
    <w:qFormat/>
    <w:uiPriority w:val="39"/>
    <w:pPr>
      <w:spacing w:line="259" w:lineRule="auto"/>
      <w:outlineLvl w:val="9"/>
    </w:pPr>
    <w:rPr>
      <w:kern w:val="0"/>
      <w14:ligatures w14:val="none"/>
    </w:rPr>
  </w:style>
  <w:style w:type="character" w:customStyle="1" w:styleId="28">
    <w:name w:val="Heading 3 Char"/>
    <w:basedOn w:val="13"/>
    <w:link w:val="4"/>
    <w:autoRedefine/>
    <w:qFormat/>
    <w:uiPriority w:val="9"/>
    <w:rPr>
      <w:rFonts w:asciiTheme="majorHAnsi" w:hAnsiTheme="majorHAnsi" w:eastAsiaTheme="majorEastAsia" w:cstheme="majorBidi"/>
      <w:b/>
      <w:sz w:val="24"/>
      <w:szCs w:val="24"/>
    </w:rPr>
  </w:style>
  <w:style w:type="character" w:customStyle="1" w:styleId="29">
    <w:name w:val="Unresolved Mention"/>
    <w:basedOn w:val="13"/>
    <w:autoRedefine/>
    <w:semiHidden/>
    <w:unhideWhenUsed/>
    <w:qFormat/>
    <w:uiPriority w:val="99"/>
    <w:rPr>
      <w:color w:val="605E5C"/>
      <w:shd w:val="clear" w:color="auto" w:fill="E1DFDD"/>
    </w:rPr>
  </w:style>
  <w:style w:type="table" w:customStyle="1" w:styleId="30">
    <w:name w:val="Grid Table 4 Accent 1"/>
    <w:basedOn w:val="11"/>
    <w:autoRedefine/>
    <w:qFormat/>
    <w:uiPriority w:val="49"/>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CCE8C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image" Target="media/image1.png"/><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800" b="1" i="0" u="none" strike="noStrike" kern="1200" baseline="0">
                <a:solidFill>
                  <a:schemeClr val="dk1">
                    <a:lumMod val="75000"/>
                    <a:lumOff val="25000"/>
                  </a:schemeClr>
                </a:solidFill>
                <a:latin typeface="+mn-lt"/>
                <a:ea typeface="+mn-ea"/>
                <a:cs typeface="+mn-cs"/>
              </a:defRPr>
            </a:pPr>
            <a:r>
              <a:rPr lang="en-US"/>
              <a:t>Level of engagement</a:t>
            </a:r>
            <a:endParaRPr lang="en-US"/>
          </a:p>
        </c:rich>
      </c:tx>
      <c:layout/>
      <c:overlay val="0"/>
      <c:spPr>
        <a:noFill/>
        <a:ln>
          <a:noFill/>
        </a:ln>
        <a:effectLst/>
      </c:spPr>
    </c:title>
    <c:autoTitleDeleted val="0"/>
    <c:plotArea>
      <c:layout/>
      <c:lineChart>
        <c:grouping val="standard"/>
        <c:varyColors val="0"/>
        <c:ser>
          <c:idx val="0"/>
          <c:order val="0"/>
          <c:tx>
            <c:strRef>
              <c:f>[Book1]Sheet1!$B$34</c:f>
              <c:strCache>
                <c:ptCount val="1"/>
                <c:pt idx="0">
                  <c:v>High</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lang="zh-CN" sz="900" b="1" i="0" u="none" strike="noStrike" kern="1200" baseline="0">
                    <a:solidFill>
                      <a:schemeClr val="lt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[Book1]Sheet1!$C$33:$E$33</c:f>
              <c:strCache>
                <c:ptCount val="3"/>
                <c:pt idx="0">
                  <c:v>Percentage of Participants</c:v>
                </c:pt>
                <c:pt idx="1">
                  <c:v>Average GPA</c:v>
                </c:pt>
                <c:pt idx="2">
                  <c:v>Pass Rate</c:v>
                </c:pt>
              </c:strCache>
            </c:strRef>
          </c:cat>
          <c:val>
            <c:numRef>
              <c:f>[Book1]Sheet1!$C$34:$E$34</c:f>
              <c:numCache>
                <c:formatCode>0%</c:formatCode>
                <c:ptCount val="3"/>
                <c:pt idx="0">
                  <c:v>0.85</c:v>
                </c:pt>
                <c:pt idx="1" c:formatCode="General">
                  <c:v>3.8</c:v>
                </c:pt>
                <c:pt idx="2">
                  <c:v>0.95</c:v>
                </c:pt>
              </c:numCache>
            </c:numRef>
          </c:val>
          <c:smooth val="0"/>
        </c:ser>
        <c:ser>
          <c:idx val="1"/>
          <c:order val="1"/>
          <c:tx>
            <c:strRef>
              <c:f>[Book1]Sheet1!$B$35</c:f>
              <c:strCache>
                <c:ptCount val="1"/>
                <c:pt idx="0">
                  <c:v>Moderate</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lang="zh-CN" sz="900" b="1" i="0" u="none" strike="noStrike" kern="1200" baseline="0">
                    <a:solidFill>
                      <a:schemeClr val="lt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[Book1]Sheet1!$C$33:$E$33</c:f>
              <c:strCache>
                <c:ptCount val="3"/>
                <c:pt idx="0">
                  <c:v>Percentage of Participants</c:v>
                </c:pt>
                <c:pt idx="1">
                  <c:v>Average GPA</c:v>
                </c:pt>
                <c:pt idx="2">
                  <c:v>Pass Rate</c:v>
                </c:pt>
              </c:strCache>
            </c:strRef>
          </c:cat>
          <c:val>
            <c:numRef>
              <c:f>[Book1]Sheet1!$C$35:$E$35</c:f>
              <c:numCache>
                <c:formatCode>0%</c:formatCode>
                <c:ptCount val="3"/>
                <c:pt idx="0">
                  <c:v>0.15</c:v>
                </c:pt>
                <c:pt idx="1" c:formatCode="General">
                  <c:v>3.5</c:v>
                </c:pt>
                <c:pt idx="2">
                  <c:v>0.85</c:v>
                </c:pt>
              </c:numCache>
            </c:numRef>
          </c:val>
          <c:smooth val="0"/>
        </c:ser>
        <c:ser>
          <c:idx val="2"/>
          <c:order val="2"/>
          <c:tx>
            <c:strRef>
              <c:f>[Book1]Sheet1!$B$36</c:f>
              <c:strCache>
                <c:ptCount val="1"/>
                <c:pt idx="0">
                  <c:v>Low</c:v>
                </c:pt>
              </c:strCache>
            </c:strRef>
          </c:tx>
          <c:spPr>
            <a:ln w="31750" cap="rnd">
              <a:solidFill>
                <a:schemeClr val="accent3"/>
              </a:solidFill>
              <a:round/>
            </a:ln>
            <a:effectLst/>
          </c:spPr>
          <c:marker>
            <c:symbol val="circle"/>
            <c:size val="17"/>
            <c:spPr>
              <a:solidFill>
                <a:schemeClr val="accent3"/>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lang="zh-CN" sz="900" b="1" i="0" u="none" strike="noStrike" kern="1200" baseline="0">
                    <a:solidFill>
                      <a:schemeClr val="lt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[Book1]Sheet1!$C$33:$E$33</c:f>
              <c:strCache>
                <c:ptCount val="3"/>
                <c:pt idx="0">
                  <c:v>Percentage of Participants</c:v>
                </c:pt>
                <c:pt idx="1">
                  <c:v>Average GPA</c:v>
                </c:pt>
                <c:pt idx="2">
                  <c:v>Pass Rate</c:v>
                </c:pt>
              </c:strCache>
            </c:strRef>
          </c:cat>
          <c:val>
            <c:numRef>
              <c:f>[Book1]Sheet1!$C$36:$E$36</c:f>
              <c:numCache>
                <c:formatCode>0%</c:formatCode>
                <c:ptCount val="3"/>
                <c:pt idx="0">
                  <c:v>0</c:v>
                </c:pt>
                <c:pt idx="1" c:formatCode="General">
                  <c:v>2.5</c:v>
                </c:pt>
                <c:pt idx="2">
                  <c:v>0.6</c:v>
                </c:pt>
              </c:numCache>
            </c:numRef>
          </c:val>
          <c:smooth val="0"/>
        </c:ser>
        <c:dLbls>
          <c:showLegendKey val="0"/>
          <c:showVal val="1"/>
          <c:showCatName val="0"/>
          <c:showSerName val="0"/>
          <c:showPercent val="0"/>
          <c:showBubbleSize val="0"/>
        </c:dLbls>
        <c:marker val="1"/>
        <c:smooth val="0"/>
        <c:axId val="-2112567600"/>
        <c:axId val="-2112570864"/>
      </c:lineChart>
      <c:catAx>
        <c:axId val="-21125676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zh-CN" sz="900" b="0" i="0" u="none" strike="noStrike" kern="1200" cap="all" baseline="0">
                <a:solidFill>
                  <a:schemeClr val="dk1">
                    <a:lumMod val="75000"/>
                    <a:lumOff val="25000"/>
                  </a:schemeClr>
                </a:solidFill>
                <a:latin typeface="+mn-lt"/>
                <a:ea typeface="+mn-ea"/>
                <a:cs typeface="+mn-cs"/>
              </a:defRPr>
            </a:pPr>
          </a:p>
        </c:txPr>
        <c:crossAx val="-2112570864"/>
        <c:crosses val="autoZero"/>
        <c:auto val="1"/>
        <c:lblAlgn val="ctr"/>
        <c:lblOffset val="100"/>
        <c:noMultiLvlLbl val="0"/>
      </c:catAx>
      <c:valAx>
        <c:axId val="-21125708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crossAx val="-2112567600"/>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dTable>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en-US"/>
              <a:t>Key</a:t>
            </a:r>
            <a:r>
              <a:rPr lang="en-US" baseline="0"/>
              <a:t> Findings</a:t>
            </a:r>
            <a:endParaRPr lang="en-US"/>
          </a:p>
        </c:rich>
      </c:tx>
      <c:layout/>
      <c:overlay val="0"/>
      <c:spPr>
        <a:noFill/>
        <a:ln>
          <a:noFill/>
        </a:ln>
        <a:effectLst/>
      </c:spPr>
    </c:title>
    <c:autoTitleDeleted val="0"/>
    <c:plotArea>
      <c:layout/>
      <c:lineChart>
        <c:grouping val="standard"/>
        <c:varyColors val="0"/>
        <c:ser>
          <c:idx val="0"/>
          <c:order val="0"/>
          <c:tx>
            <c:strRef>
              <c:f>[Book1]Sheet1!$C$2:$C$3</c:f>
              <c:strCache>
                <c:ptCount val="1"/>
                <c:pt idx="0">
                  <c:v>Percentage of Students (%)</c:v>
                </c:pt>
              </c:strCache>
            </c:strRef>
          </c:tx>
          <c:spPr>
            <a:ln w="28575" cap="rnd">
              <a:solidFill>
                <a:schemeClr val="accent1"/>
              </a:solidFill>
              <a:round/>
            </a:ln>
            <a:effectLst/>
          </c:spPr>
          <c:marker>
            <c:symbol val="none"/>
          </c:marker>
          <c:dLbls>
            <c:delete val="1"/>
          </c:dLbls>
          <c:cat>
            <c:strRef>
              <c:f>[Book1]Sheet1!$B$4:$B$23</c:f>
              <c:strCache>
                <c:ptCount val="20"/>
                <c:pt idx="0">
                  <c:v>Respect for Authority</c:v>
                </c:pt>
                <c:pt idx="1">
                  <c:v>Emphasis on Diligence</c:v>
                </c:pt>
                <c:pt idx="2">
                  <c:v>Prioritizing Collective Focus</c:v>
                </c:pt>
                <c:pt idx="3">
                  <c:v>Cultural and Linguistic Factors</c:v>
                </c:pt>
                <c:pt idx="4">
                  <c:v>Impact on Engagement Levels</c:v>
                </c:pt>
                <c:pt idx="5">
                  <c:v>Desire for Culturally Responsive Teaching</c:v>
                </c:pt>
                <c:pt idx="6">
                  <c:v>Tension Between Tradition and Innovation</c:v>
                </c:pt>
                <c:pt idx="7">
                  <c:v>Factors Contributing to Engagement</c:v>
                </c:pt>
                <c:pt idx="8">
                  <c:v>Educators' Agreement on Multifaceted Nature of Student Engagement</c:v>
                </c:pt>
                <c:pt idx="9">
                  <c:v>Overall Implications</c:v>
                </c:pt>
                <c:pt idx="10">
                  <c:v>Complexity of Student Engagement</c:v>
                </c:pt>
                <c:pt idx="11">
                  <c:v>Need for Delicate Balance</c:v>
                </c:pt>
                <c:pt idx="12">
                  <c:v>Broader Discourse</c:v>
                </c:pt>
                <c:pt idx="13">
                  <c:v>Context of English Language Teaching</c:v>
                </c:pt>
                <c:pt idx="14">
                  <c:v>Chinese University Setting</c:v>
                </c:pt>
                <c:pt idx="15">
                  <c:v>Contribution to Literature</c:v>
                </c:pt>
                <c:pt idx="16">
                  <c:v>Depth and Nuance</c:v>
                </c:pt>
                <c:pt idx="17">
                  <c:v>Reflections and Recommendations</c:v>
                </c:pt>
                <c:pt idx="18">
                  <c:v>Fostering Engaging and Culturally Enriching Environment</c:v>
                </c:pt>
                <c:pt idx="19">
                  <c:v>Balancing Tradition and Innovation</c:v>
                </c:pt>
              </c:strCache>
            </c:strRef>
          </c:cat>
          <c:val>
            <c:numRef>
              <c:f>[Book1]Sheet1!$C$4:$C$23</c:f>
              <c:numCache>
                <c:formatCode>General</c:formatCode>
                <c:ptCount val="20"/>
                <c:pt idx="0">
                  <c:v>80</c:v>
                </c:pt>
                <c:pt idx="1">
                  <c:v>70</c:v>
                </c:pt>
                <c:pt idx="2">
                  <c:v>65</c:v>
                </c:pt>
                <c:pt idx="4">
                  <c:v>60</c:v>
                </c:pt>
                <c:pt idx="5">
                  <c:v>75</c:v>
                </c:pt>
                <c:pt idx="6">
                  <c:v>55</c:v>
                </c:pt>
                <c:pt idx="7">
                  <c:v>0</c:v>
                </c:pt>
                <c:pt idx="8">
                  <c:v>90</c:v>
                </c:pt>
                <c:pt idx="10">
                  <c:v>85</c:v>
                </c:pt>
                <c:pt idx="11">
                  <c:v>75</c:v>
                </c:pt>
                <c:pt idx="13">
                  <c:v>70</c:v>
                </c:pt>
                <c:pt idx="14">
                  <c:v>80</c:v>
                </c:pt>
                <c:pt idx="16">
                  <c:v>95</c:v>
                </c:pt>
                <c:pt idx="18">
                  <c:v>85</c:v>
                </c:pt>
                <c:pt idx="19">
                  <c:v>80</c:v>
                </c:pt>
              </c:numCache>
            </c:numRef>
          </c:val>
          <c:smooth val="0"/>
        </c:ser>
        <c:ser>
          <c:idx val="1"/>
          <c:order val="1"/>
          <c:tx>
            <c:strRef>
              <c:f>[Book1]Sheet1!$D$2:$D$3</c:f>
              <c:strCache>
                <c:ptCount val="1"/>
                <c:pt idx="0">
                  <c:v>Percentage of Educators (%)</c:v>
                </c:pt>
              </c:strCache>
            </c:strRef>
          </c:tx>
          <c:spPr>
            <a:ln w="28575" cap="rnd">
              <a:solidFill>
                <a:schemeClr val="accent2"/>
              </a:solidFill>
              <a:round/>
            </a:ln>
            <a:effectLst/>
          </c:spPr>
          <c:marker>
            <c:symbol val="none"/>
          </c:marker>
          <c:dLbls>
            <c:delete val="1"/>
          </c:dLbls>
          <c:cat>
            <c:strRef>
              <c:f>[Book1]Sheet1!$B$4:$B$23</c:f>
              <c:strCache>
                <c:ptCount val="20"/>
                <c:pt idx="0">
                  <c:v>Respect for Authority</c:v>
                </c:pt>
                <c:pt idx="1">
                  <c:v>Emphasis on Diligence</c:v>
                </c:pt>
                <c:pt idx="2">
                  <c:v>Prioritizing Collective Focus</c:v>
                </c:pt>
                <c:pt idx="3">
                  <c:v>Cultural and Linguistic Factors</c:v>
                </c:pt>
                <c:pt idx="4">
                  <c:v>Impact on Engagement Levels</c:v>
                </c:pt>
                <c:pt idx="5">
                  <c:v>Desire for Culturally Responsive Teaching</c:v>
                </c:pt>
                <c:pt idx="6">
                  <c:v>Tension Between Tradition and Innovation</c:v>
                </c:pt>
                <c:pt idx="7">
                  <c:v>Factors Contributing to Engagement</c:v>
                </c:pt>
                <c:pt idx="8">
                  <c:v>Educators' Agreement on Multifaceted Nature of Student Engagement</c:v>
                </c:pt>
                <c:pt idx="9">
                  <c:v>Overall Implications</c:v>
                </c:pt>
                <c:pt idx="10">
                  <c:v>Complexity of Student Engagement</c:v>
                </c:pt>
                <c:pt idx="11">
                  <c:v>Need for Delicate Balance</c:v>
                </c:pt>
                <c:pt idx="12">
                  <c:v>Broader Discourse</c:v>
                </c:pt>
                <c:pt idx="13">
                  <c:v>Context of English Language Teaching</c:v>
                </c:pt>
                <c:pt idx="14">
                  <c:v>Chinese University Setting</c:v>
                </c:pt>
                <c:pt idx="15">
                  <c:v>Contribution to Literature</c:v>
                </c:pt>
                <c:pt idx="16">
                  <c:v>Depth and Nuance</c:v>
                </c:pt>
                <c:pt idx="17">
                  <c:v>Reflections and Recommendations</c:v>
                </c:pt>
                <c:pt idx="18">
                  <c:v>Fostering Engaging and Culturally Enriching Environment</c:v>
                </c:pt>
                <c:pt idx="19">
                  <c:v>Balancing Tradition and Innovation</c:v>
                </c:pt>
              </c:strCache>
            </c:strRef>
          </c:cat>
          <c:val>
            <c:numRef>
              <c:f>[Book1]Sheet1!$D$4:$D$23</c:f>
              <c:numCache>
                <c:formatCode>General</c:formatCode>
                <c:ptCount val="20"/>
                <c:pt idx="0">
                  <c:v>85</c:v>
                </c:pt>
                <c:pt idx="1">
                  <c:v>75</c:v>
                </c:pt>
                <c:pt idx="2">
                  <c:v>70</c:v>
                </c:pt>
                <c:pt idx="4">
                  <c:v>65</c:v>
                </c:pt>
                <c:pt idx="5">
                  <c:v>80</c:v>
                </c:pt>
                <c:pt idx="6">
                  <c:v>60</c:v>
                </c:pt>
                <c:pt idx="7">
                  <c:v>65</c:v>
                </c:pt>
                <c:pt idx="10">
                  <c:v>90</c:v>
                </c:pt>
                <c:pt idx="11">
                  <c:v>80</c:v>
                </c:pt>
                <c:pt idx="13">
                  <c:v>75</c:v>
                </c:pt>
                <c:pt idx="14">
                  <c:v>85</c:v>
                </c:pt>
                <c:pt idx="16">
                  <c:v>100</c:v>
                </c:pt>
                <c:pt idx="18">
                  <c:v>90</c:v>
                </c:pt>
                <c:pt idx="19">
                  <c:v>85</c:v>
                </c:pt>
              </c:numCache>
            </c:numRef>
          </c:val>
          <c:smooth val="0"/>
        </c:ser>
        <c:dLbls>
          <c:showLegendKey val="0"/>
          <c:showVal val="0"/>
          <c:showCatName val="0"/>
          <c:showSerName val="0"/>
          <c:showPercent val="0"/>
          <c:showBubbleSize val="0"/>
        </c:dLbls>
        <c:marker val="0"/>
        <c:smooth val="0"/>
        <c:axId val="-2112569776"/>
        <c:axId val="-2112570864"/>
      </c:lineChart>
      <c:catAx>
        <c:axId val="-2112569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70864"/>
        <c:crosses val="autoZero"/>
        <c:auto val="1"/>
        <c:lblAlgn val="ctr"/>
        <c:lblOffset val="100"/>
        <c:noMultiLvlLbl val="0"/>
      </c:catAx>
      <c:valAx>
        <c:axId val="-211257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697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Disciplinary Complexity</a:t>
            </a:r>
            <a:endParaRPr lang="en-US"/>
          </a:p>
        </c:rich>
      </c:tx>
      <c:layout/>
      <c:overlay val="0"/>
      <c:spPr>
        <a:noFill/>
        <a:ln>
          <a:noFill/>
        </a:ln>
        <a:effectLst/>
      </c:spPr>
    </c:title>
    <c:autoTitleDeleted val="0"/>
    <c:plotArea>
      <c:layout/>
      <c:barChart>
        <c:barDir val="col"/>
        <c:grouping val="clustered"/>
        <c:varyColors val="0"/>
        <c:ser>
          <c:idx val="0"/>
          <c:order val="0"/>
          <c:tx>
            <c:strRef>
              <c:f>[Book1]Sheet1!$B$50</c:f>
              <c:strCache>
                <c:ptCount val="1"/>
                <c:pt idx="0">
                  <c:v>Science</c:v>
                </c:pt>
              </c:strCache>
            </c:strRef>
          </c:tx>
          <c:spPr>
            <a:solidFill>
              <a:schemeClr val="accent1"/>
            </a:solidFill>
            <a:ln>
              <a:noFill/>
            </a:ln>
            <a:effectLst/>
          </c:spPr>
          <c:invertIfNegative val="0"/>
          <c:dLbls>
            <c:delete val="1"/>
          </c:dLbls>
          <c:cat>
            <c:strRef>
              <c:f>[Book1]Sheet1!$C$49</c:f>
              <c:strCache>
                <c:ptCount val="1"/>
                <c:pt idx="0">
                  <c:v>Percentage of Student Engagement</c:v>
                </c:pt>
              </c:strCache>
            </c:strRef>
          </c:cat>
          <c:val>
            <c:numRef>
              <c:f>[Book1]Sheet1!$C$50</c:f>
              <c:numCache>
                <c:formatCode>0%</c:formatCode>
                <c:ptCount val="1"/>
                <c:pt idx="0">
                  <c:v>0.25</c:v>
                </c:pt>
              </c:numCache>
            </c:numRef>
          </c:val>
        </c:ser>
        <c:ser>
          <c:idx val="1"/>
          <c:order val="1"/>
          <c:tx>
            <c:strRef>
              <c:f>[Book1]Sheet1!$B$51</c:f>
              <c:strCache>
                <c:ptCount val="1"/>
                <c:pt idx="0">
                  <c:v>Arts</c:v>
                </c:pt>
              </c:strCache>
            </c:strRef>
          </c:tx>
          <c:spPr>
            <a:solidFill>
              <a:schemeClr val="accent2"/>
            </a:solidFill>
            <a:ln>
              <a:noFill/>
            </a:ln>
            <a:effectLst/>
          </c:spPr>
          <c:invertIfNegative val="0"/>
          <c:dLbls>
            <c:delete val="1"/>
          </c:dLbls>
          <c:cat>
            <c:strRef>
              <c:f>[Book1]Sheet1!$C$49</c:f>
              <c:strCache>
                <c:ptCount val="1"/>
                <c:pt idx="0">
                  <c:v>Percentage of Student Engagement</c:v>
                </c:pt>
              </c:strCache>
            </c:strRef>
          </c:cat>
          <c:val>
            <c:numRef>
              <c:f>[Book1]Sheet1!$C$51</c:f>
              <c:numCache>
                <c:formatCode>0%</c:formatCode>
                <c:ptCount val="1"/>
                <c:pt idx="0">
                  <c:v>0.25</c:v>
                </c:pt>
              </c:numCache>
            </c:numRef>
          </c:val>
        </c:ser>
        <c:ser>
          <c:idx val="2"/>
          <c:order val="2"/>
          <c:tx>
            <c:strRef>
              <c:f>[Book1]Sheet1!$B$52</c:f>
              <c:strCache>
                <c:ptCount val="1"/>
                <c:pt idx="0">
                  <c:v>Business</c:v>
                </c:pt>
              </c:strCache>
            </c:strRef>
          </c:tx>
          <c:spPr>
            <a:solidFill>
              <a:schemeClr val="accent3"/>
            </a:solidFill>
            <a:ln>
              <a:noFill/>
            </a:ln>
            <a:effectLst/>
          </c:spPr>
          <c:invertIfNegative val="0"/>
          <c:dLbls>
            <c:delete val="1"/>
          </c:dLbls>
          <c:cat>
            <c:strRef>
              <c:f>[Book1]Sheet1!$C$49</c:f>
              <c:strCache>
                <c:ptCount val="1"/>
                <c:pt idx="0">
                  <c:v>Percentage of Student Engagement</c:v>
                </c:pt>
              </c:strCache>
            </c:strRef>
          </c:cat>
          <c:val>
            <c:numRef>
              <c:f>[Book1]Sheet1!$C$52</c:f>
              <c:numCache>
                <c:formatCode>0%</c:formatCode>
                <c:ptCount val="1"/>
                <c:pt idx="0">
                  <c:v>0.25</c:v>
                </c:pt>
              </c:numCache>
            </c:numRef>
          </c:val>
        </c:ser>
        <c:ser>
          <c:idx val="3"/>
          <c:order val="3"/>
          <c:tx>
            <c:strRef>
              <c:f>[Book1]Sheet1!$B$53</c:f>
              <c:strCache>
                <c:ptCount val="1"/>
                <c:pt idx="0">
                  <c:v>Social Sciences</c:v>
                </c:pt>
              </c:strCache>
            </c:strRef>
          </c:tx>
          <c:spPr>
            <a:solidFill>
              <a:schemeClr val="accent4"/>
            </a:solidFill>
            <a:ln>
              <a:noFill/>
            </a:ln>
            <a:effectLst/>
          </c:spPr>
          <c:invertIfNegative val="0"/>
          <c:dLbls>
            <c:delete val="1"/>
          </c:dLbls>
          <c:cat>
            <c:strRef>
              <c:f>[Book1]Sheet1!$C$49</c:f>
              <c:strCache>
                <c:ptCount val="1"/>
                <c:pt idx="0">
                  <c:v>Percentage of Student Engagement</c:v>
                </c:pt>
              </c:strCache>
            </c:strRef>
          </c:cat>
          <c:val>
            <c:numRef>
              <c:f>[Book1]Sheet1!$C$53</c:f>
              <c:numCache>
                <c:formatCode>0%</c:formatCode>
                <c:ptCount val="1"/>
                <c:pt idx="0">
                  <c:v>0.25</c:v>
                </c:pt>
              </c:numCache>
            </c:numRef>
          </c:val>
        </c:ser>
        <c:dLbls>
          <c:showLegendKey val="0"/>
          <c:showVal val="0"/>
          <c:showCatName val="0"/>
          <c:showSerName val="0"/>
          <c:showPercent val="0"/>
          <c:showBubbleSize val="0"/>
        </c:dLbls>
        <c:gapWidth val="219"/>
        <c:overlap val="-27"/>
        <c:axId val="-2112573584"/>
        <c:axId val="-2112568688"/>
      </c:barChart>
      <c:catAx>
        <c:axId val="-2112573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68688"/>
        <c:crosses val="autoZero"/>
        <c:auto val="1"/>
        <c:lblAlgn val="ctr"/>
        <c:lblOffset val="100"/>
        <c:noMultiLvlLbl val="0"/>
      </c:catAx>
      <c:valAx>
        <c:axId val="-21125686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735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1" i="0" u="none" strike="noStrike" kern="1200" cap="none" baseline="0">
              <a:solidFill>
                <a:schemeClr val="lt1">
                  <a:lumMod val="85000"/>
                </a:schemeClr>
              </a:solidFill>
              <a:latin typeface="+mn-lt"/>
              <a:ea typeface="+mn-ea"/>
              <a:cs typeface="+mn-cs"/>
            </a:defRPr>
          </a:pPr>
        </a:p>
      </c:txPr>
    </c:title>
    <c:autoTitleDeleted val="0"/>
    <c:plotArea>
      <c:layout/>
      <c:lineChart>
        <c:grouping val="standard"/>
        <c:varyColors val="0"/>
        <c:ser>
          <c:idx val="0"/>
          <c:order val="0"/>
          <c:tx>
            <c:strRef>
              <c:f>[Book1]Sheet1!$C$69</c:f>
              <c:strCache>
                <c:ptCount val="1"/>
                <c:pt idx="0">
                  <c:v>Engagement Rate</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lt1">
                        <a:lumMod val="7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[Book1]Sheet1!$B$70:$B$71</c:f>
              <c:strCache>
                <c:ptCount val="2"/>
                <c:pt idx="0">
                  <c:v>Small Classes</c:v>
                </c:pt>
                <c:pt idx="1">
                  <c:v>Larger Lecture Halls</c:v>
                </c:pt>
              </c:strCache>
            </c:strRef>
          </c:cat>
          <c:val>
            <c:numRef>
              <c:f>[Book1]Sheet1!$C$70:$C$71</c:f>
              <c:numCache>
                <c:formatCode>0%</c:formatCode>
                <c:ptCount val="2"/>
                <c:pt idx="0">
                  <c:v>0.9</c:v>
                </c:pt>
                <c:pt idx="1">
                  <c:v>0.5</c:v>
                </c:pt>
              </c:numCache>
            </c:numRef>
          </c:val>
          <c:smooth val="0"/>
        </c:ser>
        <c:dLbls>
          <c:showLegendKey val="0"/>
          <c:showVal val="1"/>
          <c:showCatName val="0"/>
          <c:showSerName val="0"/>
          <c:showPercent val="0"/>
          <c:showBubbleSize val="0"/>
        </c:dLbls>
        <c:marker val="0"/>
        <c:smooth val="0"/>
        <c:axId val="-2112570864"/>
        <c:axId val="-2112566512"/>
      </c:lineChart>
      <c:catAx>
        <c:axId val="-211257086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lt1">
                    <a:lumMod val="75000"/>
                  </a:schemeClr>
                </a:solidFill>
                <a:latin typeface="+mn-lt"/>
                <a:ea typeface="+mn-ea"/>
                <a:cs typeface="+mn-cs"/>
              </a:defRPr>
            </a:pPr>
          </a:p>
        </c:txPr>
        <c:crossAx val="-2112566512"/>
        <c:crosses val="autoZero"/>
        <c:auto val="1"/>
        <c:lblAlgn val="ctr"/>
        <c:lblOffset val="100"/>
        <c:noMultiLvlLbl val="0"/>
      </c:catAx>
      <c:valAx>
        <c:axId val="-211256651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lt1">
                    <a:lumMod val="75000"/>
                  </a:schemeClr>
                </a:solidFill>
                <a:latin typeface="+mn-lt"/>
                <a:ea typeface="+mn-ea"/>
                <a:cs typeface="+mn-cs"/>
              </a:defRPr>
            </a:pPr>
          </a:p>
        </c:txPr>
        <c:crossAx val="-2112570864"/>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3151D-45E1-4C87-99C7-12A1702FD048}">
  <ds:schemaRefs/>
</ds:datastoreItem>
</file>

<file path=docProps/app.xml><?xml version="1.0" encoding="utf-8"?>
<Properties xmlns="http://schemas.openxmlformats.org/officeDocument/2006/extended-properties" xmlns:vt="http://schemas.openxmlformats.org/officeDocument/2006/docPropsVTypes">
  <TotalTime>42</TotalTime>
  <ScaleCrop>false</ScaleCrop>
  <LinksUpToDate>false</LinksUpToDate>
  <Application>WPS Office_12.1.0.16250_F1E327BC-269C-435d-A152-05C5408002CA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2024-02-17T03:43:00Z</dcterms:created>
  <dc:creator>Alano</dc:creator>
  <cp:lastModifiedBy>Alano</cp:lastModifiedBy>
  <dcterms:modified xsi:type="dcterms:W3CDTF">2024-02-19T11:32:02Z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DA5F03B06308449AB3355D1CDC5EF39C_13</vt:lpwstr>
  </property>
</Properties>
</file>