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F7C5B1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90A9C">
              <w:rPr>
                <w:rFonts w:ascii="Tahoma" w:hAnsi="Tahoma" w:cs="Tahoma"/>
                <w:b/>
                <w:sz w:val="20"/>
                <w:szCs w:val="20"/>
              </w:rPr>
              <w:t>Shahzad Khan</w:t>
            </w:r>
          </w:p>
          <w:p w14:paraId="498F0B10" w14:textId="77777777" w:rsidR="001B69C8" w:rsidRPr="003C3341" w:rsidRDefault="001B69C8">
            <w:pPr>
              <w:rPr>
                <w:rFonts w:ascii="Tahoma" w:hAnsi="Tahoma" w:cs="Tahoma"/>
                <w:b/>
                <w:sz w:val="20"/>
                <w:szCs w:val="20"/>
              </w:rPr>
            </w:pPr>
          </w:p>
          <w:p w14:paraId="69E1F0CF" w14:textId="393DFD9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E4097">
              <w:rPr>
                <w:rFonts w:ascii="Tahoma" w:hAnsi="Tahoma" w:cs="Tahoma"/>
                <w:b/>
                <w:sz w:val="20"/>
                <w:szCs w:val="20"/>
              </w:rPr>
              <w:t>2027375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E506FC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BE1926">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70CEBC0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E4097">
              <w:rPr>
                <w:rFonts w:ascii="Tahoma" w:hAnsi="Tahoma" w:cs="Tahoma"/>
                <w:b/>
                <w:sz w:val="20"/>
                <w:szCs w:val="20"/>
              </w:rPr>
              <w:t>Laurance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4A7CB6C4" w14:textId="77777777" w:rsidR="007F4FA3" w:rsidRPr="009061F1" w:rsidRDefault="008F0D83" w:rsidP="007F4FA3">
            <w:pPr>
              <w:pStyle w:val="NormalWeb"/>
              <w:numPr>
                <w:ilvl w:val="0"/>
                <w:numId w:val="28"/>
              </w:numPr>
              <w:rPr>
                <w:rFonts w:ascii="SymbolMT" w:hAnsi="SymbolMT"/>
              </w:rPr>
            </w:pPr>
            <w:r>
              <w:rPr>
                <w:rFonts w:ascii="Tahoma" w:hAnsi="Tahoma" w:cs="Tahoma"/>
                <w:b/>
                <w:sz w:val="20"/>
                <w:szCs w:val="20"/>
              </w:rPr>
              <w:t>Topic of choice:</w:t>
            </w:r>
            <w:r w:rsidR="00B60FDF">
              <w:rPr>
                <w:rFonts w:ascii="Tahoma" w:hAnsi="Tahoma" w:cs="Tahoma"/>
                <w:b/>
                <w:sz w:val="20"/>
                <w:szCs w:val="20"/>
              </w:rPr>
              <w:t xml:space="preserve"> </w:t>
            </w:r>
            <w:r w:rsidR="007F4FA3">
              <w:rPr>
                <w:rFonts w:ascii="Calibri" w:hAnsi="Calibri" w:cs="Calibri"/>
              </w:rPr>
              <w:t xml:space="preserve">Allergies and Intolerances and the importance within the industry </w:t>
            </w:r>
          </w:p>
          <w:p w14:paraId="15299B24" w14:textId="2D7C4908"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C509FB">
        <w:trPr>
          <w:trHeight w:val="2213"/>
        </w:trPr>
        <w:tc>
          <w:tcPr>
            <w:tcW w:w="11182" w:type="dxa"/>
            <w:gridSpan w:val="2"/>
          </w:tcPr>
          <w:p w14:paraId="0831D54A" w14:textId="77777777" w:rsidR="00B945EA" w:rsidRDefault="00B945EA" w:rsidP="00A65C1D">
            <w:pPr>
              <w:rPr>
                <w:rFonts w:ascii="Tahoma" w:hAnsi="Tahoma" w:cs="Tahoma"/>
                <w:sz w:val="20"/>
                <w:szCs w:val="20"/>
              </w:rPr>
            </w:pPr>
          </w:p>
          <w:p w14:paraId="64991D54" w14:textId="2AA5CE19" w:rsidR="007F4FA3" w:rsidRDefault="007F4FA3" w:rsidP="007F4FA3">
            <w:pPr>
              <w:spacing w:line="360" w:lineRule="auto"/>
              <w:jc w:val="both"/>
            </w:pPr>
            <w:r>
              <w:t xml:space="preserve">In this week we found out with regards to the Allergies and their Intolerances and the significance inside the food business. A food sensitivity is actually invulnerable framework response that happens soon after individuals devour specific food sources. It can happen immediately or after a brief timeframe, yet it is seldom since quite a while ago postponed. Limited quantities of food can likewise cause a response; now and again, </w:t>
            </w:r>
            <w:r w:rsidRPr="001652E0">
              <w:t>Basically, inhaling the allergen's particles might trigger a reaction. A skin rash that spreads to the lips and throat</w:t>
            </w:r>
            <w:r>
              <w:t xml:space="preserve"> and queasiness are largely potential side effects. A few food sensitivity victims might encounter anaphylactic shock, which is an extreme unfavourably susceptible response. It influences every one of the body's frameworks and can be deadly</w:t>
            </w:r>
            <w:sdt>
              <w:sdtPr>
                <w:id w:val="-556170594"/>
                <w:citation/>
              </w:sdtPr>
              <w:sdtEndPr/>
              <w:sdtContent>
                <w:r w:rsidR="00941F56">
                  <w:fldChar w:fldCharType="begin"/>
                </w:r>
                <w:r w:rsidR="00941F56">
                  <w:rPr>
                    <w:lang w:val="en-US"/>
                  </w:rPr>
                  <w:instrText xml:space="preserve"> CITATION Kar16 \l 1033 </w:instrText>
                </w:r>
                <w:r w:rsidR="00941F56">
                  <w:fldChar w:fldCharType="separate"/>
                </w:r>
                <w:r w:rsidR="00941F56">
                  <w:rPr>
                    <w:noProof/>
                    <w:lang w:val="en-US"/>
                  </w:rPr>
                  <w:t xml:space="preserve"> </w:t>
                </w:r>
                <w:r w:rsidR="00941F56" w:rsidRPr="00941F56">
                  <w:rPr>
                    <w:noProof/>
                    <w:lang w:val="en-US"/>
                  </w:rPr>
                  <w:t>(Kara Lynch, 2016)</w:t>
                </w:r>
                <w:r w:rsidR="00941F56">
                  <w:fldChar w:fldCharType="end"/>
                </w:r>
              </w:sdtContent>
            </w:sdt>
          </w:p>
          <w:p w14:paraId="61071BAC" w14:textId="77777777" w:rsidR="007F4FA3" w:rsidRDefault="007F4FA3" w:rsidP="007F4FA3">
            <w:pPr>
              <w:spacing w:line="360" w:lineRule="auto"/>
              <w:jc w:val="both"/>
            </w:pPr>
            <w:r w:rsidRPr="001652E0">
              <w:t xml:space="preserve">A slower reaction to a food or a chemical in a food is referred to as food intolerance. It's usually a lot less severe and milder than a food sensitivity. </w:t>
            </w:r>
            <w:r>
              <w:t>Manifestations are commonly restricted to stomach related issues, however they can likewise incorporate skin issues and cerebral pains. Food bigotries, then again, are seldom deadly, and individuals with prejudices might be unaffected regardless of whether they devour a limited quantity of the culpable food. In any case, whenever left untreated, bigotries can be amazingly awkward and make individuals feel sick for extensive stretches of time. I additionally found out with regards to the Cause of these sensitivities and bigotries.</w:t>
            </w:r>
          </w:p>
          <w:p w14:paraId="68BD6E7F" w14:textId="77777777" w:rsidR="007F4FA3" w:rsidRDefault="007F4FA3" w:rsidP="007F4FA3">
            <w:pPr>
              <w:spacing w:line="360" w:lineRule="auto"/>
              <w:jc w:val="both"/>
            </w:pPr>
          </w:p>
          <w:p w14:paraId="4644F63F" w14:textId="484105B0" w:rsidR="007F4FA3" w:rsidRDefault="007F4FA3" w:rsidP="007F4FA3">
            <w:pPr>
              <w:spacing w:line="360" w:lineRule="auto"/>
              <w:jc w:val="both"/>
            </w:pPr>
            <w:r w:rsidRPr="001652E0">
              <w:lastRenderedPageBreak/>
              <w:t>According to several studies, the issue is one of under-openness: people are destined to be vulnerable to things that are new to their immune system</w:t>
            </w:r>
            <w:r>
              <w:t>. A quick over-openness to a hypersensitive in a touchy piece of the body can likewise cause unfavourably susceptible. Notwithstanding, there is often no conspicuous trigger, and individuals are just mindful that they are seriously unfavourably susceptible when they experience their first response. It is conceivable that victims are feeling the loss of a catalyst that assists them with processing their food. Lactose narrow mindedness, for instance, is every now and again brought about by an absence of a quality for the protein that digests it. Prejudice to food added substances. Certain individuals are more touchy to synthetic compounds than others,</w:t>
            </w:r>
            <w:r w:rsidRPr="00FC078C">
              <w:t xml:space="preserve"> </w:t>
            </w:r>
            <w:r>
              <w:t>w</w:t>
            </w:r>
            <w:r w:rsidRPr="00FC078C">
              <w:t>hen they're added to meals, they might cause problems</w:t>
            </w:r>
            <w:sdt>
              <w:sdtPr>
                <w:id w:val="546729508"/>
                <w:citation/>
              </w:sdtPr>
              <w:sdtEndPr/>
              <w:sdtContent>
                <w:r w:rsidR="00941F56">
                  <w:fldChar w:fldCharType="begin"/>
                </w:r>
                <w:r w:rsidR="00941F56">
                  <w:rPr>
                    <w:lang w:val="en-US"/>
                  </w:rPr>
                  <w:instrText xml:space="preserve"> CITATION Foo21 \l 1033 </w:instrText>
                </w:r>
                <w:r w:rsidR="00941F56">
                  <w:fldChar w:fldCharType="separate"/>
                </w:r>
                <w:r w:rsidR="00941F56">
                  <w:rPr>
                    <w:noProof/>
                    <w:lang w:val="en-US"/>
                  </w:rPr>
                  <w:t xml:space="preserve"> </w:t>
                </w:r>
                <w:r w:rsidR="00941F56" w:rsidRPr="00941F56">
                  <w:rPr>
                    <w:noProof/>
                    <w:lang w:val="en-US"/>
                  </w:rPr>
                  <w:t>(Food standard agency, 2021)</w:t>
                </w:r>
                <w:r w:rsidR="00941F56">
                  <w:fldChar w:fldCharType="end"/>
                </w:r>
              </w:sdtContent>
            </w:sdt>
            <w:r w:rsidRPr="00FC078C">
              <w:t>.</w:t>
            </w:r>
          </w:p>
          <w:p w14:paraId="5EA7AF3E" w14:textId="77777777" w:rsidR="007F4FA3" w:rsidRDefault="007F4FA3" w:rsidP="007F4FA3">
            <w:pPr>
              <w:spacing w:line="360" w:lineRule="auto"/>
              <w:jc w:val="both"/>
            </w:pPr>
          </w:p>
          <w:p w14:paraId="61FACDFD" w14:textId="0E9065D0" w:rsidR="007F4FA3" w:rsidRDefault="007F4FA3" w:rsidP="007F4FA3">
            <w:pPr>
              <w:spacing w:line="360" w:lineRule="auto"/>
              <w:jc w:val="both"/>
            </w:pPr>
            <w:r w:rsidRPr="00FC078C">
              <w:t xml:space="preserve">Sulphites, which are used in the drying of natural products, and food shading are two examples. Gluten </w:t>
            </w:r>
            <w:r>
              <w:t>intolerance</w:t>
            </w:r>
            <w:r w:rsidRPr="00FC078C">
              <w:t xml:space="preserve"> arises when people with celiac disease are unable to absorb gluten properly</w:t>
            </w:r>
            <w:r>
              <w:t>. Food bigotries may likewise be impacted by mental elements. Certain individuals, for instance, can't swallow specific food varieties for not a great explanation. After every one of this we additionally found out with regards to how to oversee and distinguish food sensitivities and prejudice. I have seen numerous YouTube recordings all through the week's talk and discovered that Food sensitivities are frequently serious enough that identifying them is easy. Recognizing the trigger, then again, can be more troublesome, not least since you would rather not hazard anaphylactic shock.</w:t>
            </w:r>
            <w:r w:rsidR="00C509FB">
              <w:t>(</w:t>
            </w:r>
            <w:r w:rsidR="00C509FB">
              <w:rPr>
                <w:rFonts w:ascii="Arial" w:hAnsi="Arial" w:cs="Arial"/>
                <w:color w:val="222222"/>
                <w:sz w:val="20"/>
                <w:szCs w:val="20"/>
                <w:shd w:val="clear" w:color="auto" w:fill="FFFFFF"/>
              </w:rPr>
              <w:t xml:space="preserve"> Ribeiro,2018)</w:t>
            </w:r>
          </w:p>
          <w:p w14:paraId="6DBD5566" w14:textId="77777777" w:rsidR="007F4FA3" w:rsidRDefault="007F4FA3" w:rsidP="007F4FA3">
            <w:pPr>
              <w:spacing w:line="360" w:lineRule="auto"/>
              <w:jc w:val="both"/>
            </w:pPr>
          </w:p>
          <w:p w14:paraId="138218E0" w14:textId="77777777" w:rsidR="007F4FA3" w:rsidRDefault="007F4FA3" w:rsidP="007F4FA3">
            <w:pPr>
              <w:spacing w:line="360" w:lineRule="auto"/>
              <w:jc w:val="both"/>
            </w:pPr>
            <w:r>
              <w:t>• A blood test, which can be utilized on the off chance that a skin test isn't suitable.</w:t>
            </w:r>
          </w:p>
          <w:p w14:paraId="010115BB" w14:textId="77777777" w:rsidR="007F4FA3" w:rsidRDefault="007F4FA3" w:rsidP="007F4FA3">
            <w:pPr>
              <w:spacing w:line="360" w:lineRule="auto"/>
              <w:jc w:val="both"/>
            </w:pPr>
            <w:r>
              <w:t>• A 'scratch test,' in which the skin is presented to few expected allergens to test for a response.</w:t>
            </w:r>
          </w:p>
          <w:p w14:paraId="21AB5DEF" w14:textId="3CB3C38D" w:rsidR="007F4FA3" w:rsidRDefault="007F4FA3" w:rsidP="007F4FA3">
            <w:pPr>
              <w:spacing w:line="360" w:lineRule="auto"/>
              <w:jc w:val="both"/>
            </w:pPr>
            <w:r>
              <w:t>The people who have had an extreme hypersensitive response ought to counsel a specialist quickly to have a test for allergens.</w:t>
            </w:r>
            <w:r w:rsidRPr="00FC078C">
              <w:t xml:space="preserve"> Food biases are less serious than sensitivities, but they're also more difficult to spot</w:t>
            </w:r>
            <w:r>
              <w:t>. Since a safe response is probably not going to be involved, there are hardly any, indisputable tests. At the point when a food narrow mindedness is serious, nutritionists might suggest killing a wide scope of potential triggers at the same time.</w:t>
            </w:r>
            <w:sdt>
              <w:sdtPr>
                <w:id w:val="1801192001"/>
                <w:citation/>
              </w:sdtPr>
              <w:sdtEndPr/>
              <w:sdtContent>
                <w:r w:rsidR="00C509FB">
                  <w:fldChar w:fldCharType="begin"/>
                </w:r>
                <w:r w:rsidR="00C509FB">
                  <w:rPr>
                    <w:lang w:val="en-US"/>
                  </w:rPr>
                  <w:instrText xml:space="preserve"> CITATION Ped12 \l 1033 </w:instrText>
                </w:r>
                <w:r w:rsidR="00C509FB">
                  <w:fldChar w:fldCharType="separate"/>
                </w:r>
                <w:r w:rsidR="00C509FB">
                  <w:rPr>
                    <w:noProof/>
                    <w:lang w:val="en-US"/>
                  </w:rPr>
                  <w:t xml:space="preserve"> </w:t>
                </w:r>
                <w:r w:rsidR="00C509FB" w:rsidRPr="00C509FB">
                  <w:rPr>
                    <w:noProof/>
                    <w:lang w:val="en-US"/>
                  </w:rPr>
                  <w:t>(Boye, 2012)</w:t>
                </w:r>
                <w:r w:rsidR="00C509FB">
                  <w:fldChar w:fldCharType="end"/>
                </w:r>
              </w:sdtContent>
            </w:sdt>
          </w:p>
          <w:p w14:paraId="463F59BD" w14:textId="77777777" w:rsidR="007F4FA3" w:rsidRDefault="007F4FA3" w:rsidP="007F4FA3">
            <w:pPr>
              <w:spacing w:line="360" w:lineRule="auto"/>
              <w:jc w:val="both"/>
            </w:pPr>
          </w:p>
          <w:p w14:paraId="07628AAF" w14:textId="26BBB039" w:rsidR="007F4FA3" w:rsidRDefault="007F4FA3" w:rsidP="007F4FA3">
            <w:pPr>
              <w:spacing w:line="360" w:lineRule="auto"/>
              <w:jc w:val="both"/>
            </w:pPr>
            <w:r>
              <w:t xml:space="preserve">This is to allow the manifestations an opportunity to settle prior to once again introducing potential triggers each in turn to see which ones have an effect. To close one might say that Allergic responses to food sources are not kidding true issues for mankind, with a developing worldwide degree. </w:t>
            </w:r>
            <w:r w:rsidR="00C509FB">
              <w:t>(</w:t>
            </w:r>
            <w:r w:rsidR="00C509FB">
              <w:rPr>
                <w:rFonts w:ascii="Arial" w:hAnsi="Arial" w:cs="Arial"/>
                <w:color w:val="222222"/>
                <w:sz w:val="20"/>
                <w:szCs w:val="20"/>
                <w:shd w:val="clear" w:color="auto" w:fill="FFFFFF"/>
              </w:rPr>
              <w:t xml:space="preserve"> Schiefert, 2019) </w:t>
            </w:r>
            <w:r>
              <w:t>Food sensitivity, which is a resistant reaction to the food, and the food bigotry, which is not a safe response with sensitivity like indications, are the two sorts of unfriendly food responses. Food sensitivities influence 6-9% of youngsters and 13% of grown-ups, as per gauges. Food prejudice influences around 5-6% of grown-ups, yet it influences somewhere in the range of 0.3 percent to 20% of babies and little youngsters. Different food allergens (milk proteins, grains, nuts, natural products, and vegetables) cause sensitivity, and cross-sensitivity is normal among them.</w:t>
            </w: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6B2113A2" w14:textId="77777777" w:rsidR="00C509FB" w:rsidRPr="00C509FB" w:rsidRDefault="00C509FB" w:rsidP="00C509FB">
            <w:pPr>
              <w:pStyle w:val="Bibliography"/>
              <w:numPr>
                <w:ilvl w:val="0"/>
                <w:numId w:val="29"/>
              </w:numPr>
              <w:rPr>
                <w:noProof/>
              </w:rPr>
            </w:pPr>
            <w:r w:rsidRPr="00C509FB">
              <w:fldChar w:fldCharType="begin"/>
            </w:r>
            <w:r w:rsidRPr="00C509FB">
              <w:rPr>
                <w:lang w:val="en-US"/>
              </w:rPr>
              <w:instrText xml:space="preserve"> BIBLIOGRAPHY  \l 1033 </w:instrText>
            </w:r>
            <w:r w:rsidRPr="00C509FB">
              <w:fldChar w:fldCharType="separate"/>
            </w:r>
            <w:r w:rsidRPr="00C509FB">
              <w:rPr>
                <w:noProof/>
              </w:rPr>
              <w:t xml:space="preserve">Boye, P. A. A. a. J. I., 2012. </w:t>
            </w:r>
            <w:r w:rsidRPr="00C509FB">
              <w:rPr>
                <w:i/>
                <w:iCs/>
                <w:noProof/>
              </w:rPr>
              <w:t xml:space="preserve">Food Production and Processing Considerations of Allergenic Food Ingredients. </w:t>
            </w:r>
            <w:r w:rsidRPr="00C509FB">
              <w:rPr>
                <w:noProof/>
              </w:rPr>
              <w:t xml:space="preserve">[Online] </w:t>
            </w:r>
            <w:r w:rsidRPr="00C509FB">
              <w:rPr>
                <w:noProof/>
              </w:rPr>
              <w:br/>
              <w:t xml:space="preserve">Available at: </w:t>
            </w:r>
            <w:r w:rsidRPr="00C509FB">
              <w:rPr>
                <w:noProof/>
                <w:u w:val="single"/>
              </w:rPr>
              <w:t>https://www.hindawi.com/journals/ja/2012/746125/</w:t>
            </w:r>
            <w:r w:rsidRPr="00C509FB">
              <w:rPr>
                <w:noProof/>
              </w:rPr>
              <w:br/>
              <w:t>[Accessed 2 1 2022].</w:t>
            </w:r>
          </w:p>
          <w:p w14:paraId="6EFB1506" w14:textId="77777777" w:rsidR="00C509FB" w:rsidRPr="00C509FB" w:rsidRDefault="00C509FB" w:rsidP="00C509FB">
            <w:pPr>
              <w:pStyle w:val="Bibliography"/>
              <w:numPr>
                <w:ilvl w:val="0"/>
                <w:numId w:val="29"/>
              </w:numPr>
              <w:rPr>
                <w:noProof/>
              </w:rPr>
            </w:pPr>
            <w:r w:rsidRPr="00C509FB">
              <w:rPr>
                <w:noProof/>
              </w:rPr>
              <w:t xml:space="preserve">Food standard agency, 2021. </w:t>
            </w:r>
            <w:r w:rsidRPr="00C509FB">
              <w:rPr>
                <w:i/>
                <w:iCs/>
                <w:noProof/>
              </w:rPr>
              <w:t xml:space="preserve">Food allergy and intolerance. </w:t>
            </w:r>
            <w:r w:rsidRPr="00C509FB">
              <w:rPr>
                <w:noProof/>
              </w:rPr>
              <w:t xml:space="preserve">[Online] </w:t>
            </w:r>
            <w:r w:rsidRPr="00C509FB">
              <w:rPr>
                <w:noProof/>
              </w:rPr>
              <w:br/>
              <w:t xml:space="preserve">Available at: </w:t>
            </w:r>
            <w:r w:rsidRPr="00C509FB">
              <w:rPr>
                <w:noProof/>
                <w:u w:val="single"/>
              </w:rPr>
              <w:t>https://www.food.gov.uk/safety-hygiene/food-allergy-and-intolerance</w:t>
            </w:r>
            <w:r w:rsidRPr="00C509FB">
              <w:rPr>
                <w:noProof/>
              </w:rPr>
              <w:br/>
              <w:t>[Accessed 21 12 2021].</w:t>
            </w:r>
          </w:p>
          <w:p w14:paraId="31628C07" w14:textId="77777777" w:rsidR="00C509FB" w:rsidRPr="00C509FB" w:rsidRDefault="00C509FB" w:rsidP="00C509FB">
            <w:pPr>
              <w:pStyle w:val="Bibliography"/>
              <w:numPr>
                <w:ilvl w:val="0"/>
                <w:numId w:val="29"/>
              </w:numPr>
              <w:rPr>
                <w:noProof/>
              </w:rPr>
            </w:pPr>
            <w:r w:rsidRPr="00C509FB">
              <w:rPr>
                <w:noProof/>
              </w:rPr>
              <w:t xml:space="preserve">Kara Lynch, M. S. U. E. -., 2016. </w:t>
            </w:r>
            <w:r w:rsidRPr="00C509FB">
              <w:rPr>
                <w:i/>
                <w:iCs/>
                <w:noProof/>
              </w:rPr>
              <w:t xml:space="preserve">Food Allergies: Why it’s important to pay attention. </w:t>
            </w:r>
            <w:r w:rsidRPr="00C509FB">
              <w:rPr>
                <w:noProof/>
              </w:rPr>
              <w:t xml:space="preserve">[Online] </w:t>
            </w:r>
            <w:r w:rsidRPr="00C509FB">
              <w:rPr>
                <w:noProof/>
              </w:rPr>
              <w:br/>
              <w:t xml:space="preserve">Available at: </w:t>
            </w:r>
            <w:r w:rsidRPr="00C509FB">
              <w:rPr>
                <w:noProof/>
                <w:u w:val="single"/>
              </w:rPr>
              <w:t>https://www.canr.msu.edu/news/food_allergies_why_its_important_for_restaurants_to_pay_attention</w:t>
            </w:r>
            <w:r w:rsidRPr="00C509FB">
              <w:rPr>
                <w:noProof/>
              </w:rPr>
              <w:br/>
              <w:t>[Accessed 26 12 2021].</w:t>
            </w:r>
          </w:p>
          <w:p w14:paraId="4F228F5D" w14:textId="2ACC5F53" w:rsidR="00375882" w:rsidRPr="00C509FB" w:rsidRDefault="00C509FB" w:rsidP="00C509FB">
            <w:pPr>
              <w:pStyle w:val="ListParagraph"/>
              <w:numPr>
                <w:ilvl w:val="0"/>
                <w:numId w:val="29"/>
              </w:numPr>
            </w:pPr>
            <w:r w:rsidRPr="00C509FB">
              <w:fldChar w:fldCharType="end"/>
            </w:r>
            <w:r w:rsidRPr="00C509FB">
              <w:t xml:space="preserve"> Ribeiro, F.R., Silva, A., Barbosa, F., Silva, A.P. and Metrôlho, J.C., 2018. Mobile applications for accessible tourism: overview, challenges and a proposed platform. Information Technology &amp; Tourism, 19(1), pp.29-59.</w:t>
            </w:r>
          </w:p>
          <w:p w14:paraId="7D71B66F" w14:textId="47F4E984" w:rsidR="00C509FB" w:rsidRPr="00C509FB" w:rsidRDefault="00C509FB" w:rsidP="00C509FB">
            <w:pPr>
              <w:pStyle w:val="ListParagraph"/>
              <w:numPr>
                <w:ilvl w:val="0"/>
                <w:numId w:val="29"/>
              </w:numPr>
              <w:jc w:val="both"/>
            </w:pPr>
            <w:r w:rsidRPr="00C509FB">
              <w:t>Schiefert, V.M. and Matteucci, X., 2018. Experiences of tourists suffering from food intolerances. Journal of Gastronomy and Tourism, 3(3), pp.191-202.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3CBE3" w14:textId="77777777" w:rsidR="005F7E67" w:rsidRDefault="005F7E67">
      <w:r>
        <w:separator/>
      </w:r>
    </w:p>
  </w:endnote>
  <w:endnote w:type="continuationSeparator" w:id="0">
    <w:p w14:paraId="0B2FB780" w14:textId="77777777" w:rsidR="005F7E67" w:rsidRDefault="005F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29E7A" w14:textId="77777777" w:rsidR="005F7E67" w:rsidRDefault="005F7E67">
      <w:r>
        <w:separator/>
      </w:r>
    </w:p>
  </w:footnote>
  <w:footnote w:type="continuationSeparator" w:id="0">
    <w:p w14:paraId="185A1C21" w14:textId="77777777" w:rsidR="005F7E67" w:rsidRDefault="005F7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B8064B"/>
    <w:multiLevelType w:val="hybridMultilevel"/>
    <w:tmpl w:val="28104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2ADD"/>
    <w:rsid w:val="00197F4A"/>
    <w:rsid w:val="001A59E7"/>
    <w:rsid w:val="001B69C8"/>
    <w:rsid w:val="001B6DB4"/>
    <w:rsid w:val="001C5C4E"/>
    <w:rsid w:val="001D4719"/>
    <w:rsid w:val="001E720E"/>
    <w:rsid w:val="00201E8D"/>
    <w:rsid w:val="00202878"/>
    <w:rsid w:val="002314D4"/>
    <w:rsid w:val="002430D4"/>
    <w:rsid w:val="00244B89"/>
    <w:rsid w:val="00244F84"/>
    <w:rsid w:val="00251CAC"/>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097"/>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27C4B"/>
    <w:rsid w:val="005302E3"/>
    <w:rsid w:val="00542C5B"/>
    <w:rsid w:val="005455B0"/>
    <w:rsid w:val="00552EED"/>
    <w:rsid w:val="00553C81"/>
    <w:rsid w:val="00566333"/>
    <w:rsid w:val="005C6352"/>
    <w:rsid w:val="005D0DDE"/>
    <w:rsid w:val="005D5D0B"/>
    <w:rsid w:val="005F7E67"/>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5C01"/>
    <w:rsid w:val="007E500C"/>
    <w:rsid w:val="007E7BB4"/>
    <w:rsid w:val="007F055A"/>
    <w:rsid w:val="007F418B"/>
    <w:rsid w:val="007F4FA3"/>
    <w:rsid w:val="00814801"/>
    <w:rsid w:val="0082407E"/>
    <w:rsid w:val="00826699"/>
    <w:rsid w:val="00895843"/>
    <w:rsid w:val="008B4B9C"/>
    <w:rsid w:val="008B534C"/>
    <w:rsid w:val="008E2A5A"/>
    <w:rsid w:val="008F0B0D"/>
    <w:rsid w:val="008F0D83"/>
    <w:rsid w:val="009061F1"/>
    <w:rsid w:val="00911C43"/>
    <w:rsid w:val="009139BF"/>
    <w:rsid w:val="00923E76"/>
    <w:rsid w:val="00941F56"/>
    <w:rsid w:val="009448FE"/>
    <w:rsid w:val="00946B23"/>
    <w:rsid w:val="00985CF1"/>
    <w:rsid w:val="009B1D87"/>
    <w:rsid w:val="009C0100"/>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0A9C"/>
    <w:rsid w:val="00B945EA"/>
    <w:rsid w:val="00B949BC"/>
    <w:rsid w:val="00BA53CD"/>
    <w:rsid w:val="00BB5FB3"/>
    <w:rsid w:val="00BC4D17"/>
    <w:rsid w:val="00BC7F1B"/>
    <w:rsid w:val="00BE1926"/>
    <w:rsid w:val="00BE2584"/>
    <w:rsid w:val="00C10069"/>
    <w:rsid w:val="00C21568"/>
    <w:rsid w:val="00C34D09"/>
    <w:rsid w:val="00C35AEF"/>
    <w:rsid w:val="00C414B0"/>
    <w:rsid w:val="00C421F0"/>
    <w:rsid w:val="00C44B74"/>
    <w:rsid w:val="00C509FB"/>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B7A14"/>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Bibliography">
    <w:name w:val="Bibliography"/>
    <w:basedOn w:val="Normal"/>
    <w:next w:val="Normal"/>
    <w:uiPriority w:val="37"/>
    <w:unhideWhenUsed/>
    <w:rsid w:val="00C50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17507615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10138757">
      <w:bodyDiv w:val="1"/>
      <w:marLeft w:val="0"/>
      <w:marRight w:val="0"/>
      <w:marTop w:val="0"/>
      <w:marBottom w:val="0"/>
      <w:divBdr>
        <w:top w:val="none" w:sz="0" w:space="0" w:color="auto"/>
        <w:left w:val="none" w:sz="0" w:space="0" w:color="auto"/>
        <w:bottom w:val="none" w:sz="0" w:space="0" w:color="auto"/>
        <w:right w:val="none" w:sz="0" w:space="0" w:color="auto"/>
      </w:divBdr>
    </w:div>
    <w:div w:id="1187063982">
      <w:bodyDiv w:val="1"/>
      <w:marLeft w:val="0"/>
      <w:marRight w:val="0"/>
      <w:marTop w:val="0"/>
      <w:marBottom w:val="0"/>
      <w:divBdr>
        <w:top w:val="none" w:sz="0" w:space="0" w:color="auto"/>
        <w:left w:val="none" w:sz="0" w:space="0" w:color="auto"/>
        <w:bottom w:val="none" w:sz="0" w:space="0" w:color="auto"/>
        <w:right w:val="none" w:sz="0" w:space="0" w:color="auto"/>
      </w:divBdr>
      <w:divsChild>
        <w:div w:id="29189891">
          <w:marLeft w:val="0"/>
          <w:marRight w:val="0"/>
          <w:marTop w:val="0"/>
          <w:marBottom w:val="0"/>
          <w:divBdr>
            <w:top w:val="none" w:sz="0" w:space="0" w:color="auto"/>
            <w:left w:val="none" w:sz="0" w:space="0" w:color="auto"/>
            <w:bottom w:val="none" w:sz="0" w:space="0" w:color="auto"/>
            <w:right w:val="none" w:sz="0" w:space="0" w:color="auto"/>
          </w:divBdr>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4266536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69833">
      <w:bodyDiv w:val="1"/>
      <w:marLeft w:val="0"/>
      <w:marRight w:val="0"/>
      <w:marTop w:val="0"/>
      <w:marBottom w:val="0"/>
      <w:divBdr>
        <w:top w:val="none" w:sz="0" w:space="0" w:color="auto"/>
        <w:left w:val="none" w:sz="0" w:space="0" w:color="auto"/>
        <w:bottom w:val="none" w:sz="0" w:space="0" w:color="auto"/>
        <w:right w:val="none" w:sz="0" w:space="0" w:color="auto"/>
      </w:divBdr>
      <w:divsChild>
        <w:div w:id="2091924215">
          <w:marLeft w:val="0"/>
          <w:marRight w:val="0"/>
          <w:marTop w:val="0"/>
          <w:marBottom w:val="0"/>
          <w:divBdr>
            <w:top w:val="none" w:sz="0" w:space="0" w:color="auto"/>
            <w:left w:val="none" w:sz="0" w:space="0" w:color="auto"/>
            <w:bottom w:val="none" w:sz="0" w:space="0" w:color="auto"/>
            <w:right w:val="none" w:sz="0" w:space="0" w:color="auto"/>
          </w:divBdr>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48059421">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Kar16</b:Tag>
    <b:SourceType>InternetSite</b:SourceType>
    <b:Guid>{CAB6D4CB-7252-425D-B0FB-B76FDD1D44EC}</b:Guid>
    <b:Author>
      <b:Author>
        <b:NameList>
          <b:Person>
            <b:Last>Kara Lynch</b:Last>
            <b:First>Michigan</b:First>
            <b:Middle>State University Extension -</b:Middle>
          </b:Person>
        </b:NameList>
      </b:Author>
    </b:Author>
    <b:Title>Food Allergies: Why it’s important to pay attention</b:Title>
    <b:Year>2016</b:Year>
    <b:YearAccessed>2021</b:YearAccessed>
    <b:MonthAccessed>12</b:MonthAccessed>
    <b:DayAccessed>26</b:DayAccessed>
    <b:URL>https://www.canr.msu.edu/news/food_allergies_why_its_important_for_restaurants_to_pay_attention</b:URL>
    <b:RefOrder>1</b:RefOrder>
  </b:Source>
  <b:Source>
    <b:Tag>Foo21</b:Tag>
    <b:SourceType>InternetSite</b:SourceType>
    <b:Guid>{249B3CDD-D73F-4993-8926-9C8AB91D2A12}</b:Guid>
    <b:Author>
      <b:Author>
        <b:Corporate>Food standard agency</b:Corporate>
      </b:Author>
    </b:Author>
    <b:Title>Food allergy and intolerance</b:Title>
    <b:Year>2021</b:Year>
    <b:YearAccessed>2021</b:YearAccessed>
    <b:MonthAccessed>12</b:MonthAccessed>
    <b:DayAccessed>21</b:DayAccessed>
    <b:URL>https://www.food.gov.uk/safety-hygiene/food-allergy-and-intolerance</b:URL>
    <b:RefOrder>2</b:RefOrder>
  </b:Source>
  <b:Source>
    <b:Tag>Ped12</b:Tag>
    <b:SourceType>InternetSite</b:SourceType>
    <b:Guid>{A86CB8B6-A0D2-4E62-9D8E-0FFD7C96EDCF}</b:Guid>
    <b:Author>
      <b:Author>
        <b:NameList>
          <b:Person>
            <b:Last>Boye</b:Last>
            <b:First>Pedro</b:First>
            <b:Middle>A. Alvarez1 and Joyce I.</b:Middle>
          </b:Person>
        </b:NameList>
      </b:Author>
    </b:Author>
    <b:Title>Food Production and Processing Considerations of Allergenic Food Ingredients</b:Title>
    <b:Year>2012</b:Year>
    <b:YearAccessed>2022</b:YearAccessed>
    <b:MonthAccessed>1</b:MonthAccessed>
    <b:DayAccessed>2</b:DayAccessed>
    <b:URL>https://www.hindawi.com/journals/ja/2012/746125/</b:URL>
    <b:RefOrder>3</b:RefOrder>
  </b:Source>
</b:Sources>
</file>

<file path=customXml/itemProps1.xml><?xml version="1.0" encoding="utf-8"?>
<ds:datastoreItem xmlns:ds="http://schemas.openxmlformats.org/officeDocument/2006/customXml" ds:itemID="{0C985B91-A360-4985-B33B-01A891D0E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1001</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shahzad Khan</cp:lastModifiedBy>
  <cp:revision>10</cp:revision>
  <cp:lastPrinted>2020-09-28T20:53:00Z</cp:lastPrinted>
  <dcterms:created xsi:type="dcterms:W3CDTF">2022-01-12T15:50:00Z</dcterms:created>
  <dcterms:modified xsi:type="dcterms:W3CDTF">2022-02-06T12:28:00Z</dcterms:modified>
</cp:coreProperties>
</file>