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69EB" w:rsidRPr="004C6E55" w:rsidRDefault="00B7682A" w:rsidP="00B7682A">
      <w:pPr>
        <w:jc w:val="center"/>
        <w:rPr>
          <w:sz w:val="24"/>
          <w:u w:val="single"/>
        </w:rPr>
      </w:pPr>
      <w:r w:rsidRPr="004C6E55">
        <w:rPr>
          <w:sz w:val="24"/>
          <w:u w:val="single"/>
        </w:rPr>
        <w:t>Report</w:t>
      </w:r>
    </w:p>
    <w:p w:rsidR="00B7682A" w:rsidRDefault="00874584" w:rsidP="00874584">
      <w:pPr>
        <w:rPr>
          <w:u w:val="single"/>
        </w:rPr>
      </w:pPr>
      <w:r>
        <w:rPr>
          <w:u w:val="single"/>
        </w:rPr>
        <w:t>Dissertation Overview</w:t>
      </w:r>
    </w:p>
    <w:p w:rsidR="00CE682E" w:rsidRDefault="00B7682A" w:rsidP="00B7682A">
      <w:r>
        <w:t>The area of interest that I have chosen as the centre focus for my dissertation, and wish to add more discussion to for the academic field and historiographical discussion, is the role and power of women, particularly that of Margaret of Anjou, between the years 1400-1485 AD.</w:t>
      </w:r>
      <w:r w:rsidR="00CB7ADC">
        <w:t xml:space="preserve"> By taking an influential figure of history,</w:t>
      </w:r>
      <w:r w:rsidR="003C597F">
        <w:t xml:space="preserve"> and in particular that of women</w:t>
      </w:r>
      <w:r w:rsidR="00F776A9">
        <w:t>’</w:t>
      </w:r>
      <w:r w:rsidR="00CB7ADC">
        <w:t xml:space="preserve">s history, I aim to establish whether the characteristics of Margaret </w:t>
      </w:r>
      <w:r w:rsidR="00C74544">
        <w:t>of Anjou were really that distinc</w:t>
      </w:r>
      <w:r w:rsidR="00CB7ADC">
        <w:t>t from other women within medieval society, and whether her impact and involvement in the civil war</w:t>
      </w:r>
      <w:r w:rsidR="00C74544">
        <w:t>,</w:t>
      </w:r>
      <w:r w:rsidR="00CB7ADC">
        <w:t xml:space="preserve"> known as the Wars of the Roses was due to her own individual, and atypical, characteristics as a strong female leader</w:t>
      </w:r>
      <w:r w:rsidR="00C74544">
        <w:t>. O</w:t>
      </w:r>
      <w:r w:rsidR="00CB7ADC">
        <w:t>r</w:t>
      </w:r>
      <w:r w:rsidR="00C74544">
        <w:t xml:space="preserve"> were they</w:t>
      </w:r>
      <w:r w:rsidR="00CB7ADC">
        <w:t xml:space="preserve"> due to</w:t>
      </w:r>
      <w:r w:rsidR="00C74544">
        <w:t xml:space="preserve"> her</w:t>
      </w:r>
      <w:r w:rsidR="00CB7ADC">
        <w:t xml:space="preserve"> having the opportunity to make a change and act as a strong influential figure for women, in politics, leadership and war, due to her hierarchical upbringing and the opportunities that her societal status allowed her to </w:t>
      </w:r>
      <w:r w:rsidR="00C74544">
        <w:t xml:space="preserve">access and </w:t>
      </w:r>
      <w:r w:rsidR="00CB7ADC">
        <w:t>partake in.</w:t>
      </w:r>
      <w:r w:rsidR="00237987">
        <w:t xml:space="preserve"> The basis of my argument throughout is enquiry is trying to unveil whether Margaret of Anjou would have been able to rise to such the power that she received during the War of the Roses without her noble background, or whether noble women, and more particularly those acting as regent or monarch, are the only women capable of making historical change and impacting the social environment in which they act in. </w:t>
      </w:r>
      <w:r w:rsidR="00736732">
        <w:t xml:space="preserve">Throughout my enquiry, I aim to analyse the modern historiography, deliberating which are useful for my topic, which are valuable for discussion points and arguments, and which could lead me to my final conclusion and steer me towards my end result. </w:t>
      </w:r>
      <w:r w:rsidR="00EE4550">
        <w:t xml:space="preserve">The format which I aim to follow throughout my extended essay is the use of sub titles, to break up my enquiry and make my topic easier to understand, by highlighting the different aspects of scholarly work, arguments and primary and secondary materials. The theoretical approach which I aim to follow is one of feminist and gender history, and because of this I had to read an abundance of historical journal articles, explaining the approaches used for this methodological approach, and </w:t>
      </w:r>
      <w:r w:rsidR="00CE682E">
        <w:t xml:space="preserve">what to avoid in order to create an equal, non-controversial and respectful piece of work. </w:t>
      </w:r>
    </w:p>
    <w:p w:rsidR="00281AF3" w:rsidRDefault="00281AF3" w:rsidP="00B7682A">
      <w:pPr>
        <w:rPr>
          <w:u w:val="single"/>
        </w:rPr>
      </w:pPr>
      <w:r>
        <w:rPr>
          <w:u w:val="single"/>
        </w:rPr>
        <w:t>Research</w:t>
      </w:r>
    </w:p>
    <w:p w:rsidR="00281AF3" w:rsidRPr="00281AF3" w:rsidRDefault="00281AF3" w:rsidP="00B7682A">
      <w:r>
        <w:t xml:space="preserve">Throughout my research surrounding my chosen topic, I have read a variety of different sources, both primary and secondary, which have all had different levels of utility, some proving to be very unhelpful when I thought they would be and others being surprisingly useful, </w:t>
      </w:r>
      <w:r w:rsidR="00450896">
        <w:t>referring me to other sources and being though</w:t>
      </w:r>
      <w:r w:rsidR="00645A82">
        <w:t xml:space="preserve">t provoking, leading me to new aspects of my arguments. I found that throughout my research, I underestimate the value of one source in contrast to a collection. I found that once the sources were in front of me, I felt overwhelmed with the amount of unnecessary materials which I had acquired. </w:t>
      </w:r>
      <w:r w:rsidR="00BA166F">
        <w:t xml:space="preserve">Because of this, I refined my research, out of worries that my topic would be too broad and therefore would not be beneficial for an effective and successful topic. </w:t>
      </w:r>
      <w:r w:rsidR="00493A83">
        <w:t xml:space="preserve">The following are those that I decided to look further into, for the success of my research. </w:t>
      </w:r>
    </w:p>
    <w:p w:rsidR="00874584" w:rsidRDefault="00874584" w:rsidP="00B7682A">
      <w:r>
        <w:rPr>
          <w:u w:val="single"/>
        </w:rPr>
        <w:t>Methodological approaches: Reading</w:t>
      </w:r>
    </w:p>
    <w:p w:rsidR="00596C1E" w:rsidRDefault="00AB1851" w:rsidP="00596C1E">
      <w:r>
        <w:t xml:space="preserve">The journal articles which I </w:t>
      </w:r>
      <w:r w:rsidR="000E7C6D">
        <w:t xml:space="preserve">have read so far about the approach to feminist and gender history indicate the ways in which to approach the topic that I have chosen and what to avoid in order to write a successful piece of historiography. The </w:t>
      </w:r>
      <w:r w:rsidR="00032A23">
        <w:t xml:space="preserve">most significant </w:t>
      </w:r>
      <w:r w:rsidR="000E7C6D">
        <w:t xml:space="preserve">articles I have read so far are as follows: </w:t>
      </w:r>
    </w:p>
    <w:p w:rsidR="000E7C6D" w:rsidRDefault="000E7C6D" w:rsidP="005416AC">
      <w:pPr>
        <w:pStyle w:val="ListParagraph"/>
        <w:numPr>
          <w:ilvl w:val="0"/>
          <w:numId w:val="2"/>
        </w:numPr>
      </w:pPr>
      <w:r w:rsidRPr="00F80FC8">
        <w:t>Joan W. Scott, ‘Gender: A Useful Category of Historical Analysis’</w:t>
      </w:r>
      <w:r w:rsidR="002327CF" w:rsidRPr="00F80FC8">
        <w:t>:</w:t>
      </w:r>
      <w:r w:rsidR="00596C1E" w:rsidRPr="00F80FC8">
        <w:t xml:space="preserve"> </w:t>
      </w:r>
      <w:r w:rsidR="00596C1E" w:rsidRPr="00596C1E">
        <w:t>Gender should not be defined by sex. Gender is a grammatical term only. For example, it would be wrong to argue that a person will have masculine traits solely based on their male sex.</w:t>
      </w:r>
      <w:r w:rsidR="002327CF">
        <w:t xml:space="preserve"> </w:t>
      </w:r>
    </w:p>
    <w:p w:rsidR="002327CF" w:rsidRDefault="002327CF" w:rsidP="002327CF">
      <w:pPr>
        <w:pStyle w:val="ListParagraph"/>
        <w:numPr>
          <w:ilvl w:val="0"/>
          <w:numId w:val="2"/>
        </w:numPr>
      </w:pPr>
      <w:r w:rsidRPr="00F80FC8">
        <w:rPr>
          <w:bCs/>
        </w:rPr>
        <w:lastRenderedPageBreak/>
        <w:t xml:space="preserve">Joanne </w:t>
      </w:r>
      <w:proofErr w:type="spellStart"/>
      <w:r w:rsidRPr="00F80FC8">
        <w:rPr>
          <w:bCs/>
        </w:rPr>
        <w:t>Meyerowitz</w:t>
      </w:r>
      <w:proofErr w:type="spellEnd"/>
      <w:r w:rsidRPr="00F80FC8">
        <w:rPr>
          <w:bCs/>
        </w:rPr>
        <w:t>,</w:t>
      </w:r>
      <w:r w:rsidR="005416AC" w:rsidRPr="00F80FC8">
        <w:rPr>
          <w:bCs/>
        </w:rPr>
        <w:t xml:space="preserve"> ‘A History of ‘Gender’:</w:t>
      </w:r>
      <w:r w:rsidR="005416AC">
        <w:rPr>
          <w:bCs/>
        </w:rPr>
        <w:t xml:space="preserve"> </w:t>
      </w:r>
      <w:r w:rsidRPr="002327CF">
        <w:t xml:space="preserve">Deconstructs, simplifies and summarizes the popular work of Joan W. Scott.  </w:t>
      </w:r>
    </w:p>
    <w:p w:rsidR="005416AC" w:rsidRDefault="005416AC" w:rsidP="005416AC">
      <w:pPr>
        <w:pStyle w:val="ListParagraph"/>
        <w:numPr>
          <w:ilvl w:val="0"/>
          <w:numId w:val="2"/>
        </w:numPr>
      </w:pPr>
      <w:r w:rsidRPr="00F80FC8">
        <w:t xml:space="preserve">E. Rosenberg, ‘Gender’: </w:t>
      </w:r>
      <w:r w:rsidRPr="005416AC">
        <w:t>The different methodical approaches to “women’s history” and “gender studies” and the advantages and disadvantages that accompany them.</w:t>
      </w:r>
    </w:p>
    <w:p w:rsidR="005416AC" w:rsidRDefault="005416AC" w:rsidP="005416AC">
      <w:pPr>
        <w:pStyle w:val="ListParagraph"/>
        <w:numPr>
          <w:ilvl w:val="0"/>
          <w:numId w:val="2"/>
        </w:numPr>
      </w:pPr>
      <w:r w:rsidRPr="00F80FC8">
        <w:t>Jill Matthews, ‘Feminist History’:</w:t>
      </w:r>
      <w:r w:rsidRPr="00AC1987">
        <w:t xml:space="preserve"> Feminist history emerged as an arm of the Women’s Liberation Movement. A growing ‘conscious of the absence of women as historical subjects and actors’. Explores different methods of feminist history, why it is written and the opposition against it.</w:t>
      </w:r>
    </w:p>
    <w:p w:rsidR="00AC1987" w:rsidRDefault="000D3DCB" w:rsidP="000D3DCB">
      <w:r w:rsidRPr="000D3DCB">
        <w:t>Joan W. Scott</w:t>
      </w:r>
      <w:r w:rsidR="00283B2C">
        <w:t xml:space="preserve"> is </w:t>
      </w:r>
      <w:r w:rsidR="00AE7347">
        <w:t xml:space="preserve">highly </w:t>
      </w:r>
      <w:r w:rsidR="00283B2C">
        <w:t>r</w:t>
      </w:r>
      <w:r w:rsidR="00B57384">
        <w:t>efere</w:t>
      </w:r>
      <w:r w:rsidR="00AE7347">
        <w:t xml:space="preserve">nced and acknowledged </w:t>
      </w:r>
      <w:r w:rsidR="00B57384">
        <w:t xml:space="preserve">within historiographical works focusing on gender and feminist issues and enquiries. </w:t>
      </w:r>
      <w:r w:rsidR="00AE7347">
        <w:t xml:space="preserve">I found this to be the most useful piece of scholarly out of all those that I read on the approach to writing gender history as it deconstructs the significance of writing gender history and what to consider when you approach such a topic. </w:t>
      </w:r>
    </w:p>
    <w:p w:rsidR="00AE7347" w:rsidRPr="00AE7347" w:rsidRDefault="00AE7347" w:rsidP="00AE7347">
      <w:pPr>
        <w:jc w:val="center"/>
        <w:rPr>
          <w:i/>
        </w:rPr>
      </w:pPr>
      <w:r w:rsidRPr="00AE7347">
        <w:rPr>
          <w:i/>
        </w:rPr>
        <w:t>‘Gender must be redefined and restructured in conjunction with a vision of political and social equality that includes not only sex, but class and race’.</w:t>
      </w:r>
      <w:r w:rsidR="009D0DCD">
        <w:rPr>
          <w:rStyle w:val="FootnoteReference"/>
          <w:i/>
        </w:rPr>
        <w:footnoteReference w:id="1"/>
      </w:r>
    </w:p>
    <w:p w:rsidR="00AE7347" w:rsidRDefault="00AE7347" w:rsidP="00AE7347">
      <w:r>
        <w:t xml:space="preserve">In response to this article, I have learnt that throughout my enquiry, I will not only have to look at the role that women took within a medieval society, but also how class, race and sex impacts social structures, as well as the opportunities available to any given individual and </w:t>
      </w:r>
      <w:r w:rsidR="003C3AA7">
        <w:t xml:space="preserve">the ways in which sex, not gender, impacts and inhibits different perspectives. </w:t>
      </w:r>
      <w:r w:rsidR="009D0DCD">
        <w:t>An article that I found worked cohesively with Scott’s work is that of Rosenberg. Her article on ‘Gender’ highlights the positive and negative outcomes of different approaches to gender studies, including focusing on one individual, ideologies and generalisation. After reading this, I understand that throughout my investigation, I will have to focus my attention and efforts and not just one ‘exceptional’ individual,</w:t>
      </w:r>
      <w:r w:rsidR="009D0DCD">
        <w:rPr>
          <w:rStyle w:val="FootnoteReference"/>
        </w:rPr>
        <w:footnoteReference w:id="2"/>
      </w:r>
      <w:r w:rsidR="009D0DCD">
        <w:t xml:space="preserve"> but on how the experiences that</w:t>
      </w:r>
      <w:r w:rsidR="002F59A9">
        <w:t xml:space="preserve"> that one person is open to is in direct contrast to</w:t>
      </w:r>
      <w:r w:rsidR="009D0DCD">
        <w:t xml:space="preserve"> or similar to other individuals, avoiding to look at gender as a whole group within society and looking into sub-categories within this umbrella term. </w:t>
      </w:r>
    </w:p>
    <w:p w:rsidR="006870C4" w:rsidRDefault="006870C4" w:rsidP="00AE7347">
      <w:pPr>
        <w:rPr>
          <w:u w:val="single"/>
        </w:rPr>
      </w:pPr>
      <w:r>
        <w:rPr>
          <w:u w:val="single"/>
        </w:rPr>
        <w:t>Secondary Source Materials: Reading</w:t>
      </w:r>
    </w:p>
    <w:p w:rsidR="00F80FC8" w:rsidRDefault="006C748D" w:rsidP="00AE7347">
      <w:r w:rsidRPr="008D057E">
        <w:rPr>
          <w:u w:val="single"/>
        </w:rPr>
        <w:t>Academic Publications</w:t>
      </w:r>
      <w:r>
        <w:t>:</w:t>
      </w:r>
      <w:r w:rsidR="00DE0B79">
        <w:t xml:space="preserve"> I looked at a variety of publications </w:t>
      </w:r>
      <w:r w:rsidR="008D057E">
        <w:t>from vario</w:t>
      </w:r>
      <w:r w:rsidR="009743C5">
        <w:t>us authors</w:t>
      </w:r>
      <w:r w:rsidR="008D057E">
        <w:t>, with my primary focus on learning and researching more about the pe</w:t>
      </w:r>
      <w:r w:rsidR="00642C19">
        <w:t>riod in which my enquiry is set, to begin with.</w:t>
      </w:r>
      <w:r w:rsidR="008D057E">
        <w:t xml:space="preserve"> As it is set in a time of civil war, the Wars of the Roses is a heavily documented event in English history, from an Anglo-centric view</w:t>
      </w:r>
      <w:r w:rsidR="00642C19">
        <w:t>, providing me with a great amount of historical writing</w:t>
      </w:r>
      <w:r w:rsidR="008D057E">
        <w:t xml:space="preserve">. </w:t>
      </w:r>
      <w:r w:rsidR="009743C5">
        <w:t xml:space="preserve">Historians such as Turvey, Abbott and Castor have enabled me to understand the environment in which my topic is taking place, as well as a primary introduction into one of the key individuals that I </w:t>
      </w:r>
      <w:r w:rsidR="00642C19">
        <w:t xml:space="preserve">am focusing on. </w:t>
      </w:r>
    </w:p>
    <w:p w:rsidR="006870C4" w:rsidRPr="000C09E9" w:rsidRDefault="006C748D" w:rsidP="00AE7347">
      <w:r w:rsidRPr="000C09E9">
        <w:rPr>
          <w:u w:val="single"/>
        </w:rPr>
        <w:t>Documentaries</w:t>
      </w:r>
      <w:r w:rsidR="000C09E9">
        <w:rPr>
          <w:u w:val="single"/>
        </w:rPr>
        <w:t>:</w:t>
      </w:r>
      <w:r w:rsidR="000C09E9">
        <w:t xml:space="preserve"> It is understandable how </w:t>
      </w:r>
      <w:r w:rsidR="00381C5B">
        <w:t xml:space="preserve">many academics do not think to look to documentaries during their primary research phase, as they often focus on the physical, published documentations to learn about the environment which they are interested in, rather than looking into the works of historians which have been streamed on television and on the internet, as this seems to be less obvious as a gateway to information. </w:t>
      </w:r>
      <w:r w:rsidR="000E6F88">
        <w:t>One documentary which has been increasingly useful to me throughout my research is that of ‘</w:t>
      </w:r>
      <w:r w:rsidR="000E6F88" w:rsidRPr="000E6F88">
        <w:t>Britain's Bloody Crown</w:t>
      </w:r>
      <w:r w:rsidR="000E6F88">
        <w:t xml:space="preserve">’ presented by Dan Jones. This documentary series, </w:t>
      </w:r>
      <w:r w:rsidR="00772473">
        <w:t xml:space="preserve">which covers the individuals and themes of the Wars of the Roses, establishing turning points and key aspects of individuals. In particular, it was useful in highlighting the key </w:t>
      </w:r>
      <w:r w:rsidR="00772473">
        <w:lastRenderedPageBreak/>
        <w:t>actions of Margaret of Anjou</w:t>
      </w:r>
      <w:r w:rsidR="00B21F19">
        <w:t xml:space="preserve"> which impacted the succession of the crown th</w:t>
      </w:r>
      <w:r w:rsidR="006A2F85">
        <w:t xml:space="preserve">roughout the fifteenth century, including positions of regency and victories/ </w:t>
      </w:r>
      <w:r w:rsidR="008E0942">
        <w:t>losses at battle, as well as her attitude towards the</w:t>
      </w:r>
      <w:r w:rsidR="006A2F85">
        <w:t xml:space="preserve"> mental health of her husband Henry VI. </w:t>
      </w:r>
    </w:p>
    <w:p w:rsidR="00F51471" w:rsidRPr="00F6290B" w:rsidRDefault="00F6290B" w:rsidP="00AE7347">
      <w:r>
        <w:rPr>
          <w:u w:val="single"/>
        </w:rPr>
        <w:t>Theatrical Scripts:</w:t>
      </w:r>
      <w:r>
        <w:t xml:space="preserve"> The work of Shakespeare, though purely fictional in the way that he re-imagines the events of history, is an effective way of highlighting the perspectives and views of a population who was, ultimately, the </w:t>
      </w:r>
      <w:r w:rsidR="00AF40C4">
        <w:t xml:space="preserve">descendants of the </w:t>
      </w:r>
      <w:r>
        <w:t>winner of th</w:t>
      </w:r>
      <w:r w:rsidR="00AF40C4">
        <w:t xml:space="preserve">e War of the Roses; the Tudors. </w:t>
      </w:r>
      <w:r w:rsidR="000A4D3B">
        <w:t>The literary devices used throughout the Shakespeare play ‘Henry VI’, is an effective way of learning of how the monarchy were perceived after the event</w:t>
      </w:r>
      <w:r w:rsidR="009D1EA5">
        <w:t>s that took place. For example, the use of the term ‘she-wolf’ to describe the role of Margaret of Anjou, though perhaps not the most liked name to describe such an individual, cannot be denied as an important element in his work. It is also important to note the characteristics of historical figures, to try to understand the humanity of such a character, though there is a difficulty establishing and separating the reality</w:t>
      </w:r>
      <w:r w:rsidR="009F4939">
        <w:t xml:space="preserve"> from the fiction, as the source is sure to be at the hand of bias. </w:t>
      </w:r>
    </w:p>
    <w:p w:rsidR="00F51471" w:rsidRDefault="003A4D12" w:rsidP="00AE7347">
      <w:r>
        <w:rPr>
          <w:u w:val="single"/>
        </w:rPr>
        <w:t xml:space="preserve">Websites: </w:t>
      </w:r>
      <w:r>
        <w:t xml:space="preserve">The use of websites as an academic source is often a tricky one to determine, as it is difficult to recognise whether the source that is being referred to is legitimate and academic in its nature. </w:t>
      </w:r>
      <w:r w:rsidR="00092CAC">
        <w:t xml:space="preserve">As an undergraduate student, I only focus my attention on websites which end in an organisational URL or are clearly linked to a university or library. </w:t>
      </w:r>
      <w:r w:rsidR="00426245">
        <w:t xml:space="preserve">For example, I have read an extract from the BBC History page, as I believe that sources under the name of an organisation which is viewed as a trustworthy source, is more valuable and less likely to contain false information, than a website such as Wikipedia which can be altered by anybody who signs in to access the domain. By using websites, I have been able to recognise and establish the environment/ setting in history which I am investigating, as well as being referred to primary sources which may also be of use. For example, the BBC site has referred me to contemporary chroniclers at the time of the conflict, which I aim to look further into in the future. </w:t>
      </w:r>
    </w:p>
    <w:p w:rsidR="00145B5E" w:rsidRDefault="00145B5E" w:rsidP="00AE7347">
      <w:pPr>
        <w:rPr>
          <w:u w:val="single"/>
        </w:rPr>
      </w:pPr>
      <w:r>
        <w:rPr>
          <w:u w:val="single"/>
        </w:rPr>
        <w:t>Primary Source Material: Reading</w:t>
      </w:r>
    </w:p>
    <w:p w:rsidR="00145B5E" w:rsidRDefault="00C67886" w:rsidP="00AE7347">
      <w:r>
        <w:t xml:space="preserve">As I have been focusing most of my efforts in the first two months of my final academic year, to looking into the secondary sources which will build my historical background, establish and understand the conflict in which my topic takes place, and also the theoretical approach and format of writing such a dissertation, I have ventured very few into the reading of primary sources so far. I have, however, looked into various letters written by women, spread across the centuries as a generalisation (which I know to avoid in terms of building an argument for my enquiry) but also at particular letters written in the twelfth to fifteenth centuries, or what some may call the </w:t>
      </w:r>
      <w:r w:rsidR="00D6791A">
        <w:t>middle ag</w:t>
      </w:r>
      <w:r>
        <w:t xml:space="preserve">es. </w:t>
      </w:r>
      <w:r w:rsidR="00D6791A">
        <w:t>These letters include those of the Margaret Paston letters. These have been increasingly useful, as they identify the roles of a women within the status that Margaret Paston holds, though are very niche in the approach that they only focus on the actions and roles of women of noble birth, and</w:t>
      </w:r>
      <w:r w:rsidR="00583612">
        <w:t xml:space="preserve"> shine very little light on women at the bottom of a feudalistic society. </w:t>
      </w:r>
      <w:r w:rsidR="0078230B">
        <w:t xml:space="preserve">As I have learnt from theoretical study, it is important to not only to focus on women, but also on the different class of women and how this may impact or change a woman’s opportunistic lifestyle or role in society.   </w:t>
      </w:r>
    </w:p>
    <w:p w:rsidR="0078230B" w:rsidRDefault="0078230B" w:rsidP="00AE7347">
      <w:pPr>
        <w:rPr>
          <w:u w:val="single"/>
        </w:rPr>
      </w:pPr>
      <w:r>
        <w:rPr>
          <w:u w:val="single"/>
        </w:rPr>
        <w:t>Conclusion: Finishing research and starting to write</w:t>
      </w:r>
    </w:p>
    <w:p w:rsidR="0078230B" w:rsidRDefault="0078230B" w:rsidP="00AE7347">
      <w:r>
        <w:t xml:space="preserve"> </w:t>
      </w:r>
      <w:r w:rsidR="00382329">
        <w:t xml:space="preserve">To conclude, throughout my research I have reached many obstacles, in the reliability of the sources I have encountered but also by the sheer amount of historiography on such a well-documented period of English history. In the month build up that I now have before Christmas, I plan to finish my research completely, hopefully keeping my topic concise though this is not definite as it may change on the evidence that I may encounter. I also hope to create a structure to my essay so that when I </w:t>
      </w:r>
      <w:r w:rsidR="00382329">
        <w:lastRenderedPageBreak/>
        <w:t xml:space="preserve">start writing it after Christmas, I can take on the role in a formulaic approach rather than that of an erratic writer. I also plan to meet up with my supervisor, to seek advice and make sure that I am where I need to be before the first term of university ends, and keep in contact via email if I need any help or reach any obstacles in my continued research.  </w:t>
      </w:r>
      <w:r w:rsidR="00D77FDE">
        <w:t>I also need to finalise the title of my essay, but I feel that this is not of priority at the moment, and can be constructed after the Christmas break.</w:t>
      </w:r>
    </w:p>
    <w:p w:rsidR="009C39CE" w:rsidRDefault="009C39CE" w:rsidP="00AE7347"/>
    <w:p w:rsidR="009C39CE" w:rsidRDefault="009C39CE" w:rsidP="00AE7347">
      <w:r>
        <w:t>1197 WORDS</w:t>
      </w:r>
      <w:bookmarkStart w:id="0" w:name="_GoBack"/>
      <w:bookmarkEnd w:id="0"/>
    </w:p>
    <w:p w:rsidR="00623EC5" w:rsidRDefault="00623EC5" w:rsidP="00A96DD9">
      <w:pPr>
        <w:jc w:val="center"/>
      </w:pPr>
    </w:p>
    <w:p w:rsidR="00623EC5" w:rsidRPr="0078230B" w:rsidRDefault="00623EC5" w:rsidP="00A96DD9">
      <w:pPr>
        <w:jc w:val="center"/>
      </w:pPr>
      <w:r>
        <w:t>BIBLIOGRAPHY</w:t>
      </w:r>
    </w:p>
    <w:p w:rsidR="00277DA2" w:rsidRDefault="00277DA2" w:rsidP="00277DA2">
      <w:r>
        <w:t>PRIMARY MATERIAL SOURCES:</w:t>
      </w:r>
    </w:p>
    <w:p w:rsidR="00277DA2" w:rsidRDefault="00277DA2" w:rsidP="00277DA2">
      <w:r>
        <w:t xml:space="preserve">Margaret Paston, ed. Alice D. Greenwood, in </w:t>
      </w:r>
      <w:r>
        <w:rPr>
          <w:i/>
        </w:rPr>
        <w:t>Selections from the Paston Letters</w:t>
      </w:r>
      <w:r>
        <w:t xml:space="preserve">, cited in O. Kenyon, </w:t>
      </w:r>
      <w:r>
        <w:rPr>
          <w:i/>
        </w:rPr>
        <w:t xml:space="preserve">800 years of women’s letters </w:t>
      </w:r>
      <w:r>
        <w:t>(Stroud: Alan Sutton Publishing Ltd., 1992).</w:t>
      </w:r>
    </w:p>
    <w:p w:rsidR="00277DA2" w:rsidRDefault="00277DA2" w:rsidP="00277DA2"/>
    <w:p w:rsidR="00277DA2" w:rsidRDefault="00277DA2" w:rsidP="00277DA2">
      <w:r>
        <w:t xml:space="preserve">SECONDARY SOURCE MATERIALS: </w:t>
      </w:r>
    </w:p>
    <w:p w:rsidR="00277DA2" w:rsidRDefault="00277DA2" w:rsidP="00277DA2">
      <w:r w:rsidRPr="00451E25">
        <w:t>Abbott,</w:t>
      </w:r>
      <w:r>
        <w:t xml:space="preserve"> J.,</w:t>
      </w:r>
      <w:r w:rsidRPr="00451E25">
        <w:t xml:space="preserve"> </w:t>
      </w:r>
      <w:r w:rsidRPr="00451E25">
        <w:rPr>
          <w:i/>
        </w:rPr>
        <w:t>Makers of History: Margaret of Anjou</w:t>
      </w:r>
      <w:r w:rsidRPr="00451E25">
        <w:t>, Chapter IV (London: Harper &amp; Brothers Publishing, 2008) Available from https://www.gutenberg.org/files/25275/25275-h/25275-h.htm#page059, Accessed on [11/09/2018].</w:t>
      </w:r>
    </w:p>
    <w:p w:rsidR="00277DA2" w:rsidRDefault="00277DA2" w:rsidP="00277DA2">
      <w:proofErr w:type="spellStart"/>
      <w:r w:rsidRPr="001A2C2C">
        <w:t>Aruga</w:t>
      </w:r>
      <w:proofErr w:type="spellEnd"/>
      <w:r w:rsidRPr="001A2C2C">
        <w:t xml:space="preserve">, </w:t>
      </w:r>
      <w:proofErr w:type="spellStart"/>
      <w:r w:rsidRPr="001A2C2C">
        <w:t>Natsuki</w:t>
      </w:r>
      <w:proofErr w:type="spellEnd"/>
      <w:r>
        <w:t>,</w:t>
      </w:r>
      <w:r w:rsidRPr="001A2C2C">
        <w:t xml:space="preserve"> ‘Can We Have a Total American History? A Comment on the Achievements of Women's and Gender History’, </w:t>
      </w:r>
      <w:r w:rsidRPr="001A2C2C">
        <w:rPr>
          <w:i/>
        </w:rPr>
        <w:t>The Journal of American History</w:t>
      </w:r>
      <w:r w:rsidRPr="001A2C2C">
        <w:t>, vol.99, no.3 (Dec, 2012), pp. 818-821.</w:t>
      </w:r>
    </w:p>
    <w:p w:rsidR="00277DA2" w:rsidRDefault="00277DA2" w:rsidP="00277DA2">
      <w:proofErr w:type="spellStart"/>
      <w:r w:rsidRPr="00B2463F">
        <w:t>Barchunova</w:t>
      </w:r>
      <w:proofErr w:type="spellEnd"/>
      <w:r w:rsidRPr="00B2463F">
        <w:t xml:space="preserve">, </w:t>
      </w:r>
      <w:r>
        <w:t xml:space="preserve">T., V., </w:t>
      </w:r>
      <w:r w:rsidRPr="00B2463F">
        <w:t xml:space="preserve">‘The Selfish Gender, or the Reproduction of Gender Asymmetry in Gender Studies’, </w:t>
      </w:r>
      <w:r w:rsidRPr="00B2463F">
        <w:rPr>
          <w:i/>
        </w:rPr>
        <w:t>Studies in East European Thought</w:t>
      </w:r>
      <w:r w:rsidRPr="00B2463F">
        <w:t>, vol.55, no.1 (Mar, 2003), pp.3-25.</w:t>
      </w:r>
    </w:p>
    <w:p w:rsidR="00277DA2" w:rsidRDefault="00277DA2" w:rsidP="00277DA2">
      <w:r w:rsidRPr="00860287">
        <w:t>Castor,</w:t>
      </w:r>
      <w:r>
        <w:t xml:space="preserve"> H.,</w:t>
      </w:r>
      <w:r w:rsidRPr="00860287">
        <w:t xml:space="preserve"> </w:t>
      </w:r>
      <w:r w:rsidRPr="00860287">
        <w:rPr>
          <w:i/>
        </w:rPr>
        <w:t>She-Wolves: The Women who ruled England before Elizabeth</w:t>
      </w:r>
      <w:r w:rsidRPr="00860287">
        <w:t xml:space="preserve"> (Faber and Faber Ltd: London, 2010).</w:t>
      </w:r>
    </w:p>
    <w:p w:rsidR="00277DA2" w:rsidRPr="007E3FD1" w:rsidRDefault="00277DA2" w:rsidP="00277DA2">
      <w:r w:rsidRPr="007E3FD1">
        <w:rPr>
          <w:i/>
        </w:rPr>
        <w:t xml:space="preserve">Gender and Difference in the Middle Ages, </w:t>
      </w:r>
      <w:r w:rsidRPr="007E3FD1">
        <w:t xml:space="preserve">ed. S., Farmer &amp; C., Braun Pasternack, Medieval Cultures: Vol. 32., (University of Minnesota Press: London, 2003). </w:t>
      </w:r>
    </w:p>
    <w:p w:rsidR="00277DA2" w:rsidRDefault="00277DA2" w:rsidP="00277DA2">
      <w:r w:rsidRPr="00451E25">
        <w:t>Gristwood,</w:t>
      </w:r>
      <w:r>
        <w:t xml:space="preserve"> S.,</w:t>
      </w:r>
      <w:r w:rsidRPr="00451E25">
        <w:t xml:space="preserve"> </w:t>
      </w:r>
      <w:r w:rsidRPr="00451E25">
        <w:rPr>
          <w:i/>
        </w:rPr>
        <w:t>The Power behind the throne: Women in the Wars of the Roses</w:t>
      </w:r>
      <w:r w:rsidRPr="00451E25">
        <w:t xml:space="preserve">, BBC, Available </w:t>
      </w:r>
      <w:proofErr w:type="gramStart"/>
      <w:r w:rsidRPr="00451E25">
        <w:t>from  https</w:t>
      </w:r>
      <w:proofErr w:type="gramEnd"/>
      <w:r w:rsidRPr="00451E25">
        <w:t>://www.historyextra.com/period/tudor/the-power-behind-the-throne-women-in-the-wars-of-the-roses/, Accessed on [11/09/2018].</w:t>
      </w:r>
    </w:p>
    <w:p w:rsidR="00277DA2" w:rsidRDefault="00277DA2" w:rsidP="00277DA2">
      <w:r>
        <w:t xml:space="preserve">Lee, Patricia-Ann, ‘Reflections of Power: Margaret of Anjou and the Dark Side of Queenship’, </w:t>
      </w:r>
      <w:r>
        <w:rPr>
          <w:i/>
        </w:rPr>
        <w:t>Renaissance Quarterly</w:t>
      </w:r>
      <w:r>
        <w:t xml:space="preserve">, vol.39, no.2, (1986) pp.183-217. </w:t>
      </w:r>
    </w:p>
    <w:p w:rsidR="00277DA2" w:rsidRDefault="00277DA2" w:rsidP="00277DA2">
      <w:r w:rsidRPr="00841F5B">
        <w:t>Matthews,</w:t>
      </w:r>
      <w:r>
        <w:t xml:space="preserve"> Jill,</w:t>
      </w:r>
      <w:r w:rsidRPr="00841F5B">
        <w:t xml:space="preserve"> ‘Feminist History’, </w:t>
      </w:r>
      <w:r w:rsidRPr="00841F5B">
        <w:rPr>
          <w:i/>
        </w:rPr>
        <w:t>Labour History</w:t>
      </w:r>
      <w:r w:rsidRPr="00841F5B">
        <w:t>, no.50 (May, 1986), pp.147-153.</w:t>
      </w:r>
    </w:p>
    <w:p w:rsidR="00277DA2" w:rsidRDefault="00277DA2" w:rsidP="00277DA2">
      <w:r>
        <w:t xml:space="preserve">Melissa Snell, Margaret Paston, Thought Co., Available from https://www.thoughtco.com/maragaret-paston-profile-1789323, Accessed on [19/10/2018]. </w:t>
      </w:r>
    </w:p>
    <w:p w:rsidR="00277DA2" w:rsidRDefault="00277DA2" w:rsidP="00277DA2">
      <w:r w:rsidRPr="004A7F99">
        <w:t>Meyorowitz, Joanne</w:t>
      </w:r>
      <w:r>
        <w:t>,</w:t>
      </w:r>
      <w:r w:rsidRPr="004A7F99">
        <w:t xml:space="preserve"> ‘A History of ‘Gender’, </w:t>
      </w:r>
      <w:r w:rsidRPr="004A7F99">
        <w:rPr>
          <w:i/>
        </w:rPr>
        <w:t>The American Historical Review</w:t>
      </w:r>
      <w:r w:rsidRPr="004A7F99">
        <w:t>, vol.113, no.5 (Dec, 2008), pp.1346-1356.</w:t>
      </w:r>
    </w:p>
    <w:p w:rsidR="00277DA2" w:rsidRDefault="00277DA2" w:rsidP="00277DA2">
      <w:proofErr w:type="spellStart"/>
      <w:r w:rsidRPr="00860287">
        <w:lastRenderedPageBreak/>
        <w:t>Poyser</w:t>
      </w:r>
      <w:proofErr w:type="spellEnd"/>
      <w:r w:rsidRPr="00860287">
        <w:t>,</w:t>
      </w:r>
      <w:r>
        <w:t xml:space="preserve"> A.,</w:t>
      </w:r>
      <w:r w:rsidRPr="00860287">
        <w:t xml:space="preserve"> </w:t>
      </w:r>
      <w:proofErr w:type="gramStart"/>
      <w:r w:rsidRPr="00860287">
        <w:rPr>
          <w:i/>
        </w:rPr>
        <w:t>The</w:t>
      </w:r>
      <w:proofErr w:type="gramEnd"/>
      <w:r w:rsidRPr="00860287">
        <w:rPr>
          <w:i/>
        </w:rPr>
        <w:t xml:space="preserve"> Tower of London </w:t>
      </w:r>
      <w:r>
        <w:t>(A. &amp; C., London, 1908).</w:t>
      </w:r>
    </w:p>
    <w:p w:rsidR="00277DA2" w:rsidRPr="00277DA2" w:rsidRDefault="00277DA2" w:rsidP="00277DA2">
      <w:r w:rsidRPr="00277DA2">
        <w:t>Richard III Society, Chronology of the House of York, Richard III Society, Available from http://www.r3.org/richard-iii/chronology-of-the-house-of-york/#, Accessed on [11/09/2018].</w:t>
      </w:r>
    </w:p>
    <w:p w:rsidR="00277DA2" w:rsidRDefault="00277DA2" w:rsidP="00277DA2">
      <w:r w:rsidRPr="00DE23E6">
        <w:t>Rosenberg,</w:t>
      </w:r>
      <w:r>
        <w:t xml:space="preserve"> E., S.,</w:t>
      </w:r>
      <w:r w:rsidRPr="00DE23E6">
        <w:t xml:space="preserve"> ‘Gender’, </w:t>
      </w:r>
      <w:r w:rsidRPr="00DE23E6">
        <w:rPr>
          <w:i/>
        </w:rPr>
        <w:t>The Journal of American History</w:t>
      </w:r>
      <w:r w:rsidRPr="00DE23E6">
        <w:t>, vol.77, no.1 (Jun, 1990), pp.116-124.</w:t>
      </w:r>
    </w:p>
    <w:p w:rsidR="00277DA2" w:rsidRDefault="00277DA2" w:rsidP="00277DA2">
      <w:r w:rsidRPr="004A7F99">
        <w:t>Scott,</w:t>
      </w:r>
      <w:r>
        <w:t xml:space="preserve"> Joan,</w:t>
      </w:r>
      <w:r w:rsidRPr="004A7F99">
        <w:t xml:space="preserve"> </w:t>
      </w:r>
      <w:r>
        <w:t xml:space="preserve">W., </w:t>
      </w:r>
      <w:r w:rsidRPr="004A7F99">
        <w:t xml:space="preserve">‘Gender: A Useful Category of Historical Analysis’, </w:t>
      </w:r>
      <w:r w:rsidRPr="004A7F99">
        <w:rPr>
          <w:i/>
        </w:rPr>
        <w:t>The American Historical Review</w:t>
      </w:r>
      <w:r w:rsidRPr="004A7F99">
        <w:t>, vol.91, no.5 (Dec. 1986), pp.1053-1075.</w:t>
      </w:r>
    </w:p>
    <w:p w:rsidR="00277DA2" w:rsidRDefault="00277DA2" w:rsidP="00277DA2">
      <w:r w:rsidRPr="00841F5B">
        <w:t>Stromquist, Nelly</w:t>
      </w:r>
      <w:r>
        <w:t>,</w:t>
      </w:r>
      <w:r w:rsidRPr="00841F5B">
        <w:t xml:space="preserve"> P.</w:t>
      </w:r>
      <w:r>
        <w:t>,</w:t>
      </w:r>
      <w:r w:rsidRPr="00841F5B">
        <w:t xml:space="preserve"> ‘Gender Studies: A Global Perspectives of their Evolution, Contribution and Challenges to Comparative Higher Education’, </w:t>
      </w:r>
      <w:r w:rsidRPr="00841F5B">
        <w:rPr>
          <w:i/>
        </w:rPr>
        <w:t>Higher Education</w:t>
      </w:r>
      <w:r w:rsidRPr="00841F5B">
        <w:t>, vol.41, no.4 (Jun, 2001), pp.373-387.</w:t>
      </w:r>
    </w:p>
    <w:p w:rsidR="00277DA2" w:rsidRPr="00977DC3" w:rsidRDefault="00277DA2" w:rsidP="00277DA2">
      <w:r w:rsidRPr="00977DC3">
        <w:rPr>
          <w:i/>
        </w:rPr>
        <w:t>The Works of William Shakspeare</w:t>
      </w:r>
      <w:r w:rsidRPr="00977DC3">
        <w:t>, Third Part of Henry VI, Act One, Scene IV, pp.515-156.</w:t>
      </w:r>
    </w:p>
    <w:p w:rsidR="00277DA2" w:rsidRDefault="00277DA2" w:rsidP="00277DA2">
      <w:r w:rsidRPr="0054331A">
        <w:t xml:space="preserve">Timeline- World History Documentaries (24/05/2018) </w:t>
      </w:r>
      <w:r w:rsidRPr="0054331A">
        <w:rPr>
          <w:i/>
        </w:rPr>
        <w:t xml:space="preserve">Britain's Bloody Crown: The Mad King Ep 1 of 4 (Wars of the Roses Documentary), </w:t>
      </w:r>
      <w:r w:rsidRPr="0054331A">
        <w:t xml:space="preserve">Available from https://www.youtube.com/watch?v=SB_OThWd-eA, Accessed on [04/09/2018]. </w:t>
      </w:r>
    </w:p>
    <w:p w:rsidR="00277DA2" w:rsidRPr="00860287" w:rsidRDefault="00277DA2" w:rsidP="00277DA2">
      <w:pPr>
        <w:sectPr w:rsidR="00277DA2" w:rsidRPr="00860287" w:rsidSect="00B4004D">
          <w:pgSz w:w="11906" w:h="16838"/>
          <w:pgMar w:top="1440" w:right="1440" w:bottom="1440" w:left="1440" w:header="708" w:footer="708" w:gutter="0"/>
          <w:cols w:space="708"/>
          <w:docGrid w:linePitch="360"/>
        </w:sectPr>
      </w:pPr>
      <w:r w:rsidRPr="0054331A">
        <w:t>Turvey,</w:t>
      </w:r>
      <w:r>
        <w:t xml:space="preserve"> R.,</w:t>
      </w:r>
      <w:r w:rsidRPr="0054331A">
        <w:t xml:space="preserve"> </w:t>
      </w:r>
      <w:proofErr w:type="gramStart"/>
      <w:r w:rsidRPr="0054331A">
        <w:rPr>
          <w:i/>
        </w:rPr>
        <w:t>The</w:t>
      </w:r>
      <w:proofErr w:type="gramEnd"/>
      <w:r w:rsidRPr="0054331A">
        <w:rPr>
          <w:i/>
        </w:rPr>
        <w:t xml:space="preserve"> Wars of the Roses and Henry VII: Britain 1450-1509</w:t>
      </w:r>
      <w:r w:rsidRPr="0054331A">
        <w:t xml:space="preserve"> (</w:t>
      </w:r>
      <w:r>
        <w:t>London: Hodder Education, 2010)</w:t>
      </w:r>
    </w:p>
    <w:p w:rsidR="00277DA2" w:rsidRDefault="00277DA2" w:rsidP="00277DA2"/>
    <w:p w:rsidR="00277DA2" w:rsidRDefault="00277DA2" w:rsidP="00277DA2"/>
    <w:p w:rsidR="00277DA2" w:rsidRDefault="00277DA2" w:rsidP="00277DA2"/>
    <w:p w:rsidR="00277DA2" w:rsidRDefault="00277DA2" w:rsidP="00277DA2"/>
    <w:p w:rsidR="00277DA2" w:rsidRDefault="00277DA2" w:rsidP="00277DA2"/>
    <w:p w:rsidR="00277DA2" w:rsidRDefault="00277DA2" w:rsidP="00277DA2"/>
    <w:p w:rsidR="00277DA2" w:rsidRDefault="00277DA2" w:rsidP="00277DA2"/>
    <w:p w:rsidR="00277DA2" w:rsidRDefault="00277DA2" w:rsidP="00277DA2"/>
    <w:p w:rsidR="00277DA2" w:rsidRPr="00451E25" w:rsidRDefault="00277DA2" w:rsidP="00277DA2">
      <w:pPr>
        <w:sectPr w:rsidR="00277DA2" w:rsidRPr="00451E25" w:rsidSect="00451E25">
          <w:pgSz w:w="11906" w:h="16838"/>
          <w:pgMar w:top="1440" w:right="1440" w:bottom="1440" w:left="1440" w:header="708" w:footer="708" w:gutter="0"/>
          <w:cols w:space="708"/>
          <w:docGrid w:linePitch="360"/>
        </w:sectPr>
      </w:pPr>
    </w:p>
    <w:p w:rsidR="0054331A" w:rsidRPr="006870C4" w:rsidRDefault="0054331A" w:rsidP="00AE7347"/>
    <w:sectPr w:rsidR="0054331A" w:rsidRPr="006870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0C35" w:rsidRDefault="00430C35" w:rsidP="009D0DCD">
      <w:pPr>
        <w:spacing w:after="0" w:line="240" w:lineRule="auto"/>
      </w:pPr>
      <w:r>
        <w:separator/>
      </w:r>
    </w:p>
  </w:endnote>
  <w:endnote w:type="continuationSeparator" w:id="0">
    <w:p w:rsidR="00430C35" w:rsidRDefault="00430C35" w:rsidP="009D0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0C35" w:rsidRDefault="00430C35" w:rsidP="009D0DCD">
      <w:pPr>
        <w:spacing w:after="0" w:line="240" w:lineRule="auto"/>
      </w:pPr>
      <w:r>
        <w:separator/>
      </w:r>
    </w:p>
  </w:footnote>
  <w:footnote w:type="continuationSeparator" w:id="0">
    <w:p w:rsidR="00430C35" w:rsidRDefault="00430C35" w:rsidP="009D0DCD">
      <w:pPr>
        <w:spacing w:after="0" w:line="240" w:lineRule="auto"/>
      </w:pPr>
      <w:r>
        <w:continuationSeparator/>
      </w:r>
    </w:p>
  </w:footnote>
  <w:footnote w:id="1">
    <w:p w:rsidR="009D0DCD" w:rsidRPr="002F59A9" w:rsidRDefault="009D0DCD">
      <w:pPr>
        <w:pStyle w:val="FootnoteText"/>
        <w:rPr>
          <w:bCs/>
          <w:sz w:val="18"/>
          <w:szCs w:val="18"/>
        </w:rPr>
      </w:pPr>
      <w:r w:rsidRPr="009D0DCD">
        <w:rPr>
          <w:rStyle w:val="FootnoteReference"/>
          <w:sz w:val="18"/>
          <w:szCs w:val="18"/>
        </w:rPr>
        <w:footnoteRef/>
      </w:r>
      <w:r w:rsidRPr="009D0DCD">
        <w:rPr>
          <w:sz w:val="18"/>
          <w:szCs w:val="18"/>
        </w:rPr>
        <w:t xml:space="preserve"> </w:t>
      </w:r>
      <w:r w:rsidRPr="009D0DCD">
        <w:rPr>
          <w:bCs/>
          <w:sz w:val="18"/>
          <w:szCs w:val="18"/>
        </w:rPr>
        <w:t xml:space="preserve">Joan W. Scott, ‘Gender: A Useful Category of Historical Analysis’, </w:t>
      </w:r>
      <w:r w:rsidRPr="009D0DCD">
        <w:rPr>
          <w:bCs/>
          <w:i/>
          <w:sz w:val="18"/>
          <w:szCs w:val="18"/>
        </w:rPr>
        <w:t>The American Historical Review</w:t>
      </w:r>
      <w:r w:rsidRPr="009D0DCD">
        <w:rPr>
          <w:bCs/>
          <w:sz w:val="18"/>
          <w:szCs w:val="18"/>
        </w:rPr>
        <w:t>, vol.91, no.5 (Dec. 1986), pp.1053-1075.</w:t>
      </w:r>
    </w:p>
  </w:footnote>
  <w:footnote w:id="2">
    <w:p w:rsidR="002F59A9" w:rsidRPr="002F59A9" w:rsidRDefault="009D0DCD" w:rsidP="002F59A9">
      <w:pPr>
        <w:pStyle w:val="FootnoteText"/>
        <w:rPr>
          <w:b/>
          <w:bCs/>
          <w:sz w:val="18"/>
          <w:szCs w:val="18"/>
        </w:rPr>
      </w:pPr>
      <w:r w:rsidRPr="002F59A9">
        <w:rPr>
          <w:rStyle w:val="FootnoteReference"/>
          <w:sz w:val="18"/>
          <w:szCs w:val="18"/>
        </w:rPr>
        <w:footnoteRef/>
      </w:r>
      <w:r w:rsidRPr="002F59A9">
        <w:rPr>
          <w:sz w:val="18"/>
          <w:szCs w:val="18"/>
        </w:rPr>
        <w:t xml:space="preserve"> </w:t>
      </w:r>
      <w:r w:rsidR="002F59A9" w:rsidRPr="002F59A9">
        <w:rPr>
          <w:bCs/>
          <w:sz w:val="18"/>
          <w:szCs w:val="18"/>
        </w:rPr>
        <w:t xml:space="preserve">E.S. Rosenberg, ‘Gender’, </w:t>
      </w:r>
      <w:r w:rsidR="002F59A9" w:rsidRPr="002F59A9">
        <w:rPr>
          <w:bCs/>
          <w:i/>
          <w:sz w:val="18"/>
          <w:szCs w:val="18"/>
        </w:rPr>
        <w:t>The Journal of American History</w:t>
      </w:r>
      <w:r w:rsidR="002F59A9" w:rsidRPr="002F59A9">
        <w:rPr>
          <w:bCs/>
          <w:sz w:val="18"/>
          <w:szCs w:val="18"/>
        </w:rPr>
        <w:t xml:space="preserve">, vol.77, no.1 (Jun, 1990), pp.116-124. </w:t>
      </w:r>
    </w:p>
    <w:p w:rsidR="009D0DCD" w:rsidRPr="002F59A9" w:rsidRDefault="009D0DCD">
      <w:pPr>
        <w:pStyle w:val="FootnoteText"/>
        <w:rPr>
          <w:sz w:val="18"/>
          <w:szCs w:val="18"/>
        </w:rPr>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C76AB"/>
    <w:multiLevelType w:val="hybridMultilevel"/>
    <w:tmpl w:val="787A4116"/>
    <w:lvl w:ilvl="0" w:tplc="DE5C09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950C67"/>
    <w:multiLevelType w:val="hybridMultilevel"/>
    <w:tmpl w:val="F25671C8"/>
    <w:lvl w:ilvl="0" w:tplc="29D064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82A"/>
    <w:rsid w:val="00032A23"/>
    <w:rsid w:val="00092CAC"/>
    <w:rsid w:val="000A4D3B"/>
    <w:rsid w:val="000C09E9"/>
    <w:rsid w:val="000D3DCB"/>
    <w:rsid w:val="000E6F88"/>
    <w:rsid w:val="000E7C6D"/>
    <w:rsid w:val="00145B5E"/>
    <w:rsid w:val="001A2C2C"/>
    <w:rsid w:val="002269EB"/>
    <w:rsid w:val="002327CF"/>
    <w:rsid w:val="00237987"/>
    <w:rsid w:val="00277DA2"/>
    <w:rsid w:val="00281AF3"/>
    <w:rsid w:val="00283B2C"/>
    <w:rsid w:val="002C5F36"/>
    <w:rsid w:val="002F59A9"/>
    <w:rsid w:val="00381C5B"/>
    <w:rsid w:val="00382329"/>
    <w:rsid w:val="003A4D12"/>
    <w:rsid w:val="003B1196"/>
    <w:rsid w:val="003C3AA7"/>
    <w:rsid w:val="003C597F"/>
    <w:rsid w:val="003D1FF1"/>
    <w:rsid w:val="003F7EC8"/>
    <w:rsid w:val="0040228F"/>
    <w:rsid w:val="00426245"/>
    <w:rsid w:val="00430C35"/>
    <w:rsid w:val="00450896"/>
    <w:rsid w:val="00451E25"/>
    <w:rsid w:val="00493A83"/>
    <w:rsid w:val="004A7F99"/>
    <w:rsid w:val="004C6E55"/>
    <w:rsid w:val="00502C1E"/>
    <w:rsid w:val="005416AC"/>
    <w:rsid w:val="0054331A"/>
    <w:rsid w:val="00574580"/>
    <w:rsid w:val="00583612"/>
    <w:rsid w:val="005942F3"/>
    <w:rsid w:val="00596C1E"/>
    <w:rsid w:val="00597D49"/>
    <w:rsid w:val="005E1B75"/>
    <w:rsid w:val="00623EC5"/>
    <w:rsid w:val="00642C19"/>
    <w:rsid w:val="00645A82"/>
    <w:rsid w:val="006870C4"/>
    <w:rsid w:val="006A2F85"/>
    <w:rsid w:val="006C748D"/>
    <w:rsid w:val="006E4F1A"/>
    <w:rsid w:val="00736732"/>
    <w:rsid w:val="00772473"/>
    <w:rsid w:val="0078230B"/>
    <w:rsid w:val="007C3149"/>
    <w:rsid w:val="007E3FD1"/>
    <w:rsid w:val="007F1371"/>
    <w:rsid w:val="008321BA"/>
    <w:rsid w:val="0084006E"/>
    <w:rsid w:val="00841B2B"/>
    <w:rsid w:val="00841F5B"/>
    <w:rsid w:val="00860287"/>
    <w:rsid w:val="00874584"/>
    <w:rsid w:val="008820FB"/>
    <w:rsid w:val="008D057E"/>
    <w:rsid w:val="008E0302"/>
    <w:rsid w:val="008E0942"/>
    <w:rsid w:val="00970A0F"/>
    <w:rsid w:val="009743C5"/>
    <w:rsid w:val="00977DC3"/>
    <w:rsid w:val="009C39CE"/>
    <w:rsid w:val="009D0DCD"/>
    <w:rsid w:val="009D1EA5"/>
    <w:rsid w:val="009E385A"/>
    <w:rsid w:val="009F4939"/>
    <w:rsid w:val="00A96DD9"/>
    <w:rsid w:val="00AB1851"/>
    <w:rsid w:val="00AC1987"/>
    <w:rsid w:val="00AE7347"/>
    <w:rsid w:val="00AF40C4"/>
    <w:rsid w:val="00B2136A"/>
    <w:rsid w:val="00B21F19"/>
    <w:rsid w:val="00B2463F"/>
    <w:rsid w:val="00B313E3"/>
    <w:rsid w:val="00B57384"/>
    <w:rsid w:val="00B7682A"/>
    <w:rsid w:val="00BA166F"/>
    <w:rsid w:val="00C35AF1"/>
    <w:rsid w:val="00C67886"/>
    <w:rsid w:val="00C74544"/>
    <w:rsid w:val="00CA4F9B"/>
    <w:rsid w:val="00CB7ADC"/>
    <w:rsid w:val="00CD5F4B"/>
    <w:rsid w:val="00CE682E"/>
    <w:rsid w:val="00D56B82"/>
    <w:rsid w:val="00D6791A"/>
    <w:rsid w:val="00D77FDE"/>
    <w:rsid w:val="00DB44C0"/>
    <w:rsid w:val="00DE0B79"/>
    <w:rsid w:val="00DE23E6"/>
    <w:rsid w:val="00E2620C"/>
    <w:rsid w:val="00EE4550"/>
    <w:rsid w:val="00F26043"/>
    <w:rsid w:val="00F51471"/>
    <w:rsid w:val="00F6290B"/>
    <w:rsid w:val="00F776A9"/>
    <w:rsid w:val="00F77C7F"/>
    <w:rsid w:val="00F80FC8"/>
    <w:rsid w:val="00FB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A7EE6B0-0075-4105-90DE-09464E591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7C6D"/>
    <w:pPr>
      <w:ind w:left="720"/>
      <w:contextualSpacing/>
    </w:pPr>
  </w:style>
  <w:style w:type="paragraph" w:styleId="FootnoteText">
    <w:name w:val="footnote text"/>
    <w:basedOn w:val="Normal"/>
    <w:link w:val="FootnoteTextChar"/>
    <w:uiPriority w:val="99"/>
    <w:semiHidden/>
    <w:unhideWhenUsed/>
    <w:rsid w:val="009D0D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0DCD"/>
    <w:rPr>
      <w:sz w:val="20"/>
      <w:szCs w:val="20"/>
    </w:rPr>
  </w:style>
  <w:style w:type="character" w:styleId="FootnoteReference">
    <w:name w:val="footnote reference"/>
    <w:basedOn w:val="DefaultParagraphFont"/>
    <w:uiPriority w:val="99"/>
    <w:semiHidden/>
    <w:unhideWhenUsed/>
    <w:rsid w:val="009D0DCD"/>
    <w:rPr>
      <w:vertAlign w:val="superscript"/>
    </w:rPr>
  </w:style>
  <w:style w:type="character" w:styleId="Hyperlink">
    <w:name w:val="Hyperlink"/>
    <w:basedOn w:val="DefaultParagraphFont"/>
    <w:uiPriority w:val="99"/>
    <w:unhideWhenUsed/>
    <w:rsid w:val="00277D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978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12C3B-9751-4DAC-9710-836325183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1030</TotalTime>
  <Pages>7</Pages>
  <Words>2195</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113</cp:revision>
  <dcterms:created xsi:type="dcterms:W3CDTF">2018-11-13T20:56:00Z</dcterms:created>
  <dcterms:modified xsi:type="dcterms:W3CDTF">2018-11-16T12:10:00Z</dcterms:modified>
</cp:coreProperties>
</file>