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3AA9" w14:textId="77777777" w:rsidR="00B75A0D" w:rsidRPr="0090505E" w:rsidRDefault="00B75A0D" w:rsidP="0090505E">
      <w:pPr>
        <w:spacing w:line="360" w:lineRule="auto"/>
        <w:rPr>
          <w:rFonts w:ascii="Arial" w:hAnsi="Arial" w:cs="Arial"/>
        </w:rPr>
      </w:pPr>
      <w:r w:rsidRPr="0090505E">
        <w:rPr>
          <w:rFonts w:ascii="Arial" w:hAnsi="Arial" w:cs="Arial"/>
        </w:rPr>
        <w:t>DECLARATION</w:t>
      </w:r>
    </w:p>
    <w:p w14:paraId="26B941DC" w14:textId="77777777" w:rsidR="00B75A0D" w:rsidRPr="0090505E" w:rsidRDefault="00B75A0D" w:rsidP="0090505E">
      <w:pPr>
        <w:spacing w:line="360" w:lineRule="auto"/>
        <w:rPr>
          <w:rFonts w:ascii="Arial" w:hAnsi="Arial" w:cs="Arial"/>
        </w:rPr>
      </w:pPr>
      <w:r w:rsidRPr="0090505E">
        <w:rPr>
          <w:rFonts w:ascii="Arial" w:hAnsi="Arial" w:cs="Arial"/>
        </w:rPr>
        <w:t>This work has not previously been accepted in substance for any degree and is not being concurrently submitted in candidature for any degree</w:t>
      </w:r>
    </w:p>
    <w:p w14:paraId="2C204DF2" w14:textId="77777777" w:rsidR="00B75A0D" w:rsidRPr="0090505E" w:rsidRDefault="00B75A0D" w:rsidP="0090505E">
      <w:pPr>
        <w:spacing w:line="360" w:lineRule="auto"/>
        <w:rPr>
          <w:rFonts w:ascii="Arial" w:hAnsi="Arial" w:cs="Arial"/>
        </w:rPr>
      </w:pPr>
      <w:r w:rsidRPr="0090505E">
        <w:rPr>
          <w:rFonts w:ascii="Arial" w:hAnsi="Arial" w:cs="Arial"/>
        </w:rPr>
        <w:t>Signed…N.AKHTAR…………………………………………</w:t>
      </w:r>
    </w:p>
    <w:p w14:paraId="6E5AF927" w14:textId="77777777" w:rsidR="00B75A0D" w:rsidRPr="0090505E" w:rsidRDefault="00B75A0D" w:rsidP="0090505E">
      <w:pPr>
        <w:spacing w:line="360" w:lineRule="auto"/>
        <w:rPr>
          <w:rFonts w:ascii="Arial" w:hAnsi="Arial" w:cs="Arial"/>
        </w:rPr>
      </w:pPr>
      <w:r w:rsidRPr="0090505E">
        <w:rPr>
          <w:rFonts w:ascii="Arial" w:hAnsi="Arial" w:cs="Arial"/>
        </w:rPr>
        <w:t>Date……N.AKHTAR…………………………………………</w:t>
      </w:r>
    </w:p>
    <w:p w14:paraId="33154EDF" w14:textId="77777777" w:rsidR="00B75A0D" w:rsidRPr="0090505E" w:rsidRDefault="00B75A0D" w:rsidP="0090505E">
      <w:pPr>
        <w:spacing w:line="360" w:lineRule="auto"/>
        <w:rPr>
          <w:rFonts w:ascii="Arial" w:hAnsi="Arial" w:cs="Arial"/>
        </w:rPr>
      </w:pPr>
      <w:r w:rsidRPr="0090505E">
        <w:rPr>
          <w:rFonts w:ascii="Arial" w:hAnsi="Arial" w:cs="Arial"/>
        </w:rPr>
        <w:t>STATEMENT 1</w:t>
      </w:r>
    </w:p>
    <w:p w14:paraId="537F84AC" w14:textId="77777777" w:rsidR="00B75A0D" w:rsidRPr="0090505E" w:rsidRDefault="00B75A0D" w:rsidP="0090505E">
      <w:pPr>
        <w:spacing w:line="360" w:lineRule="auto"/>
        <w:rPr>
          <w:rFonts w:ascii="Arial" w:hAnsi="Arial" w:cs="Arial"/>
        </w:rPr>
      </w:pPr>
      <w:r w:rsidRPr="0090505E">
        <w:rPr>
          <w:rFonts w:ascii="Arial" w:hAnsi="Arial" w:cs="Arial"/>
        </w:rPr>
        <w:t>This dissertation is being submitted in partial fulfilment of the requirements for the degree of BSc.</w:t>
      </w:r>
    </w:p>
    <w:p w14:paraId="5E119525" w14:textId="77777777" w:rsidR="00B75A0D" w:rsidRPr="0090505E" w:rsidRDefault="00B75A0D" w:rsidP="0090505E">
      <w:pPr>
        <w:spacing w:line="360" w:lineRule="auto"/>
        <w:rPr>
          <w:rFonts w:ascii="Arial" w:hAnsi="Arial" w:cs="Arial"/>
        </w:rPr>
      </w:pPr>
      <w:r w:rsidRPr="0090505E">
        <w:rPr>
          <w:rFonts w:ascii="Arial" w:hAnsi="Arial" w:cs="Arial"/>
        </w:rPr>
        <w:t>Signed…N.AKHTAR………………………………………….</w:t>
      </w:r>
    </w:p>
    <w:p w14:paraId="6393A466" w14:textId="77777777" w:rsidR="00B75A0D" w:rsidRPr="0090505E" w:rsidRDefault="00B75A0D" w:rsidP="0090505E">
      <w:pPr>
        <w:spacing w:line="360" w:lineRule="auto"/>
        <w:rPr>
          <w:rFonts w:ascii="Arial" w:hAnsi="Arial" w:cs="Arial"/>
        </w:rPr>
      </w:pPr>
      <w:r w:rsidRPr="0090505E">
        <w:rPr>
          <w:rFonts w:ascii="Arial" w:hAnsi="Arial" w:cs="Arial"/>
        </w:rPr>
        <w:t>Date………………………………………………</w:t>
      </w:r>
    </w:p>
    <w:p w14:paraId="3216D5D7" w14:textId="77777777" w:rsidR="00B75A0D" w:rsidRPr="0090505E" w:rsidRDefault="00B75A0D" w:rsidP="0090505E">
      <w:pPr>
        <w:spacing w:line="360" w:lineRule="auto"/>
        <w:rPr>
          <w:rFonts w:ascii="Arial" w:hAnsi="Arial" w:cs="Arial"/>
        </w:rPr>
      </w:pPr>
      <w:r w:rsidRPr="0090505E">
        <w:rPr>
          <w:rFonts w:ascii="Arial" w:hAnsi="Arial" w:cs="Arial"/>
        </w:rPr>
        <w:t>STATEMENT 2</w:t>
      </w:r>
    </w:p>
    <w:p w14:paraId="31166B74" w14:textId="77777777" w:rsidR="00B75A0D" w:rsidRPr="0090505E" w:rsidRDefault="00B75A0D" w:rsidP="0090505E">
      <w:pPr>
        <w:spacing w:line="360" w:lineRule="auto"/>
        <w:rPr>
          <w:rFonts w:ascii="Arial" w:hAnsi="Arial" w:cs="Arial"/>
        </w:rPr>
      </w:pPr>
      <w:r w:rsidRPr="0090505E">
        <w:rPr>
          <w:rFonts w:ascii="Arial" w:hAnsi="Arial" w:cs="Arial"/>
        </w:rPr>
        <w:t>This dissertation is the result of my own independent work/investigation, except where otherwise stated. Other sources are acknowledged by footnotes giving explicit references. A bibliography is appended.</w:t>
      </w:r>
    </w:p>
    <w:p w14:paraId="44250C85" w14:textId="77777777" w:rsidR="00B75A0D" w:rsidRPr="0090505E" w:rsidRDefault="00B75A0D" w:rsidP="0090505E">
      <w:pPr>
        <w:spacing w:line="360" w:lineRule="auto"/>
        <w:rPr>
          <w:rFonts w:ascii="Arial" w:hAnsi="Arial" w:cs="Arial"/>
        </w:rPr>
      </w:pPr>
      <w:r w:rsidRPr="0090505E">
        <w:rPr>
          <w:rFonts w:ascii="Arial" w:hAnsi="Arial" w:cs="Arial"/>
        </w:rPr>
        <w:t>Signed…N.AKHTAR…………………………………………</w:t>
      </w:r>
    </w:p>
    <w:p w14:paraId="5C5E19D0" w14:textId="77777777" w:rsidR="00B75A0D" w:rsidRPr="0090505E" w:rsidRDefault="00B75A0D" w:rsidP="0090505E">
      <w:pPr>
        <w:spacing w:line="360" w:lineRule="auto"/>
        <w:rPr>
          <w:rFonts w:ascii="Arial" w:hAnsi="Arial" w:cs="Arial"/>
        </w:rPr>
      </w:pPr>
      <w:r w:rsidRPr="0090505E">
        <w:rPr>
          <w:rFonts w:ascii="Arial" w:hAnsi="Arial" w:cs="Arial"/>
        </w:rPr>
        <w:t>Date………………………………………………</w:t>
      </w:r>
    </w:p>
    <w:p w14:paraId="2111360D" w14:textId="77777777" w:rsidR="00B75A0D" w:rsidRPr="0090505E" w:rsidRDefault="00B75A0D" w:rsidP="0090505E">
      <w:pPr>
        <w:spacing w:line="360" w:lineRule="auto"/>
        <w:rPr>
          <w:rFonts w:ascii="Arial" w:hAnsi="Arial" w:cs="Arial"/>
        </w:rPr>
      </w:pPr>
      <w:r w:rsidRPr="0090505E">
        <w:rPr>
          <w:rFonts w:ascii="Arial" w:hAnsi="Arial" w:cs="Arial"/>
        </w:rPr>
        <w:t>STATEMENT 3</w:t>
      </w:r>
    </w:p>
    <w:p w14:paraId="2C53635F" w14:textId="77777777" w:rsidR="00B75A0D" w:rsidRPr="0090505E" w:rsidRDefault="00B75A0D" w:rsidP="0090505E">
      <w:pPr>
        <w:spacing w:line="360" w:lineRule="auto"/>
        <w:rPr>
          <w:rFonts w:ascii="Arial" w:hAnsi="Arial" w:cs="Arial"/>
        </w:rPr>
      </w:pPr>
      <w:r w:rsidRPr="0090505E">
        <w:rPr>
          <w:rFonts w:ascii="Arial" w:hAnsi="Arial" w:cs="Arial"/>
        </w:rPr>
        <w:t>I hereby give consent for my dissertation, if accepted, to be available for photocopying and for interlibrary loan, and for the title and summary to be made available to outside organisations.</w:t>
      </w:r>
    </w:p>
    <w:p w14:paraId="1617F467" w14:textId="77777777" w:rsidR="00B75A0D" w:rsidRPr="0090505E" w:rsidRDefault="00B75A0D" w:rsidP="0090505E">
      <w:pPr>
        <w:spacing w:line="360" w:lineRule="auto"/>
        <w:rPr>
          <w:rFonts w:ascii="Arial" w:hAnsi="Arial" w:cs="Arial"/>
        </w:rPr>
      </w:pPr>
      <w:r w:rsidRPr="0090505E">
        <w:rPr>
          <w:rFonts w:ascii="Arial" w:hAnsi="Arial" w:cs="Arial"/>
        </w:rPr>
        <w:t>Signed…N.AKHTAR……………………………………………</w:t>
      </w:r>
    </w:p>
    <w:p w14:paraId="3007D26F" w14:textId="77777777" w:rsidR="00B75A0D" w:rsidRPr="0090505E" w:rsidRDefault="00B75A0D" w:rsidP="0090505E">
      <w:pPr>
        <w:spacing w:line="360" w:lineRule="auto"/>
        <w:rPr>
          <w:rFonts w:ascii="Arial" w:hAnsi="Arial" w:cs="Arial"/>
        </w:rPr>
      </w:pPr>
      <w:r w:rsidRPr="0090505E">
        <w:rPr>
          <w:rFonts w:ascii="Arial" w:hAnsi="Arial" w:cs="Arial"/>
        </w:rPr>
        <w:t>Date…………………………………………………</w:t>
      </w:r>
    </w:p>
    <w:p w14:paraId="3720BCF3" w14:textId="77777777" w:rsidR="00B75A0D" w:rsidRPr="0090505E" w:rsidRDefault="00B75A0D" w:rsidP="0090505E">
      <w:pPr>
        <w:spacing w:line="360" w:lineRule="auto"/>
        <w:rPr>
          <w:rFonts w:ascii="Arial" w:hAnsi="Arial" w:cs="Arial"/>
        </w:rPr>
      </w:pPr>
      <w:r w:rsidRPr="0090505E">
        <w:rPr>
          <w:rFonts w:ascii="Arial" w:hAnsi="Arial" w:cs="Arial"/>
        </w:rPr>
        <w:t>STATEMENT 4</w:t>
      </w:r>
    </w:p>
    <w:p w14:paraId="7DFD7AD5" w14:textId="77777777" w:rsidR="00B75A0D" w:rsidRPr="0090505E" w:rsidRDefault="00B75A0D" w:rsidP="0090505E">
      <w:pPr>
        <w:spacing w:line="360" w:lineRule="auto"/>
        <w:rPr>
          <w:rFonts w:ascii="Arial" w:hAnsi="Arial" w:cs="Arial"/>
        </w:rPr>
      </w:pPr>
      <w:r w:rsidRPr="0090505E">
        <w:rPr>
          <w:rFonts w:ascii="Arial" w:hAnsi="Arial" w:cs="Arial"/>
        </w:rPr>
        <w:t>I hereby give consent for my dissertation, if accepted, to be available on the university’s IT system to those who have consent to use the system.</w:t>
      </w:r>
    </w:p>
    <w:p w14:paraId="005E454E" w14:textId="77777777" w:rsidR="00B75A0D" w:rsidRPr="0090505E" w:rsidRDefault="00B75A0D" w:rsidP="0090505E">
      <w:pPr>
        <w:spacing w:line="360" w:lineRule="auto"/>
        <w:rPr>
          <w:rFonts w:ascii="Arial" w:hAnsi="Arial" w:cs="Arial"/>
        </w:rPr>
      </w:pPr>
      <w:r w:rsidRPr="0090505E">
        <w:rPr>
          <w:rFonts w:ascii="Arial" w:hAnsi="Arial" w:cs="Arial"/>
        </w:rPr>
        <w:t>Signed…N.AKHTAR……………………………………………</w:t>
      </w:r>
    </w:p>
    <w:p w14:paraId="3B9561A1" w14:textId="77777777" w:rsidR="00B75A0D" w:rsidRPr="0090505E" w:rsidRDefault="00B75A0D" w:rsidP="0090505E">
      <w:pPr>
        <w:spacing w:line="360" w:lineRule="auto"/>
        <w:rPr>
          <w:rFonts w:ascii="Arial" w:hAnsi="Arial" w:cs="Arial"/>
        </w:rPr>
      </w:pPr>
      <w:r w:rsidRPr="0090505E">
        <w:rPr>
          <w:rFonts w:ascii="Arial" w:hAnsi="Arial" w:cs="Arial"/>
        </w:rPr>
        <w:t>Date…………………………………………………</w:t>
      </w:r>
    </w:p>
    <w:p w14:paraId="6CCF4257" w14:textId="77777777" w:rsidR="00B75A0D" w:rsidRPr="0090505E" w:rsidRDefault="00B75A0D" w:rsidP="0090505E">
      <w:pPr>
        <w:spacing w:line="360" w:lineRule="auto"/>
        <w:rPr>
          <w:rFonts w:ascii="Arial" w:hAnsi="Arial" w:cs="Arial"/>
        </w:rPr>
      </w:pPr>
    </w:p>
    <w:p w14:paraId="6630FE90" w14:textId="77777777" w:rsidR="00B75A0D" w:rsidRPr="0090505E" w:rsidRDefault="00B75A0D" w:rsidP="0090505E">
      <w:pPr>
        <w:spacing w:line="360" w:lineRule="auto"/>
        <w:rPr>
          <w:rFonts w:ascii="Arial" w:hAnsi="Arial" w:cs="Arial"/>
        </w:rPr>
      </w:pPr>
    </w:p>
    <w:p w14:paraId="00A2B701" w14:textId="77777777" w:rsidR="00B75A0D" w:rsidRPr="0090505E" w:rsidRDefault="00B75A0D" w:rsidP="0090505E">
      <w:pPr>
        <w:spacing w:line="360" w:lineRule="auto"/>
        <w:rPr>
          <w:rFonts w:ascii="Arial" w:hAnsi="Arial" w:cs="Arial"/>
        </w:rPr>
      </w:pPr>
      <w:r w:rsidRPr="0090505E">
        <w:rPr>
          <w:rFonts w:ascii="Arial" w:hAnsi="Arial" w:cs="Arial"/>
        </w:rPr>
        <w:t>The COVID-19 Pandemic's Impact on the Mental Health and Coping Mechanisms of Healthcare Workers</w:t>
      </w:r>
    </w:p>
    <w:p w14:paraId="7D5348EC" w14:textId="77777777" w:rsidR="00B75A0D" w:rsidRPr="0090505E" w:rsidRDefault="00B75A0D" w:rsidP="0090505E">
      <w:pPr>
        <w:spacing w:line="360" w:lineRule="auto"/>
        <w:rPr>
          <w:rFonts w:ascii="Arial" w:hAnsi="Arial" w:cs="Arial"/>
        </w:rPr>
      </w:pPr>
      <w:r w:rsidRPr="0090505E">
        <w:rPr>
          <w:rFonts w:ascii="Arial" w:hAnsi="Arial" w:cs="Arial"/>
        </w:rPr>
        <w:t>Nasreen Akhtar / 2132945</w:t>
      </w:r>
    </w:p>
    <w:p w14:paraId="7F218256" w14:textId="77777777" w:rsidR="00B75A0D" w:rsidRPr="0090505E" w:rsidRDefault="00B75A0D" w:rsidP="0090505E">
      <w:pPr>
        <w:spacing w:line="360" w:lineRule="auto"/>
        <w:rPr>
          <w:rFonts w:ascii="Arial" w:hAnsi="Arial" w:cs="Arial"/>
        </w:rPr>
      </w:pPr>
      <w:r w:rsidRPr="0090505E">
        <w:rPr>
          <w:rFonts w:ascii="Arial" w:hAnsi="Arial" w:cs="Arial"/>
        </w:rPr>
        <w:t>Dissertation submitted as part of the requirements for the award BSc (Hons) Health and Social Care</w:t>
      </w:r>
    </w:p>
    <w:p w14:paraId="5182CA17" w14:textId="77777777" w:rsidR="00B75A0D" w:rsidRDefault="00B75A0D" w:rsidP="00B75A0D"/>
    <w:p w14:paraId="6AD985EC" w14:textId="77777777" w:rsidR="0090505E" w:rsidRDefault="0090505E" w:rsidP="0090505E">
      <w:pPr>
        <w:spacing w:line="360" w:lineRule="auto"/>
        <w:rPr>
          <w:rFonts w:ascii="Arial" w:hAnsi="Arial" w:cs="Arial"/>
          <w:b/>
          <w:bCs/>
        </w:rPr>
      </w:pPr>
    </w:p>
    <w:p w14:paraId="5B7D7921" w14:textId="77777777" w:rsidR="0090505E" w:rsidRDefault="0090505E" w:rsidP="0090505E">
      <w:pPr>
        <w:spacing w:line="360" w:lineRule="auto"/>
        <w:rPr>
          <w:rFonts w:ascii="Arial" w:hAnsi="Arial" w:cs="Arial"/>
          <w:b/>
          <w:bCs/>
        </w:rPr>
      </w:pPr>
    </w:p>
    <w:p w14:paraId="568C94EF" w14:textId="77777777" w:rsidR="0090505E" w:rsidRDefault="0090505E" w:rsidP="0090505E">
      <w:pPr>
        <w:spacing w:line="360" w:lineRule="auto"/>
        <w:rPr>
          <w:rFonts w:ascii="Arial" w:hAnsi="Arial" w:cs="Arial"/>
          <w:b/>
          <w:bCs/>
        </w:rPr>
      </w:pPr>
    </w:p>
    <w:p w14:paraId="5E6F4488" w14:textId="77777777" w:rsidR="0090505E" w:rsidRDefault="0090505E" w:rsidP="0090505E">
      <w:pPr>
        <w:spacing w:line="360" w:lineRule="auto"/>
        <w:rPr>
          <w:rFonts w:ascii="Arial" w:hAnsi="Arial" w:cs="Arial"/>
          <w:b/>
          <w:bCs/>
        </w:rPr>
      </w:pPr>
    </w:p>
    <w:p w14:paraId="6EBCB00D" w14:textId="77777777" w:rsidR="0090505E" w:rsidRDefault="0090505E" w:rsidP="0090505E">
      <w:pPr>
        <w:spacing w:line="360" w:lineRule="auto"/>
        <w:rPr>
          <w:rFonts w:ascii="Arial" w:hAnsi="Arial" w:cs="Arial"/>
          <w:b/>
          <w:bCs/>
        </w:rPr>
      </w:pPr>
    </w:p>
    <w:p w14:paraId="36AEFAB5" w14:textId="77777777" w:rsidR="0090505E" w:rsidRDefault="0090505E" w:rsidP="0090505E">
      <w:pPr>
        <w:spacing w:line="360" w:lineRule="auto"/>
        <w:rPr>
          <w:rFonts w:ascii="Arial" w:hAnsi="Arial" w:cs="Arial"/>
          <w:b/>
          <w:bCs/>
        </w:rPr>
      </w:pPr>
    </w:p>
    <w:p w14:paraId="0CAFEB17" w14:textId="77777777" w:rsidR="0090505E" w:rsidRDefault="0090505E" w:rsidP="0090505E">
      <w:pPr>
        <w:spacing w:line="360" w:lineRule="auto"/>
        <w:rPr>
          <w:rFonts w:ascii="Arial" w:hAnsi="Arial" w:cs="Arial"/>
          <w:b/>
          <w:bCs/>
        </w:rPr>
      </w:pPr>
    </w:p>
    <w:p w14:paraId="0331D984" w14:textId="77777777" w:rsidR="0090505E" w:rsidRDefault="0090505E" w:rsidP="0090505E">
      <w:pPr>
        <w:spacing w:line="360" w:lineRule="auto"/>
        <w:rPr>
          <w:rFonts w:ascii="Arial" w:hAnsi="Arial" w:cs="Arial"/>
          <w:b/>
          <w:bCs/>
        </w:rPr>
      </w:pPr>
    </w:p>
    <w:p w14:paraId="010840AC" w14:textId="77777777" w:rsidR="0090505E" w:rsidRDefault="0090505E" w:rsidP="0090505E">
      <w:pPr>
        <w:spacing w:line="360" w:lineRule="auto"/>
        <w:rPr>
          <w:rFonts w:ascii="Arial" w:hAnsi="Arial" w:cs="Arial"/>
          <w:b/>
          <w:bCs/>
        </w:rPr>
      </w:pPr>
    </w:p>
    <w:p w14:paraId="52216377" w14:textId="77777777" w:rsidR="0090505E" w:rsidRDefault="0090505E" w:rsidP="0090505E">
      <w:pPr>
        <w:spacing w:line="360" w:lineRule="auto"/>
        <w:rPr>
          <w:rFonts w:ascii="Arial" w:hAnsi="Arial" w:cs="Arial"/>
          <w:b/>
          <w:bCs/>
        </w:rPr>
      </w:pPr>
    </w:p>
    <w:p w14:paraId="04BD283F" w14:textId="77777777" w:rsidR="0090505E" w:rsidRDefault="0090505E" w:rsidP="0090505E">
      <w:pPr>
        <w:spacing w:line="360" w:lineRule="auto"/>
        <w:rPr>
          <w:rFonts w:ascii="Arial" w:hAnsi="Arial" w:cs="Arial"/>
          <w:b/>
          <w:bCs/>
        </w:rPr>
      </w:pPr>
    </w:p>
    <w:p w14:paraId="749B25A8" w14:textId="77777777" w:rsidR="0090505E" w:rsidRDefault="0090505E" w:rsidP="0090505E">
      <w:pPr>
        <w:spacing w:line="360" w:lineRule="auto"/>
        <w:rPr>
          <w:rFonts w:ascii="Arial" w:hAnsi="Arial" w:cs="Arial"/>
          <w:b/>
          <w:bCs/>
        </w:rPr>
      </w:pPr>
    </w:p>
    <w:p w14:paraId="570AE6CD" w14:textId="77777777" w:rsidR="0090505E" w:rsidRDefault="0090505E" w:rsidP="0090505E">
      <w:pPr>
        <w:spacing w:line="360" w:lineRule="auto"/>
        <w:rPr>
          <w:rFonts w:ascii="Arial" w:hAnsi="Arial" w:cs="Arial"/>
          <w:b/>
          <w:bCs/>
        </w:rPr>
      </w:pPr>
    </w:p>
    <w:p w14:paraId="6E8833A5" w14:textId="77777777" w:rsidR="0090505E" w:rsidRDefault="0090505E" w:rsidP="0090505E">
      <w:pPr>
        <w:spacing w:line="360" w:lineRule="auto"/>
        <w:rPr>
          <w:rFonts w:ascii="Arial" w:hAnsi="Arial" w:cs="Arial"/>
          <w:b/>
          <w:bCs/>
        </w:rPr>
      </w:pPr>
    </w:p>
    <w:p w14:paraId="75617588" w14:textId="77777777" w:rsidR="0090505E" w:rsidRDefault="0090505E" w:rsidP="0090505E">
      <w:pPr>
        <w:spacing w:line="360" w:lineRule="auto"/>
        <w:rPr>
          <w:rFonts w:ascii="Arial" w:hAnsi="Arial" w:cs="Arial"/>
          <w:b/>
          <w:bCs/>
        </w:rPr>
      </w:pPr>
    </w:p>
    <w:p w14:paraId="4E90FA75" w14:textId="77777777" w:rsidR="0090505E" w:rsidRDefault="0090505E" w:rsidP="0090505E">
      <w:pPr>
        <w:spacing w:line="360" w:lineRule="auto"/>
        <w:rPr>
          <w:rFonts w:ascii="Arial" w:hAnsi="Arial" w:cs="Arial"/>
          <w:b/>
          <w:bCs/>
        </w:rPr>
      </w:pPr>
    </w:p>
    <w:p w14:paraId="38746A5B" w14:textId="77777777" w:rsidR="0090505E" w:rsidRDefault="0090505E" w:rsidP="0090505E">
      <w:pPr>
        <w:spacing w:line="360" w:lineRule="auto"/>
        <w:rPr>
          <w:rFonts w:ascii="Arial" w:hAnsi="Arial" w:cs="Arial"/>
          <w:b/>
          <w:bCs/>
        </w:rPr>
      </w:pPr>
    </w:p>
    <w:p w14:paraId="39FA1C1A" w14:textId="77777777" w:rsidR="0090505E" w:rsidRDefault="0090505E" w:rsidP="0090505E">
      <w:pPr>
        <w:spacing w:line="360" w:lineRule="auto"/>
        <w:rPr>
          <w:rFonts w:ascii="Arial" w:hAnsi="Arial" w:cs="Arial"/>
          <w:b/>
          <w:bCs/>
        </w:rPr>
      </w:pPr>
    </w:p>
    <w:p w14:paraId="7E172FBB" w14:textId="77777777" w:rsidR="0090505E" w:rsidRDefault="0090505E" w:rsidP="0090505E">
      <w:pPr>
        <w:spacing w:line="360" w:lineRule="auto"/>
        <w:rPr>
          <w:rFonts w:ascii="Arial" w:hAnsi="Arial" w:cs="Arial"/>
          <w:b/>
          <w:bCs/>
        </w:rPr>
      </w:pPr>
    </w:p>
    <w:p w14:paraId="3BD02766" w14:textId="77777777" w:rsidR="0090505E" w:rsidRDefault="0090505E" w:rsidP="0090505E">
      <w:pPr>
        <w:spacing w:line="360" w:lineRule="auto"/>
        <w:rPr>
          <w:rFonts w:ascii="Arial" w:hAnsi="Arial" w:cs="Arial"/>
          <w:b/>
          <w:bCs/>
        </w:rPr>
      </w:pPr>
    </w:p>
    <w:p w14:paraId="72DA9E1D" w14:textId="3B84571C" w:rsidR="00B75A0D" w:rsidRPr="0090505E" w:rsidRDefault="00B75A0D" w:rsidP="0090505E">
      <w:pPr>
        <w:spacing w:line="360" w:lineRule="auto"/>
        <w:rPr>
          <w:rFonts w:ascii="Arial" w:hAnsi="Arial" w:cs="Arial"/>
          <w:b/>
          <w:bCs/>
        </w:rPr>
      </w:pPr>
      <w:r w:rsidRPr="0090505E">
        <w:rPr>
          <w:rFonts w:ascii="Arial" w:hAnsi="Arial" w:cs="Arial"/>
          <w:b/>
          <w:bCs/>
        </w:rPr>
        <w:lastRenderedPageBreak/>
        <w:t>Abstract</w:t>
      </w:r>
    </w:p>
    <w:p w14:paraId="47F0A32A" w14:textId="77777777" w:rsidR="00B75A0D" w:rsidRPr="0090505E" w:rsidRDefault="00B75A0D" w:rsidP="0090505E">
      <w:pPr>
        <w:spacing w:line="360" w:lineRule="auto"/>
        <w:rPr>
          <w:rFonts w:ascii="Arial" w:hAnsi="Arial" w:cs="Arial"/>
        </w:rPr>
      </w:pPr>
      <w:r w:rsidRPr="0090505E">
        <w:rPr>
          <w:rFonts w:ascii="Arial" w:hAnsi="Arial" w:cs="Arial"/>
        </w:rPr>
        <w:t>The COVID 19 pandemic, declared by the World Health Organisation in March 2020, placed immense pressure on global healthcare systems. Healthcare workers (HCWs)—including doctors, nurses, and support staff—found themselves at the centre of this crisis, dealing not only with the medical treatment of COVID 19 patients but also with significant psychological stress. This dissertation examines how the pandemic has impacted the mental health of HCWs, explores the coping strategies they employed, and evaluates the role of institutional support in ameliorating or exacerbating psychological strain.</w:t>
      </w:r>
    </w:p>
    <w:p w14:paraId="75B059FF" w14:textId="34B022B4" w:rsidR="00B75A0D" w:rsidRPr="0090505E" w:rsidRDefault="00B75A0D" w:rsidP="0090505E">
      <w:pPr>
        <w:spacing w:line="360" w:lineRule="auto"/>
        <w:rPr>
          <w:rFonts w:ascii="Arial" w:hAnsi="Arial" w:cs="Arial"/>
        </w:rPr>
      </w:pPr>
      <w:r w:rsidRPr="0090505E">
        <w:rPr>
          <w:rFonts w:ascii="Arial" w:hAnsi="Arial" w:cs="Arial"/>
        </w:rPr>
        <w:t xml:space="preserve">The study draws on a systematic review of international literature, identifying major mental health challenges including elevated levels of anxiety, depression, burnout, and </w:t>
      </w:r>
      <w:r w:rsidR="0090505E" w:rsidRPr="0090505E">
        <w:rPr>
          <w:rFonts w:ascii="Arial" w:hAnsi="Arial" w:cs="Arial"/>
        </w:rPr>
        <w:t>post-traumatic</w:t>
      </w:r>
      <w:r w:rsidRPr="0090505E">
        <w:rPr>
          <w:rFonts w:ascii="Arial" w:hAnsi="Arial" w:cs="Arial"/>
        </w:rPr>
        <w:t xml:space="preserve"> stress disorder (PTSD). It locates key contributing factors: fear of infection (for self and family), inadequate personal protective equipment (PPE), exposure to frequent patient deaths, moral injury arising from difficult ethical decisions, long working hours, staff shortages, and lack of psychological recovery time.</w:t>
      </w:r>
    </w:p>
    <w:p w14:paraId="09798061" w14:textId="77777777" w:rsidR="00B75A0D" w:rsidRPr="0090505E" w:rsidRDefault="00B75A0D" w:rsidP="0090505E">
      <w:pPr>
        <w:spacing w:line="360" w:lineRule="auto"/>
        <w:rPr>
          <w:rFonts w:ascii="Arial" w:hAnsi="Arial" w:cs="Arial"/>
        </w:rPr>
      </w:pPr>
      <w:r w:rsidRPr="0090505E">
        <w:rPr>
          <w:rFonts w:ascii="Arial" w:hAnsi="Arial" w:cs="Arial"/>
        </w:rPr>
        <w:t>Coping mechanisms are reviewed, distinguishing adaptive strategies such as peer support, resilience, mindfulness, structured routines, and access to mental health services, from maladaptive ones including avoidance, emotional withdrawal, substance use, and denial. Institutional support is shown to be crucial: where clear communication, psychological services, leadership commitment, and material resources were available, outcomes for HCWs were substantially better. However, numerous barriers—such as stigma around mental health, resource limitations, poor awareness of support, and time constraints—impeded access to help.</w:t>
      </w:r>
    </w:p>
    <w:p w14:paraId="153EBCB8" w14:textId="77777777" w:rsidR="00B75A0D" w:rsidRPr="0090505E" w:rsidRDefault="00B75A0D" w:rsidP="0090505E">
      <w:pPr>
        <w:spacing w:line="360" w:lineRule="auto"/>
        <w:rPr>
          <w:rFonts w:ascii="Arial" w:hAnsi="Arial" w:cs="Arial"/>
        </w:rPr>
      </w:pPr>
      <w:r w:rsidRPr="0090505E">
        <w:rPr>
          <w:rFonts w:ascii="Arial" w:hAnsi="Arial" w:cs="Arial"/>
        </w:rPr>
        <w:t>The dissertation concludes by asserting that addressing HCWs’ mental health is essential for workforce sustainability and high quality patient care. It offers recommendations for policy and practice: ensuring sufficient PPE, integrating mental health support into organisational protocols, improving communication, promoting resilience building, and developing proactive and systemic interventions.</w:t>
      </w:r>
    </w:p>
    <w:p w14:paraId="22DA8A28" w14:textId="77777777" w:rsidR="00B75A0D" w:rsidRPr="0090505E" w:rsidRDefault="00B75A0D" w:rsidP="0090505E">
      <w:pPr>
        <w:spacing w:line="360" w:lineRule="auto"/>
        <w:rPr>
          <w:rFonts w:ascii="Arial" w:hAnsi="Arial" w:cs="Arial"/>
        </w:rPr>
      </w:pPr>
    </w:p>
    <w:p w14:paraId="34F2D38F" w14:textId="77777777" w:rsidR="00B75A0D" w:rsidRDefault="00B75A0D" w:rsidP="00B75A0D"/>
    <w:p w14:paraId="62AAE32C" w14:textId="77777777" w:rsidR="00B75A0D" w:rsidRDefault="00B75A0D" w:rsidP="00B75A0D"/>
    <w:p w14:paraId="50DA0119" w14:textId="77777777" w:rsidR="00B75A0D" w:rsidRDefault="00B75A0D" w:rsidP="00B75A0D"/>
    <w:p w14:paraId="1F850C90" w14:textId="77777777" w:rsidR="00B75A0D" w:rsidRDefault="00B75A0D" w:rsidP="00B75A0D"/>
    <w:p w14:paraId="7DC86808" w14:textId="77777777" w:rsidR="00B75A0D" w:rsidRDefault="00B75A0D" w:rsidP="00B75A0D"/>
    <w:p w14:paraId="73884A3B" w14:textId="77777777" w:rsidR="0090505E" w:rsidRDefault="0090505E" w:rsidP="0090505E">
      <w:pPr>
        <w:spacing w:line="360" w:lineRule="auto"/>
        <w:rPr>
          <w:rFonts w:ascii="Arial" w:hAnsi="Arial" w:cs="Arial"/>
        </w:rPr>
      </w:pPr>
    </w:p>
    <w:p w14:paraId="39FE9B69" w14:textId="77777777" w:rsidR="0090505E" w:rsidRDefault="0090505E" w:rsidP="0090505E">
      <w:pPr>
        <w:spacing w:line="360" w:lineRule="auto"/>
        <w:rPr>
          <w:rFonts w:ascii="Arial" w:hAnsi="Arial" w:cs="Arial"/>
        </w:rPr>
      </w:pPr>
    </w:p>
    <w:p w14:paraId="56042C02" w14:textId="77777777" w:rsidR="0090505E" w:rsidRDefault="0090505E" w:rsidP="0090505E">
      <w:pPr>
        <w:spacing w:line="360" w:lineRule="auto"/>
        <w:rPr>
          <w:rFonts w:ascii="Arial" w:hAnsi="Arial" w:cs="Arial"/>
        </w:rPr>
      </w:pPr>
    </w:p>
    <w:p w14:paraId="53A92DD9" w14:textId="77777777" w:rsidR="0090505E" w:rsidRDefault="0090505E" w:rsidP="0090505E">
      <w:pPr>
        <w:spacing w:line="360" w:lineRule="auto"/>
        <w:rPr>
          <w:rFonts w:ascii="Arial" w:hAnsi="Arial" w:cs="Arial"/>
        </w:rPr>
      </w:pPr>
    </w:p>
    <w:p w14:paraId="60E504AC" w14:textId="77777777" w:rsidR="0090505E" w:rsidRDefault="0090505E" w:rsidP="0090505E">
      <w:pPr>
        <w:spacing w:line="360" w:lineRule="auto"/>
        <w:rPr>
          <w:rFonts w:ascii="Arial" w:hAnsi="Arial" w:cs="Arial"/>
        </w:rPr>
      </w:pPr>
    </w:p>
    <w:p w14:paraId="576648AB" w14:textId="77777777" w:rsidR="0090505E" w:rsidRDefault="0090505E" w:rsidP="0090505E">
      <w:pPr>
        <w:spacing w:line="360" w:lineRule="auto"/>
        <w:rPr>
          <w:rFonts w:ascii="Arial" w:hAnsi="Arial" w:cs="Arial"/>
        </w:rPr>
      </w:pPr>
    </w:p>
    <w:p w14:paraId="0A9D94C4" w14:textId="77777777" w:rsidR="0090505E" w:rsidRDefault="0090505E" w:rsidP="0090505E">
      <w:pPr>
        <w:spacing w:line="360" w:lineRule="auto"/>
        <w:rPr>
          <w:rFonts w:ascii="Arial" w:hAnsi="Arial" w:cs="Arial"/>
        </w:rPr>
      </w:pPr>
    </w:p>
    <w:p w14:paraId="4E18F9E7" w14:textId="77777777" w:rsidR="0090505E" w:rsidRDefault="0090505E" w:rsidP="0090505E">
      <w:pPr>
        <w:spacing w:line="360" w:lineRule="auto"/>
        <w:rPr>
          <w:rFonts w:ascii="Arial" w:hAnsi="Arial" w:cs="Arial"/>
        </w:rPr>
      </w:pPr>
    </w:p>
    <w:p w14:paraId="102398E9" w14:textId="77777777" w:rsidR="0090505E" w:rsidRDefault="0090505E" w:rsidP="0090505E">
      <w:pPr>
        <w:spacing w:line="360" w:lineRule="auto"/>
        <w:rPr>
          <w:rFonts w:ascii="Arial" w:hAnsi="Arial" w:cs="Arial"/>
        </w:rPr>
      </w:pPr>
    </w:p>
    <w:p w14:paraId="67D3F6BE" w14:textId="77777777" w:rsidR="0090505E" w:rsidRDefault="0090505E" w:rsidP="0090505E">
      <w:pPr>
        <w:spacing w:line="360" w:lineRule="auto"/>
        <w:rPr>
          <w:rFonts w:ascii="Arial" w:hAnsi="Arial" w:cs="Arial"/>
        </w:rPr>
      </w:pPr>
    </w:p>
    <w:p w14:paraId="2A3B3F5E" w14:textId="77777777" w:rsidR="0090505E" w:rsidRDefault="0090505E" w:rsidP="0090505E">
      <w:pPr>
        <w:spacing w:line="360" w:lineRule="auto"/>
        <w:rPr>
          <w:rFonts w:ascii="Arial" w:hAnsi="Arial" w:cs="Arial"/>
        </w:rPr>
      </w:pPr>
    </w:p>
    <w:p w14:paraId="5A044B03" w14:textId="77777777" w:rsidR="0090505E" w:rsidRDefault="0090505E" w:rsidP="0090505E">
      <w:pPr>
        <w:spacing w:line="360" w:lineRule="auto"/>
        <w:rPr>
          <w:rFonts w:ascii="Arial" w:hAnsi="Arial" w:cs="Arial"/>
        </w:rPr>
      </w:pPr>
    </w:p>
    <w:p w14:paraId="38EADA07" w14:textId="77777777" w:rsidR="0090505E" w:rsidRDefault="0090505E" w:rsidP="0090505E">
      <w:pPr>
        <w:spacing w:line="360" w:lineRule="auto"/>
        <w:rPr>
          <w:rFonts w:ascii="Arial" w:hAnsi="Arial" w:cs="Arial"/>
        </w:rPr>
      </w:pPr>
    </w:p>
    <w:p w14:paraId="35B7DAE6" w14:textId="77777777" w:rsidR="0090505E" w:rsidRDefault="0090505E" w:rsidP="0090505E">
      <w:pPr>
        <w:spacing w:line="360" w:lineRule="auto"/>
        <w:rPr>
          <w:rFonts w:ascii="Arial" w:hAnsi="Arial" w:cs="Arial"/>
        </w:rPr>
      </w:pPr>
    </w:p>
    <w:p w14:paraId="1025D0CC" w14:textId="77777777" w:rsidR="0090505E" w:rsidRDefault="0090505E" w:rsidP="0090505E">
      <w:pPr>
        <w:spacing w:line="360" w:lineRule="auto"/>
        <w:rPr>
          <w:rFonts w:ascii="Arial" w:hAnsi="Arial" w:cs="Arial"/>
        </w:rPr>
      </w:pPr>
    </w:p>
    <w:p w14:paraId="31398C0F" w14:textId="77777777" w:rsidR="0090505E" w:rsidRDefault="0090505E" w:rsidP="0090505E">
      <w:pPr>
        <w:spacing w:line="360" w:lineRule="auto"/>
        <w:rPr>
          <w:rFonts w:ascii="Arial" w:hAnsi="Arial" w:cs="Arial"/>
        </w:rPr>
      </w:pPr>
    </w:p>
    <w:p w14:paraId="40E3CB70" w14:textId="77777777" w:rsidR="0090505E" w:rsidRDefault="0090505E" w:rsidP="0090505E">
      <w:pPr>
        <w:spacing w:line="360" w:lineRule="auto"/>
        <w:rPr>
          <w:rFonts w:ascii="Arial" w:hAnsi="Arial" w:cs="Arial"/>
        </w:rPr>
      </w:pPr>
    </w:p>
    <w:p w14:paraId="706DC0EB" w14:textId="77777777" w:rsidR="0090505E" w:rsidRDefault="0090505E" w:rsidP="0090505E">
      <w:pPr>
        <w:spacing w:line="360" w:lineRule="auto"/>
        <w:rPr>
          <w:rFonts w:ascii="Arial" w:hAnsi="Arial" w:cs="Arial"/>
        </w:rPr>
      </w:pPr>
    </w:p>
    <w:p w14:paraId="3828226F" w14:textId="77777777" w:rsidR="0090505E" w:rsidRDefault="0090505E" w:rsidP="0090505E">
      <w:pPr>
        <w:spacing w:line="360" w:lineRule="auto"/>
        <w:rPr>
          <w:rFonts w:ascii="Arial" w:hAnsi="Arial" w:cs="Arial"/>
        </w:rPr>
      </w:pPr>
    </w:p>
    <w:p w14:paraId="56690E6C" w14:textId="4A4E47DF" w:rsidR="00B75A0D" w:rsidRPr="0090505E" w:rsidRDefault="00B75A0D" w:rsidP="0090505E">
      <w:pPr>
        <w:spacing w:line="360" w:lineRule="auto"/>
        <w:rPr>
          <w:rFonts w:ascii="Arial" w:hAnsi="Arial" w:cs="Arial"/>
        </w:rPr>
      </w:pPr>
      <w:r w:rsidRPr="0090505E">
        <w:rPr>
          <w:rFonts w:ascii="Arial" w:hAnsi="Arial" w:cs="Arial"/>
        </w:rPr>
        <w:t>Table of Contents</w:t>
      </w:r>
    </w:p>
    <w:p w14:paraId="175B261F" w14:textId="785A2AC3" w:rsidR="00B75A0D" w:rsidRPr="0090505E" w:rsidRDefault="00B75A0D" w:rsidP="0090505E">
      <w:pPr>
        <w:spacing w:line="360" w:lineRule="auto"/>
        <w:rPr>
          <w:rFonts w:ascii="Arial" w:hAnsi="Arial" w:cs="Arial"/>
        </w:rPr>
      </w:pPr>
      <w:r w:rsidRPr="0090505E">
        <w:rPr>
          <w:rFonts w:ascii="Arial" w:hAnsi="Arial" w:cs="Arial"/>
        </w:rPr>
        <w:t>1.Title Page</w:t>
      </w:r>
    </w:p>
    <w:p w14:paraId="1ED2216B" w14:textId="362773A0" w:rsidR="00B75A0D" w:rsidRPr="0090505E" w:rsidRDefault="00B75A0D" w:rsidP="0090505E">
      <w:pPr>
        <w:spacing w:line="360" w:lineRule="auto"/>
        <w:rPr>
          <w:rFonts w:ascii="Arial" w:hAnsi="Arial" w:cs="Arial"/>
        </w:rPr>
      </w:pPr>
      <w:r w:rsidRPr="0090505E">
        <w:rPr>
          <w:rFonts w:ascii="Arial" w:hAnsi="Arial" w:cs="Arial"/>
        </w:rPr>
        <w:t>2.Acknowledgements (Optional)</w:t>
      </w:r>
    </w:p>
    <w:p w14:paraId="7E58DB83" w14:textId="228B9379" w:rsidR="00B75A0D" w:rsidRPr="0090505E" w:rsidRDefault="00B75A0D" w:rsidP="0090505E">
      <w:pPr>
        <w:spacing w:line="360" w:lineRule="auto"/>
        <w:rPr>
          <w:rFonts w:ascii="Arial" w:hAnsi="Arial" w:cs="Arial"/>
        </w:rPr>
      </w:pPr>
      <w:r w:rsidRPr="0090505E">
        <w:rPr>
          <w:rFonts w:ascii="Arial" w:hAnsi="Arial" w:cs="Arial"/>
        </w:rPr>
        <w:t>3.Abstract</w:t>
      </w:r>
    </w:p>
    <w:p w14:paraId="31EA2208" w14:textId="5FA55455" w:rsidR="00B75A0D" w:rsidRPr="0090505E" w:rsidRDefault="00B75A0D" w:rsidP="0090505E">
      <w:pPr>
        <w:spacing w:line="360" w:lineRule="auto"/>
        <w:rPr>
          <w:rFonts w:ascii="Arial" w:hAnsi="Arial" w:cs="Arial"/>
        </w:rPr>
      </w:pPr>
      <w:r w:rsidRPr="0090505E">
        <w:rPr>
          <w:rFonts w:ascii="Arial" w:hAnsi="Arial" w:cs="Arial"/>
        </w:rPr>
        <w:t>4.Table of Contents</w:t>
      </w:r>
    </w:p>
    <w:p w14:paraId="7E28670B" w14:textId="64A136BD" w:rsidR="00B75A0D" w:rsidRPr="0090505E" w:rsidRDefault="00B75A0D" w:rsidP="0090505E">
      <w:pPr>
        <w:spacing w:line="360" w:lineRule="auto"/>
        <w:rPr>
          <w:rFonts w:ascii="Arial" w:hAnsi="Arial" w:cs="Arial"/>
        </w:rPr>
      </w:pPr>
      <w:r w:rsidRPr="0090505E">
        <w:rPr>
          <w:rFonts w:ascii="Arial" w:hAnsi="Arial" w:cs="Arial"/>
        </w:rPr>
        <w:t>5.Chapter 1: Introduction</w:t>
      </w:r>
    </w:p>
    <w:p w14:paraId="6F05FE8A" w14:textId="77777777" w:rsidR="00B75A0D" w:rsidRPr="0090505E" w:rsidRDefault="00B75A0D" w:rsidP="0090505E">
      <w:pPr>
        <w:spacing w:line="360" w:lineRule="auto"/>
        <w:rPr>
          <w:rFonts w:ascii="Arial" w:hAnsi="Arial" w:cs="Arial"/>
        </w:rPr>
      </w:pPr>
      <w:r w:rsidRPr="0090505E">
        <w:rPr>
          <w:rFonts w:ascii="Arial" w:hAnsi="Arial" w:cs="Arial"/>
        </w:rPr>
        <w:t>1.1. Background</w:t>
      </w:r>
    </w:p>
    <w:p w14:paraId="5402E38D" w14:textId="77777777" w:rsidR="00B75A0D" w:rsidRPr="0090505E" w:rsidRDefault="00B75A0D" w:rsidP="0090505E">
      <w:pPr>
        <w:spacing w:line="360" w:lineRule="auto"/>
        <w:rPr>
          <w:rFonts w:ascii="Arial" w:hAnsi="Arial" w:cs="Arial"/>
        </w:rPr>
      </w:pPr>
      <w:r w:rsidRPr="0090505E">
        <w:rPr>
          <w:rFonts w:ascii="Arial" w:hAnsi="Arial" w:cs="Arial"/>
        </w:rPr>
        <w:lastRenderedPageBreak/>
        <w:t>1.2. Problem Statement</w:t>
      </w:r>
    </w:p>
    <w:p w14:paraId="0DE075F6" w14:textId="77777777" w:rsidR="00B75A0D" w:rsidRPr="0090505E" w:rsidRDefault="00B75A0D" w:rsidP="0090505E">
      <w:pPr>
        <w:spacing w:line="360" w:lineRule="auto"/>
        <w:rPr>
          <w:rFonts w:ascii="Arial" w:hAnsi="Arial" w:cs="Arial"/>
        </w:rPr>
      </w:pPr>
      <w:r w:rsidRPr="0090505E">
        <w:rPr>
          <w:rFonts w:ascii="Arial" w:hAnsi="Arial" w:cs="Arial"/>
        </w:rPr>
        <w:t>1.3. Research Aims and Objectives</w:t>
      </w:r>
    </w:p>
    <w:p w14:paraId="771A1AC2" w14:textId="77777777" w:rsidR="00B75A0D" w:rsidRPr="0090505E" w:rsidRDefault="00B75A0D" w:rsidP="0090505E">
      <w:pPr>
        <w:spacing w:line="360" w:lineRule="auto"/>
        <w:rPr>
          <w:rFonts w:ascii="Arial" w:hAnsi="Arial" w:cs="Arial"/>
        </w:rPr>
      </w:pPr>
      <w:r w:rsidRPr="0090505E">
        <w:rPr>
          <w:rFonts w:ascii="Arial" w:hAnsi="Arial" w:cs="Arial"/>
        </w:rPr>
        <w:t>1.4. Research Questions</w:t>
      </w:r>
    </w:p>
    <w:p w14:paraId="3F816DC0" w14:textId="60CB7526" w:rsidR="00B75A0D" w:rsidRPr="0090505E" w:rsidRDefault="00B75A0D" w:rsidP="0090505E">
      <w:pPr>
        <w:spacing w:line="360" w:lineRule="auto"/>
        <w:rPr>
          <w:rFonts w:ascii="Arial" w:hAnsi="Arial" w:cs="Arial"/>
        </w:rPr>
      </w:pPr>
      <w:r w:rsidRPr="0090505E">
        <w:rPr>
          <w:rFonts w:ascii="Arial" w:hAnsi="Arial" w:cs="Arial"/>
        </w:rPr>
        <w:t>6.Chapter 2: Literature Review</w:t>
      </w:r>
    </w:p>
    <w:p w14:paraId="635C4088" w14:textId="77777777" w:rsidR="00B75A0D" w:rsidRPr="0090505E" w:rsidRDefault="00B75A0D" w:rsidP="0090505E">
      <w:pPr>
        <w:spacing w:line="360" w:lineRule="auto"/>
        <w:rPr>
          <w:rFonts w:ascii="Arial" w:hAnsi="Arial" w:cs="Arial"/>
        </w:rPr>
      </w:pPr>
      <w:r w:rsidRPr="0090505E">
        <w:rPr>
          <w:rFonts w:ascii="Arial" w:hAnsi="Arial" w:cs="Arial"/>
        </w:rPr>
        <w:t>2.1. Impact of Pandemics on Healthcare Workers’ Mental Health</w:t>
      </w:r>
    </w:p>
    <w:p w14:paraId="65247CD1" w14:textId="77777777" w:rsidR="00B75A0D" w:rsidRPr="0090505E" w:rsidRDefault="00B75A0D" w:rsidP="0090505E">
      <w:pPr>
        <w:spacing w:line="360" w:lineRule="auto"/>
        <w:rPr>
          <w:rFonts w:ascii="Arial" w:hAnsi="Arial" w:cs="Arial"/>
        </w:rPr>
      </w:pPr>
      <w:r w:rsidRPr="0090505E">
        <w:rPr>
          <w:rFonts w:ascii="Arial" w:hAnsi="Arial" w:cs="Arial"/>
        </w:rPr>
        <w:t>2.2. Factors Contributing to Mental Health Strain</w:t>
      </w:r>
    </w:p>
    <w:p w14:paraId="43D54ED8" w14:textId="77777777" w:rsidR="00B75A0D" w:rsidRPr="0090505E" w:rsidRDefault="00B75A0D" w:rsidP="0090505E">
      <w:pPr>
        <w:spacing w:line="360" w:lineRule="auto"/>
        <w:rPr>
          <w:rFonts w:ascii="Arial" w:hAnsi="Arial" w:cs="Arial"/>
        </w:rPr>
      </w:pPr>
      <w:r w:rsidRPr="0090505E">
        <w:rPr>
          <w:rFonts w:ascii="Arial" w:hAnsi="Arial" w:cs="Arial"/>
        </w:rPr>
        <w:t>2.3. Coping Mechanisms</w:t>
      </w:r>
    </w:p>
    <w:p w14:paraId="693E840A" w14:textId="77777777" w:rsidR="00B75A0D" w:rsidRPr="0090505E" w:rsidRDefault="00B75A0D" w:rsidP="0090505E">
      <w:pPr>
        <w:spacing w:line="360" w:lineRule="auto"/>
        <w:rPr>
          <w:rFonts w:ascii="Arial" w:hAnsi="Arial" w:cs="Arial"/>
        </w:rPr>
      </w:pPr>
      <w:r w:rsidRPr="0090505E">
        <w:rPr>
          <w:rFonts w:ascii="Arial" w:hAnsi="Arial" w:cs="Arial"/>
        </w:rPr>
        <w:t>2.4. Institutional Support and Its Role</w:t>
      </w:r>
    </w:p>
    <w:p w14:paraId="1E5C7017" w14:textId="3E74287B" w:rsidR="00B75A0D" w:rsidRPr="0090505E" w:rsidRDefault="00B75A0D" w:rsidP="0090505E">
      <w:pPr>
        <w:spacing w:line="360" w:lineRule="auto"/>
        <w:rPr>
          <w:rFonts w:ascii="Arial" w:hAnsi="Arial" w:cs="Arial"/>
        </w:rPr>
      </w:pPr>
      <w:r w:rsidRPr="0090505E">
        <w:rPr>
          <w:rFonts w:ascii="Arial" w:hAnsi="Arial" w:cs="Arial"/>
        </w:rPr>
        <w:t>7.Chapter 3: Methodology</w:t>
      </w:r>
    </w:p>
    <w:p w14:paraId="5B44F0E1" w14:textId="77777777" w:rsidR="00B75A0D" w:rsidRPr="0090505E" w:rsidRDefault="00B75A0D" w:rsidP="0090505E">
      <w:pPr>
        <w:spacing w:line="360" w:lineRule="auto"/>
        <w:rPr>
          <w:rFonts w:ascii="Arial" w:hAnsi="Arial" w:cs="Arial"/>
        </w:rPr>
      </w:pPr>
      <w:r w:rsidRPr="0090505E">
        <w:rPr>
          <w:rFonts w:ascii="Arial" w:hAnsi="Arial" w:cs="Arial"/>
        </w:rPr>
        <w:t>3.1. Research Design</w:t>
      </w:r>
    </w:p>
    <w:p w14:paraId="7ED9CF5C" w14:textId="77777777" w:rsidR="00B75A0D" w:rsidRPr="0090505E" w:rsidRDefault="00B75A0D" w:rsidP="0090505E">
      <w:pPr>
        <w:spacing w:line="360" w:lineRule="auto"/>
        <w:rPr>
          <w:rFonts w:ascii="Arial" w:hAnsi="Arial" w:cs="Arial"/>
        </w:rPr>
      </w:pPr>
      <w:r w:rsidRPr="0090505E">
        <w:rPr>
          <w:rFonts w:ascii="Arial" w:hAnsi="Arial" w:cs="Arial"/>
        </w:rPr>
        <w:t>3.2. Data Collection Techniques</w:t>
      </w:r>
    </w:p>
    <w:p w14:paraId="04F504A5" w14:textId="77777777" w:rsidR="00B75A0D" w:rsidRPr="0090505E" w:rsidRDefault="00B75A0D" w:rsidP="0090505E">
      <w:pPr>
        <w:spacing w:line="360" w:lineRule="auto"/>
        <w:rPr>
          <w:rFonts w:ascii="Arial" w:hAnsi="Arial" w:cs="Arial"/>
        </w:rPr>
      </w:pPr>
      <w:r w:rsidRPr="0090505E">
        <w:rPr>
          <w:rFonts w:ascii="Arial" w:hAnsi="Arial" w:cs="Arial"/>
        </w:rPr>
        <w:t>3.3. Sample Selection</w:t>
      </w:r>
    </w:p>
    <w:p w14:paraId="46BFEA1C" w14:textId="77777777" w:rsidR="00B75A0D" w:rsidRPr="0090505E" w:rsidRDefault="00B75A0D" w:rsidP="0090505E">
      <w:pPr>
        <w:spacing w:line="360" w:lineRule="auto"/>
        <w:rPr>
          <w:rFonts w:ascii="Arial" w:hAnsi="Arial" w:cs="Arial"/>
        </w:rPr>
      </w:pPr>
      <w:r w:rsidRPr="0090505E">
        <w:rPr>
          <w:rFonts w:ascii="Arial" w:hAnsi="Arial" w:cs="Arial"/>
        </w:rPr>
        <w:t>3.4. Ethical Considerations</w:t>
      </w:r>
    </w:p>
    <w:p w14:paraId="4B85088A" w14:textId="0941C3A3" w:rsidR="00B75A0D" w:rsidRPr="0090505E" w:rsidRDefault="00B75A0D" w:rsidP="0090505E">
      <w:pPr>
        <w:spacing w:line="360" w:lineRule="auto"/>
        <w:rPr>
          <w:rFonts w:ascii="Arial" w:hAnsi="Arial" w:cs="Arial"/>
        </w:rPr>
      </w:pPr>
      <w:r w:rsidRPr="0090505E">
        <w:rPr>
          <w:rFonts w:ascii="Arial" w:hAnsi="Arial" w:cs="Arial"/>
        </w:rPr>
        <w:t>8.Chapter 4: Results</w:t>
      </w:r>
    </w:p>
    <w:p w14:paraId="49A58434" w14:textId="3AFB0C99" w:rsidR="00B75A0D" w:rsidRPr="0090505E" w:rsidRDefault="00B75A0D" w:rsidP="0090505E">
      <w:pPr>
        <w:spacing w:line="360" w:lineRule="auto"/>
        <w:rPr>
          <w:rFonts w:ascii="Arial" w:hAnsi="Arial" w:cs="Arial"/>
        </w:rPr>
      </w:pPr>
      <w:r w:rsidRPr="0090505E">
        <w:rPr>
          <w:rFonts w:ascii="Arial" w:hAnsi="Arial" w:cs="Arial"/>
        </w:rPr>
        <w:t>9.Chapter 5: Discussion</w:t>
      </w:r>
    </w:p>
    <w:p w14:paraId="6DCD9235" w14:textId="4C1F0EE4" w:rsidR="00B75A0D" w:rsidRPr="0090505E" w:rsidRDefault="00B75A0D" w:rsidP="0090505E">
      <w:pPr>
        <w:spacing w:line="360" w:lineRule="auto"/>
        <w:rPr>
          <w:rFonts w:ascii="Arial" w:hAnsi="Arial" w:cs="Arial"/>
        </w:rPr>
      </w:pPr>
      <w:r w:rsidRPr="0090505E">
        <w:rPr>
          <w:rFonts w:ascii="Arial" w:hAnsi="Arial" w:cs="Arial"/>
        </w:rPr>
        <w:t>10.Chapter 6: Conclusion</w:t>
      </w:r>
    </w:p>
    <w:p w14:paraId="026EFADC" w14:textId="5E8B1B57" w:rsidR="00B75A0D" w:rsidRPr="0090505E" w:rsidRDefault="00B75A0D" w:rsidP="0090505E">
      <w:pPr>
        <w:spacing w:line="360" w:lineRule="auto"/>
        <w:rPr>
          <w:rFonts w:ascii="Arial" w:hAnsi="Arial" w:cs="Arial"/>
        </w:rPr>
      </w:pPr>
      <w:r w:rsidRPr="0090505E">
        <w:rPr>
          <w:rFonts w:ascii="Arial" w:hAnsi="Arial" w:cs="Arial"/>
        </w:rPr>
        <w:t>11.References</w:t>
      </w:r>
    </w:p>
    <w:p w14:paraId="769A8A48" w14:textId="19A4C2A2" w:rsidR="00B75A0D" w:rsidRPr="0090505E" w:rsidRDefault="00B75A0D" w:rsidP="0090505E">
      <w:pPr>
        <w:spacing w:line="360" w:lineRule="auto"/>
        <w:rPr>
          <w:rFonts w:ascii="Arial" w:hAnsi="Arial" w:cs="Arial"/>
        </w:rPr>
      </w:pPr>
      <w:r w:rsidRPr="0090505E">
        <w:rPr>
          <w:rFonts w:ascii="Arial" w:hAnsi="Arial" w:cs="Arial"/>
        </w:rPr>
        <w:t xml:space="preserve">12.Appendices </w:t>
      </w:r>
    </w:p>
    <w:p w14:paraId="21B7ED7D" w14:textId="77777777" w:rsidR="00B75A0D" w:rsidRDefault="00B75A0D" w:rsidP="00B75A0D">
      <w:r>
        <w:t xml:space="preserve">           </w:t>
      </w:r>
    </w:p>
    <w:p w14:paraId="281E8C3C" w14:textId="77777777" w:rsidR="00B75A0D" w:rsidRDefault="00B75A0D" w:rsidP="00B75A0D"/>
    <w:p w14:paraId="36F699A3" w14:textId="77777777" w:rsidR="00B75A0D" w:rsidRDefault="00B75A0D" w:rsidP="00B75A0D"/>
    <w:p w14:paraId="2D70D2C4" w14:textId="77777777" w:rsidR="00B75A0D" w:rsidRDefault="00B75A0D" w:rsidP="00B75A0D"/>
    <w:p w14:paraId="5C5266CB" w14:textId="77777777" w:rsidR="00B75A0D" w:rsidRDefault="00B75A0D" w:rsidP="00B75A0D"/>
    <w:p w14:paraId="603E5F6C" w14:textId="77777777" w:rsidR="00B75A0D" w:rsidRDefault="00B75A0D" w:rsidP="00B75A0D"/>
    <w:p w14:paraId="1524400B" w14:textId="77777777" w:rsidR="00B75A0D" w:rsidRPr="0090505E" w:rsidRDefault="00B75A0D" w:rsidP="0090505E">
      <w:pPr>
        <w:spacing w:line="360" w:lineRule="auto"/>
        <w:rPr>
          <w:rFonts w:ascii="Arial" w:hAnsi="Arial" w:cs="Arial"/>
        </w:rPr>
      </w:pPr>
      <w:r w:rsidRPr="0090505E">
        <w:rPr>
          <w:rFonts w:ascii="Arial" w:hAnsi="Arial" w:cs="Arial"/>
        </w:rPr>
        <w:t xml:space="preserve">  Background</w:t>
      </w:r>
    </w:p>
    <w:p w14:paraId="2900DA07" w14:textId="77777777" w:rsidR="00B75A0D" w:rsidRPr="0090505E" w:rsidRDefault="00B75A0D" w:rsidP="0090505E">
      <w:pPr>
        <w:spacing w:line="360" w:lineRule="auto"/>
        <w:rPr>
          <w:rFonts w:ascii="Arial" w:hAnsi="Arial" w:cs="Arial"/>
        </w:rPr>
      </w:pPr>
      <w:r w:rsidRPr="0090505E">
        <w:rPr>
          <w:rFonts w:ascii="Arial" w:hAnsi="Arial" w:cs="Arial"/>
        </w:rPr>
        <w:t xml:space="preserve">The COVID-19 pandemic began in March 2020 and has greatly affected healthcare systems around the world. Healthcare workers (HCWs), such as doctors and nurses, have mainly </w:t>
      </w:r>
      <w:r w:rsidRPr="0090505E">
        <w:rPr>
          <w:rFonts w:ascii="Arial" w:hAnsi="Arial" w:cs="Arial"/>
        </w:rPr>
        <w:lastRenderedPageBreak/>
        <w:t>responded to this crisis. They not only had to treat patients with COVID-19 but also deal with a lot of stress and pressure in their jobs (World Health Organisation, 2020). The pandemic highlighted serious problems in healthcare, such as not having enough personal protective equipment (PPE), staff burnout, and fear of getting infected. The mental health of healthcare workers has become a major concern during this time (Greenberg et al., 2020).</w:t>
      </w:r>
    </w:p>
    <w:p w14:paraId="2EBF3D1D" w14:textId="7CAA36AF" w:rsidR="007E3C93" w:rsidRPr="0090505E" w:rsidRDefault="00B75A0D" w:rsidP="0090505E">
      <w:pPr>
        <w:spacing w:line="360" w:lineRule="auto"/>
        <w:rPr>
          <w:rFonts w:ascii="Arial" w:hAnsi="Arial" w:cs="Arial"/>
        </w:rPr>
      </w:pPr>
      <w:r w:rsidRPr="0090505E">
        <w:rPr>
          <w:rFonts w:ascii="Arial" w:hAnsi="Arial" w:cs="Arial"/>
        </w:rPr>
        <w:t xml:space="preserve">    Chapter 1: Introduction</w:t>
      </w:r>
    </w:p>
    <w:p w14:paraId="45C88903" w14:textId="77777777" w:rsidR="00B75A0D" w:rsidRPr="0090505E" w:rsidRDefault="00B75A0D" w:rsidP="0090505E">
      <w:pPr>
        <w:spacing w:before="100" w:beforeAutospacing="1" w:after="100" w:afterAutospacing="1" w:line="360" w:lineRule="auto"/>
        <w:outlineLvl w:val="2"/>
        <w:rPr>
          <w:rFonts w:ascii="Arial" w:eastAsia="Times New Roman" w:hAnsi="Arial" w:cs="Arial"/>
          <w:b/>
          <w:bCs/>
          <w:lang w:eastAsia="en-GB"/>
        </w:rPr>
      </w:pPr>
      <w:r w:rsidRPr="0090505E">
        <w:rPr>
          <w:rFonts w:ascii="Arial" w:eastAsia="Times New Roman" w:hAnsi="Arial" w:cs="Arial"/>
          <w:b/>
          <w:bCs/>
          <w:lang w:eastAsia="en-GB"/>
        </w:rPr>
        <w:t>1.1 Introduction</w:t>
      </w:r>
    </w:p>
    <w:p w14:paraId="393D2376"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The COVID-19 pandemic has profoundly affected global health systems, with healthcare workers (HCWs) facing exceptional physical and psychological challenges. These frontline professionals have provided care to patients under intense pressure, often working long hours with limited resources while facing a high risk of infection (Lai et al., 2020; Spoorthy et al., 2020).</w:t>
      </w:r>
    </w:p>
    <w:p w14:paraId="79864ADE"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Consequently, many HCWs have experienced increased levels of stress, anxiety, depression, and burnout (Zhang et al., 2020; Greenberg et al., 2020). Understanding the psychological effects of the pandemic on healthcare staff is essential to developing stronger support systems for future crises. This chapter outlines the research background, key definitions, rationale, aims, objectives, and research questions guiding this dissertation.</w:t>
      </w:r>
    </w:p>
    <w:p w14:paraId="2FF32128" w14:textId="77777777" w:rsidR="00B75A0D" w:rsidRPr="0090505E" w:rsidRDefault="00000000" w:rsidP="0090505E">
      <w:pPr>
        <w:spacing w:after="0" w:line="360" w:lineRule="auto"/>
        <w:rPr>
          <w:rFonts w:ascii="Arial" w:eastAsia="Times New Roman" w:hAnsi="Arial" w:cs="Arial"/>
          <w:lang w:eastAsia="en-GB"/>
        </w:rPr>
      </w:pPr>
      <w:r w:rsidRPr="0090505E">
        <w:rPr>
          <w:rFonts w:ascii="Arial" w:eastAsia="Times New Roman" w:hAnsi="Arial" w:cs="Arial"/>
          <w:lang w:eastAsia="en-GB"/>
        </w:rPr>
        <w:pict w14:anchorId="06F6B042">
          <v:rect id="_x0000_i1025" style="width:0;height:1.5pt" o:hralign="center" o:hrstd="t" o:hr="t" fillcolor="#a0a0a0" stroked="f"/>
        </w:pict>
      </w:r>
    </w:p>
    <w:p w14:paraId="1D4BD4C6" w14:textId="77777777" w:rsidR="00B75A0D" w:rsidRPr="0090505E" w:rsidRDefault="00B75A0D" w:rsidP="0090505E">
      <w:pPr>
        <w:spacing w:before="100" w:beforeAutospacing="1" w:after="100" w:afterAutospacing="1" w:line="360" w:lineRule="auto"/>
        <w:outlineLvl w:val="2"/>
        <w:rPr>
          <w:rFonts w:ascii="Arial" w:eastAsia="Times New Roman" w:hAnsi="Arial" w:cs="Arial"/>
          <w:b/>
          <w:bCs/>
          <w:lang w:eastAsia="en-GB"/>
        </w:rPr>
      </w:pPr>
      <w:r w:rsidRPr="0090505E">
        <w:rPr>
          <w:rFonts w:ascii="Arial" w:eastAsia="Times New Roman" w:hAnsi="Arial" w:cs="Arial"/>
          <w:b/>
          <w:bCs/>
          <w:lang w:eastAsia="en-GB"/>
        </w:rPr>
        <w:t>1.2 Definitions and Terminology</w:t>
      </w:r>
    </w:p>
    <w:p w14:paraId="012E7039"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To ensure conceptual clarity, the following key terms are defined for this study:</w:t>
      </w:r>
    </w:p>
    <w:p w14:paraId="6D93E856" w14:textId="59B8BE10" w:rsidR="00B75A0D" w:rsidRPr="0090505E" w:rsidRDefault="00B75A0D" w:rsidP="0090505E">
      <w:pPr>
        <w:numPr>
          <w:ilvl w:val="0"/>
          <w:numId w:val="1"/>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b/>
          <w:bCs/>
          <w:lang w:eastAsia="en-GB"/>
        </w:rPr>
        <w:t>Mental Health:</w:t>
      </w:r>
      <w:r w:rsidRPr="0090505E">
        <w:rPr>
          <w:rFonts w:ascii="Arial" w:eastAsia="Times New Roman" w:hAnsi="Arial" w:cs="Arial"/>
          <w:lang w:eastAsia="en-GB"/>
        </w:rPr>
        <w:t xml:space="preserve"> The World Health Organisation (WHO, 2022) defines mental health as “a state of mental well-being that enables people to cope with the stresses of life, realize their abilities, learn well and work well, and contribute to their community.”</w:t>
      </w:r>
    </w:p>
    <w:p w14:paraId="5E451CD5" w14:textId="77777777" w:rsidR="00B75A0D" w:rsidRPr="0090505E" w:rsidRDefault="00B75A0D" w:rsidP="0090505E">
      <w:pPr>
        <w:numPr>
          <w:ilvl w:val="0"/>
          <w:numId w:val="1"/>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b/>
          <w:bCs/>
          <w:lang w:eastAsia="en-GB"/>
        </w:rPr>
        <w:t>Coping Mechanisms:</w:t>
      </w:r>
      <w:r w:rsidRPr="0090505E">
        <w:rPr>
          <w:rFonts w:ascii="Arial" w:eastAsia="Times New Roman" w:hAnsi="Arial" w:cs="Arial"/>
          <w:lang w:eastAsia="en-GB"/>
        </w:rPr>
        <w:t xml:space="preserve"> The National Health Service (NHS, 2023) describes coping mechanisms as “the thoughts and behaviours used to manage the internal and external demands of stressful situations.” Examples include seeking social support, mindfulness, and problem-solving.</w:t>
      </w:r>
    </w:p>
    <w:p w14:paraId="1C700AD9" w14:textId="77777777" w:rsidR="00B75A0D" w:rsidRPr="0090505E" w:rsidRDefault="00B75A0D" w:rsidP="0090505E">
      <w:pPr>
        <w:numPr>
          <w:ilvl w:val="0"/>
          <w:numId w:val="1"/>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b/>
          <w:bCs/>
          <w:lang w:eastAsia="en-GB"/>
        </w:rPr>
        <w:t>Healthcare Worker (HCW):</w:t>
      </w:r>
      <w:r w:rsidRPr="0090505E">
        <w:rPr>
          <w:rFonts w:ascii="Arial" w:eastAsia="Times New Roman" w:hAnsi="Arial" w:cs="Arial"/>
          <w:lang w:eastAsia="en-GB"/>
        </w:rPr>
        <w:t xml:space="preserve"> According to the WHO (2020), healthcare workers are “all people engaged in actions whose primary intent is to enhance health,” including doctors, nurses, and allied health professionals.</w:t>
      </w:r>
    </w:p>
    <w:p w14:paraId="115CD6CA"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lastRenderedPageBreak/>
        <w:t>These definitions form the foundation for exploring the mental health experiences and coping responses of HCWs during the COVID-19 pandemic.</w:t>
      </w:r>
    </w:p>
    <w:p w14:paraId="31A8C073" w14:textId="77777777" w:rsidR="00B75A0D" w:rsidRPr="0090505E" w:rsidRDefault="00000000" w:rsidP="0090505E">
      <w:pPr>
        <w:spacing w:after="0" w:line="360" w:lineRule="auto"/>
        <w:rPr>
          <w:rFonts w:ascii="Arial" w:eastAsia="Times New Roman" w:hAnsi="Arial" w:cs="Arial"/>
          <w:lang w:eastAsia="en-GB"/>
        </w:rPr>
      </w:pPr>
      <w:r w:rsidRPr="0090505E">
        <w:rPr>
          <w:rFonts w:ascii="Arial" w:eastAsia="Times New Roman" w:hAnsi="Arial" w:cs="Arial"/>
          <w:lang w:eastAsia="en-GB"/>
        </w:rPr>
        <w:pict w14:anchorId="40D4964A">
          <v:rect id="_x0000_i1026" style="width:0;height:1.5pt" o:hralign="center" o:hrstd="t" o:hr="t" fillcolor="#a0a0a0" stroked="f"/>
        </w:pict>
      </w:r>
    </w:p>
    <w:p w14:paraId="31EBD70B" w14:textId="77777777" w:rsidR="00B75A0D" w:rsidRPr="0090505E" w:rsidRDefault="00B75A0D" w:rsidP="0090505E">
      <w:pPr>
        <w:spacing w:before="100" w:beforeAutospacing="1" w:after="100" w:afterAutospacing="1" w:line="360" w:lineRule="auto"/>
        <w:outlineLvl w:val="2"/>
        <w:rPr>
          <w:rFonts w:ascii="Arial" w:eastAsia="Times New Roman" w:hAnsi="Arial" w:cs="Arial"/>
          <w:b/>
          <w:bCs/>
          <w:lang w:eastAsia="en-GB"/>
        </w:rPr>
      </w:pPr>
      <w:r w:rsidRPr="0090505E">
        <w:rPr>
          <w:rFonts w:ascii="Arial" w:eastAsia="Times New Roman" w:hAnsi="Arial" w:cs="Arial"/>
          <w:b/>
          <w:bCs/>
          <w:lang w:eastAsia="en-GB"/>
        </w:rPr>
        <w:t>1.3 Rationale for Research</w:t>
      </w:r>
    </w:p>
    <w:p w14:paraId="3FA57D9D"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Healthcare workers are at particular risk of mental health difficulties due to the emotional and physical demands of their roles, which were exacerbated during the COVID-19 pandemic (Cabarkapa et al., 2020). The crisis intensified existing pressures, leading to higher rates of anxiety, depression, and burnout (Lai et al., 2020).</w:t>
      </w:r>
    </w:p>
    <w:p w14:paraId="4AD0C7DA"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Studying these effects is important for several reasons:</w:t>
      </w:r>
    </w:p>
    <w:p w14:paraId="468FCB8A" w14:textId="77777777" w:rsidR="00B75A0D" w:rsidRPr="0090505E" w:rsidRDefault="00B75A0D" w:rsidP="0090505E">
      <w:pPr>
        <w:numPr>
          <w:ilvl w:val="0"/>
          <w:numId w:val="2"/>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b/>
          <w:bCs/>
          <w:lang w:eastAsia="en-GB"/>
        </w:rPr>
        <w:t>Workforce sustainability:</w:t>
      </w:r>
      <w:r w:rsidRPr="0090505E">
        <w:rPr>
          <w:rFonts w:ascii="Arial" w:eastAsia="Times New Roman" w:hAnsi="Arial" w:cs="Arial"/>
          <w:lang w:eastAsia="en-GB"/>
        </w:rPr>
        <w:t xml:space="preserve"> Supporting mental health reduces burnout and improves staff retention.</w:t>
      </w:r>
    </w:p>
    <w:p w14:paraId="158042B4" w14:textId="77777777" w:rsidR="00B75A0D" w:rsidRPr="0090505E" w:rsidRDefault="00B75A0D" w:rsidP="0090505E">
      <w:pPr>
        <w:numPr>
          <w:ilvl w:val="0"/>
          <w:numId w:val="2"/>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b/>
          <w:bCs/>
          <w:lang w:eastAsia="en-GB"/>
        </w:rPr>
        <w:t>Quality of patient care:</w:t>
      </w:r>
      <w:r w:rsidRPr="0090505E">
        <w:rPr>
          <w:rFonts w:ascii="Arial" w:eastAsia="Times New Roman" w:hAnsi="Arial" w:cs="Arial"/>
          <w:lang w:eastAsia="en-GB"/>
        </w:rPr>
        <w:t xml:space="preserve"> Mentally healthy workers are better able to provide safe, effective care (Greenberg et al., 2020).</w:t>
      </w:r>
    </w:p>
    <w:p w14:paraId="748BB77F" w14:textId="77777777" w:rsidR="00B75A0D" w:rsidRPr="0090505E" w:rsidRDefault="00B75A0D" w:rsidP="0090505E">
      <w:pPr>
        <w:numPr>
          <w:ilvl w:val="0"/>
          <w:numId w:val="2"/>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b/>
          <w:bCs/>
          <w:lang w:eastAsia="en-GB"/>
        </w:rPr>
        <w:t>Future preparedness:</w:t>
      </w:r>
      <w:r w:rsidRPr="0090505E">
        <w:rPr>
          <w:rFonts w:ascii="Arial" w:eastAsia="Times New Roman" w:hAnsi="Arial" w:cs="Arial"/>
          <w:lang w:eastAsia="en-GB"/>
        </w:rPr>
        <w:t xml:space="preserve"> Understanding coping mechanisms and institutional responses can inform future mental health programmes and crisis policies (Shaukat et al., 2020).</w:t>
      </w:r>
    </w:p>
    <w:p w14:paraId="685E4AE7" w14:textId="3D3CED48"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This research therefore contributes both to the academic understanding of HCW well-being and to the development of practical improvements within healthcare systems.</w:t>
      </w:r>
    </w:p>
    <w:p w14:paraId="046C7AF4" w14:textId="77777777" w:rsidR="00B75A0D" w:rsidRPr="0090505E" w:rsidRDefault="00B75A0D" w:rsidP="0090505E">
      <w:pPr>
        <w:spacing w:before="100" w:beforeAutospacing="1" w:after="100" w:afterAutospacing="1" w:line="360" w:lineRule="auto"/>
        <w:outlineLvl w:val="2"/>
        <w:rPr>
          <w:rFonts w:ascii="Arial" w:eastAsia="Times New Roman" w:hAnsi="Arial" w:cs="Arial"/>
          <w:b/>
          <w:bCs/>
          <w:lang w:eastAsia="en-GB"/>
        </w:rPr>
      </w:pPr>
      <w:r w:rsidRPr="0090505E">
        <w:rPr>
          <w:rFonts w:ascii="Arial" w:eastAsia="Times New Roman" w:hAnsi="Arial" w:cs="Arial"/>
          <w:b/>
          <w:bCs/>
          <w:lang w:eastAsia="en-GB"/>
        </w:rPr>
        <w:t>1.4 Aim and Objectives</w:t>
      </w:r>
    </w:p>
    <w:p w14:paraId="50B59FDB" w14:textId="77777777" w:rsidR="00B75A0D" w:rsidRPr="0090505E" w:rsidRDefault="00B75A0D" w:rsidP="0090505E">
      <w:pPr>
        <w:spacing w:before="100" w:beforeAutospacing="1" w:after="100" w:afterAutospacing="1" w:line="360" w:lineRule="auto"/>
        <w:outlineLvl w:val="3"/>
        <w:rPr>
          <w:rFonts w:ascii="Arial" w:eastAsia="Times New Roman" w:hAnsi="Arial" w:cs="Arial"/>
          <w:b/>
          <w:bCs/>
          <w:lang w:eastAsia="en-GB"/>
        </w:rPr>
      </w:pPr>
      <w:r w:rsidRPr="0090505E">
        <w:rPr>
          <w:rFonts w:ascii="Arial" w:eastAsia="Times New Roman" w:hAnsi="Arial" w:cs="Arial"/>
          <w:b/>
          <w:bCs/>
          <w:lang w:eastAsia="en-GB"/>
        </w:rPr>
        <w:t>Aim</w:t>
      </w:r>
    </w:p>
    <w:p w14:paraId="62C27DC2"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To investigate the effects of the COVID-19 pandemic on the mental health and coping mechanisms of healthcare workers, evaluating existing literature and offering recommendations for improved institutional support systems.</w:t>
      </w:r>
    </w:p>
    <w:p w14:paraId="5A5F5637" w14:textId="77777777" w:rsidR="00B75A0D" w:rsidRPr="0090505E" w:rsidRDefault="00B75A0D" w:rsidP="0090505E">
      <w:pPr>
        <w:spacing w:before="100" w:beforeAutospacing="1" w:after="100" w:afterAutospacing="1" w:line="360" w:lineRule="auto"/>
        <w:outlineLvl w:val="3"/>
        <w:rPr>
          <w:rFonts w:ascii="Arial" w:eastAsia="Times New Roman" w:hAnsi="Arial" w:cs="Arial"/>
          <w:b/>
          <w:bCs/>
          <w:lang w:eastAsia="en-GB"/>
        </w:rPr>
      </w:pPr>
      <w:r w:rsidRPr="0090505E">
        <w:rPr>
          <w:rFonts w:ascii="Arial" w:eastAsia="Times New Roman" w:hAnsi="Arial" w:cs="Arial"/>
          <w:b/>
          <w:bCs/>
          <w:lang w:eastAsia="en-GB"/>
        </w:rPr>
        <w:t>Objectives</w:t>
      </w:r>
    </w:p>
    <w:p w14:paraId="167B548C" w14:textId="77777777" w:rsidR="00B75A0D" w:rsidRPr="0090505E" w:rsidRDefault="00B75A0D" w:rsidP="0090505E">
      <w:pPr>
        <w:numPr>
          <w:ilvl w:val="0"/>
          <w:numId w:val="3"/>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To explore the specific mental health issues (e.g., anxiety, depression, burnout) and coping mechanisms (e.g., resilience, social support) experienced by healthcare workers during the pandemic.</w:t>
      </w:r>
    </w:p>
    <w:p w14:paraId="14674D2A" w14:textId="77777777" w:rsidR="00B75A0D" w:rsidRPr="0090505E" w:rsidRDefault="00B75A0D" w:rsidP="0090505E">
      <w:pPr>
        <w:numPr>
          <w:ilvl w:val="0"/>
          <w:numId w:val="3"/>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lastRenderedPageBreak/>
        <w:t>To conduct a systematic review of existing studies to identify recurring themes, methodologies, and findings related to HCWs’ mental health challenges during COVID-19.</w:t>
      </w:r>
    </w:p>
    <w:p w14:paraId="5A07F09D" w14:textId="77777777" w:rsidR="00B75A0D" w:rsidRPr="0090505E" w:rsidRDefault="00B75A0D" w:rsidP="0090505E">
      <w:pPr>
        <w:numPr>
          <w:ilvl w:val="0"/>
          <w:numId w:val="3"/>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To assess key outcomes and trends from the literature, determining the effectiveness of coping strategies used by healthcare professionals.</w:t>
      </w:r>
    </w:p>
    <w:p w14:paraId="7DA6A540" w14:textId="77777777" w:rsidR="00B75A0D" w:rsidRPr="0090505E" w:rsidRDefault="00B75A0D" w:rsidP="0090505E">
      <w:pPr>
        <w:numPr>
          <w:ilvl w:val="0"/>
          <w:numId w:val="3"/>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To propose actionable recommendations for healthcare institutions, policymakers, and governments to improve mental health support for HCWs in future crises.</w:t>
      </w:r>
    </w:p>
    <w:p w14:paraId="7D1E8FDE" w14:textId="77777777" w:rsidR="00B75A0D" w:rsidRPr="0090505E" w:rsidRDefault="00B75A0D" w:rsidP="0090505E">
      <w:pPr>
        <w:spacing w:before="100" w:beforeAutospacing="1" w:after="100" w:afterAutospacing="1" w:line="360" w:lineRule="auto"/>
        <w:outlineLvl w:val="3"/>
        <w:rPr>
          <w:rFonts w:ascii="Arial" w:eastAsia="Times New Roman" w:hAnsi="Arial" w:cs="Arial"/>
          <w:b/>
          <w:bCs/>
          <w:lang w:eastAsia="en-GB"/>
        </w:rPr>
      </w:pPr>
      <w:r w:rsidRPr="0090505E">
        <w:rPr>
          <w:rFonts w:ascii="Arial" w:eastAsia="Times New Roman" w:hAnsi="Arial" w:cs="Arial"/>
          <w:b/>
          <w:bCs/>
          <w:lang w:eastAsia="en-GB"/>
        </w:rPr>
        <w:t>Research Questions</w:t>
      </w:r>
    </w:p>
    <w:p w14:paraId="18822F29" w14:textId="77777777" w:rsidR="00B75A0D" w:rsidRPr="0090505E" w:rsidRDefault="00B75A0D" w:rsidP="0090505E">
      <w:pPr>
        <w:numPr>
          <w:ilvl w:val="0"/>
          <w:numId w:val="4"/>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What mental health challenges did healthcare workers face during the COVID-19 pandemic?</w:t>
      </w:r>
    </w:p>
    <w:p w14:paraId="555806F1" w14:textId="77777777" w:rsidR="00B75A0D" w:rsidRPr="0090505E" w:rsidRDefault="00B75A0D" w:rsidP="0090505E">
      <w:pPr>
        <w:numPr>
          <w:ilvl w:val="0"/>
          <w:numId w:val="4"/>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What coping strategies did healthcare workers use during the pandemic?</w:t>
      </w:r>
    </w:p>
    <w:p w14:paraId="2D0F3D98" w14:textId="77777777" w:rsidR="00B75A0D" w:rsidRPr="0090505E" w:rsidRDefault="00B75A0D" w:rsidP="0090505E">
      <w:pPr>
        <w:numPr>
          <w:ilvl w:val="0"/>
          <w:numId w:val="4"/>
        </w:num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How effective were institutional support systems in addressing the mental health needs of healthcare workers?</w:t>
      </w:r>
    </w:p>
    <w:p w14:paraId="3CBAB53A" w14:textId="62EF232F" w:rsidR="00B75A0D" w:rsidRPr="0090505E" w:rsidRDefault="00B75A0D" w:rsidP="0090505E">
      <w:pPr>
        <w:spacing w:after="0" w:line="360" w:lineRule="auto"/>
        <w:rPr>
          <w:rFonts w:ascii="Arial" w:eastAsia="Times New Roman" w:hAnsi="Arial" w:cs="Arial"/>
          <w:lang w:eastAsia="en-GB"/>
        </w:rPr>
      </w:pPr>
    </w:p>
    <w:p w14:paraId="61C75712" w14:textId="77777777" w:rsidR="00B75A0D" w:rsidRPr="0090505E" w:rsidRDefault="00B75A0D" w:rsidP="0090505E">
      <w:pPr>
        <w:spacing w:before="100" w:beforeAutospacing="1" w:after="100" w:afterAutospacing="1" w:line="360" w:lineRule="auto"/>
        <w:outlineLvl w:val="2"/>
        <w:rPr>
          <w:rFonts w:ascii="Arial" w:eastAsia="Times New Roman" w:hAnsi="Arial" w:cs="Arial"/>
          <w:b/>
          <w:bCs/>
          <w:lang w:eastAsia="en-GB"/>
        </w:rPr>
      </w:pPr>
      <w:r w:rsidRPr="0090505E">
        <w:rPr>
          <w:rFonts w:ascii="Arial" w:eastAsia="Times New Roman" w:hAnsi="Arial" w:cs="Arial"/>
          <w:b/>
          <w:bCs/>
          <w:lang w:eastAsia="en-GB"/>
        </w:rPr>
        <w:t>1.5 Conclusion</w:t>
      </w:r>
    </w:p>
    <w:p w14:paraId="3764480C" w14:textId="77777777" w:rsidR="00B75A0D" w:rsidRPr="0090505E" w:rsidRDefault="00B75A0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This chapter introduced the research topic by outlining the context of the COVID-19 pandemic and its impact on the mental health of healthcare workers. Key terms were defined, and the rationale, aims, and research questions were presented. The chapter established the importance of understanding both individual coping strategies and institutional support mechanisms for maintaining healthcare workforce resilience.</w:t>
      </w:r>
    </w:p>
    <w:p w14:paraId="34F12E78" w14:textId="555BAB13" w:rsidR="0036699D" w:rsidRPr="0090505E" w:rsidRDefault="0036699D" w:rsidP="0090505E">
      <w:pPr>
        <w:spacing w:before="100" w:beforeAutospacing="1" w:after="100" w:afterAutospacing="1" w:line="360" w:lineRule="auto"/>
        <w:rPr>
          <w:rFonts w:ascii="Arial" w:eastAsia="Times New Roman" w:hAnsi="Arial" w:cs="Arial"/>
          <w:lang w:eastAsia="en-GB"/>
        </w:rPr>
      </w:pPr>
      <w:r w:rsidRPr="0090505E">
        <w:rPr>
          <w:rFonts w:ascii="Arial" w:eastAsia="Times New Roman" w:hAnsi="Arial" w:cs="Arial"/>
          <w:lang w:eastAsia="en-GB"/>
        </w:rPr>
        <w:t>Chapter 2 will provide a comprehensive review of the existing literature, examining the mental health challenges faced by healthcare workers during the COVID-19 pandemic and evaluating the coping mechanisms identified across different healthcare contexts.</w:t>
      </w:r>
    </w:p>
    <w:p w14:paraId="19922B91" w14:textId="77777777" w:rsidR="0036699D" w:rsidRPr="0090505E" w:rsidRDefault="0036699D" w:rsidP="0090505E">
      <w:pPr>
        <w:spacing w:before="100" w:beforeAutospacing="1" w:after="100" w:afterAutospacing="1" w:line="360" w:lineRule="auto"/>
        <w:rPr>
          <w:rFonts w:ascii="Arial" w:eastAsia="Times New Roman" w:hAnsi="Arial" w:cs="Arial"/>
          <w:lang w:eastAsia="en-GB"/>
        </w:rPr>
      </w:pPr>
    </w:p>
    <w:p w14:paraId="15A01A63" w14:textId="77777777" w:rsidR="001259DB" w:rsidRPr="001259DB" w:rsidRDefault="001259DB" w:rsidP="0090505E">
      <w:pPr>
        <w:spacing w:before="100" w:beforeAutospacing="1" w:after="100" w:afterAutospacing="1" w:line="360" w:lineRule="auto"/>
        <w:outlineLvl w:val="0"/>
        <w:rPr>
          <w:rFonts w:ascii="Arial" w:eastAsia="Times New Roman" w:hAnsi="Arial" w:cs="Arial"/>
          <w:b/>
          <w:bCs/>
          <w:kern w:val="36"/>
          <w:lang w:eastAsia="en-GB"/>
        </w:rPr>
      </w:pPr>
      <w:r w:rsidRPr="001259DB">
        <w:rPr>
          <w:rFonts w:ascii="Arial" w:eastAsia="Times New Roman" w:hAnsi="Arial" w:cs="Arial"/>
          <w:b/>
          <w:bCs/>
          <w:kern w:val="36"/>
          <w:lang w:eastAsia="en-GB"/>
        </w:rPr>
        <w:t>Chapter 2: Literature Review – The Psychological Impact of Pandemics on Healthcare Workers</w:t>
      </w:r>
    </w:p>
    <w:p w14:paraId="3A210029" w14:textId="227CEEC7" w:rsidR="001259DB" w:rsidRPr="001259DB" w:rsidRDefault="001259DB" w:rsidP="0090505E">
      <w:pPr>
        <w:spacing w:after="0" w:line="360" w:lineRule="auto"/>
        <w:rPr>
          <w:rFonts w:ascii="Arial" w:eastAsia="Times New Roman" w:hAnsi="Arial" w:cs="Arial"/>
          <w:lang w:eastAsia="en-GB"/>
        </w:rPr>
      </w:pPr>
    </w:p>
    <w:p w14:paraId="1F100794" w14:textId="77777777" w:rsidR="001259DB" w:rsidRPr="001259DB" w:rsidRDefault="001259DB" w:rsidP="0090505E">
      <w:pPr>
        <w:spacing w:before="100" w:beforeAutospacing="1" w:after="100" w:afterAutospacing="1" w:line="360" w:lineRule="auto"/>
        <w:outlineLvl w:val="2"/>
        <w:rPr>
          <w:rFonts w:ascii="Arial" w:eastAsia="Times New Roman" w:hAnsi="Arial" w:cs="Arial"/>
          <w:b/>
          <w:bCs/>
          <w:lang w:eastAsia="en-GB"/>
        </w:rPr>
      </w:pPr>
      <w:r w:rsidRPr="001259DB">
        <w:rPr>
          <w:rFonts w:ascii="Arial" w:eastAsia="Times New Roman" w:hAnsi="Arial" w:cs="Arial"/>
          <w:b/>
          <w:bCs/>
          <w:lang w:eastAsia="en-GB"/>
        </w:rPr>
        <w:t>2.1 Introduction</w:t>
      </w:r>
    </w:p>
    <w:p w14:paraId="44FF74B5"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lastRenderedPageBreak/>
        <w:t>The COVID-19 pandemic has had a major impact on healthcare systems around the world. It affected not only how care was delivered but also the mental health of those providing it. Doctors, nurses, paramedics, and support staff faced long working hours, high death rates, moral challenges, and the risk of infection. These pressures led to an increase in mental health problems such as anxiety, depression, post-traumatic stress disorder (PTSD), and burnout.</w:t>
      </w:r>
    </w:p>
    <w:p w14:paraId="172D2996"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Understanding how pandemics affect healthcare workers’ mental health is essential for both individual well-being and the effective running of healthcare services. Psychological stress can lead to poor decision-making, low motivation, and staff leaving the profession.</w:t>
      </w:r>
    </w:p>
    <w:p w14:paraId="3AA10D33"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This chapter reviews existing research on how pandemics, especially COVID-19, have affected healthcare workers. It looks at psychological effects, lessons from past outbreaks, the main causes of distress, coping strategies, and the role of institutional support. The aim is to identify key themes and gaps in knowledge to guide the next stages of this research.</w:t>
      </w:r>
    </w:p>
    <w:p w14:paraId="4F842FB9" w14:textId="1BE45AD2" w:rsidR="001259DB" w:rsidRPr="001259DB" w:rsidRDefault="001259DB" w:rsidP="0090505E">
      <w:pPr>
        <w:spacing w:after="0" w:line="360" w:lineRule="auto"/>
        <w:rPr>
          <w:rFonts w:ascii="Arial" w:eastAsia="Times New Roman" w:hAnsi="Arial" w:cs="Arial"/>
          <w:lang w:eastAsia="en-GB"/>
        </w:rPr>
      </w:pPr>
    </w:p>
    <w:p w14:paraId="1D27B004" w14:textId="77777777" w:rsidR="001259DB" w:rsidRPr="001259DB" w:rsidRDefault="001259DB" w:rsidP="0090505E">
      <w:pPr>
        <w:spacing w:before="100" w:beforeAutospacing="1" w:after="100" w:afterAutospacing="1" w:line="360" w:lineRule="auto"/>
        <w:outlineLvl w:val="2"/>
        <w:rPr>
          <w:rFonts w:ascii="Arial" w:eastAsia="Times New Roman" w:hAnsi="Arial" w:cs="Arial"/>
          <w:b/>
          <w:bCs/>
          <w:lang w:eastAsia="en-GB"/>
        </w:rPr>
      </w:pPr>
      <w:r w:rsidRPr="001259DB">
        <w:rPr>
          <w:rFonts w:ascii="Arial" w:eastAsia="Times New Roman" w:hAnsi="Arial" w:cs="Arial"/>
          <w:b/>
          <w:bCs/>
          <w:lang w:eastAsia="en-GB"/>
        </w:rPr>
        <w:t>2.2 Historical Background</w:t>
      </w:r>
    </w:p>
    <w:p w14:paraId="16983AD5"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Mental health problems among healthcare workers during pandemics are not new. Evidence from earlier outbreaks, such as the 2003 SARS and 2009 H1N1 pandemics, shows similar patterns. Maunder et al. (2006) found that 29% of hospital staff in Toronto had symptoms of PTSD after the SARS outbreak, including fear, insomnia, and withdrawal. During H1N1, Goulia et al. (2010) also reported high levels of anxiety linked to unclear information and fear of infection.</w:t>
      </w:r>
    </w:p>
    <w:p w14:paraId="6915CBC0"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The COVID-19 pandemic, however, caused much greater psychological strain due to its global scale and long duration. In China, Lai et al. (2020) found that more than half of healthcare workers showed signs of depression and anxiety. Similar results were reported in Italy (Rossi et al., 2020), the United States (Shechter et al., 2020), and Pakistan (Shaukat, Ali and Razzak, 2020).</w:t>
      </w:r>
    </w:p>
    <w:p w14:paraId="043684CE"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Across studies, common causes of stress included fear of infection, lack of protective equipment, exposure to patient deaths, moral dilemmas, and long working hours. Wu et al. (2009) showed that these effects can last for more than a year after a pandemic. These findings highlight the need for long-term mental health support for healthcare workers.</w:t>
      </w:r>
    </w:p>
    <w:p w14:paraId="3A919692" w14:textId="695C7AEA" w:rsidR="001259DB" w:rsidRPr="001259DB" w:rsidRDefault="001259DB" w:rsidP="0090505E">
      <w:pPr>
        <w:spacing w:after="0" w:line="360" w:lineRule="auto"/>
        <w:rPr>
          <w:rFonts w:ascii="Arial" w:eastAsia="Times New Roman" w:hAnsi="Arial" w:cs="Arial"/>
          <w:lang w:eastAsia="en-GB"/>
        </w:rPr>
      </w:pPr>
    </w:p>
    <w:p w14:paraId="7E4A40AB" w14:textId="77777777" w:rsidR="001259DB" w:rsidRPr="001259DB" w:rsidRDefault="001259DB" w:rsidP="0090505E">
      <w:pPr>
        <w:spacing w:before="100" w:beforeAutospacing="1" w:after="100" w:afterAutospacing="1" w:line="360" w:lineRule="auto"/>
        <w:outlineLvl w:val="2"/>
        <w:rPr>
          <w:rFonts w:ascii="Arial" w:eastAsia="Times New Roman" w:hAnsi="Arial" w:cs="Arial"/>
          <w:b/>
          <w:bCs/>
          <w:lang w:eastAsia="en-GB"/>
        </w:rPr>
      </w:pPr>
      <w:r w:rsidRPr="001259DB">
        <w:rPr>
          <w:rFonts w:ascii="Arial" w:eastAsia="Times New Roman" w:hAnsi="Arial" w:cs="Arial"/>
          <w:b/>
          <w:bCs/>
          <w:lang w:eastAsia="en-GB"/>
        </w:rPr>
        <w:lastRenderedPageBreak/>
        <w:t>2.3 Theoretical Background</w:t>
      </w:r>
    </w:p>
    <w:p w14:paraId="019FD3F7" w14:textId="77777777" w:rsidR="001259DB" w:rsidRPr="001259DB" w:rsidRDefault="001259DB" w:rsidP="0090505E">
      <w:pPr>
        <w:spacing w:before="100" w:beforeAutospacing="1" w:after="100" w:afterAutospacing="1" w:line="360" w:lineRule="auto"/>
        <w:outlineLvl w:val="3"/>
        <w:rPr>
          <w:rFonts w:ascii="Arial" w:eastAsia="Times New Roman" w:hAnsi="Arial" w:cs="Arial"/>
          <w:b/>
          <w:bCs/>
          <w:lang w:eastAsia="en-GB"/>
        </w:rPr>
      </w:pPr>
      <w:r w:rsidRPr="001259DB">
        <w:rPr>
          <w:rFonts w:ascii="Arial" w:eastAsia="Times New Roman" w:hAnsi="Arial" w:cs="Arial"/>
          <w:b/>
          <w:bCs/>
          <w:lang w:eastAsia="en-GB"/>
        </w:rPr>
        <w:t>Key Theories</w:t>
      </w:r>
    </w:p>
    <w:p w14:paraId="6B93574F" w14:textId="77777777" w:rsidR="001259DB" w:rsidRPr="001259DB" w:rsidRDefault="001259DB" w:rsidP="0090505E">
      <w:pPr>
        <w:numPr>
          <w:ilvl w:val="0"/>
          <w:numId w:val="5"/>
        </w:num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b/>
          <w:bCs/>
          <w:lang w:eastAsia="en-GB"/>
        </w:rPr>
        <w:t>Stress and Coping Theory (Lazarus and Folkman, 1984)</w:t>
      </w:r>
      <w:r w:rsidRPr="001259DB">
        <w:rPr>
          <w:rFonts w:ascii="Arial" w:eastAsia="Times New Roman" w:hAnsi="Arial" w:cs="Arial"/>
          <w:lang w:eastAsia="en-GB"/>
        </w:rPr>
        <w:br/>
        <w:t>Stress occurs when people feel that demands exceed their ability to cope. They may respond by tackling the problem (problem-focused coping) or by managing their feelings (emotion-focused coping).</w:t>
      </w:r>
    </w:p>
    <w:p w14:paraId="0E8974D4" w14:textId="77777777" w:rsidR="001259DB" w:rsidRPr="001259DB" w:rsidRDefault="001259DB" w:rsidP="0090505E">
      <w:pPr>
        <w:numPr>
          <w:ilvl w:val="0"/>
          <w:numId w:val="5"/>
        </w:num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b/>
          <w:bCs/>
          <w:lang w:eastAsia="en-GB"/>
        </w:rPr>
        <w:t>Conservation of Resources Theory (Hobfoll, 1989)</w:t>
      </w:r>
      <w:r w:rsidRPr="001259DB">
        <w:rPr>
          <w:rFonts w:ascii="Arial" w:eastAsia="Times New Roman" w:hAnsi="Arial" w:cs="Arial"/>
          <w:lang w:eastAsia="en-GB"/>
        </w:rPr>
        <w:br/>
        <w:t>People try to protect and build personal resources such as time, energy, and social support. Stress arises when these resources are threatened or lost.</w:t>
      </w:r>
    </w:p>
    <w:p w14:paraId="4A53A316" w14:textId="77777777" w:rsidR="001259DB" w:rsidRPr="001259DB" w:rsidRDefault="001259DB" w:rsidP="0090505E">
      <w:pPr>
        <w:numPr>
          <w:ilvl w:val="0"/>
          <w:numId w:val="5"/>
        </w:num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b/>
          <w:bCs/>
          <w:lang w:eastAsia="en-GB"/>
        </w:rPr>
        <w:t>Burnout Theory (Maslach and Jackson, 1981)</w:t>
      </w:r>
      <w:r w:rsidRPr="001259DB">
        <w:rPr>
          <w:rFonts w:ascii="Arial" w:eastAsia="Times New Roman" w:hAnsi="Arial" w:cs="Arial"/>
          <w:lang w:eastAsia="en-GB"/>
        </w:rPr>
        <w:br/>
        <w:t>Burnout happens when chronic workplace stress leads to emotional exhaustion, detachment, and a sense of reduced achievement.</w:t>
      </w:r>
    </w:p>
    <w:p w14:paraId="05A45412" w14:textId="77777777" w:rsidR="001259DB" w:rsidRPr="001259DB" w:rsidRDefault="001259DB" w:rsidP="0090505E">
      <w:pPr>
        <w:numPr>
          <w:ilvl w:val="0"/>
          <w:numId w:val="5"/>
        </w:num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b/>
          <w:bCs/>
          <w:lang w:eastAsia="en-GB"/>
        </w:rPr>
        <w:t>Job Demand-Control Model (Karasek, 1979)</w:t>
      </w:r>
      <w:r w:rsidRPr="001259DB">
        <w:rPr>
          <w:rFonts w:ascii="Arial" w:eastAsia="Times New Roman" w:hAnsi="Arial" w:cs="Arial"/>
          <w:lang w:eastAsia="en-GB"/>
        </w:rPr>
        <w:br/>
        <w:t>Stress is highest when job demands are high but workers have little control over how they do their work.</w:t>
      </w:r>
    </w:p>
    <w:p w14:paraId="0C39D82F" w14:textId="77777777" w:rsidR="001259DB" w:rsidRPr="001259DB" w:rsidRDefault="001259DB" w:rsidP="0090505E">
      <w:pPr>
        <w:numPr>
          <w:ilvl w:val="0"/>
          <w:numId w:val="5"/>
        </w:num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b/>
          <w:bCs/>
          <w:lang w:eastAsia="en-GB"/>
        </w:rPr>
        <w:t>Post-Traumatic Growth Theory (Tedeschi and Calhoun, 1996)</w:t>
      </w:r>
      <w:r w:rsidRPr="001259DB">
        <w:rPr>
          <w:rFonts w:ascii="Arial" w:eastAsia="Times New Roman" w:hAnsi="Arial" w:cs="Arial"/>
          <w:lang w:eastAsia="en-GB"/>
        </w:rPr>
        <w:br/>
        <w:t>Some people experience positive personal growth after trauma, such as greater resilience and appreciation for life.</w:t>
      </w:r>
    </w:p>
    <w:p w14:paraId="22274BE8" w14:textId="77777777" w:rsidR="001259DB" w:rsidRPr="001259DB" w:rsidRDefault="001259DB" w:rsidP="0090505E">
      <w:pPr>
        <w:spacing w:before="100" w:beforeAutospacing="1" w:after="100" w:afterAutospacing="1" w:line="360" w:lineRule="auto"/>
        <w:outlineLvl w:val="3"/>
        <w:rPr>
          <w:rFonts w:ascii="Arial" w:eastAsia="Times New Roman" w:hAnsi="Arial" w:cs="Arial"/>
          <w:b/>
          <w:bCs/>
          <w:lang w:eastAsia="en-GB"/>
        </w:rPr>
      </w:pPr>
      <w:r w:rsidRPr="001259DB">
        <w:rPr>
          <w:rFonts w:ascii="Arial" w:eastAsia="Times New Roman" w:hAnsi="Arial" w:cs="Arial"/>
          <w:b/>
          <w:bCs/>
          <w:lang w:eastAsia="en-GB"/>
        </w:rPr>
        <w:t>Applications in Research</w:t>
      </w:r>
    </w:p>
    <w:p w14:paraId="5897CC09"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Liu et al. (2020) used Stress and Coping Theory to show that healthcare workers in Wuhan used both problem- and emotion-focused strategies. Chen et al. (2021) found that loss of resources, such as rest and social contact, increased stress and burnout, supporting the Conservation of Resources Theory. Morgantini et al. (2020) found widespread burnout among healthcare workers worldwide, while Zhang et al. (2020) confirmed that high job demands and low control caused more anxiety. Kalaitzaki et al. (2021) found that some healthcare workers reported growth and empathy after working through trauma.</w:t>
      </w:r>
    </w:p>
    <w:p w14:paraId="527B5D6B" w14:textId="77777777" w:rsidR="001259DB" w:rsidRPr="001259DB" w:rsidRDefault="001259DB" w:rsidP="0090505E">
      <w:pPr>
        <w:spacing w:before="100" w:beforeAutospacing="1" w:after="100" w:afterAutospacing="1" w:line="360" w:lineRule="auto"/>
        <w:outlineLvl w:val="3"/>
        <w:rPr>
          <w:rFonts w:ascii="Arial" w:eastAsia="Times New Roman" w:hAnsi="Arial" w:cs="Arial"/>
          <w:b/>
          <w:bCs/>
          <w:lang w:eastAsia="en-GB"/>
        </w:rPr>
      </w:pPr>
      <w:r w:rsidRPr="001259DB">
        <w:rPr>
          <w:rFonts w:ascii="Arial" w:eastAsia="Times New Roman" w:hAnsi="Arial" w:cs="Arial"/>
          <w:b/>
          <w:bCs/>
          <w:lang w:eastAsia="en-GB"/>
        </w:rPr>
        <w:t>Critical Review</w:t>
      </w:r>
    </w:p>
    <w:p w14:paraId="61BBBE24"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 xml:space="preserve">Each theory helps explain certain aspects of pandemic stress, but none are complete on their own. Stress and Coping Theory focuses on individuals and may overlook organisational causes of stress (Skinner et al., 2003). Conservation of Resources Theory shows how ongoing stress drains energy but can be difficult to measure across cultures (Halbesleben et al., 2014). Burnout Theory is widely used but sometimes ignores systemic issues like poor </w:t>
      </w:r>
      <w:r w:rsidRPr="001259DB">
        <w:rPr>
          <w:rFonts w:ascii="Arial" w:eastAsia="Times New Roman" w:hAnsi="Arial" w:cs="Arial"/>
          <w:lang w:eastAsia="en-GB"/>
        </w:rPr>
        <w:lastRenderedPageBreak/>
        <w:t>leadership (West et al., 2018). The Job Demand-Control Model does not account for emotional factors (Theorell and Karasek, 1996). Finally, Post-Traumatic Growth Theory offers a positive view, but not everyone experiences growth after trauma (Zoellner and Maercker, 2006).</w:t>
      </w:r>
    </w:p>
    <w:p w14:paraId="7A7A56F9"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Recent UK research also supports a more organisational focus. Kinman and Teoh (2021) found that workplace culture and support systems are more important for preventing burnout than personal resilience. West and Coia (2022) argue that NHS leaders must prioritise psychological safety for staff to create sustainable change.</w:t>
      </w:r>
    </w:p>
    <w:p w14:paraId="42677DE0" w14:textId="55599957" w:rsidR="001259DB" w:rsidRPr="001259DB" w:rsidRDefault="001259DB" w:rsidP="0090505E">
      <w:pPr>
        <w:spacing w:after="0" w:line="360" w:lineRule="auto"/>
        <w:rPr>
          <w:rFonts w:ascii="Arial" w:eastAsia="Times New Roman" w:hAnsi="Arial" w:cs="Arial"/>
          <w:lang w:eastAsia="en-GB"/>
        </w:rPr>
      </w:pPr>
    </w:p>
    <w:p w14:paraId="1754D81D" w14:textId="77777777" w:rsidR="001259DB" w:rsidRPr="001259DB" w:rsidRDefault="001259DB" w:rsidP="0090505E">
      <w:pPr>
        <w:spacing w:before="100" w:beforeAutospacing="1" w:after="100" w:afterAutospacing="1" w:line="360" w:lineRule="auto"/>
        <w:outlineLvl w:val="2"/>
        <w:rPr>
          <w:rFonts w:ascii="Arial" w:eastAsia="Times New Roman" w:hAnsi="Arial" w:cs="Arial"/>
          <w:b/>
          <w:bCs/>
          <w:lang w:eastAsia="en-GB"/>
        </w:rPr>
      </w:pPr>
      <w:r w:rsidRPr="001259DB">
        <w:rPr>
          <w:rFonts w:ascii="Arial" w:eastAsia="Times New Roman" w:hAnsi="Arial" w:cs="Arial"/>
          <w:b/>
          <w:bCs/>
          <w:lang w:eastAsia="en-GB"/>
        </w:rPr>
        <w:t>2.4 International Context</w:t>
      </w:r>
    </w:p>
    <w:p w14:paraId="2CF38CEE"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International studies show similar mental health challenges among healthcare workers, but outcomes differ between countries. In Italy, Rossi et al. (2020) found high PTSD rates due to resource shortages and overwhelming caseloads. In contrast, South Korea’s early investment in staff well-being after the MERS outbreak led to lower distress levels during COVID-19 (Lee et al., 2021).</w:t>
      </w:r>
    </w:p>
    <w:p w14:paraId="16724960"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These comparisons suggest that strong organisational support and national preparedness can reduce psychological harm. Greenberg et al. (2020) highlight that policies, training, and open communication are essential for protecting staff well-being during health emergencies. Countries with proactive mental health programmes saw more resilient healthcare workforces.</w:t>
      </w:r>
    </w:p>
    <w:p w14:paraId="3975A338" w14:textId="5D886A0F" w:rsidR="001259DB" w:rsidRPr="001259DB" w:rsidRDefault="001259DB" w:rsidP="0090505E">
      <w:pPr>
        <w:spacing w:after="0" w:line="360" w:lineRule="auto"/>
        <w:rPr>
          <w:rFonts w:ascii="Arial" w:eastAsia="Times New Roman" w:hAnsi="Arial" w:cs="Arial"/>
          <w:lang w:eastAsia="en-GB"/>
        </w:rPr>
      </w:pPr>
    </w:p>
    <w:p w14:paraId="71036FC9" w14:textId="77777777" w:rsidR="001259DB" w:rsidRPr="001259DB" w:rsidRDefault="001259DB" w:rsidP="0090505E">
      <w:pPr>
        <w:spacing w:before="100" w:beforeAutospacing="1" w:after="100" w:afterAutospacing="1" w:line="360" w:lineRule="auto"/>
        <w:outlineLvl w:val="2"/>
        <w:rPr>
          <w:rFonts w:ascii="Arial" w:eastAsia="Times New Roman" w:hAnsi="Arial" w:cs="Arial"/>
          <w:b/>
          <w:bCs/>
          <w:lang w:eastAsia="en-GB"/>
        </w:rPr>
      </w:pPr>
      <w:r w:rsidRPr="001259DB">
        <w:rPr>
          <w:rFonts w:ascii="Arial" w:eastAsia="Times New Roman" w:hAnsi="Arial" w:cs="Arial"/>
          <w:b/>
          <w:bCs/>
          <w:lang w:eastAsia="en-GB"/>
        </w:rPr>
        <w:t>2.5 National/Local UK Context</w:t>
      </w:r>
    </w:p>
    <w:p w14:paraId="2BE4670F"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 xml:space="preserve">In the UK, many healthcare workers have struggled with stress, fatigue, and burnout. A British Medical Association (BMA, 2021) survey found that over 40% of doctors reported anxiety or depression related to the pandemic. The </w:t>
      </w:r>
      <w:r w:rsidRPr="001259DB">
        <w:rPr>
          <w:rFonts w:ascii="Arial" w:eastAsia="Times New Roman" w:hAnsi="Arial" w:cs="Arial"/>
          <w:i/>
          <w:iCs/>
          <w:lang w:eastAsia="en-GB"/>
        </w:rPr>
        <w:t>NHS Staff Survey (2023)</w:t>
      </w:r>
      <w:r w:rsidRPr="001259DB">
        <w:rPr>
          <w:rFonts w:ascii="Arial" w:eastAsia="Times New Roman" w:hAnsi="Arial" w:cs="Arial"/>
          <w:lang w:eastAsia="en-GB"/>
        </w:rPr>
        <w:t xml:space="preserve"> also showed that nearly half of NHS workers felt unwell due to work-related stress.</w:t>
      </w:r>
    </w:p>
    <w:p w14:paraId="745279CC"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 xml:space="preserve">National policies have recognised this issue. The </w:t>
      </w:r>
      <w:r w:rsidRPr="001259DB">
        <w:rPr>
          <w:rFonts w:ascii="Arial" w:eastAsia="Times New Roman" w:hAnsi="Arial" w:cs="Arial"/>
          <w:b/>
          <w:bCs/>
          <w:lang w:eastAsia="en-GB"/>
        </w:rPr>
        <w:t>NHS People Plan (2020)</w:t>
      </w:r>
      <w:r w:rsidRPr="001259DB">
        <w:rPr>
          <w:rFonts w:ascii="Arial" w:eastAsia="Times New Roman" w:hAnsi="Arial" w:cs="Arial"/>
          <w:lang w:eastAsia="en-GB"/>
        </w:rPr>
        <w:t xml:space="preserve"> set out goals to improve staff well-being, promote flexible working, and support compassionate leadership. The </w:t>
      </w:r>
      <w:r w:rsidRPr="001259DB">
        <w:rPr>
          <w:rFonts w:ascii="Arial" w:eastAsia="Times New Roman" w:hAnsi="Arial" w:cs="Arial"/>
          <w:b/>
          <w:bCs/>
          <w:lang w:eastAsia="en-GB"/>
        </w:rPr>
        <w:t>Health and Care Act (2022)</w:t>
      </w:r>
      <w:r w:rsidRPr="001259DB">
        <w:rPr>
          <w:rFonts w:ascii="Arial" w:eastAsia="Times New Roman" w:hAnsi="Arial" w:cs="Arial"/>
          <w:lang w:eastAsia="en-GB"/>
        </w:rPr>
        <w:t xml:space="preserve"> made staff welfare a legal duty for NHS organisations.</w:t>
      </w:r>
    </w:p>
    <w:p w14:paraId="1B176EAA"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lastRenderedPageBreak/>
        <w:t xml:space="preserve">Other organisations have also acted. The </w:t>
      </w:r>
      <w:r w:rsidRPr="001259DB">
        <w:rPr>
          <w:rFonts w:ascii="Arial" w:eastAsia="Times New Roman" w:hAnsi="Arial" w:cs="Arial"/>
          <w:b/>
          <w:bCs/>
          <w:lang w:eastAsia="en-GB"/>
        </w:rPr>
        <w:t>Royal College of Nursing (RCN)</w:t>
      </w:r>
      <w:r w:rsidRPr="001259DB">
        <w:rPr>
          <w:rFonts w:ascii="Arial" w:eastAsia="Times New Roman" w:hAnsi="Arial" w:cs="Arial"/>
          <w:lang w:eastAsia="en-GB"/>
        </w:rPr>
        <w:t xml:space="preserve"> launched campaigns encouraging rest and peer support, and the charity </w:t>
      </w:r>
      <w:r w:rsidRPr="001259DB">
        <w:rPr>
          <w:rFonts w:ascii="Arial" w:eastAsia="Times New Roman" w:hAnsi="Arial" w:cs="Arial"/>
          <w:b/>
          <w:bCs/>
          <w:lang w:eastAsia="en-GB"/>
        </w:rPr>
        <w:t>Mind</w:t>
      </w:r>
      <w:r w:rsidRPr="001259DB">
        <w:rPr>
          <w:rFonts w:ascii="Arial" w:eastAsia="Times New Roman" w:hAnsi="Arial" w:cs="Arial"/>
          <w:lang w:eastAsia="en-GB"/>
        </w:rPr>
        <w:t xml:space="preserve"> worked with NHS England to create the </w:t>
      </w:r>
      <w:r w:rsidRPr="001259DB">
        <w:rPr>
          <w:rFonts w:ascii="Arial" w:eastAsia="Times New Roman" w:hAnsi="Arial" w:cs="Arial"/>
          <w:i/>
          <w:iCs/>
          <w:lang w:eastAsia="en-GB"/>
        </w:rPr>
        <w:t>Our Frontline</w:t>
      </w:r>
      <w:r w:rsidRPr="001259DB">
        <w:rPr>
          <w:rFonts w:ascii="Arial" w:eastAsia="Times New Roman" w:hAnsi="Arial" w:cs="Arial"/>
          <w:lang w:eastAsia="en-GB"/>
        </w:rPr>
        <w:t xml:space="preserve"> mental health support service.</w:t>
      </w:r>
    </w:p>
    <w:p w14:paraId="6CFD246E"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However, the success of these policies has been mixed. Kinman, Teoh and Harriss (2023) note that many staff still feel unsupported due to heavy workloads and lack of time to access help. Billings et al. (2022) found that NHS mental health hubs improved short-term well-being but offered little long-term follow-up. West and Coia (2022) emphasised that group reflection sessions helped build team morale and resilience.</w:t>
      </w:r>
    </w:p>
    <w:p w14:paraId="466B8466"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Overall, while the UK has made progress, ongoing staff shortages, funding challenges, and stigma about mental health continue to limit impact.</w:t>
      </w:r>
    </w:p>
    <w:p w14:paraId="25C32163" w14:textId="78688A23" w:rsidR="001259DB" w:rsidRPr="001259DB" w:rsidRDefault="001259DB" w:rsidP="0090505E">
      <w:pPr>
        <w:spacing w:after="0" w:line="360" w:lineRule="auto"/>
        <w:rPr>
          <w:rFonts w:ascii="Arial" w:eastAsia="Times New Roman" w:hAnsi="Arial" w:cs="Arial"/>
          <w:lang w:eastAsia="en-GB"/>
        </w:rPr>
      </w:pPr>
    </w:p>
    <w:p w14:paraId="49E48EC2" w14:textId="77777777" w:rsidR="001259DB" w:rsidRPr="001259DB" w:rsidRDefault="001259DB" w:rsidP="0090505E">
      <w:pPr>
        <w:spacing w:before="100" w:beforeAutospacing="1" w:after="100" w:afterAutospacing="1" w:line="360" w:lineRule="auto"/>
        <w:outlineLvl w:val="2"/>
        <w:rPr>
          <w:rFonts w:ascii="Arial" w:eastAsia="Times New Roman" w:hAnsi="Arial" w:cs="Arial"/>
          <w:b/>
          <w:bCs/>
          <w:lang w:eastAsia="en-GB"/>
        </w:rPr>
      </w:pPr>
      <w:r w:rsidRPr="001259DB">
        <w:rPr>
          <w:rFonts w:ascii="Arial" w:eastAsia="Times New Roman" w:hAnsi="Arial" w:cs="Arial"/>
          <w:b/>
          <w:bCs/>
          <w:lang w:eastAsia="en-GB"/>
        </w:rPr>
        <w:t>2.6 Conclusion</w:t>
      </w:r>
    </w:p>
    <w:p w14:paraId="6045805E"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Pandemics place extreme psychological pressure on healthcare workers. Evidence from both past and recent outbreaks shows that anxiety, depression, and burnout are common, and that these effects can last long after the crisis ends.</w:t>
      </w:r>
    </w:p>
    <w:p w14:paraId="655A7275"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Theories such as Stress and Coping, Burnout, and Conservation of Resources help explain these patterns but must be combined with an understanding of workplace culture and organisational responsibility.</w:t>
      </w:r>
    </w:p>
    <w:p w14:paraId="59E5EA50" w14:textId="77777777" w:rsidR="001259DB" w:rsidRPr="001259DB"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Across the world, strong institutional support and effective leadership have been key to reducing distress. In the UK, policies like the NHS People Plan represent positive steps, but more consistent funding, stigma reduction, and local implementation are still needed.</w:t>
      </w:r>
    </w:p>
    <w:p w14:paraId="645AE9E9"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r w:rsidRPr="001259DB">
        <w:rPr>
          <w:rFonts w:ascii="Arial" w:eastAsia="Times New Roman" w:hAnsi="Arial" w:cs="Arial"/>
          <w:lang w:eastAsia="en-GB"/>
        </w:rPr>
        <w:t>Supporting the mental health of healthcare workers is not just an ethical duty—it is vital for maintaining the quality, safety, and sustainability of healthcare systems.</w:t>
      </w:r>
    </w:p>
    <w:p w14:paraId="58F45478"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7615D965" w14:textId="77777777" w:rsidR="000F0056" w:rsidRPr="000F0056" w:rsidRDefault="000F0056" w:rsidP="0090505E">
      <w:pPr>
        <w:spacing w:before="100" w:beforeAutospacing="1" w:after="100" w:afterAutospacing="1" w:line="360" w:lineRule="auto"/>
        <w:outlineLvl w:val="2"/>
        <w:rPr>
          <w:rFonts w:ascii="Arial" w:eastAsia="Times New Roman" w:hAnsi="Arial" w:cs="Arial"/>
          <w:b/>
          <w:bCs/>
          <w:lang w:eastAsia="en-GB"/>
        </w:rPr>
      </w:pPr>
      <w:r w:rsidRPr="000F0056">
        <w:rPr>
          <w:rFonts w:ascii="Arial" w:eastAsia="Times New Roman" w:hAnsi="Arial" w:cs="Arial"/>
          <w:b/>
          <w:bCs/>
          <w:lang w:eastAsia="en-GB"/>
        </w:rPr>
        <w:t>Chapter 3: Research Methodology</w:t>
      </w:r>
    </w:p>
    <w:p w14:paraId="3F41E576" w14:textId="77777777" w:rsidR="000F0056" w:rsidRPr="000F0056" w:rsidRDefault="000F0056" w:rsidP="0090505E">
      <w:pPr>
        <w:spacing w:before="100" w:beforeAutospacing="1" w:after="100" w:afterAutospacing="1" w:line="360" w:lineRule="auto"/>
        <w:rPr>
          <w:rFonts w:ascii="Arial" w:eastAsia="Times New Roman" w:hAnsi="Arial" w:cs="Arial"/>
          <w:lang w:eastAsia="en-GB"/>
        </w:rPr>
      </w:pPr>
      <w:r w:rsidRPr="000F0056">
        <w:rPr>
          <w:rFonts w:ascii="Arial" w:eastAsia="Times New Roman" w:hAnsi="Arial" w:cs="Arial"/>
          <w:b/>
          <w:bCs/>
          <w:lang w:eastAsia="en-GB"/>
        </w:rPr>
        <w:t>3.1 Search Strategy</w:t>
      </w:r>
      <w:r w:rsidRPr="000F0056">
        <w:rPr>
          <w:rFonts w:ascii="Arial" w:eastAsia="Times New Roman" w:hAnsi="Arial" w:cs="Arial"/>
          <w:lang w:eastAsia="en-GB"/>
        </w:rPr>
        <w:br/>
        <w:t xml:space="preserve">This study used a secondary research approach, which is appropriate for the project. The research involved searching multiple academic databases and platforms including Google </w:t>
      </w:r>
      <w:r w:rsidRPr="000F0056">
        <w:rPr>
          <w:rFonts w:ascii="Arial" w:eastAsia="Times New Roman" w:hAnsi="Arial" w:cs="Arial"/>
          <w:lang w:eastAsia="en-GB"/>
        </w:rPr>
        <w:lastRenderedPageBreak/>
        <w:t>Scholar, PubMed, and the UWTSD Library. Key terms related to the mental health of healthcare workers during the COVID-19 pandemic were used to find relevant peer-reviewed articles, reports, and official resources.</w:t>
      </w:r>
    </w:p>
    <w:p w14:paraId="5E0CBDC0" w14:textId="77777777" w:rsidR="000F0056" w:rsidRPr="000F0056" w:rsidRDefault="000F0056" w:rsidP="0090505E">
      <w:pPr>
        <w:spacing w:before="100" w:beforeAutospacing="1" w:after="100" w:afterAutospacing="1" w:line="360" w:lineRule="auto"/>
        <w:rPr>
          <w:rFonts w:ascii="Arial" w:eastAsia="Times New Roman" w:hAnsi="Arial" w:cs="Arial"/>
          <w:lang w:eastAsia="en-GB"/>
        </w:rPr>
      </w:pPr>
      <w:r w:rsidRPr="000F0056">
        <w:rPr>
          <w:rFonts w:ascii="Arial" w:eastAsia="Times New Roman" w:hAnsi="Arial" w:cs="Arial"/>
          <w:b/>
          <w:bCs/>
          <w:lang w:eastAsia="en-GB"/>
        </w:rPr>
        <w:t>3.2 Inclusion and Exclusion Criteria</w:t>
      </w:r>
      <w:r w:rsidRPr="000F0056">
        <w:rPr>
          <w:rFonts w:ascii="Arial" w:eastAsia="Times New Roman" w:hAnsi="Arial" w:cs="Arial"/>
          <w:lang w:eastAsia="en-GB"/>
        </w:rPr>
        <w:br/>
        <w:t>Sources published within the last five years (2020–2025) were included to ensure the research is up-to-date and relevant to the COVID-19 pandemic context. Only fully accessible, peer-reviewed, and academic sources focusing on healthcare workers' mental health were selected. Studies older than five years, non-peer-reviewed articles, those not focused on healthcare workers, or lacking full text were excluded.</w:t>
      </w:r>
    </w:p>
    <w:p w14:paraId="29D85F72" w14:textId="77777777" w:rsidR="000F0056" w:rsidRPr="000F0056" w:rsidRDefault="000F0056" w:rsidP="0090505E">
      <w:pPr>
        <w:spacing w:before="100" w:beforeAutospacing="1" w:after="100" w:afterAutospacing="1" w:line="360" w:lineRule="auto"/>
        <w:rPr>
          <w:rFonts w:ascii="Arial" w:eastAsia="Times New Roman" w:hAnsi="Arial" w:cs="Arial"/>
          <w:lang w:eastAsia="en-GB"/>
        </w:rPr>
      </w:pPr>
      <w:r w:rsidRPr="000F0056">
        <w:rPr>
          <w:rFonts w:ascii="Arial" w:eastAsia="Times New Roman" w:hAnsi="Arial" w:cs="Arial"/>
          <w:b/>
          <w:bCs/>
          <w:lang w:eastAsia="en-GB"/>
        </w:rPr>
        <w:t>3.3 Validation of Sources</w:t>
      </w:r>
      <w:r w:rsidRPr="000F0056">
        <w:rPr>
          <w:rFonts w:ascii="Arial" w:eastAsia="Times New Roman" w:hAnsi="Arial" w:cs="Arial"/>
          <w:lang w:eastAsia="en-GB"/>
        </w:rPr>
        <w:br/>
        <w:t>The CRAAP test (Currency, Relevance, Authority, Accuracy, and Purpose) was used to assess the quality of sources. This ensured that the selected studies were reliable, unbiased, and relevant to the research topic.</w:t>
      </w:r>
    </w:p>
    <w:p w14:paraId="6CD25315" w14:textId="77777777" w:rsidR="000F0056" w:rsidRPr="000F0056" w:rsidRDefault="000F0056" w:rsidP="0090505E">
      <w:pPr>
        <w:spacing w:before="100" w:beforeAutospacing="1" w:after="100" w:afterAutospacing="1" w:line="360" w:lineRule="auto"/>
        <w:rPr>
          <w:rFonts w:ascii="Arial" w:eastAsia="Times New Roman" w:hAnsi="Arial" w:cs="Arial"/>
          <w:lang w:eastAsia="en-GB"/>
        </w:rPr>
      </w:pPr>
      <w:r w:rsidRPr="000F0056">
        <w:rPr>
          <w:rFonts w:ascii="Arial" w:eastAsia="Times New Roman" w:hAnsi="Arial" w:cs="Arial"/>
          <w:b/>
          <w:bCs/>
          <w:lang w:eastAsia="en-GB"/>
        </w:rPr>
        <w:t>3.4 Thematic Coding</w:t>
      </w:r>
      <w:r w:rsidRPr="000F0056">
        <w:rPr>
          <w:rFonts w:ascii="Arial" w:eastAsia="Times New Roman" w:hAnsi="Arial" w:cs="Arial"/>
          <w:lang w:eastAsia="en-GB"/>
        </w:rPr>
        <w:br/>
        <w:t>After selecting the sources, a thematic coding process was applied. This involved carefully reading each article to identify recurring patterns, themes, and key ideas related to the mental health challenges of healthcare workers during the pandemic. These themes helped to organise the findings and structure the analysis in Chapter 4.</w:t>
      </w:r>
    </w:p>
    <w:p w14:paraId="5BCA2F15" w14:textId="77777777" w:rsidR="000F0056" w:rsidRPr="000F0056" w:rsidRDefault="000F0056" w:rsidP="0090505E">
      <w:pPr>
        <w:spacing w:before="100" w:beforeAutospacing="1" w:after="100" w:afterAutospacing="1" w:line="360" w:lineRule="auto"/>
        <w:rPr>
          <w:rFonts w:ascii="Arial" w:eastAsia="Times New Roman" w:hAnsi="Arial" w:cs="Arial"/>
          <w:lang w:eastAsia="en-GB"/>
        </w:rPr>
      </w:pPr>
      <w:r w:rsidRPr="000F0056">
        <w:rPr>
          <w:rFonts w:ascii="Arial" w:eastAsia="Times New Roman" w:hAnsi="Arial" w:cs="Arial"/>
          <w:b/>
          <w:bCs/>
          <w:lang w:eastAsia="en-GB"/>
        </w:rPr>
        <w:t>3.5 Ethical Considerations</w:t>
      </w:r>
      <w:r w:rsidRPr="000F0056">
        <w:rPr>
          <w:rFonts w:ascii="Arial" w:eastAsia="Times New Roman" w:hAnsi="Arial" w:cs="Arial"/>
          <w:lang w:eastAsia="en-GB"/>
        </w:rPr>
        <w:br/>
        <w:t>This study adhered to ethical standards in secondary research by respecting the original authors’ work, maintaining transparency, and ensuring no data was misrepresented. Confidentiality and accuracy were maintained throughout the analysis.</w:t>
      </w:r>
    </w:p>
    <w:p w14:paraId="767D2C8A" w14:textId="59FFD627" w:rsidR="000F0056" w:rsidRPr="000F0056" w:rsidRDefault="000F0056" w:rsidP="0090505E">
      <w:pPr>
        <w:spacing w:before="100" w:beforeAutospacing="1" w:after="100" w:afterAutospacing="1" w:line="360" w:lineRule="auto"/>
        <w:rPr>
          <w:rFonts w:ascii="Arial" w:eastAsia="Times New Roman" w:hAnsi="Arial" w:cs="Arial"/>
          <w:lang w:eastAsia="en-GB"/>
        </w:rPr>
      </w:pPr>
      <w:r w:rsidRPr="0090505E">
        <w:rPr>
          <w:rFonts w:ascii="Arial" w:hAnsi="Arial" w:cs="Arial"/>
          <w:noProof/>
        </w:rPr>
        <w:drawing>
          <wp:anchor distT="0" distB="0" distL="114300" distR="114300" simplePos="0" relativeHeight="251659264" behindDoc="1" locked="0" layoutInCell="1" allowOverlap="1" wp14:anchorId="015F6D92" wp14:editId="29E803DE">
            <wp:simplePos x="0" y="0"/>
            <wp:positionH relativeFrom="margin">
              <wp:posOffset>-101600</wp:posOffset>
            </wp:positionH>
            <wp:positionV relativeFrom="margin">
              <wp:posOffset>1371600</wp:posOffset>
            </wp:positionV>
            <wp:extent cx="4673600" cy="2891155"/>
            <wp:effectExtent l="0" t="0" r="0" b="4445"/>
            <wp:wrapTight wrapText="bothSides">
              <wp:wrapPolygon edited="0">
                <wp:start x="0" y="2135"/>
                <wp:lineTo x="0" y="21491"/>
                <wp:lineTo x="21483" y="21491"/>
                <wp:lineTo x="21483" y="2135"/>
                <wp:lineTo x="0" y="2135"/>
              </wp:wrapPolygon>
            </wp:wrapTight>
            <wp:docPr id="15897721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72148"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11799" t="-10682" r="8786" b="15067"/>
                    <a:stretch/>
                  </pic:blipFill>
                  <pic:spPr bwMode="auto">
                    <a:xfrm>
                      <a:off x="0" y="0"/>
                      <a:ext cx="4673600" cy="2891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0056">
        <w:rPr>
          <w:rFonts w:ascii="Arial" w:eastAsia="Times New Roman" w:hAnsi="Arial" w:cs="Arial"/>
          <w:b/>
          <w:bCs/>
          <w:lang w:eastAsia="en-GB"/>
        </w:rPr>
        <w:t>3.6 Summary</w:t>
      </w:r>
      <w:r w:rsidRPr="000F0056">
        <w:rPr>
          <w:rFonts w:ascii="Arial" w:eastAsia="Times New Roman" w:hAnsi="Arial" w:cs="Arial"/>
          <w:lang w:eastAsia="en-GB"/>
        </w:rPr>
        <w:br/>
        <w:t xml:space="preserve">Overall, the search strategy and thematic coding process provided a strong foundation for </w:t>
      </w:r>
      <w:r w:rsidRPr="000F0056">
        <w:rPr>
          <w:rFonts w:ascii="Arial" w:eastAsia="Times New Roman" w:hAnsi="Arial" w:cs="Arial"/>
          <w:lang w:eastAsia="en-GB"/>
        </w:rPr>
        <w:lastRenderedPageBreak/>
        <w:t>analysing the mental health impact of COVID-19 on healthcare workers. The careful selection and validation of sources support the findings discussed in Chapter 4.</w:t>
      </w:r>
    </w:p>
    <w:p w14:paraId="715DEB40" w14:textId="65D93CD6"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358FFB9E"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01F6DCE4"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5C7D8499"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0F728433"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1D07293F"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69DD1E5D"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316C3146"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279DF11A" w14:textId="77777777" w:rsidR="001259DB" w:rsidRPr="0090505E" w:rsidRDefault="001259DB" w:rsidP="0090505E">
      <w:pPr>
        <w:spacing w:before="100" w:beforeAutospacing="1" w:after="100" w:afterAutospacing="1" w:line="360" w:lineRule="auto"/>
        <w:rPr>
          <w:rFonts w:ascii="Arial" w:eastAsia="Times New Roman" w:hAnsi="Arial" w:cs="Arial"/>
          <w:lang w:eastAsia="en-GB"/>
        </w:rPr>
      </w:pPr>
    </w:p>
    <w:p w14:paraId="14933D88" w14:textId="77777777" w:rsidR="00E50A3D" w:rsidRPr="00E50A3D" w:rsidRDefault="00E50A3D" w:rsidP="0090505E">
      <w:pPr>
        <w:spacing w:before="100" w:beforeAutospacing="1" w:after="100" w:afterAutospacing="1" w:line="360" w:lineRule="auto"/>
        <w:outlineLvl w:val="2"/>
        <w:rPr>
          <w:rFonts w:ascii="Arial" w:eastAsia="Times New Roman" w:hAnsi="Arial" w:cs="Arial"/>
          <w:b/>
          <w:bCs/>
          <w:lang w:eastAsia="en-GB"/>
        </w:rPr>
      </w:pPr>
      <w:r w:rsidRPr="00E50A3D">
        <w:rPr>
          <w:rFonts w:ascii="Arial" w:eastAsia="Times New Roman" w:hAnsi="Arial" w:cs="Arial"/>
          <w:b/>
          <w:bCs/>
          <w:lang w:eastAsia="en-GB"/>
        </w:rPr>
        <w:t>Chapter 4: Findings and Discussion</w:t>
      </w:r>
    </w:p>
    <w:p w14:paraId="6FAC3EC7"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4.1 Introduction</w:t>
      </w:r>
    </w:p>
    <w:p w14:paraId="3DF15739"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This chapter presents the key findings from the research and discusses them in relation to existing literature and theory. The focus is on mental health challenges, coping mechanisms, and institutional support for healthcare workers during the COVID-19 pandemic.</w:t>
      </w:r>
    </w:p>
    <w:p w14:paraId="6EABF428"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4.2 Thematic Analysis</w:t>
      </w:r>
    </w:p>
    <w:p w14:paraId="55C28330"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Thematic analysis was used to identify, analyse, and report patterns (themes) within the data. This method, as described by Braun and Clarke (2006), involves familiarising with the data, generating initial codes, searching for themes, reviewing themes, defining and naming themes, and producing the final report. This approach allowed for a clear understanding of common experiences and issues reported in the literature.</w:t>
      </w:r>
    </w:p>
    <w:p w14:paraId="222FAE91"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4.3 Mental Health Challenges</w:t>
      </w:r>
    </w:p>
    <w:p w14:paraId="1A48BA42"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 xml:space="preserve">Many studies highlight stress, anxiety, and burnout as major mental health issues faced by healthcare workers. However, some authors (e.g., Lai et al., 2020; Wu et al., 2020) </w:t>
      </w:r>
      <w:r w:rsidRPr="00E50A3D">
        <w:rPr>
          <w:rFonts w:ascii="Arial" w:eastAsia="Times New Roman" w:hAnsi="Arial" w:cs="Arial"/>
          <w:lang w:eastAsia="en-GB"/>
        </w:rPr>
        <w:lastRenderedPageBreak/>
        <w:t>emphasize different aspects: Lai et al. focus on frontline workers’ anxiety levels, while Wu et al. stress the impact of workplace pressures. This difference shows the complexity of mental health challenges and suggests that interventions need to be tailored to specific work environments.</w:t>
      </w:r>
    </w:p>
    <w:p w14:paraId="731E37B0"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4.4 Coping Mechanisms</w:t>
      </w:r>
    </w:p>
    <w:p w14:paraId="694B403D"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Research agrees that coping strategies are crucial in managing mental health. For example, Cabarkapa et al. (2020) point to resilience and social support as key factors. Conversely, some studies suggest that not all coping mechanisms are effective or accessible to everyone, highlighting a need for better institutional support to encourage healthy coping.</w:t>
      </w:r>
    </w:p>
    <w:p w14:paraId="06EC542F"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4.5 Institutional Support</w:t>
      </w:r>
    </w:p>
    <w:p w14:paraId="33663164"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The role of organisational support, such as wellbeing initiatives and clear communication, is widely recognized. However, there are differing views on how well healthcare systems have responded, with some authors critiquing the lack of timely mental health resources (Greenberg et al., 2020), while others note improvements over time (Zhang et al., 2020). These contrasting perspectives underline the importance of ongoing evaluation and adaptation of support measures.</w:t>
      </w:r>
    </w:p>
    <w:p w14:paraId="7281AA82"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4.6 Conclusion</w:t>
      </w:r>
    </w:p>
    <w:p w14:paraId="73772D9E" w14:textId="4A66214F" w:rsidR="00E50A3D" w:rsidRPr="0090505E"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In summary, this chapter shows that healthcare workers face multiple, overlapping mental health challenges during the pandemic. Coping strategies and institutional support play vital roles but vary in effectiveness depending on context. The findings here directly inform the recommendations and discussion in the following chapter</w:t>
      </w:r>
      <w:r w:rsidRPr="0090505E">
        <w:rPr>
          <w:rFonts w:ascii="Arial" w:eastAsia="Times New Roman" w:hAnsi="Arial" w:cs="Arial"/>
          <w:lang w:eastAsia="en-GB"/>
        </w:rPr>
        <w:t>.</w:t>
      </w:r>
    </w:p>
    <w:p w14:paraId="0DDA4C65" w14:textId="77777777" w:rsidR="00E50A3D" w:rsidRPr="0090505E" w:rsidRDefault="00E50A3D" w:rsidP="0090505E">
      <w:pPr>
        <w:spacing w:before="100" w:beforeAutospacing="1" w:after="100" w:afterAutospacing="1" w:line="360" w:lineRule="auto"/>
        <w:rPr>
          <w:rFonts w:ascii="Arial" w:eastAsia="Times New Roman" w:hAnsi="Arial" w:cs="Arial"/>
          <w:lang w:eastAsia="en-GB"/>
        </w:rPr>
      </w:pPr>
    </w:p>
    <w:p w14:paraId="42A61AF6" w14:textId="77777777" w:rsidR="00E50A3D" w:rsidRPr="00E50A3D" w:rsidRDefault="00E50A3D" w:rsidP="0090505E">
      <w:pPr>
        <w:spacing w:before="100" w:beforeAutospacing="1" w:after="100" w:afterAutospacing="1" w:line="360" w:lineRule="auto"/>
        <w:outlineLvl w:val="2"/>
        <w:rPr>
          <w:rFonts w:ascii="Arial" w:eastAsia="Times New Roman" w:hAnsi="Arial" w:cs="Arial"/>
          <w:b/>
          <w:bCs/>
          <w:lang w:eastAsia="en-GB"/>
        </w:rPr>
      </w:pPr>
      <w:r w:rsidRPr="00E50A3D">
        <w:rPr>
          <w:rFonts w:ascii="Arial" w:eastAsia="Times New Roman" w:hAnsi="Arial" w:cs="Arial"/>
          <w:b/>
          <w:bCs/>
          <w:lang w:eastAsia="en-GB"/>
        </w:rPr>
        <w:t>Chapter 5: Recommendations and Conclusion</w:t>
      </w:r>
    </w:p>
    <w:p w14:paraId="79651652"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5.1 Overall Conclusion</w:t>
      </w:r>
    </w:p>
    <w:p w14:paraId="36164884"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 xml:space="preserve">The purpose of this dissertation was to examine how the COVID-19 pandemic affected the mental health of healthcare workers (HCWs) and to evaluate the coping strategies and institutional support systems available. The research shows that HCWs experienced high levels of stress, anxiety, depression, burnout, and post-traumatic stress disorder during the pandemic (Lai et al., 2020; Greenberg et al., 2020; Spoorthy et al., 2020). Key stressors </w:t>
      </w:r>
      <w:r w:rsidRPr="00E50A3D">
        <w:rPr>
          <w:rFonts w:ascii="Arial" w:eastAsia="Times New Roman" w:hAnsi="Arial" w:cs="Arial"/>
          <w:lang w:eastAsia="en-GB"/>
        </w:rPr>
        <w:lastRenderedPageBreak/>
        <w:t>included heavy workloads, insufficient PPE, fear of infection, social stigma, and limited organisational support (Cabarkapa et al., 2020; Wu et al., 2020).</w:t>
      </w:r>
    </w:p>
    <w:p w14:paraId="0FE8CC31"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Adaptive coping strategies—such as social support, mindfulness, physical activity, and counselling—helped mitigate stress, whereas maladaptive responses like withdrawal, denial, and substance use worsened outcomes (Chekroud et al., 2018; Frewen et al., 2020; Shechter et al., 2020; Spoorthy et al., 2020). Institutional support, including clear communication and accessible psychological services, emerged as a critical factor in reducing burnout and promoting resilience (Morgantini et al., 2020; Shaukat et al., 2020).</w:t>
      </w:r>
    </w:p>
    <w:p w14:paraId="70EE3E47"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5.2 Recommendations</w:t>
      </w:r>
    </w:p>
    <w:p w14:paraId="7ED818C2"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b/>
          <w:bCs/>
          <w:lang w:eastAsia="en-GB"/>
        </w:rPr>
        <w:t>Strengthening Institutional Support</w:t>
      </w:r>
      <w:r w:rsidRPr="00E50A3D">
        <w:rPr>
          <w:rFonts w:ascii="Arial" w:eastAsia="Times New Roman" w:hAnsi="Arial" w:cs="Arial"/>
          <w:lang w:eastAsia="en-GB"/>
        </w:rPr>
        <w:br/>
        <w:t xml:space="preserve">Healthcare organisations should provide confidential counselling, peer support programmes, and mental health hotlines. </w:t>
      </w:r>
      <w:r w:rsidRPr="00E50A3D">
        <w:rPr>
          <w:rFonts w:ascii="Arial" w:eastAsia="Times New Roman" w:hAnsi="Arial" w:cs="Arial"/>
          <w:b/>
          <w:bCs/>
          <w:lang w:eastAsia="en-GB"/>
        </w:rPr>
        <w:t>Rationale:</w:t>
      </w:r>
      <w:r w:rsidRPr="00E50A3D">
        <w:rPr>
          <w:rFonts w:ascii="Arial" w:eastAsia="Times New Roman" w:hAnsi="Arial" w:cs="Arial"/>
          <w:lang w:eastAsia="en-GB"/>
        </w:rPr>
        <w:t xml:space="preserve"> Evidence shows proactive support improves resilience and reduces psychological distress (Wu et al., 2020; Shanafelt et al., 2020).</w:t>
      </w:r>
    </w:p>
    <w:p w14:paraId="433ACB21"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b/>
          <w:bCs/>
          <w:lang w:eastAsia="en-GB"/>
        </w:rPr>
        <w:t>Promoting a Supportive Organisational Culture</w:t>
      </w:r>
      <w:r w:rsidRPr="00E50A3D">
        <w:rPr>
          <w:rFonts w:ascii="Arial" w:eastAsia="Times New Roman" w:hAnsi="Arial" w:cs="Arial"/>
          <w:lang w:eastAsia="en-GB"/>
        </w:rPr>
        <w:br/>
        <w:t xml:space="preserve">Training staff and managers to normalise discussions about stress and burnout can reduce stigma. </w:t>
      </w:r>
      <w:r w:rsidRPr="00E50A3D">
        <w:rPr>
          <w:rFonts w:ascii="Arial" w:eastAsia="Times New Roman" w:hAnsi="Arial" w:cs="Arial"/>
          <w:b/>
          <w:bCs/>
          <w:lang w:eastAsia="en-GB"/>
        </w:rPr>
        <w:t>Rationale:</w:t>
      </w:r>
      <w:r w:rsidRPr="00E50A3D">
        <w:rPr>
          <w:rFonts w:ascii="Arial" w:eastAsia="Times New Roman" w:hAnsi="Arial" w:cs="Arial"/>
          <w:lang w:eastAsia="en-GB"/>
        </w:rPr>
        <w:t xml:space="preserve"> Open communication encourages HCWs to seek help without fear of professional consequences (West et al., 2018).</w:t>
      </w:r>
    </w:p>
    <w:p w14:paraId="418F862F"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b/>
          <w:bCs/>
          <w:lang w:eastAsia="en-GB"/>
        </w:rPr>
        <w:t>Enhancing Resources and Preparedness</w:t>
      </w:r>
      <w:r w:rsidRPr="00E50A3D">
        <w:rPr>
          <w:rFonts w:ascii="Arial" w:eastAsia="Times New Roman" w:hAnsi="Arial" w:cs="Arial"/>
          <w:lang w:eastAsia="en-GB"/>
        </w:rPr>
        <w:br/>
        <w:t xml:space="preserve">Sufficient PPE, fair workload distribution, and clear communication are essential. </w:t>
      </w:r>
      <w:r w:rsidRPr="00E50A3D">
        <w:rPr>
          <w:rFonts w:ascii="Arial" w:eastAsia="Times New Roman" w:hAnsi="Arial" w:cs="Arial"/>
          <w:b/>
          <w:bCs/>
          <w:lang w:eastAsia="en-GB"/>
        </w:rPr>
        <w:t>Rationale:</w:t>
      </w:r>
      <w:r w:rsidRPr="00E50A3D">
        <w:rPr>
          <w:rFonts w:ascii="Arial" w:eastAsia="Times New Roman" w:hAnsi="Arial" w:cs="Arial"/>
          <w:lang w:eastAsia="en-GB"/>
        </w:rPr>
        <w:t xml:space="preserve"> Lack of resources has been linked to higher anxiety and moral injury (Greenberg et al., 2020). Preparedness planning should include both material and psychological support.</w:t>
      </w:r>
    </w:p>
    <w:p w14:paraId="3A1B80B5"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b/>
          <w:bCs/>
          <w:lang w:eastAsia="en-GB"/>
        </w:rPr>
        <w:t>Encouraging Adaptive Coping Mechanisms</w:t>
      </w:r>
      <w:r w:rsidRPr="00E50A3D">
        <w:rPr>
          <w:rFonts w:ascii="Arial" w:eastAsia="Times New Roman" w:hAnsi="Arial" w:cs="Arial"/>
          <w:lang w:eastAsia="en-GB"/>
        </w:rPr>
        <w:br/>
        <w:t xml:space="preserve">Organisations can implement mindfulness sessions, exercise programmes, and flexible rotas. </w:t>
      </w:r>
      <w:r w:rsidRPr="00E50A3D">
        <w:rPr>
          <w:rFonts w:ascii="Arial" w:eastAsia="Times New Roman" w:hAnsi="Arial" w:cs="Arial"/>
          <w:b/>
          <w:bCs/>
          <w:lang w:eastAsia="en-GB"/>
        </w:rPr>
        <w:t>Rationale:</w:t>
      </w:r>
      <w:r w:rsidRPr="00E50A3D">
        <w:rPr>
          <w:rFonts w:ascii="Arial" w:eastAsia="Times New Roman" w:hAnsi="Arial" w:cs="Arial"/>
          <w:lang w:eastAsia="en-GB"/>
        </w:rPr>
        <w:t xml:space="preserve"> Structured support for adaptive coping reduces stress and promotes recovery (Frewen et al., 2020; Chekroud et al., 2018).</w:t>
      </w:r>
    </w:p>
    <w:p w14:paraId="4C256C1B"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b/>
          <w:bCs/>
          <w:lang w:eastAsia="en-GB"/>
        </w:rPr>
        <w:t>Policy and Government-Level Interventions</w:t>
      </w:r>
      <w:r w:rsidRPr="00E50A3D">
        <w:rPr>
          <w:rFonts w:ascii="Arial" w:eastAsia="Times New Roman" w:hAnsi="Arial" w:cs="Arial"/>
          <w:lang w:eastAsia="en-GB"/>
        </w:rPr>
        <w:br/>
        <w:t xml:space="preserve">Governments should fund sustainable mental health services and integrate occupational mental health into workforce policies. </w:t>
      </w:r>
      <w:r w:rsidRPr="00E50A3D">
        <w:rPr>
          <w:rFonts w:ascii="Arial" w:eastAsia="Times New Roman" w:hAnsi="Arial" w:cs="Arial"/>
          <w:b/>
          <w:bCs/>
          <w:lang w:eastAsia="en-GB"/>
        </w:rPr>
        <w:t>Rationale:</w:t>
      </w:r>
      <w:r w:rsidRPr="00E50A3D">
        <w:rPr>
          <w:rFonts w:ascii="Arial" w:eastAsia="Times New Roman" w:hAnsi="Arial" w:cs="Arial"/>
          <w:lang w:eastAsia="en-GB"/>
        </w:rPr>
        <w:t xml:space="preserve"> System-level support ensures services are proactive and enduring, not only reactive in crises (Brooks et al., 2020).</w:t>
      </w:r>
    </w:p>
    <w:p w14:paraId="52B1252B"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5.3 Limitations</w:t>
      </w:r>
    </w:p>
    <w:p w14:paraId="70EBC8E5"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lastRenderedPageBreak/>
        <w:t xml:space="preserve">This research relied on secondary sources and primarily focused on doctors and nurses, with less attention to support staff, paramedics, and administrative personnel. Rapidly evolving pandemic conditions may also mean some evidence is now outdated. </w:t>
      </w:r>
      <w:r w:rsidRPr="00E50A3D">
        <w:rPr>
          <w:rFonts w:ascii="Arial" w:eastAsia="Times New Roman" w:hAnsi="Arial" w:cs="Arial"/>
          <w:b/>
          <w:bCs/>
          <w:lang w:eastAsia="en-GB"/>
        </w:rPr>
        <w:t>Addressing Limitations:</w:t>
      </w:r>
      <w:r w:rsidRPr="00E50A3D">
        <w:rPr>
          <w:rFonts w:ascii="Arial" w:eastAsia="Times New Roman" w:hAnsi="Arial" w:cs="Arial"/>
          <w:lang w:eastAsia="en-GB"/>
        </w:rPr>
        <w:t xml:space="preserve"> Future studies could use qualitative interviews or UK-specific comparative research to capture a richer and more contextually relevant picture of HCWs’ experiences.</w:t>
      </w:r>
    </w:p>
    <w:p w14:paraId="2086F713" w14:textId="77777777" w:rsidR="00E50A3D" w:rsidRPr="00E50A3D" w:rsidRDefault="00E50A3D" w:rsidP="0090505E">
      <w:pPr>
        <w:spacing w:before="100" w:beforeAutospacing="1" w:after="100" w:afterAutospacing="1" w:line="360" w:lineRule="auto"/>
        <w:outlineLvl w:val="3"/>
        <w:rPr>
          <w:rFonts w:ascii="Arial" w:eastAsia="Times New Roman" w:hAnsi="Arial" w:cs="Arial"/>
          <w:b/>
          <w:bCs/>
          <w:lang w:eastAsia="en-GB"/>
        </w:rPr>
      </w:pPr>
      <w:r w:rsidRPr="00E50A3D">
        <w:rPr>
          <w:rFonts w:ascii="Arial" w:eastAsia="Times New Roman" w:hAnsi="Arial" w:cs="Arial"/>
          <w:b/>
          <w:bCs/>
          <w:lang w:eastAsia="en-GB"/>
        </w:rPr>
        <w:t>5.4 Future Research</w:t>
      </w:r>
    </w:p>
    <w:p w14:paraId="74C14D5F" w14:textId="77777777" w:rsidR="00E50A3D" w:rsidRPr="00E50A3D" w:rsidRDefault="00E50A3D" w:rsidP="0090505E">
      <w:p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Future research should:</w:t>
      </w:r>
    </w:p>
    <w:p w14:paraId="36C21B91" w14:textId="77777777" w:rsidR="00E50A3D" w:rsidRPr="00E50A3D" w:rsidRDefault="00E50A3D" w:rsidP="0090505E">
      <w:pPr>
        <w:numPr>
          <w:ilvl w:val="0"/>
          <w:numId w:val="6"/>
        </w:num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Adopt longitudinal designs to track long-term mental health outcomes beyond the acute pandemic phase (Lai et al., 2020; Rossi et al., 2020).</w:t>
      </w:r>
    </w:p>
    <w:p w14:paraId="4FA84C70" w14:textId="77777777" w:rsidR="00E50A3D" w:rsidRPr="00E50A3D" w:rsidRDefault="00E50A3D" w:rsidP="0090505E">
      <w:pPr>
        <w:numPr>
          <w:ilvl w:val="0"/>
          <w:numId w:val="6"/>
        </w:num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Conduct comparative cross-national studies to explore how healthcare systems and cultural contexts affect resilience (Brooks et al., 2020; Shanafelt et al., 2020).</w:t>
      </w:r>
    </w:p>
    <w:p w14:paraId="06893876" w14:textId="77777777" w:rsidR="00E50A3D" w:rsidRPr="00E50A3D" w:rsidRDefault="00E50A3D" w:rsidP="0090505E">
      <w:pPr>
        <w:numPr>
          <w:ilvl w:val="0"/>
          <w:numId w:val="6"/>
        </w:num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Focus on underrepresented HCWs, such as allied health professionals, ambulance staff, care workers, and support personnel (Spoorthy et al., 2020).</w:t>
      </w:r>
    </w:p>
    <w:p w14:paraId="5947BD30" w14:textId="77777777" w:rsidR="00E50A3D" w:rsidRPr="00E50A3D" w:rsidRDefault="00E50A3D" w:rsidP="0090505E">
      <w:pPr>
        <w:numPr>
          <w:ilvl w:val="0"/>
          <w:numId w:val="6"/>
        </w:num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Evaluate the effectiveness of interventions, including resilience training and mindfulness programmes, using experimental or quasi-experimental designs.</w:t>
      </w:r>
    </w:p>
    <w:p w14:paraId="3031CEBA" w14:textId="77777777" w:rsidR="00E50A3D" w:rsidRPr="00E50A3D" w:rsidRDefault="00E50A3D" w:rsidP="0090505E">
      <w:pPr>
        <w:numPr>
          <w:ilvl w:val="0"/>
          <w:numId w:val="6"/>
        </w:numPr>
        <w:spacing w:before="100" w:beforeAutospacing="1" w:after="100" w:afterAutospacing="1" w:line="360" w:lineRule="auto"/>
        <w:rPr>
          <w:rFonts w:ascii="Arial" w:eastAsia="Times New Roman" w:hAnsi="Arial" w:cs="Arial"/>
          <w:lang w:eastAsia="en-GB"/>
        </w:rPr>
      </w:pPr>
      <w:r w:rsidRPr="00E50A3D">
        <w:rPr>
          <w:rFonts w:ascii="Arial" w:eastAsia="Times New Roman" w:hAnsi="Arial" w:cs="Arial"/>
          <w:lang w:eastAsia="en-GB"/>
        </w:rPr>
        <w:t>Apply an intersectional lens to understand how gender, ethnicity, age, and socioeconomic status interact with occupational stressors to shape mental health outcomes</w:t>
      </w:r>
    </w:p>
    <w:p w14:paraId="529882C3" w14:textId="77777777" w:rsidR="00E50A3D" w:rsidRPr="00E50A3D" w:rsidRDefault="00E50A3D" w:rsidP="00E50A3D">
      <w:pPr>
        <w:spacing w:before="100" w:beforeAutospacing="1" w:after="100" w:afterAutospacing="1" w:line="240" w:lineRule="auto"/>
        <w:rPr>
          <w:rFonts w:ascii="Times New Roman" w:eastAsia="Times New Roman" w:hAnsi="Times New Roman" w:cs="Times New Roman"/>
          <w:sz w:val="24"/>
          <w:szCs w:val="24"/>
          <w:lang w:eastAsia="en-GB"/>
        </w:rPr>
      </w:pPr>
    </w:p>
    <w:p w14:paraId="6D8E0B32" w14:textId="77777777" w:rsidR="001259DB" w:rsidRDefault="001259DB" w:rsidP="001259DB">
      <w:pPr>
        <w:spacing w:before="100" w:beforeAutospacing="1" w:after="100" w:afterAutospacing="1" w:line="240" w:lineRule="auto"/>
        <w:rPr>
          <w:rFonts w:ascii="Times New Roman" w:eastAsia="Times New Roman" w:hAnsi="Times New Roman" w:cs="Times New Roman"/>
          <w:sz w:val="24"/>
          <w:szCs w:val="24"/>
          <w:lang w:eastAsia="en-GB"/>
        </w:rPr>
      </w:pPr>
    </w:p>
    <w:p w14:paraId="104E7A48" w14:textId="77777777" w:rsidR="001259DB" w:rsidRDefault="001259DB" w:rsidP="001259DB">
      <w:pPr>
        <w:spacing w:before="100" w:beforeAutospacing="1" w:after="100" w:afterAutospacing="1" w:line="240" w:lineRule="auto"/>
        <w:rPr>
          <w:rFonts w:ascii="Times New Roman" w:eastAsia="Times New Roman" w:hAnsi="Times New Roman" w:cs="Times New Roman"/>
          <w:sz w:val="24"/>
          <w:szCs w:val="24"/>
          <w:lang w:eastAsia="en-GB"/>
        </w:rPr>
      </w:pPr>
    </w:p>
    <w:p w14:paraId="07D72142" w14:textId="77777777" w:rsidR="00DD3704" w:rsidRDefault="00DD3704" w:rsidP="001259DB">
      <w:pPr>
        <w:pStyle w:val="NormalWeb"/>
        <w:rPr>
          <w:b/>
          <w:bCs/>
        </w:rPr>
      </w:pPr>
    </w:p>
    <w:p w14:paraId="69F415ED" w14:textId="77777777" w:rsidR="00DD3704" w:rsidRDefault="00DD3704" w:rsidP="001259DB">
      <w:pPr>
        <w:pStyle w:val="NormalWeb"/>
        <w:rPr>
          <w:b/>
          <w:bCs/>
        </w:rPr>
      </w:pPr>
    </w:p>
    <w:p w14:paraId="3D8FD6FE" w14:textId="77777777" w:rsidR="00DD3704" w:rsidRDefault="00DD3704" w:rsidP="001259DB">
      <w:pPr>
        <w:pStyle w:val="NormalWeb"/>
        <w:rPr>
          <w:b/>
          <w:bCs/>
        </w:rPr>
      </w:pPr>
    </w:p>
    <w:p w14:paraId="39D20DE2" w14:textId="77777777" w:rsidR="00DD3704" w:rsidRDefault="00DD3704" w:rsidP="001259DB">
      <w:pPr>
        <w:pStyle w:val="NormalWeb"/>
        <w:rPr>
          <w:b/>
          <w:bCs/>
        </w:rPr>
      </w:pPr>
    </w:p>
    <w:p w14:paraId="16B620C7" w14:textId="77777777" w:rsidR="00DD3704" w:rsidRDefault="00DD3704" w:rsidP="001259DB">
      <w:pPr>
        <w:pStyle w:val="NormalWeb"/>
        <w:rPr>
          <w:b/>
          <w:bCs/>
        </w:rPr>
      </w:pPr>
    </w:p>
    <w:p w14:paraId="7591F5DF" w14:textId="77777777" w:rsidR="00DD3704" w:rsidRDefault="00DD3704" w:rsidP="001259DB">
      <w:pPr>
        <w:pStyle w:val="NormalWeb"/>
        <w:rPr>
          <w:b/>
          <w:bCs/>
        </w:rPr>
      </w:pPr>
    </w:p>
    <w:p w14:paraId="39C75D51" w14:textId="77777777" w:rsidR="00DD3704" w:rsidRDefault="00DD3704" w:rsidP="001259DB">
      <w:pPr>
        <w:pStyle w:val="NormalWeb"/>
        <w:rPr>
          <w:b/>
          <w:bCs/>
        </w:rPr>
      </w:pPr>
    </w:p>
    <w:p w14:paraId="17A7FEDD" w14:textId="77777777" w:rsidR="00DD3704" w:rsidRDefault="00DD3704" w:rsidP="001259DB">
      <w:pPr>
        <w:pStyle w:val="NormalWeb"/>
        <w:rPr>
          <w:b/>
          <w:bCs/>
        </w:rPr>
      </w:pPr>
    </w:p>
    <w:p w14:paraId="172B976D" w14:textId="22E91883" w:rsidR="00254B6A" w:rsidRPr="00254B6A" w:rsidRDefault="00254B6A" w:rsidP="001259DB">
      <w:pPr>
        <w:pStyle w:val="NormalWeb"/>
        <w:rPr>
          <w:b/>
          <w:bCs/>
        </w:rPr>
      </w:pPr>
      <w:r w:rsidRPr="00254B6A">
        <w:rPr>
          <w:b/>
          <w:bCs/>
        </w:rPr>
        <w:lastRenderedPageBreak/>
        <w:t>References</w:t>
      </w:r>
    </w:p>
    <w:p w14:paraId="77FAFDCD" w14:textId="20527A53" w:rsidR="00254B6A" w:rsidRDefault="00254B6A" w:rsidP="001259DB">
      <w:pPr>
        <w:pStyle w:val="NormalWeb"/>
      </w:pPr>
      <w:r>
        <w:t xml:space="preserve">Billings, J., Ching, B.C., Gkofa, V., Greene, T. and Bloomfield, M., 2022. Experiences of frontline healthcare workers and their mental health during the COVID-19 pandemic: a systematic review. </w:t>
      </w:r>
      <w:r>
        <w:rPr>
          <w:rStyle w:val="Emphasis"/>
          <w:rFonts w:eastAsiaTheme="majorEastAsia"/>
        </w:rPr>
        <w:t>BMJ Open</w:t>
      </w:r>
      <w:r>
        <w:t>, 12(5), p.e050695.</w:t>
      </w:r>
    </w:p>
    <w:p w14:paraId="72E78DF7" w14:textId="77777777" w:rsidR="00254B6A" w:rsidRDefault="00254B6A" w:rsidP="001259DB">
      <w:pPr>
        <w:pStyle w:val="NormalWeb"/>
      </w:pPr>
      <w:r>
        <w:t xml:space="preserve">BMA, 2021. </w:t>
      </w:r>
      <w:r>
        <w:rPr>
          <w:rStyle w:val="Emphasis"/>
          <w:rFonts w:eastAsiaTheme="majorEastAsia"/>
        </w:rPr>
        <w:t>The impact of COVID-19 on doctors’ mental health</w:t>
      </w:r>
      <w:r>
        <w:t>. London: British Medical Association.</w:t>
      </w:r>
    </w:p>
    <w:p w14:paraId="383E3D88" w14:textId="77777777" w:rsidR="00254B6A" w:rsidRDefault="00254B6A" w:rsidP="00254B6A">
      <w:pPr>
        <w:pStyle w:val="NormalWeb"/>
      </w:pPr>
      <w:r>
        <w:t xml:space="preserve">Braun, V. and Clarke, V. (2006) ‘Using thematic analysis in psychology’, </w:t>
      </w:r>
      <w:r>
        <w:rPr>
          <w:rStyle w:val="Emphasis"/>
          <w:rFonts w:eastAsiaTheme="majorEastAsia"/>
        </w:rPr>
        <w:t>Qualitative Research in Psychology</w:t>
      </w:r>
      <w:r>
        <w:t>, 3(2), pp.77–101.</w:t>
      </w:r>
    </w:p>
    <w:p w14:paraId="46CB6D89" w14:textId="77777777" w:rsidR="00254B6A" w:rsidRDefault="00254B6A" w:rsidP="00254B6A">
      <w:pPr>
        <w:pStyle w:val="NormalWeb"/>
      </w:pPr>
      <w:r>
        <w:t xml:space="preserve">Brooks, S.K., Webster, R.K., Smith, L.E., Woodland, L., Wessely, S., Greenberg, N. and Rubin, G.J. (2020) ‘The psychological impact of quarantine and how to reduce it: rapid review of the evidence’, </w:t>
      </w:r>
      <w:r>
        <w:rPr>
          <w:rStyle w:val="Emphasis"/>
          <w:rFonts w:eastAsiaTheme="majorEastAsia"/>
        </w:rPr>
        <w:t>The Lancet</w:t>
      </w:r>
      <w:r>
        <w:t>, 395(10227), pp. 912–920.</w:t>
      </w:r>
    </w:p>
    <w:p w14:paraId="05360687" w14:textId="77777777" w:rsidR="00254B6A" w:rsidRDefault="00254B6A" w:rsidP="00254B6A">
      <w:pPr>
        <w:pStyle w:val="NormalWeb"/>
      </w:pPr>
      <w:r>
        <w:t>Brooks, S.K., Webster, R.K., Smith, L.E., Woodland, L., Wessely, S., Greenberg, N. and Rubin, G.J. (2020) ‘The psychological impact of quarantine and how to reduce it: rapid review of the evidence’, *The Lanc</w:t>
      </w:r>
    </w:p>
    <w:p w14:paraId="04A50FC9" w14:textId="77777777" w:rsidR="00254B6A" w:rsidRDefault="00254B6A" w:rsidP="00254B6A">
      <w:pPr>
        <w:pStyle w:val="NormalWeb"/>
      </w:pPr>
      <w:r>
        <w:t xml:space="preserve">Buchanan, T.W., Lawrie, S.M. and Power, M.J. (2020) ‘Stigma and healthcare workers during the COVID-19 pandemic: a rapid review’, </w:t>
      </w:r>
      <w:r>
        <w:rPr>
          <w:rStyle w:val="Emphasis"/>
          <w:rFonts w:eastAsiaTheme="majorEastAsia"/>
        </w:rPr>
        <w:t>Journal of Health Psychology</w:t>
      </w:r>
      <w:r>
        <w:t>, 25(12), pp. 1731–1745.</w:t>
      </w:r>
    </w:p>
    <w:p w14:paraId="4B5B41F9" w14:textId="77777777" w:rsidR="00254B6A" w:rsidRDefault="00254B6A" w:rsidP="00254B6A">
      <w:pPr>
        <w:pStyle w:val="NormalWeb"/>
      </w:pPr>
      <w:r>
        <w:t xml:space="preserve">Cabarkapa, S., Nadjidai, S.E., Murgier, J. and Ng, C.H. (2020) ‘The psychological impact of COVID-19 and other viral epidemics on frontline healthcare workers and ways to address it: a rapid systematic review’, </w:t>
      </w:r>
      <w:r>
        <w:rPr>
          <w:rStyle w:val="Emphasis"/>
          <w:rFonts w:eastAsiaTheme="majorEastAsia"/>
        </w:rPr>
        <w:t>Brain, Behavior, &amp; Immunity – Health</w:t>
      </w:r>
      <w:r>
        <w:t>, 8, 100144.</w:t>
      </w:r>
    </w:p>
    <w:p w14:paraId="06FED0E4" w14:textId="77777777" w:rsidR="00254B6A" w:rsidRDefault="00254B6A" w:rsidP="00254B6A">
      <w:pPr>
        <w:pStyle w:val="NormalWeb"/>
      </w:pPr>
      <w:r>
        <w:t xml:space="preserve">Chekroud, S.R., Gueorguieva, R., Zheutlin, A.B., Paulus, M., Krumholz, H.M., Krystal, J.H. and Chekroud, A.M. (2018) ‘Association between physical exercise and mental health in 1.2 million individuals in the USA between 2011 and 2015: a cross-sectional study’, </w:t>
      </w:r>
      <w:r>
        <w:rPr>
          <w:rStyle w:val="Emphasis"/>
          <w:rFonts w:eastAsiaTheme="majorEastAsia"/>
        </w:rPr>
        <w:t>The Lancet Psychiatry</w:t>
      </w:r>
      <w:r>
        <w:t>, 5(9), pp. 739–746.</w:t>
      </w:r>
    </w:p>
    <w:p w14:paraId="78A06FB9" w14:textId="77777777" w:rsidR="00254B6A" w:rsidRDefault="00254B6A" w:rsidP="001259DB">
      <w:pPr>
        <w:pStyle w:val="NormalWeb"/>
      </w:pPr>
      <w:r>
        <w:t xml:space="preserve">Chen, Q., Liang, M., Li, Y., Guo, J., Fei, D., Wang, L., He, L., Sheng, C., Cai, Y., Li, X. and Wang, J., 2021. Mental health care for medical staff in China during the COVID-19 outbreak. </w:t>
      </w:r>
      <w:r>
        <w:rPr>
          <w:rStyle w:val="Emphasis"/>
          <w:rFonts w:eastAsiaTheme="majorEastAsia"/>
        </w:rPr>
        <w:t>The Lancet Psychiatry</w:t>
      </w:r>
      <w:r>
        <w:t>, 7(4), pp.e15–e16.</w:t>
      </w:r>
    </w:p>
    <w:p w14:paraId="3DEB158D" w14:textId="77777777" w:rsidR="00254B6A" w:rsidRDefault="00254B6A" w:rsidP="00254B6A">
      <w:pPr>
        <w:pStyle w:val="NormalWeb"/>
      </w:pPr>
      <w:r>
        <w:t xml:space="preserve">Creswell, J.W. and Creswell, J.D. (2018) </w:t>
      </w:r>
      <w:r>
        <w:rPr>
          <w:rStyle w:val="Emphasis"/>
          <w:rFonts w:eastAsiaTheme="majorEastAsia"/>
        </w:rPr>
        <w:t>Research design: qualitative, quantitative, and mixed methods approaches</w:t>
      </w:r>
      <w:r>
        <w:t>. 5th edn. Los Angeles: SAGE.</w:t>
      </w:r>
    </w:p>
    <w:p w14:paraId="7EA69A1C" w14:textId="77777777" w:rsidR="00254B6A" w:rsidRDefault="00254B6A" w:rsidP="00254B6A">
      <w:pPr>
        <w:pStyle w:val="NormalWeb"/>
      </w:pPr>
      <w:r>
        <w:t xml:space="preserve">Frewen, P.A., Rogers, N. and Lanius, R.A. (2020) ‘Mindfulness and meditation for trauma-related dissociation and post-traumatic stress disorder: theoretical and neurophysiological perspectives’, </w:t>
      </w:r>
      <w:r>
        <w:rPr>
          <w:rStyle w:val="Emphasis"/>
          <w:rFonts w:eastAsiaTheme="majorEastAsia"/>
        </w:rPr>
        <w:t>Frontiers in Psychology</w:t>
      </w:r>
      <w:r>
        <w:t>, 11, 172.</w:t>
      </w:r>
    </w:p>
    <w:p w14:paraId="587326D8" w14:textId="77777777" w:rsidR="00254B6A" w:rsidRDefault="00254B6A" w:rsidP="00254B6A">
      <w:pPr>
        <w:pStyle w:val="NormalWeb"/>
      </w:pPr>
      <w:r>
        <w:t xml:space="preserve">Greenberg, N., Docherty, M., Gnanapragasam, S. and Wessely, S. (2020) ‘Managing mental health challenges faced by healthcare workers during COVID-19 pandemic’, </w:t>
      </w:r>
      <w:r>
        <w:rPr>
          <w:rStyle w:val="Emphasis"/>
          <w:rFonts w:eastAsiaTheme="majorEastAsia"/>
        </w:rPr>
        <w:t>BMJ</w:t>
      </w:r>
      <w:r>
        <w:t>, 368, m1211.</w:t>
      </w:r>
    </w:p>
    <w:p w14:paraId="54A62447" w14:textId="77777777" w:rsidR="00254B6A" w:rsidRDefault="00254B6A" w:rsidP="001259DB">
      <w:pPr>
        <w:pStyle w:val="NormalWeb"/>
      </w:pPr>
      <w:r>
        <w:t xml:space="preserve">Greenberg, N., Docherty, M., Gnanapragasam, S. and Wessely, S., 2020. Managing mental health challenges faced by healthcare workers during COVID-19. </w:t>
      </w:r>
      <w:r>
        <w:rPr>
          <w:rStyle w:val="Emphasis"/>
          <w:rFonts w:eastAsiaTheme="majorEastAsia"/>
        </w:rPr>
        <w:t>BMJ</w:t>
      </w:r>
      <w:r>
        <w:t>, 368, p.m1211.</w:t>
      </w:r>
    </w:p>
    <w:p w14:paraId="04CAA2A5" w14:textId="77777777" w:rsidR="00254B6A" w:rsidRDefault="00254B6A" w:rsidP="001259DB">
      <w:pPr>
        <w:pStyle w:val="NormalWeb"/>
      </w:pPr>
      <w:r>
        <w:lastRenderedPageBreak/>
        <w:t xml:space="preserve">Halbesleben, J.R.B., Neveu, J.P., Paustian-Underdahl, S.C. and Westman, M., 2014. Getting to the “COR”: Understanding the role of resources in conservation of resources theory. </w:t>
      </w:r>
      <w:r>
        <w:rPr>
          <w:rStyle w:val="Emphasis"/>
          <w:rFonts w:eastAsiaTheme="majorEastAsia"/>
        </w:rPr>
        <w:t>Journal of Management</w:t>
      </w:r>
      <w:r>
        <w:t>, 40(5), pp.1334–1364.</w:t>
      </w:r>
    </w:p>
    <w:p w14:paraId="6CCE482A" w14:textId="77777777" w:rsidR="00254B6A" w:rsidRDefault="00254B6A" w:rsidP="00254B6A">
      <w:pPr>
        <w:pStyle w:val="NormalWeb"/>
      </w:pPr>
      <w:r>
        <w:t xml:space="preserve">Hobfoll, S.E. (1989) ‘Conservation of resources: a new attempt at conceptualising stress’, </w:t>
      </w:r>
      <w:r>
        <w:rPr>
          <w:rStyle w:val="Emphasis"/>
          <w:rFonts w:eastAsiaTheme="majorEastAsia"/>
        </w:rPr>
        <w:t>American Psychologist</w:t>
      </w:r>
      <w:r>
        <w:t>, 44(3), pp. 513–524.</w:t>
      </w:r>
    </w:p>
    <w:p w14:paraId="40B36440" w14:textId="77777777" w:rsidR="00254B6A" w:rsidRDefault="00254B6A" w:rsidP="00254B6A">
      <w:pPr>
        <w:pStyle w:val="NormalWeb"/>
      </w:pPr>
      <w:r>
        <w:t xml:space="preserve">Hsieh, H.F. and Shannon, S.E. (2005) ‘Three approaches to qualitative content analysis’, </w:t>
      </w:r>
      <w:r>
        <w:rPr>
          <w:rStyle w:val="Emphasis"/>
          <w:rFonts w:eastAsiaTheme="majorEastAsia"/>
        </w:rPr>
        <w:t>Qualitative Health Research</w:t>
      </w:r>
      <w:r>
        <w:t>, 15(9), pp. 1277–1288.</w:t>
      </w:r>
    </w:p>
    <w:p w14:paraId="3D19C1CB" w14:textId="77777777" w:rsidR="00254B6A" w:rsidRDefault="00254B6A" w:rsidP="001259DB">
      <w:pPr>
        <w:pStyle w:val="NormalWeb"/>
      </w:pPr>
      <w:r>
        <w:t xml:space="preserve">Kalaitzaki, A.E., Stalikas, A., Zervas, Y., Theofilou, P., Tsioutsioura, M. and Tsoni, E., 2021. Post-traumatic growth in healthcare professionals during COVID-19: a cross-sectional study. </w:t>
      </w:r>
      <w:r>
        <w:rPr>
          <w:rStyle w:val="Emphasis"/>
          <w:rFonts w:eastAsiaTheme="majorEastAsia"/>
        </w:rPr>
        <w:t>Frontiers in Psychology</w:t>
      </w:r>
      <w:r>
        <w:t>, 12, p.635303.</w:t>
      </w:r>
    </w:p>
    <w:p w14:paraId="202C5AB8" w14:textId="77777777" w:rsidR="00254B6A" w:rsidRDefault="00254B6A" w:rsidP="001259DB">
      <w:pPr>
        <w:pStyle w:val="NormalWeb"/>
      </w:pPr>
      <w:r>
        <w:t xml:space="preserve">Karasek, R., 1979. Job demands, job decision latitude, and mental strain: Implications for job redesign. </w:t>
      </w:r>
      <w:r>
        <w:rPr>
          <w:rStyle w:val="Emphasis"/>
          <w:rFonts w:eastAsiaTheme="majorEastAsia"/>
        </w:rPr>
        <w:t>Administrative Science Quarterly</w:t>
      </w:r>
      <w:r>
        <w:t>, 24(2), pp.285–308.</w:t>
      </w:r>
    </w:p>
    <w:p w14:paraId="60A113BE" w14:textId="77777777" w:rsidR="00254B6A" w:rsidRDefault="00254B6A" w:rsidP="00254B6A">
      <w:pPr>
        <w:pStyle w:val="NormalWeb"/>
      </w:pPr>
      <w:r>
        <w:t xml:space="preserve">Karasek, R.A. (1979) ‘Job demands, job decision latitude, and mental strain: implications for job redesign’, </w:t>
      </w:r>
      <w:r>
        <w:rPr>
          <w:rStyle w:val="Emphasis"/>
          <w:rFonts w:eastAsiaTheme="majorEastAsia"/>
        </w:rPr>
        <w:t>Administrative Science Quarterly</w:t>
      </w:r>
      <w:r>
        <w:t>, 24(2), pp. 285–308.</w:t>
      </w:r>
    </w:p>
    <w:p w14:paraId="1E7F4421" w14:textId="77777777" w:rsidR="00254B6A" w:rsidRDefault="00254B6A" w:rsidP="001259DB">
      <w:pPr>
        <w:pStyle w:val="NormalWeb"/>
      </w:pPr>
      <w:r>
        <w:t xml:space="preserve">Kinman, G. and Teoh, K., 2021. Wellbeing in the NHS: Workforce mental health and resilience. </w:t>
      </w:r>
      <w:r>
        <w:rPr>
          <w:rStyle w:val="Emphasis"/>
          <w:rFonts w:eastAsiaTheme="majorEastAsia"/>
        </w:rPr>
        <w:t>Occupational Medicine</w:t>
      </w:r>
      <w:r>
        <w:t>, 71(6), pp.265–270.</w:t>
      </w:r>
    </w:p>
    <w:p w14:paraId="1365733E" w14:textId="77777777" w:rsidR="00254B6A" w:rsidRDefault="00254B6A" w:rsidP="001259DB">
      <w:pPr>
        <w:pStyle w:val="NormalWeb"/>
      </w:pPr>
      <w:r>
        <w:t xml:space="preserve">Kinman, G., Teoh, K. and Harriss, A., 2023. Supporting NHS staff mental health during and after COVID-19: lessons from the frontline. </w:t>
      </w:r>
      <w:r>
        <w:rPr>
          <w:rStyle w:val="Emphasis"/>
          <w:rFonts w:eastAsiaTheme="majorEastAsia"/>
        </w:rPr>
        <w:t>BMJ Leader</w:t>
      </w:r>
      <w:r>
        <w:t>, 7(1), pp.12–20.</w:t>
      </w:r>
    </w:p>
    <w:p w14:paraId="3602CF6A" w14:textId="77777777" w:rsidR="00254B6A" w:rsidRDefault="00254B6A" w:rsidP="001259DB">
      <w:pPr>
        <w:pStyle w:val="NormalWeb"/>
      </w:pPr>
      <w:r>
        <w:t xml:space="preserve">Lai, J., Ma, S., Wang, Y., Cai, Z., Hu, J., Wei, N., Wu, J., Du, H., Chen, T., Li, R. and Tan, H., 2020. Factors associated with mental health outcomes among healthcare workers exposed to COVID-19. </w:t>
      </w:r>
      <w:r>
        <w:rPr>
          <w:rStyle w:val="Emphasis"/>
          <w:rFonts w:eastAsiaTheme="majorEastAsia"/>
        </w:rPr>
        <w:t>JAMA Network Open</w:t>
      </w:r>
      <w:r>
        <w:t>, 3(3), p.e203976.</w:t>
      </w:r>
    </w:p>
    <w:p w14:paraId="24DBF0B3" w14:textId="77777777" w:rsidR="00254B6A" w:rsidRDefault="00254B6A" w:rsidP="00254B6A">
      <w:pPr>
        <w:pStyle w:val="NormalWeb"/>
      </w:pPr>
      <w:r>
        <w:t xml:space="preserve">Lai, J., Ma, S., Wang, Y., Cai, Z., Hu, J., Wei, N., Wu, J., Du, H., Chen, T., Li, R., Tan, H., Kang, L., Yao, L., Huang, M., Wang, H., Wang, G., Liu, Z. and Hu, S. (2020) ‘Factors associated with mental health outcomes among healthcare workers exposed to coronavirus disease 2019’, </w:t>
      </w:r>
      <w:r>
        <w:rPr>
          <w:rStyle w:val="Emphasis"/>
          <w:rFonts w:eastAsiaTheme="majorEastAsia"/>
        </w:rPr>
        <w:t>JAMA Network Open</w:t>
      </w:r>
      <w:r>
        <w:t>, 3(3), e203976.</w:t>
      </w:r>
    </w:p>
    <w:p w14:paraId="24ADB8AE" w14:textId="77777777" w:rsidR="00254B6A" w:rsidRDefault="00254B6A" w:rsidP="00254B6A">
      <w:pPr>
        <w:pStyle w:val="NormalWeb"/>
      </w:pPr>
      <w:r>
        <w:t xml:space="preserve">Lazarus, R.S. and Folkman, S. (1984) </w:t>
      </w:r>
      <w:r>
        <w:rPr>
          <w:rStyle w:val="Emphasis"/>
          <w:rFonts w:eastAsiaTheme="majorEastAsia"/>
        </w:rPr>
        <w:t>Stress, appraisal, and coping</w:t>
      </w:r>
      <w:r>
        <w:t>. New York: Springer.</w:t>
      </w:r>
    </w:p>
    <w:p w14:paraId="3792A0C9" w14:textId="77777777" w:rsidR="00254B6A" w:rsidRDefault="00254B6A" w:rsidP="001259DB">
      <w:pPr>
        <w:pStyle w:val="NormalWeb"/>
      </w:pPr>
      <w:r>
        <w:t xml:space="preserve">Lee, S.M., Kang, W.S., Cho, A.R., Kim, T. and Park, J.K., 2021. Psychological impact of the 2015 MERS outbreak on hospital workers and quarantined patients in South Korea. </w:t>
      </w:r>
      <w:r>
        <w:rPr>
          <w:rStyle w:val="Emphasis"/>
          <w:rFonts w:eastAsiaTheme="majorEastAsia"/>
        </w:rPr>
        <w:t>Comprehensive Psychiatry</w:t>
      </w:r>
      <w:r>
        <w:t>, 87, p.152276.</w:t>
      </w:r>
    </w:p>
    <w:p w14:paraId="0F2F13FE" w14:textId="77777777" w:rsidR="00254B6A" w:rsidRDefault="00254B6A" w:rsidP="001259DB">
      <w:pPr>
        <w:pStyle w:val="NormalWeb"/>
      </w:pPr>
      <w:r>
        <w:t xml:space="preserve">Liu, Q., Luo, D., Haase, J.E., Guo, Q., Wang, X.Q., Liu, S., Xia, L., Liu, Z., Yang, J. and Yang, B.X., 2020. The experiences of health-care providers during the COVID-19 crisis in China: a qualitative study. </w:t>
      </w:r>
      <w:r>
        <w:rPr>
          <w:rStyle w:val="Emphasis"/>
          <w:rFonts w:eastAsiaTheme="majorEastAsia"/>
        </w:rPr>
        <w:t>The Lancet Global Health</w:t>
      </w:r>
      <w:r>
        <w:t>, 8(6), pp.e790–e798.</w:t>
      </w:r>
    </w:p>
    <w:p w14:paraId="1C1EAA01" w14:textId="77777777" w:rsidR="00254B6A" w:rsidRDefault="00254B6A" w:rsidP="00254B6A">
      <w:pPr>
        <w:pStyle w:val="NormalWeb"/>
      </w:pPr>
      <w:r>
        <w:t xml:space="preserve">Maslach, C. and Jackson, S.E. (1981) ‘The measurement of experienced burnout’, </w:t>
      </w:r>
      <w:r>
        <w:rPr>
          <w:rStyle w:val="Emphasis"/>
          <w:rFonts w:eastAsiaTheme="majorEastAsia"/>
        </w:rPr>
        <w:t>Journal of Occupational Behavior</w:t>
      </w:r>
      <w:r>
        <w:t>, 2(2), pp. 99–113.</w:t>
      </w:r>
    </w:p>
    <w:p w14:paraId="5F6C9AB7" w14:textId="77777777" w:rsidR="00254B6A" w:rsidRDefault="00254B6A" w:rsidP="001259DB">
      <w:pPr>
        <w:pStyle w:val="NormalWeb"/>
      </w:pPr>
      <w:r>
        <w:t xml:space="preserve">Maslach, C. and Jackson, S.E., 1981. The measurement of experienced burnout. </w:t>
      </w:r>
      <w:r>
        <w:rPr>
          <w:rStyle w:val="Emphasis"/>
          <w:rFonts w:eastAsiaTheme="majorEastAsia"/>
        </w:rPr>
        <w:t>Journal of Occupational Behaviour</w:t>
      </w:r>
      <w:r>
        <w:t>, 2(2), pp.99–113.</w:t>
      </w:r>
    </w:p>
    <w:p w14:paraId="64783AB7" w14:textId="77777777" w:rsidR="00254B6A" w:rsidRDefault="00254B6A" w:rsidP="00254B6A">
      <w:pPr>
        <w:pStyle w:val="NormalWeb"/>
      </w:pPr>
      <w:r>
        <w:lastRenderedPageBreak/>
        <w:t xml:space="preserve">Moreno, C., Wykes, T., Galderisi, S., Nordentoft, M., Crossley, N., Jones, N., Cannon, M., Correll, C.U., Byrne, L., Carr, S., Chen, E.Y.H., Gorwood, P., Johnson, S., Kärkkäinen, H., Krystal, J.H., Lee, J., Lieberman, J., López-Jaramillo, C., Männikkö, M., Phillips, M.R., Uchida, H., Vieta, E., Vita, A., Wahlbeck, K. and Arango, C. (2020) ‘How mental health care should change as a consequence of the COVID-19 pandemic’, </w:t>
      </w:r>
      <w:r>
        <w:rPr>
          <w:rStyle w:val="Emphasis"/>
          <w:rFonts w:eastAsiaTheme="majorEastAsia"/>
        </w:rPr>
        <w:t>The Lancet Psychiatry</w:t>
      </w:r>
      <w:r>
        <w:t>, 7(9), pp. 813–824.</w:t>
      </w:r>
    </w:p>
    <w:p w14:paraId="73716F52" w14:textId="77777777" w:rsidR="00254B6A" w:rsidRDefault="00254B6A" w:rsidP="001259DB">
      <w:pPr>
        <w:pStyle w:val="NormalWeb"/>
      </w:pPr>
      <w:r>
        <w:t xml:space="preserve">Morgantini, L.A., Naha, U., Wang, H., Francavilla, S., Acar, Ö., Flores, J.M., Crivellaro, S., Moreira, D., Abern, M., Purshouse, R. and Casanova, M., 2020. Factors contributing to healthcare professional burnout during the COVID-19 pandemic: a rapid turnaround global survey. </w:t>
      </w:r>
      <w:r>
        <w:rPr>
          <w:rStyle w:val="Emphasis"/>
          <w:rFonts w:eastAsiaTheme="majorEastAsia"/>
        </w:rPr>
        <w:t>PLOS ONE</w:t>
      </w:r>
      <w:r>
        <w:t>, 15(9), p.e0238217.</w:t>
      </w:r>
    </w:p>
    <w:p w14:paraId="61C88BC2" w14:textId="77777777" w:rsidR="00254B6A" w:rsidRDefault="00254B6A" w:rsidP="00254B6A">
      <w:pPr>
        <w:pStyle w:val="NormalWeb"/>
      </w:pPr>
      <w:r>
        <w:t xml:space="preserve">Morgantini, L.A., Naha, U., Wang, H., Francavilla, S., Acar, Ö., Flores, J.M., Crivellaro, S., Moreira, D., Abern, M., Eklund, M., Vigneswaran, H.T. and Weine, S.M. (2020) ‘Factors contributing to healthcare professional burnout during the COVID-19 pandemic: a rapid turnaround global survey’, </w:t>
      </w:r>
      <w:r>
        <w:rPr>
          <w:rStyle w:val="Emphasis"/>
          <w:rFonts w:eastAsiaTheme="majorEastAsia"/>
        </w:rPr>
        <w:t>PLoS ONE</w:t>
      </w:r>
      <w:r>
        <w:t>, 15(9), e0238217.</w:t>
      </w:r>
    </w:p>
    <w:p w14:paraId="65A66BC3" w14:textId="77777777" w:rsidR="00254B6A" w:rsidRDefault="00254B6A" w:rsidP="001259DB">
      <w:pPr>
        <w:pStyle w:val="NormalWeb"/>
      </w:pPr>
      <w:r>
        <w:t xml:space="preserve">NHS, 2023. </w:t>
      </w:r>
      <w:r>
        <w:rPr>
          <w:rStyle w:val="Emphasis"/>
          <w:rFonts w:eastAsiaTheme="majorEastAsia"/>
        </w:rPr>
        <w:t>NHS Staff Survey 2023</w:t>
      </w:r>
      <w:r>
        <w:t>. London: NHS England.</w:t>
      </w:r>
    </w:p>
    <w:p w14:paraId="3C811352" w14:textId="77777777" w:rsidR="00254B6A" w:rsidRDefault="00254B6A" w:rsidP="00254B6A">
      <w:pPr>
        <w:pStyle w:val="NormalWeb"/>
      </w:pPr>
      <w:r>
        <w:t xml:space="preserve">Polit, D.F. and Beck, C.T. (2017) </w:t>
      </w:r>
      <w:r>
        <w:rPr>
          <w:rStyle w:val="Emphasis"/>
          <w:rFonts w:eastAsiaTheme="majorEastAsia"/>
        </w:rPr>
        <w:t>Nursing research: generating and assessing evidence for nursing practice</w:t>
      </w:r>
      <w:r>
        <w:t>. 10th edn. Philadelphia: Wolters Kluwer.</w:t>
      </w:r>
    </w:p>
    <w:p w14:paraId="3ECF17D1" w14:textId="77777777" w:rsidR="00254B6A" w:rsidRDefault="00254B6A" w:rsidP="001259DB">
      <w:pPr>
        <w:pStyle w:val="NormalWeb"/>
      </w:pPr>
      <w:r>
        <w:t xml:space="preserve">Rossi, R., Socci, V., Pacitti, F., Di Lorenzo, G., Di Marco, A., Siracusano, A. and Rossi, A., 2020. Mental health outcomes among healthcare workers and the general population during the COVID-19 in Italy. </w:t>
      </w:r>
      <w:r>
        <w:rPr>
          <w:rStyle w:val="Emphasis"/>
          <w:rFonts w:eastAsiaTheme="majorEastAsia"/>
        </w:rPr>
        <w:t>Frontiers in Psychology</w:t>
      </w:r>
      <w:r>
        <w:t>, 11, p.608986.</w:t>
      </w:r>
    </w:p>
    <w:p w14:paraId="29D17D67" w14:textId="77777777" w:rsidR="00254B6A" w:rsidRDefault="00254B6A" w:rsidP="00254B6A">
      <w:pPr>
        <w:pStyle w:val="NormalWeb"/>
      </w:pPr>
      <w:r>
        <w:t xml:space="preserve">Rossi, R., Socci, V., Pacitti, F., Di Lorenzo, G., Di Marco, A., Siracusano, A. and Rossi, A. (2020) ‘Mental health outcomes among frontline and second-line health care workers during the coronavirus disease 2019 (COVID-19) pandemic in Italy’, </w:t>
      </w:r>
      <w:r>
        <w:rPr>
          <w:rStyle w:val="Emphasis"/>
          <w:rFonts w:eastAsiaTheme="majorEastAsia"/>
        </w:rPr>
        <w:t>JAMA Network Open</w:t>
      </w:r>
      <w:r>
        <w:t>, 3(5), e2010185.</w:t>
      </w:r>
    </w:p>
    <w:p w14:paraId="64C48F0A" w14:textId="77777777" w:rsidR="00254B6A" w:rsidRDefault="00254B6A" w:rsidP="00254B6A">
      <w:pPr>
        <w:pStyle w:val="NormalWeb"/>
      </w:pPr>
      <w:r>
        <w:t xml:space="preserve">Shanafelt, T., Ripp, J. and Trockel, M. (2020) ‘Understanding and addressing sources of anxiety among healthcare professionals during the COVID-19 pandemic’, </w:t>
      </w:r>
      <w:r>
        <w:rPr>
          <w:rStyle w:val="Emphasis"/>
          <w:rFonts w:eastAsiaTheme="majorEastAsia"/>
        </w:rPr>
        <w:t>JAMA</w:t>
      </w:r>
      <w:r>
        <w:t>, 323(21), pp. 2133–2134.</w:t>
      </w:r>
    </w:p>
    <w:p w14:paraId="63B05C6E" w14:textId="77777777" w:rsidR="00254B6A" w:rsidRDefault="00254B6A" w:rsidP="00254B6A">
      <w:pPr>
        <w:pStyle w:val="NormalWeb"/>
      </w:pPr>
      <w:r>
        <w:t xml:space="preserve">Shaukat, N., Ali, D.M. and Razzak, J. (2020) ‘Physical and mental health impacts of COVID-19 on healthcare workers: a scoping review’, </w:t>
      </w:r>
      <w:r>
        <w:rPr>
          <w:rStyle w:val="Emphasis"/>
          <w:rFonts w:eastAsiaTheme="majorEastAsia"/>
        </w:rPr>
        <w:t>International Journal of Emergency Medicine</w:t>
      </w:r>
      <w:r>
        <w:t>, 13(1), 40.</w:t>
      </w:r>
    </w:p>
    <w:p w14:paraId="7FD6D414" w14:textId="77777777" w:rsidR="00254B6A" w:rsidRDefault="00254B6A" w:rsidP="001259DB">
      <w:pPr>
        <w:pStyle w:val="NormalWeb"/>
      </w:pPr>
      <w:r>
        <w:t xml:space="preserve">Shaukat, N., Ali, D.M. and Razzak, J., 2020. Physical and mental health impacts of COVID-19 on healthcare workers: a scoping review. </w:t>
      </w:r>
      <w:r>
        <w:rPr>
          <w:rStyle w:val="Emphasis"/>
          <w:rFonts w:eastAsiaTheme="majorEastAsia"/>
        </w:rPr>
        <w:t>International Journal of Emergency Medicine</w:t>
      </w:r>
      <w:r>
        <w:t>, 13(1), pp.1–8.</w:t>
      </w:r>
    </w:p>
    <w:p w14:paraId="6F930796" w14:textId="77777777" w:rsidR="00254B6A" w:rsidRDefault="00254B6A" w:rsidP="00254B6A">
      <w:pPr>
        <w:pStyle w:val="NormalWeb"/>
      </w:pPr>
      <w:r>
        <w:t xml:space="preserve">Shechter, A., Diaz, F., Moise, N., Anstey, D.E., Ye, S., Agarwal, S., Birk, J.L., Brodie, D., Cannone, D.E., Chang, B., Claassen, J., Cornelius, T., Derby, L., Dong, M., Givens, R.C., Hochman, B., Homma, S., Kronish, I.M., Lee, S.A.J., Manzano, W., Mayer, L.E.S., McMurry, C.L., Moitra, V., Pham, P., Rabbani, L., Rivera, R.R., Schwartz, A., Schwartz, J.E., Shalev, V., Shaw, K., Sullivan, A.M., Vose, C., Wasson, L., Edmondson, D. and Abdalla, M. (2020) ‘Psychological distress, coping behaviours, and preferences for support </w:t>
      </w:r>
      <w:r>
        <w:lastRenderedPageBreak/>
        <w:t xml:space="preserve">among New York healthcare workers during the COVID-19 pandemic’, </w:t>
      </w:r>
      <w:r>
        <w:rPr>
          <w:rStyle w:val="Emphasis"/>
          <w:rFonts w:eastAsiaTheme="majorEastAsia"/>
        </w:rPr>
        <w:t>General Hospital Psychiatry</w:t>
      </w:r>
      <w:r>
        <w:t>, 66, pp. 1–8.</w:t>
      </w:r>
    </w:p>
    <w:p w14:paraId="7696FD4D" w14:textId="77777777" w:rsidR="00254B6A" w:rsidRDefault="00254B6A" w:rsidP="00254B6A">
      <w:pPr>
        <w:pStyle w:val="NormalWeb"/>
      </w:pPr>
      <w:r>
        <w:t xml:space="preserve">Spoorthy, M.S., Pratapa, S.K. and Mahant, S. (2020) ‘Mental health problems faced by healthcare workers due to the COVID-19 pandemic – a review’, </w:t>
      </w:r>
      <w:r>
        <w:rPr>
          <w:rStyle w:val="Emphasis"/>
          <w:rFonts w:eastAsiaTheme="majorEastAsia"/>
        </w:rPr>
        <w:t>Asian Journal of Psychiatry</w:t>
      </w:r>
      <w:r>
        <w:t>, 51, 102119.</w:t>
      </w:r>
    </w:p>
    <w:p w14:paraId="19805DE6" w14:textId="77777777" w:rsidR="00254B6A" w:rsidRDefault="00254B6A" w:rsidP="001259DB">
      <w:pPr>
        <w:pStyle w:val="NormalWeb"/>
      </w:pPr>
      <w:r>
        <w:t xml:space="preserve">Tedeschi, R.G. and Calhoun, L.G., 1996. The posttraumatic growth inventory: measuring the positive legacy of trauma. </w:t>
      </w:r>
      <w:r>
        <w:rPr>
          <w:rStyle w:val="Emphasis"/>
          <w:rFonts w:eastAsiaTheme="majorEastAsia"/>
        </w:rPr>
        <w:t>Journal of Traumatic Stress</w:t>
      </w:r>
      <w:r>
        <w:t>, 9(3), pp.455–471.</w:t>
      </w:r>
    </w:p>
    <w:p w14:paraId="6C9EFBD2" w14:textId="77777777" w:rsidR="00254B6A" w:rsidRDefault="00254B6A" w:rsidP="00254B6A">
      <w:pPr>
        <w:pStyle w:val="NormalWeb"/>
      </w:pPr>
      <w:r>
        <w:t xml:space="preserve">West, C.P., Dyrbye, L.N. and Shanafelt, T.D. (2018) ‘Physician burnout: contributors, consequences and solutions’, </w:t>
      </w:r>
      <w:r>
        <w:rPr>
          <w:rStyle w:val="Emphasis"/>
          <w:rFonts w:eastAsiaTheme="majorEastAsia"/>
        </w:rPr>
        <w:t>Journal of Internal Medicine</w:t>
      </w:r>
      <w:r>
        <w:t>, 283(6), pp. 516–529.</w:t>
      </w:r>
    </w:p>
    <w:p w14:paraId="2A2F9B21" w14:textId="77777777" w:rsidR="00254B6A" w:rsidRDefault="00254B6A" w:rsidP="001259DB">
      <w:pPr>
        <w:pStyle w:val="NormalWeb"/>
      </w:pPr>
      <w:r>
        <w:t xml:space="preserve">West, M. and Coia, D., 2022. </w:t>
      </w:r>
      <w:r>
        <w:rPr>
          <w:rStyle w:val="Emphasis"/>
          <w:rFonts w:eastAsiaTheme="majorEastAsia"/>
        </w:rPr>
        <w:t>Caring for doctors, caring for patients</w:t>
      </w:r>
      <w:r>
        <w:t>. London: General Medical Council.</w:t>
      </w:r>
    </w:p>
    <w:p w14:paraId="7F5F13EE" w14:textId="77777777" w:rsidR="00254B6A" w:rsidRDefault="00254B6A" w:rsidP="00254B6A">
      <w:pPr>
        <w:pStyle w:val="NormalWeb"/>
      </w:pPr>
      <w:r>
        <w:t xml:space="preserve">World Health Organization (2020) </w:t>
      </w:r>
      <w:r>
        <w:rPr>
          <w:rStyle w:val="Emphasis"/>
          <w:rFonts w:eastAsiaTheme="majorEastAsia"/>
        </w:rPr>
        <w:t>Mental health and psychosocial considerations during the COVID-19 outbreak</w:t>
      </w:r>
      <w:r>
        <w:t xml:space="preserve">. Geneva: WHO. Available at: </w:t>
      </w:r>
      <w:hyperlink r:id="rId6" w:tgtFrame="_new" w:history="1">
        <w:r>
          <w:rPr>
            <w:rStyle w:val="Hyperlink"/>
            <w:rFonts w:eastAsiaTheme="majorEastAsia"/>
          </w:rPr>
          <w:t>https://www.who.int/docs/default-source/coronaviruse/mental-health-considerations.pdf</w:t>
        </w:r>
      </w:hyperlink>
      <w:r>
        <w:t xml:space="preserve"> [Accessed 8 September 2025].</w:t>
      </w:r>
    </w:p>
    <w:p w14:paraId="7D8C9495" w14:textId="77777777" w:rsidR="00254B6A" w:rsidRDefault="00254B6A" w:rsidP="001259DB">
      <w:pPr>
        <w:pStyle w:val="NormalWeb"/>
      </w:pPr>
      <w:r>
        <w:t xml:space="preserve">Wu, P., Fang, Y., Guan, Z., Fan, B., Kong, J., Yao, Z., Liu, X., Fuller, C.J., Susser, E., Lu, J. and Hoven, C.W., 2009. The psychological impact of the SARS epidemic on hospital employees in China: exposure, risk perception, and altruistic acceptance of risk. </w:t>
      </w:r>
      <w:r>
        <w:rPr>
          <w:rStyle w:val="Emphasis"/>
          <w:rFonts w:eastAsiaTheme="majorEastAsia"/>
        </w:rPr>
        <w:t>Canadian Journal of Psychiatry</w:t>
      </w:r>
      <w:r>
        <w:t>, 54(5), pp.302–311.</w:t>
      </w:r>
    </w:p>
    <w:p w14:paraId="152D138A" w14:textId="77777777" w:rsidR="00254B6A" w:rsidRDefault="00254B6A" w:rsidP="00254B6A">
      <w:pPr>
        <w:pStyle w:val="NormalWeb"/>
      </w:pPr>
      <w:r>
        <w:t xml:space="preserve">Wu, T., Jia, X., Shi, H., Niu, J., Yin, X., Xie, J. and Wang, X. (2020) ‘Prevalence of mental health problems during the COVID-19 pandemic: a systematic review and meta-analysis’, </w:t>
      </w:r>
      <w:r>
        <w:rPr>
          <w:rStyle w:val="Emphasis"/>
          <w:rFonts w:eastAsiaTheme="majorEastAsia"/>
        </w:rPr>
        <w:t>Journal of Affective Disorders</w:t>
      </w:r>
      <w:r>
        <w:t>, 281, pp. 91–98.</w:t>
      </w:r>
    </w:p>
    <w:p w14:paraId="7D534EE6" w14:textId="77777777" w:rsidR="00254B6A" w:rsidRDefault="00254B6A" w:rsidP="00254B6A">
      <w:pPr>
        <w:pStyle w:val="NormalWeb"/>
      </w:pPr>
      <w:r>
        <w:t xml:space="preserve">Zhang, C., Yang, L., Liu, S., Ma, S., Wang, Y., Cai, Z., Du, H., Li, R., Kang, L., Su, M., Zhang, J., Liu, Z. and Zhang, B. (2020) ‘Survey of insomnia and related social psychological factors among medical staff involved in the 2019 novel coronavirus disease outbreak’, </w:t>
      </w:r>
      <w:r>
        <w:rPr>
          <w:rStyle w:val="Emphasis"/>
          <w:rFonts w:eastAsiaTheme="majorEastAsia"/>
        </w:rPr>
        <w:t>Frontiers in Psychiatry</w:t>
      </w:r>
      <w:r>
        <w:t>, 11, 306.</w:t>
      </w:r>
    </w:p>
    <w:p w14:paraId="0006CF7C" w14:textId="77777777" w:rsidR="00254B6A" w:rsidRDefault="00254B6A" w:rsidP="001259DB">
      <w:pPr>
        <w:pStyle w:val="NormalWeb"/>
      </w:pPr>
      <w:r>
        <w:t xml:space="preserve">Zoellner, T. and Maercker, A., 2006. Posttraumatic growth in clinical psychology—A critical review and introduction of a two-component model. </w:t>
      </w:r>
      <w:r>
        <w:rPr>
          <w:rStyle w:val="Emphasis"/>
          <w:rFonts w:eastAsiaTheme="majorEastAsia"/>
        </w:rPr>
        <w:t>Clinical Psychology Review</w:t>
      </w:r>
      <w:r>
        <w:t>, 26(5), pp.626–653.</w:t>
      </w:r>
    </w:p>
    <w:p w14:paraId="25196A2C" w14:textId="77777777" w:rsidR="00254B6A" w:rsidRDefault="00254B6A" w:rsidP="00254B6A">
      <w:pPr>
        <w:pStyle w:val="NormalWeb"/>
      </w:pPr>
    </w:p>
    <w:p w14:paraId="3F33B225" w14:textId="77777777" w:rsidR="001259DB" w:rsidRDefault="001259DB" w:rsidP="001259DB">
      <w:pPr>
        <w:spacing w:before="100" w:beforeAutospacing="1" w:after="100" w:afterAutospacing="1" w:line="240" w:lineRule="auto"/>
        <w:rPr>
          <w:rFonts w:ascii="Times New Roman" w:eastAsia="Times New Roman" w:hAnsi="Times New Roman" w:cs="Times New Roman"/>
          <w:sz w:val="24"/>
          <w:szCs w:val="24"/>
          <w:lang w:eastAsia="en-GB"/>
        </w:rPr>
      </w:pPr>
    </w:p>
    <w:p w14:paraId="419767EB" w14:textId="77777777" w:rsidR="001259DB" w:rsidRDefault="001259DB" w:rsidP="001259DB">
      <w:pPr>
        <w:spacing w:before="100" w:beforeAutospacing="1" w:after="100" w:afterAutospacing="1" w:line="240" w:lineRule="auto"/>
        <w:rPr>
          <w:rFonts w:ascii="Times New Roman" w:eastAsia="Times New Roman" w:hAnsi="Times New Roman" w:cs="Times New Roman"/>
          <w:sz w:val="24"/>
          <w:szCs w:val="24"/>
          <w:lang w:eastAsia="en-GB"/>
        </w:rPr>
      </w:pPr>
    </w:p>
    <w:p w14:paraId="3CFF00AC" w14:textId="77777777" w:rsidR="001259DB" w:rsidRDefault="001259DB" w:rsidP="001259DB">
      <w:pPr>
        <w:spacing w:before="100" w:beforeAutospacing="1" w:after="100" w:afterAutospacing="1" w:line="240" w:lineRule="auto"/>
        <w:rPr>
          <w:rFonts w:ascii="Times New Roman" w:eastAsia="Times New Roman" w:hAnsi="Times New Roman" w:cs="Times New Roman"/>
          <w:sz w:val="24"/>
          <w:szCs w:val="24"/>
          <w:lang w:eastAsia="en-GB"/>
        </w:rPr>
      </w:pPr>
    </w:p>
    <w:p w14:paraId="57E246CF" w14:textId="77777777" w:rsidR="001259DB" w:rsidRDefault="001259DB" w:rsidP="001259DB">
      <w:pPr>
        <w:spacing w:before="100" w:beforeAutospacing="1" w:after="100" w:afterAutospacing="1" w:line="240" w:lineRule="auto"/>
        <w:rPr>
          <w:rFonts w:ascii="Times New Roman" w:eastAsia="Times New Roman" w:hAnsi="Times New Roman" w:cs="Times New Roman"/>
          <w:sz w:val="24"/>
          <w:szCs w:val="24"/>
          <w:lang w:eastAsia="en-GB"/>
        </w:rPr>
      </w:pPr>
    </w:p>
    <w:p w14:paraId="49859B3B" w14:textId="77777777" w:rsidR="001259DB" w:rsidRPr="001259DB" w:rsidRDefault="001259DB" w:rsidP="001259DB">
      <w:pPr>
        <w:spacing w:before="100" w:beforeAutospacing="1" w:after="100" w:afterAutospacing="1" w:line="240" w:lineRule="auto"/>
        <w:rPr>
          <w:rFonts w:ascii="Times New Roman" w:eastAsia="Times New Roman" w:hAnsi="Times New Roman" w:cs="Times New Roman"/>
          <w:sz w:val="24"/>
          <w:szCs w:val="24"/>
          <w:lang w:eastAsia="en-GB"/>
        </w:rPr>
      </w:pPr>
    </w:p>
    <w:p w14:paraId="1A865FB1" w14:textId="77777777" w:rsidR="001259DB" w:rsidRDefault="001259DB" w:rsidP="00B75A0D">
      <w:pPr>
        <w:spacing w:before="100" w:beforeAutospacing="1" w:after="100" w:afterAutospacing="1" w:line="240" w:lineRule="auto"/>
        <w:rPr>
          <w:rFonts w:ascii="Times New Roman" w:eastAsia="Times New Roman" w:hAnsi="Times New Roman" w:cs="Times New Roman"/>
          <w:sz w:val="24"/>
          <w:szCs w:val="24"/>
          <w:lang w:eastAsia="en-GB"/>
        </w:rPr>
      </w:pPr>
    </w:p>
    <w:p w14:paraId="29BB312E" w14:textId="77777777" w:rsidR="0036699D" w:rsidRPr="00B75A0D" w:rsidRDefault="0036699D" w:rsidP="00B75A0D">
      <w:pPr>
        <w:spacing w:before="100" w:beforeAutospacing="1" w:after="100" w:afterAutospacing="1" w:line="240" w:lineRule="auto"/>
        <w:rPr>
          <w:rFonts w:ascii="Times New Roman" w:eastAsia="Times New Roman" w:hAnsi="Times New Roman" w:cs="Times New Roman"/>
          <w:sz w:val="24"/>
          <w:szCs w:val="24"/>
          <w:lang w:eastAsia="en-GB"/>
        </w:rPr>
      </w:pPr>
    </w:p>
    <w:p w14:paraId="73882BB5" w14:textId="77777777" w:rsidR="00B75A0D" w:rsidRDefault="00B75A0D" w:rsidP="00B75A0D"/>
    <w:sectPr w:rsidR="00B75A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327A8"/>
    <w:multiLevelType w:val="multilevel"/>
    <w:tmpl w:val="1C5C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74376"/>
    <w:multiLevelType w:val="multilevel"/>
    <w:tmpl w:val="A46C7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5759F1"/>
    <w:multiLevelType w:val="multilevel"/>
    <w:tmpl w:val="7E284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AF450C"/>
    <w:multiLevelType w:val="multilevel"/>
    <w:tmpl w:val="35267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E14CCA"/>
    <w:multiLevelType w:val="multilevel"/>
    <w:tmpl w:val="569A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567E66"/>
    <w:multiLevelType w:val="multilevel"/>
    <w:tmpl w:val="BAE2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555764">
    <w:abstractNumId w:val="0"/>
  </w:num>
  <w:num w:numId="2" w16cid:durableId="1449622573">
    <w:abstractNumId w:val="4"/>
  </w:num>
  <w:num w:numId="3" w16cid:durableId="1617563352">
    <w:abstractNumId w:val="3"/>
  </w:num>
  <w:num w:numId="4" w16cid:durableId="400252192">
    <w:abstractNumId w:val="1"/>
  </w:num>
  <w:num w:numId="5" w16cid:durableId="1092433067">
    <w:abstractNumId w:val="2"/>
  </w:num>
  <w:num w:numId="6" w16cid:durableId="9760365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A0D"/>
    <w:rsid w:val="000F0056"/>
    <w:rsid w:val="001259DB"/>
    <w:rsid w:val="00254B6A"/>
    <w:rsid w:val="0036699D"/>
    <w:rsid w:val="00615D5A"/>
    <w:rsid w:val="007E3C93"/>
    <w:rsid w:val="00887325"/>
    <w:rsid w:val="0090505E"/>
    <w:rsid w:val="00B75A0D"/>
    <w:rsid w:val="00BA4AD9"/>
    <w:rsid w:val="00D112AC"/>
    <w:rsid w:val="00DD3704"/>
    <w:rsid w:val="00E50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70F9"/>
  <w15:chartTrackingRefBased/>
  <w15:docId w15:val="{3FC89EED-2434-45BF-877A-143DCE256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5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5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5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A0D"/>
    <w:rPr>
      <w:rFonts w:eastAsiaTheme="majorEastAsia" w:cstheme="majorBidi"/>
      <w:color w:val="272727" w:themeColor="text1" w:themeTint="D8"/>
    </w:rPr>
  </w:style>
  <w:style w:type="paragraph" w:styleId="Title">
    <w:name w:val="Title"/>
    <w:basedOn w:val="Normal"/>
    <w:next w:val="Normal"/>
    <w:link w:val="TitleChar"/>
    <w:uiPriority w:val="10"/>
    <w:qFormat/>
    <w:rsid w:val="00B75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A0D"/>
    <w:pPr>
      <w:spacing w:before="160"/>
      <w:jc w:val="center"/>
    </w:pPr>
    <w:rPr>
      <w:i/>
      <w:iCs/>
      <w:color w:val="404040" w:themeColor="text1" w:themeTint="BF"/>
    </w:rPr>
  </w:style>
  <w:style w:type="character" w:customStyle="1" w:styleId="QuoteChar">
    <w:name w:val="Quote Char"/>
    <w:basedOn w:val="DefaultParagraphFont"/>
    <w:link w:val="Quote"/>
    <w:uiPriority w:val="29"/>
    <w:rsid w:val="00B75A0D"/>
    <w:rPr>
      <w:i/>
      <w:iCs/>
      <w:color w:val="404040" w:themeColor="text1" w:themeTint="BF"/>
    </w:rPr>
  </w:style>
  <w:style w:type="paragraph" w:styleId="ListParagraph">
    <w:name w:val="List Paragraph"/>
    <w:basedOn w:val="Normal"/>
    <w:uiPriority w:val="34"/>
    <w:qFormat/>
    <w:rsid w:val="00B75A0D"/>
    <w:pPr>
      <w:ind w:left="720"/>
      <w:contextualSpacing/>
    </w:pPr>
  </w:style>
  <w:style w:type="character" w:styleId="IntenseEmphasis">
    <w:name w:val="Intense Emphasis"/>
    <w:basedOn w:val="DefaultParagraphFont"/>
    <w:uiPriority w:val="21"/>
    <w:qFormat/>
    <w:rsid w:val="00B75A0D"/>
    <w:rPr>
      <w:i/>
      <w:iCs/>
      <w:color w:val="0F4761" w:themeColor="accent1" w:themeShade="BF"/>
    </w:rPr>
  </w:style>
  <w:style w:type="paragraph" w:styleId="IntenseQuote">
    <w:name w:val="Intense Quote"/>
    <w:basedOn w:val="Normal"/>
    <w:next w:val="Normal"/>
    <w:link w:val="IntenseQuoteChar"/>
    <w:uiPriority w:val="30"/>
    <w:qFormat/>
    <w:rsid w:val="00B75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A0D"/>
    <w:rPr>
      <w:i/>
      <w:iCs/>
      <w:color w:val="0F4761" w:themeColor="accent1" w:themeShade="BF"/>
    </w:rPr>
  </w:style>
  <w:style w:type="character" w:styleId="IntenseReference">
    <w:name w:val="Intense Reference"/>
    <w:basedOn w:val="DefaultParagraphFont"/>
    <w:uiPriority w:val="32"/>
    <w:qFormat/>
    <w:rsid w:val="00B75A0D"/>
    <w:rPr>
      <w:b/>
      <w:bCs/>
      <w:smallCaps/>
      <w:color w:val="0F4761" w:themeColor="accent1" w:themeShade="BF"/>
      <w:spacing w:val="5"/>
    </w:rPr>
  </w:style>
  <w:style w:type="paragraph" w:styleId="NormalWeb">
    <w:name w:val="Normal (Web)"/>
    <w:basedOn w:val="Normal"/>
    <w:uiPriority w:val="99"/>
    <w:semiHidden/>
    <w:unhideWhenUsed/>
    <w:rsid w:val="00125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259DB"/>
    <w:rPr>
      <w:i/>
      <w:iCs/>
    </w:rPr>
  </w:style>
  <w:style w:type="character" w:styleId="Hyperlink">
    <w:name w:val="Hyperlink"/>
    <w:basedOn w:val="DefaultParagraphFont"/>
    <w:uiPriority w:val="99"/>
    <w:semiHidden/>
    <w:unhideWhenUsed/>
    <w:rsid w:val="00254B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docs/default-source/coronaviruse/mental-health-considerations.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5445</Words>
  <Characters>31037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Sabha Akhtar</dc:creator>
  <cp:keywords/>
  <dc:description/>
  <cp:lastModifiedBy>Sabha Akhtar</cp:lastModifiedBy>
  <cp:revision>3</cp:revision>
  <dcterms:created xsi:type="dcterms:W3CDTF">2025-11-13T09:17:00Z</dcterms:created>
  <dcterms:modified xsi:type="dcterms:W3CDTF">2025-11-13T09:19:00Z</dcterms:modified>
</cp:coreProperties>
</file>