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7737B" w14:textId="3BC981F1" w:rsidR="00522CD1" w:rsidRDefault="007020A3" w:rsidP="00365C83">
      <w:pPr>
        <w:jc w:val="center"/>
        <w:rPr>
          <w:rFonts w:asciiTheme="majorHAnsi" w:hAnsiTheme="majorHAnsi" w:cstheme="majorHAnsi"/>
          <w:b/>
          <w:bCs/>
          <w:u w:val="single"/>
        </w:rPr>
      </w:pPr>
      <w:r>
        <w:rPr>
          <w:rFonts w:asciiTheme="majorHAnsi" w:hAnsiTheme="majorHAnsi" w:cstheme="majorHAnsi"/>
          <w:b/>
          <w:bCs/>
          <w:u w:val="single"/>
        </w:rPr>
        <w:t>Tort Law Assignment Two.</w:t>
      </w:r>
    </w:p>
    <w:p w14:paraId="3C8AC7F4" w14:textId="3325A778" w:rsidR="00365C83" w:rsidRDefault="00365C83" w:rsidP="00365C83">
      <w:pPr>
        <w:jc w:val="center"/>
        <w:rPr>
          <w:rFonts w:asciiTheme="majorHAnsi" w:hAnsiTheme="majorHAnsi" w:cstheme="majorHAnsi"/>
          <w:b/>
          <w:bCs/>
          <w:u w:val="single"/>
        </w:rPr>
      </w:pPr>
    </w:p>
    <w:p w14:paraId="5F720B6E" w14:textId="0FBA8842" w:rsidR="00365C83" w:rsidRDefault="007020A3" w:rsidP="00365C83">
      <w:pPr>
        <w:jc w:val="both"/>
        <w:rPr>
          <w:rFonts w:asciiTheme="majorHAnsi" w:hAnsiTheme="majorHAnsi" w:cstheme="majorHAnsi"/>
        </w:rPr>
      </w:pPr>
      <w:r>
        <w:rPr>
          <w:rFonts w:asciiTheme="majorHAnsi" w:hAnsiTheme="majorHAnsi" w:cstheme="majorHAnsi"/>
        </w:rPr>
        <w:t>To deter</w:t>
      </w:r>
      <w:r w:rsidR="00742C94">
        <w:rPr>
          <w:rFonts w:asciiTheme="majorHAnsi" w:hAnsiTheme="majorHAnsi" w:cstheme="majorHAnsi"/>
        </w:rPr>
        <w:t xml:space="preserve">mine the potential outcome of the four cases it is essential to consider the liability and duty of care that Carlton Parks owes to each victim. To do this the relevant legislation will be considered in these cases it will be the Occupiers Liability Act and the position in which a primary and secondary victim have the potential for a claim. </w:t>
      </w:r>
    </w:p>
    <w:p w14:paraId="545BFFFE" w14:textId="77777777" w:rsidR="005931C3" w:rsidRDefault="005931C3" w:rsidP="00365C83">
      <w:pPr>
        <w:jc w:val="both"/>
        <w:rPr>
          <w:rFonts w:asciiTheme="majorHAnsi" w:hAnsiTheme="majorHAnsi" w:cstheme="majorHAnsi"/>
        </w:rPr>
      </w:pPr>
    </w:p>
    <w:p w14:paraId="4696798A" w14:textId="21630C4D" w:rsidR="00365C83" w:rsidRDefault="007020A3" w:rsidP="00365C83">
      <w:pPr>
        <w:jc w:val="both"/>
        <w:rPr>
          <w:rFonts w:asciiTheme="majorHAnsi" w:hAnsiTheme="majorHAnsi" w:cstheme="majorHAnsi"/>
        </w:rPr>
      </w:pPr>
      <w:r>
        <w:rPr>
          <w:rFonts w:asciiTheme="majorHAnsi" w:hAnsiTheme="majorHAnsi" w:cstheme="majorHAnsi"/>
        </w:rPr>
        <w:t xml:space="preserve">In the case of Leo, the key elements are firstly his age with Leo only being eight years old he is a child, </w:t>
      </w:r>
      <w:r w:rsidR="009A3C5B">
        <w:rPr>
          <w:rFonts w:asciiTheme="majorHAnsi" w:hAnsiTheme="majorHAnsi" w:cstheme="majorHAnsi"/>
        </w:rPr>
        <w:t>secondly,</w:t>
      </w:r>
      <w:r>
        <w:rPr>
          <w:rFonts w:asciiTheme="majorHAnsi" w:hAnsiTheme="majorHAnsi" w:cstheme="majorHAnsi"/>
        </w:rPr>
        <w:t xml:space="preserve"> he is visiting the park with his parents as paying</w:t>
      </w:r>
      <w:r>
        <w:rPr>
          <w:rFonts w:asciiTheme="majorHAnsi" w:hAnsiTheme="majorHAnsi" w:cstheme="majorHAnsi"/>
        </w:rPr>
        <w:t xml:space="preserve"> customers this makes them lawful visitors to Carlton Parks</w:t>
      </w:r>
      <w:r w:rsidR="009A3C5B">
        <w:rPr>
          <w:rFonts w:asciiTheme="majorHAnsi" w:hAnsiTheme="majorHAnsi" w:cstheme="majorHAnsi"/>
        </w:rPr>
        <w:t>, which would suggest that he may have a claim under the Occupiers Liability Act 1957</w:t>
      </w:r>
      <w:r w:rsidR="00F67E4B">
        <w:rPr>
          <w:rFonts w:asciiTheme="majorHAnsi" w:hAnsiTheme="majorHAnsi" w:cstheme="majorHAnsi"/>
        </w:rPr>
        <w:t xml:space="preserve">, this is also why Leo as a ticket holder would have had access to this area. </w:t>
      </w:r>
    </w:p>
    <w:p w14:paraId="4CEFAAEF" w14:textId="217D6EB0" w:rsidR="008258D2" w:rsidRDefault="008258D2" w:rsidP="00365C83">
      <w:pPr>
        <w:jc w:val="both"/>
        <w:rPr>
          <w:rFonts w:asciiTheme="majorHAnsi" w:hAnsiTheme="majorHAnsi" w:cstheme="majorHAnsi"/>
        </w:rPr>
      </w:pPr>
    </w:p>
    <w:p w14:paraId="640C23F0" w14:textId="6DBC8003" w:rsidR="008258D2" w:rsidRDefault="007020A3" w:rsidP="00365C83">
      <w:pPr>
        <w:jc w:val="both"/>
        <w:rPr>
          <w:rFonts w:asciiTheme="majorHAnsi" w:hAnsiTheme="majorHAnsi" w:cstheme="majorHAnsi"/>
        </w:rPr>
      </w:pPr>
      <w:r>
        <w:rPr>
          <w:rFonts w:asciiTheme="majorHAnsi" w:hAnsiTheme="majorHAnsi" w:cstheme="majorHAnsi"/>
        </w:rPr>
        <w:t>To establish whether Carlton Par</w:t>
      </w:r>
      <w:r>
        <w:rPr>
          <w:rFonts w:asciiTheme="majorHAnsi" w:hAnsiTheme="majorHAnsi" w:cstheme="majorHAnsi"/>
        </w:rPr>
        <w:t xml:space="preserve">ks had liability it is essential to refer to the Occupiers Liability Act 1957. This act is in place to 'regulate the duty which an occupier of premises owes to his visitors </w:t>
      </w:r>
      <w:r w:rsidR="0030100D">
        <w:rPr>
          <w:rFonts w:asciiTheme="majorHAnsi" w:hAnsiTheme="majorHAnsi" w:cstheme="majorHAnsi"/>
        </w:rPr>
        <w:t>in</w:t>
      </w:r>
      <w:r>
        <w:rPr>
          <w:rFonts w:asciiTheme="majorHAnsi" w:hAnsiTheme="majorHAnsi" w:cstheme="majorHAnsi"/>
        </w:rPr>
        <w:t xml:space="preserve"> respect of dangers due to the state of the premises or to things done or omitted</w:t>
      </w:r>
      <w:r>
        <w:rPr>
          <w:rFonts w:asciiTheme="majorHAnsi" w:hAnsiTheme="majorHAnsi" w:cstheme="majorHAnsi"/>
        </w:rPr>
        <w:t xml:space="preserve"> to be done on them’ (Occupiers Liability Act 1957 s1(1)).  </w:t>
      </w:r>
    </w:p>
    <w:p w14:paraId="15B7228D" w14:textId="2DB5366B" w:rsidR="0091220E" w:rsidRDefault="0091220E" w:rsidP="00365C83">
      <w:pPr>
        <w:jc w:val="both"/>
        <w:rPr>
          <w:rFonts w:asciiTheme="majorHAnsi" w:hAnsiTheme="majorHAnsi" w:cstheme="majorHAnsi"/>
        </w:rPr>
      </w:pPr>
    </w:p>
    <w:p w14:paraId="1BF56D62" w14:textId="6E860BDE" w:rsidR="0091220E" w:rsidRDefault="007020A3" w:rsidP="00365C83">
      <w:pPr>
        <w:jc w:val="both"/>
        <w:rPr>
          <w:rFonts w:asciiTheme="majorHAnsi" w:hAnsiTheme="majorHAnsi" w:cstheme="majorHAnsi"/>
        </w:rPr>
      </w:pPr>
      <w:r>
        <w:rPr>
          <w:rFonts w:asciiTheme="majorHAnsi" w:hAnsiTheme="majorHAnsi" w:cstheme="majorHAnsi"/>
        </w:rPr>
        <w:t>As stated in the Occupiers Liability Act 1957 s1(1) as Carlton parks had not maintained the premises to a safe standard the danger arose due to the state of the premises as the rotten wooden fen</w:t>
      </w:r>
      <w:r>
        <w:rPr>
          <w:rFonts w:asciiTheme="majorHAnsi" w:hAnsiTheme="majorHAnsi" w:cstheme="majorHAnsi"/>
        </w:rPr>
        <w:t>ce on the elevated walkway should have been replaced as</w:t>
      </w:r>
      <w:r w:rsidR="00FB4621">
        <w:rPr>
          <w:rFonts w:asciiTheme="majorHAnsi" w:hAnsiTheme="majorHAnsi" w:cstheme="majorHAnsi"/>
        </w:rPr>
        <w:t xml:space="preserve"> required in the Occupiers Liability Act 1957 s1(3)(a). </w:t>
      </w:r>
    </w:p>
    <w:p w14:paraId="27823983" w14:textId="49E525CA" w:rsidR="007A1875" w:rsidRDefault="007A1875" w:rsidP="00365C83">
      <w:pPr>
        <w:jc w:val="both"/>
        <w:rPr>
          <w:rFonts w:asciiTheme="majorHAnsi" w:hAnsiTheme="majorHAnsi" w:cstheme="majorHAnsi"/>
        </w:rPr>
      </w:pPr>
    </w:p>
    <w:p w14:paraId="76E78FFE" w14:textId="2EAC8E7A" w:rsidR="007A1875" w:rsidRDefault="007020A3" w:rsidP="00365C83">
      <w:pPr>
        <w:jc w:val="both"/>
        <w:rPr>
          <w:rFonts w:asciiTheme="majorHAnsi" w:hAnsiTheme="majorHAnsi" w:cstheme="majorHAnsi"/>
        </w:rPr>
      </w:pPr>
      <w:r>
        <w:rPr>
          <w:rFonts w:asciiTheme="majorHAnsi" w:hAnsiTheme="majorHAnsi" w:cstheme="majorHAnsi"/>
        </w:rPr>
        <w:t xml:space="preserve">The OLA a1(3)(a) </w:t>
      </w:r>
      <w:r w:rsidR="00823F5A">
        <w:rPr>
          <w:rFonts w:asciiTheme="majorHAnsi" w:hAnsiTheme="majorHAnsi" w:cstheme="majorHAnsi"/>
        </w:rPr>
        <w:t xml:space="preserve">states that the occupier has obligations to ‘any persons occupying or having control over any mixed or moveable structure’. </w:t>
      </w:r>
    </w:p>
    <w:p w14:paraId="6F29B0AA" w14:textId="2D6B6C49" w:rsidR="00197B04" w:rsidRDefault="00197B04" w:rsidP="00365C83">
      <w:pPr>
        <w:jc w:val="both"/>
        <w:rPr>
          <w:rFonts w:asciiTheme="majorHAnsi" w:hAnsiTheme="majorHAnsi" w:cstheme="majorHAnsi"/>
        </w:rPr>
      </w:pPr>
    </w:p>
    <w:p w14:paraId="1AA2D6CC" w14:textId="4A3A741B" w:rsidR="008258D2" w:rsidRDefault="007020A3" w:rsidP="00365C83">
      <w:pPr>
        <w:jc w:val="both"/>
        <w:rPr>
          <w:rFonts w:asciiTheme="majorHAnsi" w:hAnsiTheme="majorHAnsi" w:cstheme="majorHAnsi"/>
        </w:rPr>
      </w:pPr>
      <w:r>
        <w:rPr>
          <w:rFonts w:asciiTheme="majorHAnsi" w:hAnsiTheme="majorHAnsi" w:cstheme="majorHAnsi"/>
        </w:rPr>
        <w:t xml:space="preserve">There is no statutory definition of an occupier, so it is essential to turn to common law for a definition </w:t>
      </w:r>
      <w:r w:rsidR="00552397">
        <w:rPr>
          <w:rFonts w:asciiTheme="majorHAnsi" w:hAnsiTheme="majorHAnsi" w:cstheme="majorHAnsi"/>
        </w:rPr>
        <w:t>in</w:t>
      </w:r>
      <w:r w:rsidR="007A6F19">
        <w:rPr>
          <w:rFonts w:asciiTheme="majorHAnsi" w:hAnsiTheme="majorHAnsi" w:cstheme="majorHAnsi"/>
        </w:rPr>
        <w:t xml:space="preserve"> the case of Wheat v E Lacon &amp; Co Ltd (1966) an occupier is a person who exercises control over the premises</w:t>
      </w:r>
      <w:r>
        <w:rPr>
          <w:rFonts w:asciiTheme="majorHAnsi" w:hAnsiTheme="majorHAnsi" w:cstheme="majorHAnsi"/>
        </w:rPr>
        <w:t xml:space="preserve">. The term 'occupier' can be </w:t>
      </w:r>
      <w:r>
        <w:rPr>
          <w:rFonts w:asciiTheme="majorHAnsi" w:hAnsiTheme="majorHAnsi" w:cstheme="majorHAnsi"/>
        </w:rPr>
        <w:t>misleading as it defines the person that has control of the premises rather than the physical occupier who is responsible in this case Carlton Parks (Cooke, 2018).</w:t>
      </w:r>
    </w:p>
    <w:p w14:paraId="1327B0F3" w14:textId="74BC15C4" w:rsidR="008258D2" w:rsidRDefault="008258D2" w:rsidP="00365C83">
      <w:pPr>
        <w:jc w:val="both"/>
        <w:rPr>
          <w:rFonts w:asciiTheme="majorHAnsi" w:hAnsiTheme="majorHAnsi" w:cstheme="majorHAnsi"/>
        </w:rPr>
      </w:pPr>
    </w:p>
    <w:p w14:paraId="664160A9" w14:textId="77777777" w:rsidR="001A3384" w:rsidRDefault="007020A3" w:rsidP="00365C83">
      <w:pPr>
        <w:jc w:val="both"/>
        <w:rPr>
          <w:rFonts w:asciiTheme="majorHAnsi" w:hAnsiTheme="majorHAnsi" w:cstheme="majorHAnsi"/>
        </w:rPr>
      </w:pPr>
      <w:r>
        <w:rPr>
          <w:rFonts w:asciiTheme="majorHAnsi" w:hAnsiTheme="majorHAnsi" w:cstheme="majorHAnsi"/>
        </w:rPr>
        <w:t xml:space="preserve">Special consideration for children has been </w:t>
      </w:r>
      <w:r w:rsidR="001E33FA">
        <w:rPr>
          <w:rFonts w:asciiTheme="majorHAnsi" w:hAnsiTheme="majorHAnsi" w:cstheme="majorHAnsi"/>
        </w:rPr>
        <w:t>stipulated within the Occupiers Liability Act 1957 section 2(3)(a)</w:t>
      </w:r>
      <w:r w:rsidR="00482D34">
        <w:rPr>
          <w:rFonts w:asciiTheme="majorHAnsi" w:hAnsiTheme="majorHAnsi" w:cstheme="majorHAnsi"/>
        </w:rPr>
        <w:t xml:space="preserve">. </w:t>
      </w:r>
      <w:r w:rsidR="0030100D">
        <w:rPr>
          <w:rFonts w:asciiTheme="majorHAnsi" w:hAnsiTheme="majorHAnsi" w:cstheme="majorHAnsi"/>
        </w:rPr>
        <w:t>T</w:t>
      </w:r>
      <w:r w:rsidR="00482D34">
        <w:rPr>
          <w:rFonts w:asciiTheme="majorHAnsi" w:hAnsiTheme="majorHAnsi" w:cstheme="majorHAnsi"/>
        </w:rPr>
        <w:t>his section of the act explains that occupiers must be prepared for children to be less careful than adults when it comes to their safety</w:t>
      </w:r>
      <w:r w:rsidR="002672A7">
        <w:rPr>
          <w:rFonts w:asciiTheme="majorHAnsi" w:hAnsiTheme="majorHAnsi" w:cstheme="majorHAnsi"/>
        </w:rPr>
        <w:t xml:space="preserve"> which is why a higher duty of care is owed</w:t>
      </w:r>
      <w:r w:rsidR="00482D34">
        <w:rPr>
          <w:rFonts w:asciiTheme="majorHAnsi" w:hAnsiTheme="majorHAnsi" w:cstheme="majorHAnsi"/>
        </w:rPr>
        <w:t xml:space="preserve">. </w:t>
      </w:r>
    </w:p>
    <w:p w14:paraId="5542EA01" w14:textId="77777777" w:rsidR="001A3384" w:rsidRDefault="001A3384" w:rsidP="00365C83">
      <w:pPr>
        <w:jc w:val="both"/>
        <w:rPr>
          <w:rFonts w:asciiTheme="majorHAnsi" w:hAnsiTheme="majorHAnsi" w:cstheme="majorHAnsi"/>
        </w:rPr>
      </w:pPr>
    </w:p>
    <w:p w14:paraId="6E9C08F2" w14:textId="7526316C" w:rsidR="008258D2" w:rsidRDefault="007020A3" w:rsidP="00365C83">
      <w:pPr>
        <w:jc w:val="both"/>
        <w:rPr>
          <w:rFonts w:asciiTheme="majorHAnsi" w:hAnsiTheme="majorHAnsi" w:cstheme="majorHAnsi"/>
        </w:rPr>
      </w:pPr>
      <w:r>
        <w:rPr>
          <w:rFonts w:asciiTheme="majorHAnsi" w:hAnsiTheme="majorHAnsi" w:cstheme="majorHAnsi"/>
        </w:rPr>
        <w:t>T</w:t>
      </w:r>
      <w:r w:rsidR="00482D34">
        <w:rPr>
          <w:rFonts w:asciiTheme="majorHAnsi" w:hAnsiTheme="majorHAnsi" w:cstheme="majorHAnsi"/>
        </w:rPr>
        <w:t>he case of Glasgow Corporation v Taylor (1922) is inconsistent with the act as doesn't specify to which degree is an occupier obliged to make the premises safe</w:t>
      </w:r>
      <w:r w:rsidR="007A6F19">
        <w:rPr>
          <w:rFonts w:asciiTheme="majorHAnsi" w:hAnsiTheme="majorHAnsi" w:cstheme="majorHAnsi"/>
        </w:rPr>
        <w:t xml:space="preserve"> to</w:t>
      </w:r>
      <w:r w:rsidR="00482D34">
        <w:rPr>
          <w:rFonts w:asciiTheme="majorHAnsi" w:hAnsiTheme="majorHAnsi" w:cstheme="majorHAnsi"/>
        </w:rPr>
        <w:t xml:space="preserve"> unaccompanied children, whereas in the case of Phipps v Rochester Corporation (1955)</w:t>
      </w:r>
      <w:r w:rsidR="005C34D9">
        <w:rPr>
          <w:rFonts w:asciiTheme="majorHAnsi" w:hAnsiTheme="majorHAnsi" w:cstheme="majorHAnsi"/>
        </w:rPr>
        <w:t xml:space="preserve"> which happened before the Occupiers Liability Act 1957 as before this the courts refused to impose on occupiers the duties that a parent has neglected to fulfil.</w:t>
      </w:r>
      <w:r w:rsidR="008E7911">
        <w:rPr>
          <w:rFonts w:asciiTheme="majorHAnsi" w:hAnsiTheme="majorHAnsi" w:cstheme="majorHAnsi"/>
        </w:rPr>
        <w:t xml:space="preserve"> </w:t>
      </w:r>
      <w:r w:rsidR="00223EE5">
        <w:rPr>
          <w:rFonts w:asciiTheme="majorHAnsi" w:hAnsiTheme="majorHAnsi" w:cstheme="majorHAnsi"/>
        </w:rPr>
        <w:t>However,</w:t>
      </w:r>
      <w:r w:rsidR="008E7911">
        <w:rPr>
          <w:rFonts w:asciiTheme="majorHAnsi" w:hAnsiTheme="majorHAnsi" w:cstheme="majorHAnsi"/>
        </w:rPr>
        <w:t xml:space="preserve"> the facts of Leos case clearly state that during the time of the accident he was queuing on the steps of the funhouse with his </w:t>
      </w:r>
      <w:r w:rsidR="0079208E">
        <w:rPr>
          <w:rFonts w:asciiTheme="majorHAnsi" w:hAnsiTheme="majorHAnsi" w:cstheme="majorHAnsi"/>
        </w:rPr>
        <w:t>parents,</w:t>
      </w:r>
      <w:r w:rsidR="008E7911">
        <w:rPr>
          <w:rFonts w:asciiTheme="majorHAnsi" w:hAnsiTheme="majorHAnsi" w:cstheme="majorHAnsi"/>
        </w:rPr>
        <w:t xml:space="preserve"> so no parental duties were neglected as he was supervised at the time of the accident. </w:t>
      </w:r>
    </w:p>
    <w:p w14:paraId="34BD026C" w14:textId="5212B104" w:rsidR="005C34D9" w:rsidRDefault="005C34D9" w:rsidP="00365C83">
      <w:pPr>
        <w:jc w:val="both"/>
        <w:rPr>
          <w:rFonts w:asciiTheme="majorHAnsi" w:hAnsiTheme="majorHAnsi" w:cstheme="majorHAnsi"/>
        </w:rPr>
      </w:pPr>
    </w:p>
    <w:p w14:paraId="321DCC3F" w14:textId="1A8AB899" w:rsidR="005C34D9" w:rsidRDefault="007020A3" w:rsidP="00365C83">
      <w:pPr>
        <w:jc w:val="both"/>
        <w:rPr>
          <w:rFonts w:asciiTheme="majorHAnsi" w:hAnsiTheme="majorHAnsi" w:cstheme="majorHAnsi"/>
        </w:rPr>
      </w:pPr>
      <w:r>
        <w:rPr>
          <w:rFonts w:asciiTheme="majorHAnsi" w:hAnsiTheme="majorHAnsi" w:cstheme="majorHAnsi"/>
        </w:rPr>
        <w:t>With the introduction of the OLA 1957, it incorporates the need to disclose the inability of children to determine the potential dangers as past case law supports that child</w:t>
      </w:r>
      <w:r>
        <w:rPr>
          <w:rFonts w:asciiTheme="majorHAnsi" w:hAnsiTheme="majorHAnsi" w:cstheme="majorHAnsi"/>
        </w:rPr>
        <w:t xml:space="preserve">ren don’t have the experience or maturity to foresee these risks Hastie v Edinburgh Magistrates (1907) and </w:t>
      </w:r>
      <w:r w:rsidR="0030100D">
        <w:rPr>
          <w:rFonts w:asciiTheme="majorHAnsi" w:hAnsiTheme="majorHAnsi" w:cstheme="majorHAnsi"/>
        </w:rPr>
        <w:t>Stevenson v Glasgow Corporation (1908).</w:t>
      </w:r>
    </w:p>
    <w:p w14:paraId="56D87E4D" w14:textId="4A723D11" w:rsidR="0030100D" w:rsidRDefault="0030100D" w:rsidP="00365C83">
      <w:pPr>
        <w:jc w:val="both"/>
        <w:rPr>
          <w:rFonts w:asciiTheme="majorHAnsi" w:hAnsiTheme="majorHAnsi" w:cstheme="majorHAnsi"/>
        </w:rPr>
      </w:pPr>
    </w:p>
    <w:p w14:paraId="6E7589E1" w14:textId="1B35BE8E" w:rsidR="006C10AD" w:rsidRDefault="007020A3" w:rsidP="00365C83">
      <w:pPr>
        <w:jc w:val="both"/>
        <w:rPr>
          <w:rFonts w:asciiTheme="majorHAnsi" w:hAnsiTheme="majorHAnsi" w:cstheme="majorHAnsi"/>
        </w:rPr>
      </w:pPr>
      <w:r>
        <w:rPr>
          <w:rFonts w:asciiTheme="majorHAnsi" w:hAnsiTheme="majorHAnsi" w:cstheme="majorHAnsi"/>
        </w:rPr>
        <w:t xml:space="preserve">In this case, the liability falls on Carlton Parks </w:t>
      </w:r>
      <w:r w:rsidR="002220A2">
        <w:rPr>
          <w:rFonts w:asciiTheme="majorHAnsi" w:hAnsiTheme="majorHAnsi" w:cstheme="majorHAnsi"/>
        </w:rPr>
        <w:t xml:space="preserve">section </w:t>
      </w:r>
      <w:r w:rsidR="00F1549C">
        <w:rPr>
          <w:rFonts w:asciiTheme="majorHAnsi" w:hAnsiTheme="majorHAnsi" w:cstheme="majorHAnsi"/>
        </w:rPr>
        <w:t>2</w:t>
      </w:r>
      <w:r w:rsidR="002220A2">
        <w:rPr>
          <w:rFonts w:asciiTheme="majorHAnsi" w:hAnsiTheme="majorHAnsi" w:cstheme="majorHAnsi"/>
        </w:rPr>
        <w:t>(</w:t>
      </w:r>
      <w:r w:rsidR="00F1549C">
        <w:rPr>
          <w:rFonts w:asciiTheme="majorHAnsi" w:hAnsiTheme="majorHAnsi" w:cstheme="majorHAnsi"/>
        </w:rPr>
        <w:t>2</w:t>
      </w:r>
      <w:r w:rsidR="002220A2">
        <w:rPr>
          <w:rFonts w:asciiTheme="majorHAnsi" w:hAnsiTheme="majorHAnsi" w:cstheme="majorHAnsi"/>
        </w:rPr>
        <w:t xml:space="preserve">) of the Occupiers Liability Act 1957 </w:t>
      </w:r>
      <w:r w:rsidR="00F1549C">
        <w:rPr>
          <w:rFonts w:asciiTheme="majorHAnsi" w:hAnsiTheme="majorHAnsi" w:cstheme="majorHAnsi"/>
        </w:rPr>
        <w:t xml:space="preserve">imposes liability on the controllers of the premises as they have a common duty of care to see that all visitors will be reasonably </w:t>
      </w:r>
      <w:r w:rsidR="003C6BAB">
        <w:rPr>
          <w:rFonts w:asciiTheme="majorHAnsi" w:hAnsiTheme="majorHAnsi" w:cstheme="majorHAnsi"/>
        </w:rPr>
        <w:t>safe,</w:t>
      </w:r>
      <w:r w:rsidR="00F1549C">
        <w:rPr>
          <w:rFonts w:asciiTheme="majorHAnsi" w:hAnsiTheme="majorHAnsi" w:cstheme="majorHAnsi"/>
        </w:rPr>
        <w:t xml:space="preserve"> </w:t>
      </w:r>
      <w:r w:rsidR="003C6BAB">
        <w:rPr>
          <w:rFonts w:asciiTheme="majorHAnsi" w:hAnsiTheme="majorHAnsi" w:cstheme="majorHAnsi"/>
        </w:rPr>
        <w:t>in</w:t>
      </w:r>
      <w:r w:rsidR="00F1549C">
        <w:rPr>
          <w:rFonts w:asciiTheme="majorHAnsi" w:hAnsiTheme="majorHAnsi" w:cstheme="majorHAnsi"/>
        </w:rPr>
        <w:t xml:space="preserve"> using the premises for purposes which invited. </w:t>
      </w:r>
      <w:r w:rsidR="0043150C">
        <w:rPr>
          <w:rFonts w:asciiTheme="majorHAnsi" w:hAnsiTheme="majorHAnsi" w:cstheme="majorHAnsi"/>
        </w:rPr>
        <w:t xml:space="preserve">A higher duty of care would be owed here </w:t>
      </w:r>
      <w:r w:rsidR="00FD1607">
        <w:rPr>
          <w:rFonts w:asciiTheme="majorHAnsi" w:hAnsiTheme="majorHAnsi" w:cstheme="majorHAnsi"/>
        </w:rPr>
        <w:t>due to the likelihood and potential seriousness of harm as this is a commercial venture that is designed for families the premises is most likely to be occupied by large numbers of children</w:t>
      </w:r>
      <w:r w:rsidR="002672A7">
        <w:rPr>
          <w:rFonts w:asciiTheme="majorHAnsi" w:hAnsiTheme="majorHAnsi" w:cstheme="majorHAnsi"/>
        </w:rPr>
        <w:t>.</w:t>
      </w:r>
      <w:r w:rsidR="00FD1607">
        <w:rPr>
          <w:rFonts w:asciiTheme="majorHAnsi" w:hAnsiTheme="majorHAnsi" w:cstheme="majorHAnsi"/>
        </w:rPr>
        <w:t xml:space="preserve"> </w:t>
      </w:r>
    </w:p>
    <w:p w14:paraId="1ECCFD3D" w14:textId="77777777" w:rsidR="006C10AD" w:rsidRDefault="006C10AD" w:rsidP="00365C83">
      <w:pPr>
        <w:jc w:val="both"/>
        <w:rPr>
          <w:rFonts w:asciiTheme="majorHAnsi" w:hAnsiTheme="majorHAnsi" w:cstheme="majorHAnsi"/>
        </w:rPr>
      </w:pPr>
    </w:p>
    <w:p w14:paraId="1B9DA100" w14:textId="531B675F" w:rsidR="0030100D" w:rsidRDefault="007020A3" w:rsidP="00365C83">
      <w:pPr>
        <w:jc w:val="both"/>
        <w:rPr>
          <w:rFonts w:asciiTheme="majorHAnsi" w:hAnsiTheme="majorHAnsi" w:cstheme="majorHAnsi"/>
        </w:rPr>
      </w:pPr>
      <w:r>
        <w:rPr>
          <w:rFonts w:asciiTheme="majorHAnsi" w:hAnsiTheme="majorHAnsi" w:cstheme="majorHAnsi"/>
        </w:rPr>
        <w:t xml:space="preserve">It is a reasonable expectation that the </w:t>
      </w:r>
      <w:r w:rsidR="003C6BAB">
        <w:rPr>
          <w:rFonts w:asciiTheme="majorHAnsi" w:hAnsiTheme="majorHAnsi" w:cstheme="majorHAnsi"/>
        </w:rPr>
        <w:t>wooden fence is fit for</w:t>
      </w:r>
      <w:r w:rsidR="006C10AD">
        <w:rPr>
          <w:rFonts w:asciiTheme="majorHAnsi" w:hAnsiTheme="majorHAnsi" w:cstheme="majorHAnsi"/>
        </w:rPr>
        <w:t xml:space="preserve"> p</w:t>
      </w:r>
      <w:r w:rsidR="003C6BAB">
        <w:rPr>
          <w:rFonts w:asciiTheme="majorHAnsi" w:hAnsiTheme="majorHAnsi" w:cstheme="majorHAnsi"/>
        </w:rPr>
        <w:t xml:space="preserve">urpose and that an eight-year-old leaning on it would not be enough weight or force for the fence to give way. As the post-investigation revealed that the </w:t>
      </w:r>
      <w:r w:rsidR="003C6BAB">
        <w:rPr>
          <w:rFonts w:asciiTheme="majorHAnsi" w:hAnsiTheme="majorHAnsi" w:cstheme="majorHAnsi"/>
        </w:rPr>
        <w:lastRenderedPageBreak/>
        <w:t>fence had become rotten over time due to wate</w:t>
      </w:r>
      <w:r w:rsidR="006C10AD">
        <w:rPr>
          <w:rFonts w:asciiTheme="majorHAnsi" w:hAnsiTheme="majorHAnsi" w:cstheme="majorHAnsi"/>
        </w:rPr>
        <w:t>r</w:t>
      </w:r>
      <w:r w:rsidR="003C6BAB">
        <w:rPr>
          <w:rFonts w:asciiTheme="majorHAnsi" w:hAnsiTheme="majorHAnsi" w:cstheme="majorHAnsi"/>
        </w:rPr>
        <w:t xml:space="preserve"> dripping from the roof of a nearby attraction there has been a lack of maintenance allowing this to go unnoticed</w:t>
      </w:r>
      <w:r w:rsidR="00134024">
        <w:rPr>
          <w:rFonts w:asciiTheme="majorHAnsi" w:hAnsiTheme="majorHAnsi" w:cstheme="majorHAnsi"/>
        </w:rPr>
        <w:t xml:space="preserve">. A preventative could have been to </w:t>
      </w:r>
      <w:r w:rsidR="006C10AD">
        <w:rPr>
          <w:rFonts w:asciiTheme="majorHAnsi" w:hAnsiTheme="majorHAnsi" w:cstheme="majorHAnsi"/>
        </w:rPr>
        <w:t>increase</w:t>
      </w:r>
      <w:r w:rsidR="00134024">
        <w:rPr>
          <w:rFonts w:asciiTheme="majorHAnsi" w:hAnsiTheme="majorHAnsi" w:cstheme="majorHAnsi"/>
        </w:rPr>
        <w:t xml:space="preserve"> maintenance </w:t>
      </w:r>
      <w:r w:rsidR="006C10AD">
        <w:rPr>
          <w:rFonts w:asciiTheme="majorHAnsi" w:hAnsiTheme="majorHAnsi" w:cstheme="majorHAnsi"/>
        </w:rPr>
        <w:t xml:space="preserve">which would have hopefully noticed the rotten fence and repaired or replaced it before anyone was injured </w:t>
      </w:r>
      <w:r w:rsidR="00134024">
        <w:rPr>
          <w:rFonts w:asciiTheme="majorHAnsi" w:hAnsiTheme="majorHAnsi" w:cstheme="majorHAnsi"/>
        </w:rPr>
        <w:t>and</w:t>
      </w:r>
      <w:r w:rsidR="006C10AD">
        <w:rPr>
          <w:rFonts w:asciiTheme="majorHAnsi" w:hAnsiTheme="majorHAnsi" w:cstheme="majorHAnsi"/>
        </w:rPr>
        <w:t xml:space="preserve"> in</w:t>
      </w:r>
      <w:r w:rsidR="00134024">
        <w:rPr>
          <w:rFonts w:asciiTheme="majorHAnsi" w:hAnsiTheme="majorHAnsi" w:cstheme="majorHAnsi"/>
        </w:rPr>
        <w:t xml:space="preserve"> additio</w:t>
      </w:r>
      <w:r w:rsidR="006C10AD">
        <w:rPr>
          <w:rFonts w:asciiTheme="majorHAnsi" w:hAnsiTheme="majorHAnsi" w:cstheme="majorHAnsi"/>
        </w:rPr>
        <w:t>n</w:t>
      </w:r>
      <w:r w:rsidR="00134024">
        <w:rPr>
          <w:rFonts w:asciiTheme="majorHAnsi" w:hAnsiTheme="majorHAnsi" w:cstheme="majorHAnsi"/>
        </w:rPr>
        <w:t xml:space="preserve"> put up warning signs </w:t>
      </w:r>
      <w:r w:rsidR="006C10AD">
        <w:rPr>
          <w:rFonts w:asciiTheme="majorHAnsi" w:hAnsiTheme="majorHAnsi" w:cstheme="majorHAnsi"/>
        </w:rPr>
        <w:t>notifying visitors of the 3-meter drop below the fence</w:t>
      </w:r>
      <w:r w:rsidR="00E75C53">
        <w:rPr>
          <w:rFonts w:asciiTheme="majorHAnsi" w:hAnsiTheme="majorHAnsi" w:cstheme="majorHAnsi"/>
        </w:rPr>
        <w:t xml:space="preserve"> and a subsequent warning sign highlighting the risk of falling</w:t>
      </w:r>
      <w:r w:rsidR="006C10AD">
        <w:rPr>
          <w:rFonts w:asciiTheme="majorHAnsi" w:hAnsiTheme="majorHAnsi" w:cstheme="majorHAnsi"/>
        </w:rPr>
        <w:t xml:space="preserve"> which would hopefully deter any visitors of leaning on the fence for fear they could fall. </w:t>
      </w:r>
      <w:r w:rsidR="001B1BEF">
        <w:rPr>
          <w:rFonts w:asciiTheme="majorHAnsi" w:hAnsiTheme="majorHAnsi" w:cstheme="majorHAnsi"/>
        </w:rPr>
        <w:t xml:space="preserve">It is also important to point out what is more likely to be a bigger expense for Carlton parks </w:t>
      </w:r>
      <w:r w:rsidR="00887F45">
        <w:rPr>
          <w:rFonts w:asciiTheme="majorHAnsi" w:hAnsiTheme="majorHAnsi" w:cstheme="majorHAnsi"/>
        </w:rPr>
        <w:t>would</w:t>
      </w:r>
      <w:r w:rsidR="001B1BEF">
        <w:rPr>
          <w:rFonts w:asciiTheme="majorHAnsi" w:hAnsiTheme="majorHAnsi" w:cstheme="majorHAnsi"/>
        </w:rPr>
        <w:t xml:space="preserve"> it have been increasing maintenance and repairing the fence or </w:t>
      </w:r>
      <w:r w:rsidR="00887F45">
        <w:rPr>
          <w:rFonts w:asciiTheme="majorHAnsi" w:hAnsiTheme="majorHAnsi" w:cstheme="majorHAnsi"/>
        </w:rPr>
        <w:t xml:space="preserve">losing a liability case. </w:t>
      </w:r>
    </w:p>
    <w:p w14:paraId="29A1F8BC" w14:textId="45D004A9" w:rsidR="00E75C53" w:rsidRDefault="00E75C53" w:rsidP="00365C83">
      <w:pPr>
        <w:jc w:val="both"/>
        <w:rPr>
          <w:rFonts w:asciiTheme="majorHAnsi" w:hAnsiTheme="majorHAnsi" w:cstheme="majorHAnsi"/>
        </w:rPr>
      </w:pPr>
    </w:p>
    <w:p w14:paraId="584FA25B" w14:textId="51026544" w:rsidR="00E75C53" w:rsidRDefault="007020A3" w:rsidP="00365C83">
      <w:pPr>
        <w:jc w:val="both"/>
        <w:rPr>
          <w:rFonts w:asciiTheme="majorHAnsi" w:hAnsiTheme="majorHAnsi" w:cstheme="majorHAnsi"/>
        </w:rPr>
      </w:pPr>
      <w:r>
        <w:rPr>
          <w:rFonts w:asciiTheme="majorHAnsi" w:hAnsiTheme="majorHAnsi" w:cstheme="majorHAnsi"/>
        </w:rPr>
        <w:t>It is important to note that Leo as the visitor must be safe and as he simply leaned on a wooden fence there is no evidence that Leo w</w:t>
      </w:r>
      <w:r>
        <w:rPr>
          <w:rFonts w:asciiTheme="majorHAnsi" w:hAnsiTheme="majorHAnsi" w:cstheme="majorHAnsi"/>
        </w:rPr>
        <w:t>as using the premises in an unusual or unpermitted manner. As the fence was unfi</w:t>
      </w:r>
      <w:r w:rsidR="00314D64">
        <w:rPr>
          <w:rFonts w:asciiTheme="majorHAnsi" w:hAnsiTheme="majorHAnsi" w:cstheme="majorHAnsi"/>
        </w:rPr>
        <w:t xml:space="preserve">t </w:t>
      </w:r>
      <w:r>
        <w:rPr>
          <w:rFonts w:asciiTheme="majorHAnsi" w:hAnsiTheme="majorHAnsi" w:cstheme="majorHAnsi"/>
        </w:rPr>
        <w:t xml:space="preserve">for purpose </w:t>
      </w:r>
      <w:r w:rsidR="00314D64">
        <w:rPr>
          <w:rFonts w:asciiTheme="majorHAnsi" w:hAnsiTheme="majorHAnsi" w:cstheme="majorHAnsi"/>
        </w:rPr>
        <w:t>due to the rotten wood Carlton Parks LTD appear to have breached their duty owed to Leo.</w:t>
      </w:r>
      <w:r w:rsidR="001B1BEF">
        <w:rPr>
          <w:rFonts w:asciiTheme="majorHAnsi" w:hAnsiTheme="majorHAnsi" w:cstheme="majorHAnsi"/>
        </w:rPr>
        <w:t xml:space="preserve"> </w:t>
      </w:r>
    </w:p>
    <w:p w14:paraId="2AADF32D" w14:textId="6E56E1F5" w:rsidR="00B05922" w:rsidRDefault="00B05922" w:rsidP="00365C83">
      <w:pPr>
        <w:jc w:val="both"/>
        <w:rPr>
          <w:rFonts w:asciiTheme="majorHAnsi" w:hAnsiTheme="majorHAnsi" w:cstheme="majorHAnsi"/>
        </w:rPr>
      </w:pPr>
    </w:p>
    <w:p w14:paraId="16276154" w14:textId="770005E2" w:rsidR="00B05922" w:rsidRDefault="007020A3" w:rsidP="00365C83">
      <w:pPr>
        <w:jc w:val="both"/>
        <w:rPr>
          <w:rFonts w:asciiTheme="majorHAnsi" w:hAnsiTheme="majorHAnsi" w:cstheme="majorHAnsi"/>
        </w:rPr>
      </w:pPr>
      <w:r>
        <w:rPr>
          <w:rFonts w:asciiTheme="majorHAnsi" w:hAnsiTheme="majorHAnsi" w:cstheme="majorHAnsi"/>
        </w:rPr>
        <w:t xml:space="preserve">In the case of </w:t>
      </w:r>
      <w:r w:rsidR="007D6922">
        <w:rPr>
          <w:rFonts w:asciiTheme="majorHAnsi" w:hAnsiTheme="majorHAnsi" w:cstheme="majorHAnsi"/>
        </w:rPr>
        <w:t>Millie,</w:t>
      </w:r>
      <w:r>
        <w:rPr>
          <w:rFonts w:asciiTheme="majorHAnsi" w:hAnsiTheme="majorHAnsi" w:cstheme="majorHAnsi"/>
        </w:rPr>
        <w:t xml:space="preserve"> the legislation in which her case would be deter</w:t>
      </w:r>
      <w:r>
        <w:rPr>
          <w:rFonts w:asciiTheme="majorHAnsi" w:hAnsiTheme="majorHAnsi" w:cstheme="majorHAnsi"/>
        </w:rPr>
        <w:t>mined would be the Occupiers Liability Act 1984, this act is in place to govern injuries to all non-visitors</w:t>
      </w:r>
      <w:r w:rsidR="00223EE5">
        <w:rPr>
          <w:rFonts w:asciiTheme="majorHAnsi" w:hAnsiTheme="majorHAnsi" w:cstheme="majorHAnsi"/>
        </w:rPr>
        <w:t xml:space="preserve"> this is inclusive of trespassers which would require CPL to offer her protection</w:t>
      </w:r>
      <w:r>
        <w:rPr>
          <w:rFonts w:asciiTheme="majorHAnsi" w:hAnsiTheme="majorHAnsi" w:cstheme="majorHAnsi"/>
        </w:rPr>
        <w:t xml:space="preserve">. Millie was established as a non-visitor as she states she </w:t>
      </w:r>
      <w:r w:rsidR="00645310">
        <w:rPr>
          <w:rFonts w:asciiTheme="majorHAnsi" w:hAnsiTheme="majorHAnsi" w:cstheme="majorHAnsi"/>
        </w:rPr>
        <w:t xml:space="preserve">was unwilling to pay the entrance fee and climbed the surrounding fence to gain access. </w:t>
      </w:r>
    </w:p>
    <w:p w14:paraId="50861D07" w14:textId="05DED5DD" w:rsidR="00E200BF" w:rsidRDefault="007020A3" w:rsidP="00365C83">
      <w:pPr>
        <w:jc w:val="both"/>
        <w:rPr>
          <w:rFonts w:asciiTheme="majorHAnsi" w:hAnsiTheme="majorHAnsi" w:cstheme="majorHAnsi"/>
        </w:rPr>
      </w:pPr>
      <w:r>
        <w:rPr>
          <w:rFonts w:asciiTheme="majorHAnsi" w:hAnsiTheme="majorHAnsi" w:cstheme="majorHAnsi"/>
        </w:rPr>
        <w:t>A non-visitor formally referred to as a trespasser has no statutory definition determined in previous case law has been generally accepted</w:t>
      </w:r>
      <w:r w:rsidR="00223EE5">
        <w:rPr>
          <w:rFonts w:asciiTheme="majorHAnsi" w:hAnsiTheme="majorHAnsi" w:cstheme="majorHAnsi"/>
        </w:rPr>
        <w:t>.</w:t>
      </w:r>
    </w:p>
    <w:p w14:paraId="5E9D38CC" w14:textId="77777777" w:rsidR="00E200BF" w:rsidRDefault="00E200BF" w:rsidP="00365C83">
      <w:pPr>
        <w:jc w:val="both"/>
        <w:rPr>
          <w:rFonts w:asciiTheme="majorHAnsi" w:hAnsiTheme="majorHAnsi" w:cstheme="majorHAnsi"/>
        </w:rPr>
      </w:pPr>
    </w:p>
    <w:p w14:paraId="79F072A2" w14:textId="466EF0DA" w:rsidR="00D6106E" w:rsidRDefault="007020A3" w:rsidP="00365C83">
      <w:pPr>
        <w:jc w:val="both"/>
        <w:rPr>
          <w:rFonts w:asciiTheme="majorHAnsi" w:hAnsiTheme="majorHAnsi" w:cstheme="majorHAnsi"/>
        </w:rPr>
      </w:pPr>
      <w:r>
        <w:rPr>
          <w:rFonts w:asciiTheme="majorHAnsi" w:hAnsiTheme="majorHAnsi" w:cstheme="majorHAnsi"/>
        </w:rPr>
        <w:t xml:space="preserve">In the case of Robert Addie &amp; </w:t>
      </w:r>
      <w:r>
        <w:rPr>
          <w:rFonts w:asciiTheme="majorHAnsi" w:hAnsiTheme="majorHAnsi" w:cstheme="majorHAnsi"/>
        </w:rPr>
        <w:t>Sons (Collieries) Ltd v Dumbreck (1929</w:t>
      </w:r>
      <w:r w:rsidR="004D4DCB">
        <w:rPr>
          <w:rFonts w:asciiTheme="majorHAnsi" w:hAnsiTheme="majorHAnsi" w:cstheme="majorHAnsi"/>
        </w:rPr>
        <w:t>), it</w:t>
      </w:r>
      <w:r>
        <w:rPr>
          <w:rFonts w:asciiTheme="majorHAnsi" w:hAnsiTheme="majorHAnsi" w:cstheme="majorHAnsi"/>
        </w:rPr>
        <w:t xml:space="preserve"> was held that a trespasser or non-visitor is 'someone who goes on the land without an invitation of any sort and whose presence is either unknown to the proprietor or if known is practically objected to' (Finch a</w:t>
      </w:r>
      <w:r>
        <w:rPr>
          <w:rFonts w:asciiTheme="majorHAnsi" w:hAnsiTheme="majorHAnsi" w:cstheme="majorHAnsi"/>
        </w:rPr>
        <w:t>nd Fafinski, 2021).</w:t>
      </w:r>
    </w:p>
    <w:p w14:paraId="291AC2C0" w14:textId="02ADFFBE" w:rsidR="00961156" w:rsidRDefault="00961156" w:rsidP="00365C83">
      <w:pPr>
        <w:jc w:val="both"/>
        <w:rPr>
          <w:rFonts w:asciiTheme="majorHAnsi" w:hAnsiTheme="majorHAnsi" w:cstheme="majorHAnsi"/>
        </w:rPr>
      </w:pPr>
    </w:p>
    <w:p w14:paraId="74D84FBF" w14:textId="394541DF" w:rsidR="009546E6" w:rsidRDefault="007020A3" w:rsidP="00365C83">
      <w:pPr>
        <w:jc w:val="both"/>
        <w:rPr>
          <w:rFonts w:asciiTheme="majorHAnsi" w:hAnsiTheme="majorHAnsi" w:cstheme="majorHAnsi"/>
        </w:rPr>
      </w:pPr>
      <w:r>
        <w:rPr>
          <w:rFonts w:asciiTheme="majorHAnsi" w:hAnsiTheme="majorHAnsi" w:cstheme="majorHAnsi"/>
        </w:rPr>
        <w:t>To determine whether Carlton Parks Ltd owed a duty of care to Millie section 1(3) of the Occupiers Liability Act 1984 would need to be considered</w:t>
      </w:r>
      <w:r w:rsidR="006A0E5F">
        <w:rPr>
          <w:rFonts w:asciiTheme="majorHAnsi" w:hAnsiTheme="majorHAnsi" w:cstheme="majorHAnsi"/>
        </w:rPr>
        <w:t xml:space="preserve"> this section outlines 3 conditions that must be satisfied for duty to arise. The occupier must be aware or have reasonable grounds to believe the danger exists, the occupier knows or has reasonable ground to believe that a trespasser is in the vicinity of the danger, the risk is on against in which, in all the circumstances may be reasonably expected to offer some protection. The first two points are subjective however the last point is objective based on the reasonable occupier. </w:t>
      </w:r>
    </w:p>
    <w:p w14:paraId="048A24B2" w14:textId="77777777" w:rsidR="009546E6" w:rsidRDefault="009546E6" w:rsidP="00365C83">
      <w:pPr>
        <w:jc w:val="both"/>
        <w:rPr>
          <w:rFonts w:asciiTheme="majorHAnsi" w:hAnsiTheme="majorHAnsi" w:cstheme="majorHAnsi"/>
        </w:rPr>
      </w:pPr>
    </w:p>
    <w:p w14:paraId="4A2BFB93" w14:textId="35B6E57F" w:rsidR="004D4DCB" w:rsidRDefault="007020A3" w:rsidP="00365C83">
      <w:pPr>
        <w:jc w:val="both"/>
        <w:rPr>
          <w:rFonts w:asciiTheme="majorHAnsi" w:hAnsiTheme="majorHAnsi" w:cstheme="majorHAnsi"/>
        </w:rPr>
      </w:pPr>
      <w:r>
        <w:rPr>
          <w:rFonts w:asciiTheme="majorHAnsi" w:hAnsiTheme="majorHAnsi" w:cstheme="majorHAnsi"/>
        </w:rPr>
        <w:t>The criteria to determine duty of care states that the occupier must be aware of the danger or have reasonable gro</w:t>
      </w:r>
      <w:r>
        <w:rPr>
          <w:rFonts w:asciiTheme="majorHAnsi" w:hAnsiTheme="majorHAnsi" w:cstheme="majorHAnsi"/>
        </w:rPr>
        <w:t>unds to believe it exists</w:t>
      </w:r>
      <w:r w:rsidR="00FF1FE5">
        <w:rPr>
          <w:rFonts w:asciiTheme="majorHAnsi" w:hAnsiTheme="majorHAnsi" w:cstheme="majorHAnsi"/>
        </w:rPr>
        <w:t xml:space="preserve"> it is uncertain whether the CPL where aware of a trespasser however</w:t>
      </w:r>
      <w:r>
        <w:rPr>
          <w:rFonts w:asciiTheme="majorHAnsi" w:hAnsiTheme="majorHAnsi" w:cstheme="majorHAnsi"/>
        </w:rPr>
        <w:t xml:space="preserve"> </w:t>
      </w:r>
      <w:r w:rsidR="00FF1FE5">
        <w:rPr>
          <w:rFonts w:asciiTheme="majorHAnsi" w:hAnsiTheme="majorHAnsi" w:cstheme="majorHAnsi"/>
        </w:rPr>
        <w:t>a</w:t>
      </w:r>
      <w:r>
        <w:rPr>
          <w:rFonts w:asciiTheme="majorHAnsi" w:hAnsiTheme="majorHAnsi" w:cstheme="majorHAnsi"/>
        </w:rPr>
        <w:t>s the park had a high perimeter fence this could be argued as sufficient precautionary measures to protect the park from non-visitors</w:t>
      </w:r>
      <w:r w:rsidR="00E453AA">
        <w:rPr>
          <w:rFonts w:asciiTheme="majorHAnsi" w:hAnsiTheme="majorHAnsi" w:cstheme="majorHAnsi"/>
        </w:rPr>
        <w:t xml:space="preserve">. </w:t>
      </w:r>
      <w:r w:rsidR="00FF1FE5">
        <w:rPr>
          <w:rFonts w:asciiTheme="majorHAnsi" w:hAnsiTheme="majorHAnsi" w:cstheme="majorHAnsi"/>
        </w:rPr>
        <w:t>An approach taken by the courts in determining liability towards trespassers can be seen in the case Young v Kent County council (2005).</w:t>
      </w:r>
    </w:p>
    <w:p w14:paraId="7C49AD95" w14:textId="31951B20" w:rsidR="00D84BF8" w:rsidRDefault="00D84BF8" w:rsidP="00365C83">
      <w:pPr>
        <w:jc w:val="both"/>
        <w:rPr>
          <w:rFonts w:asciiTheme="majorHAnsi" w:hAnsiTheme="majorHAnsi" w:cstheme="majorHAnsi"/>
        </w:rPr>
      </w:pPr>
    </w:p>
    <w:p w14:paraId="5E6C451C" w14:textId="73329407" w:rsidR="00B424F9" w:rsidRDefault="007020A3" w:rsidP="00365C83">
      <w:pPr>
        <w:jc w:val="both"/>
        <w:rPr>
          <w:rFonts w:asciiTheme="majorHAnsi" w:hAnsiTheme="majorHAnsi" w:cstheme="majorHAnsi"/>
        </w:rPr>
      </w:pPr>
      <w:r>
        <w:rPr>
          <w:rFonts w:asciiTheme="majorHAnsi" w:hAnsiTheme="majorHAnsi" w:cstheme="majorHAnsi"/>
        </w:rPr>
        <w:t>It was noted that once Millie had climbed over the</w:t>
      </w:r>
      <w:r w:rsidR="00737447">
        <w:rPr>
          <w:rFonts w:asciiTheme="majorHAnsi" w:hAnsiTheme="majorHAnsi" w:cstheme="majorHAnsi"/>
        </w:rPr>
        <w:t xml:space="preserve"> high</w:t>
      </w:r>
      <w:r>
        <w:rPr>
          <w:rFonts w:asciiTheme="majorHAnsi" w:hAnsiTheme="majorHAnsi" w:cstheme="majorHAnsi"/>
        </w:rPr>
        <w:t xml:space="preserve"> fence, she jumped onto the nearby attraction the waltzers as described this is a ride th</w:t>
      </w:r>
      <w:r>
        <w:rPr>
          <w:rFonts w:asciiTheme="majorHAnsi" w:hAnsiTheme="majorHAnsi" w:cstheme="majorHAnsi"/>
        </w:rPr>
        <w:t xml:space="preserve">at has cars that spin at a high speed around a track. Unlike Leo Millie is 20 years of age </w:t>
      </w:r>
      <w:r w:rsidR="00980C22">
        <w:rPr>
          <w:rFonts w:asciiTheme="majorHAnsi" w:hAnsiTheme="majorHAnsi" w:cstheme="majorHAnsi"/>
        </w:rPr>
        <w:t>and therefore not considered a child so deemed capable of determining the potential risks associated with her actions</w:t>
      </w:r>
      <w:r w:rsidR="009D01BF">
        <w:rPr>
          <w:rFonts w:asciiTheme="majorHAnsi" w:hAnsiTheme="majorHAnsi" w:cstheme="majorHAnsi"/>
        </w:rPr>
        <w:t xml:space="preserve"> Tomlinson v Congleton Borough Council (2004).</w:t>
      </w:r>
    </w:p>
    <w:p w14:paraId="7A5BB924" w14:textId="2BDA9569" w:rsidR="000C15B5" w:rsidRDefault="000C15B5" w:rsidP="00365C83">
      <w:pPr>
        <w:jc w:val="both"/>
        <w:rPr>
          <w:rFonts w:asciiTheme="majorHAnsi" w:hAnsiTheme="majorHAnsi" w:cstheme="majorHAnsi"/>
        </w:rPr>
      </w:pPr>
    </w:p>
    <w:p w14:paraId="7BA2B661" w14:textId="669F4124" w:rsidR="000C15B5" w:rsidRDefault="007020A3" w:rsidP="00365C83">
      <w:pPr>
        <w:jc w:val="both"/>
        <w:rPr>
          <w:rFonts w:asciiTheme="majorHAnsi" w:hAnsiTheme="majorHAnsi" w:cstheme="majorHAnsi"/>
        </w:rPr>
      </w:pPr>
      <w:r>
        <w:rPr>
          <w:rFonts w:asciiTheme="majorHAnsi" w:hAnsiTheme="majorHAnsi" w:cstheme="majorHAnsi"/>
        </w:rPr>
        <w:t xml:space="preserve">Section 1(6) of the Occupiers Liability Act 1984 states that ‘no duty is owed to any person in respect of risks willingly </w:t>
      </w:r>
      <w:r w:rsidR="00737447">
        <w:rPr>
          <w:rFonts w:asciiTheme="majorHAnsi" w:hAnsiTheme="majorHAnsi" w:cstheme="majorHAnsi"/>
        </w:rPr>
        <w:t>accepted by that person’</w:t>
      </w:r>
      <w:r w:rsidR="00E453AA">
        <w:rPr>
          <w:rFonts w:asciiTheme="majorHAnsi" w:hAnsiTheme="majorHAnsi" w:cstheme="majorHAnsi"/>
        </w:rPr>
        <w:t xml:space="preserve">. As Millie has decided to climb the high fence and jump onto the waltzers </w:t>
      </w:r>
      <w:r w:rsidR="008470E9">
        <w:rPr>
          <w:rFonts w:asciiTheme="majorHAnsi" w:hAnsiTheme="majorHAnsi" w:cstheme="majorHAnsi"/>
        </w:rPr>
        <w:t xml:space="preserve">this could be deemed the potential risk of an incident has been accepted by Millie in her actions. </w:t>
      </w:r>
    </w:p>
    <w:p w14:paraId="7C236398" w14:textId="74B0AC6F" w:rsidR="008470E9" w:rsidRDefault="008470E9" w:rsidP="00365C83">
      <w:pPr>
        <w:jc w:val="both"/>
        <w:rPr>
          <w:rFonts w:asciiTheme="majorHAnsi" w:hAnsiTheme="majorHAnsi" w:cstheme="majorHAnsi"/>
        </w:rPr>
      </w:pPr>
    </w:p>
    <w:p w14:paraId="38D42605" w14:textId="1922C529" w:rsidR="008470E9" w:rsidRDefault="007020A3" w:rsidP="00365C83">
      <w:pPr>
        <w:jc w:val="both"/>
        <w:rPr>
          <w:rFonts w:asciiTheme="majorHAnsi" w:hAnsiTheme="majorHAnsi" w:cstheme="majorHAnsi"/>
        </w:rPr>
      </w:pPr>
      <w:r>
        <w:rPr>
          <w:rFonts w:asciiTheme="majorHAnsi" w:hAnsiTheme="majorHAnsi" w:cstheme="majorHAnsi"/>
        </w:rPr>
        <w:t xml:space="preserve">In the case of Ratcliff v McConnell and Harper Adams College (1997) a student who had been out drinking decided to go for a swim in the college pool despite the pool being locked with a notice prohibiting use outside of opening times. </w:t>
      </w:r>
      <w:r w:rsidR="00D130BE">
        <w:rPr>
          <w:rFonts w:asciiTheme="majorHAnsi" w:hAnsiTheme="majorHAnsi" w:cstheme="majorHAnsi"/>
        </w:rPr>
        <w:t>Similarly,</w:t>
      </w:r>
      <w:r>
        <w:rPr>
          <w:rFonts w:asciiTheme="majorHAnsi" w:hAnsiTheme="majorHAnsi" w:cstheme="majorHAnsi"/>
        </w:rPr>
        <w:t xml:space="preserve"> to Millie,</w:t>
      </w:r>
      <w:r>
        <w:rPr>
          <w:rFonts w:asciiTheme="majorHAnsi" w:hAnsiTheme="majorHAnsi" w:cstheme="majorHAnsi"/>
        </w:rPr>
        <w:t xml:space="preserve"> the claimant, </w:t>
      </w:r>
      <w:r w:rsidR="00D130BE">
        <w:rPr>
          <w:rFonts w:asciiTheme="majorHAnsi" w:hAnsiTheme="majorHAnsi" w:cstheme="majorHAnsi"/>
        </w:rPr>
        <w:t>in this</w:t>
      </w:r>
      <w:r>
        <w:rPr>
          <w:rFonts w:asciiTheme="majorHAnsi" w:hAnsiTheme="majorHAnsi" w:cstheme="majorHAnsi"/>
        </w:rPr>
        <w:t xml:space="preserve"> case, decided to climb over the locked gate into the </w:t>
      </w:r>
      <w:r w:rsidR="00D130BE">
        <w:rPr>
          <w:rFonts w:asciiTheme="majorHAnsi" w:hAnsiTheme="majorHAnsi" w:cstheme="majorHAnsi"/>
        </w:rPr>
        <w:t>open-air</w:t>
      </w:r>
      <w:r>
        <w:rPr>
          <w:rFonts w:asciiTheme="majorHAnsi" w:hAnsiTheme="majorHAnsi" w:cstheme="majorHAnsi"/>
        </w:rPr>
        <w:t xml:space="preserve"> swimming pool</w:t>
      </w:r>
      <w:r w:rsidR="00D130BE">
        <w:rPr>
          <w:rFonts w:asciiTheme="majorHAnsi" w:hAnsiTheme="majorHAnsi" w:cstheme="majorHAnsi"/>
        </w:rPr>
        <w:t xml:space="preserve">. The claimant then proceeded to dive into the pool without realising </w:t>
      </w:r>
    </w:p>
    <w:p w14:paraId="3FFC7452" w14:textId="77777777" w:rsidR="00A85435" w:rsidRDefault="007020A3" w:rsidP="00365C83">
      <w:pPr>
        <w:jc w:val="both"/>
        <w:rPr>
          <w:rFonts w:asciiTheme="majorHAnsi" w:hAnsiTheme="majorHAnsi" w:cstheme="majorHAnsi"/>
        </w:rPr>
      </w:pPr>
      <w:r>
        <w:rPr>
          <w:rFonts w:asciiTheme="majorHAnsi" w:hAnsiTheme="majorHAnsi" w:cstheme="majorHAnsi"/>
        </w:rPr>
        <w:t>The area of the pool he was going to dive into was too shallow. The claimant suffered a</w:t>
      </w:r>
      <w:r>
        <w:rPr>
          <w:rFonts w:asciiTheme="majorHAnsi" w:hAnsiTheme="majorHAnsi" w:cstheme="majorHAnsi"/>
        </w:rPr>
        <w:t xml:space="preserve"> broken neck causing permanent paralysis. It was held that the claimant was not entitled to compensation due to the steps the defendant had taken to reduce trespass by students. </w:t>
      </w:r>
    </w:p>
    <w:p w14:paraId="5A003566" w14:textId="77777777" w:rsidR="00A85435" w:rsidRDefault="00A85435" w:rsidP="00365C83">
      <w:pPr>
        <w:jc w:val="both"/>
        <w:rPr>
          <w:rFonts w:asciiTheme="majorHAnsi" w:hAnsiTheme="majorHAnsi" w:cstheme="majorHAnsi"/>
        </w:rPr>
      </w:pPr>
    </w:p>
    <w:p w14:paraId="1F383E1A" w14:textId="29987973" w:rsidR="004D4DCB" w:rsidRDefault="007020A3" w:rsidP="00365C83">
      <w:pPr>
        <w:jc w:val="both"/>
        <w:rPr>
          <w:rFonts w:asciiTheme="majorHAnsi" w:hAnsiTheme="majorHAnsi" w:cstheme="majorHAnsi"/>
        </w:rPr>
      </w:pPr>
      <w:r>
        <w:rPr>
          <w:rFonts w:asciiTheme="majorHAnsi" w:hAnsiTheme="majorHAnsi" w:cstheme="majorHAnsi"/>
        </w:rPr>
        <w:t>It was determined that the pool itself was not dangerous but the activity of</w:t>
      </w:r>
      <w:r>
        <w:rPr>
          <w:rFonts w:asciiTheme="majorHAnsi" w:hAnsiTheme="majorHAnsi" w:cstheme="majorHAnsi"/>
        </w:rPr>
        <w:t xml:space="preserve"> diving into it which was unsafe as this was an obvious danger there was no duty to warn. As the pool had a 7-foot-high fence, a locked gate and a sign prohibiting the use of the pool outside of opening times it was deemed this was a reasonable level of pr</w:t>
      </w:r>
      <w:r>
        <w:rPr>
          <w:rFonts w:asciiTheme="majorHAnsi" w:hAnsiTheme="majorHAnsi" w:cstheme="majorHAnsi"/>
        </w:rPr>
        <w:t xml:space="preserve">otection. </w:t>
      </w:r>
    </w:p>
    <w:p w14:paraId="05DB6771" w14:textId="4D1C02A9" w:rsidR="00A85435" w:rsidRDefault="00A85435" w:rsidP="00365C83">
      <w:pPr>
        <w:jc w:val="both"/>
        <w:rPr>
          <w:rFonts w:asciiTheme="majorHAnsi" w:hAnsiTheme="majorHAnsi" w:cstheme="majorHAnsi"/>
        </w:rPr>
      </w:pPr>
    </w:p>
    <w:p w14:paraId="1F17703B" w14:textId="10B5C47C" w:rsidR="00B601A9" w:rsidRDefault="007020A3" w:rsidP="00365C83">
      <w:pPr>
        <w:jc w:val="both"/>
        <w:rPr>
          <w:rFonts w:asciiTheme="majorHAnsi" w:hAnsiTheme="majorHAnsi" w:cstheme="majorHAnsi"/>
        </w:rPr>
      </w:pPr>
      <w:r>
        <w:rPr>
          <w:rFonts w:asciiTheme="majorHAnsi" w:hAnsiTheme="majorHAnsi" w:cstheme="majorHAnsi"/>
        </w:rPr>
        <w:t>In reflecting on this case there are some similarities to Millie’s position as Carlton Parks is also surrounded by a high perimeter fence and the potential risk of a non-visitor jumping onto the Waltzers while in process could arguably not be r</w:t>
      </w:r>
      <w:r>
        <w:rPr>
          <w:rFonts w:asciiTheme="majorHAnsi" w:hAnsiTheme="majorHAnsi" w:cstheme="majorHAnsi"/>
        </w:rPr>
        <w:t xml:space="preserve">easonably foreseeable to Carlton Parks and an obvious danger to Millie, therefore, no duty to warn. </w:t>
      </w:r>
    </w:p>
    <w:p w14:paraId="6FFB2BAF" w14:textId="283F89C9" w:rsidR="00B601A9" w:rsidRDefault="00B601A9" w:rsidP="00365C83">
      <w:pPr>
        <w:jc w:val="both"/>
        <w:rPr>
          <w:rFonts w:asciiTheme="majorHAnsi" w:hAnsiTheme="majorHAnsi" w:cstheme="majorHAnsi"/>
        </w:rPr>
      </w:pPr>
    </w:p>
    <w:p w14:paraId="2427EE20" w14:textId="1F59AFBB" w:rsidR="00AF0900" w:rsidRDefault="007020A3" w:rsidP="00365C83">
      <w:pPr>
        <w:jc w:val="both"/>
        <w:rPr>
          <w:rFonts w:asciiTheme="majorHAnsi" w:hAnsiTheme="majorHAnsi" w:cstheme="majorHAnsi"/>
        </w:rPr>
      </w:pPr>
      <w:r>
        <w:rPr>
          <w:rFonts w:asciiTheme="majorHAnsi" w:hAnsiTheme="majorHAnsi" w:cstheme="majorHAnsi"/>
        </w:rPr>
        <w:t>Due to Millie’s</w:t>
      </w:r>
      <w:r w:rsidR="00B601A9">
        <w:rPr>
          <w:rFonts w:asciiTheme="majorHAnsi" w:hAnsiTheme="majorHAnsi" w:cstheme="majorHAnsi"/>
        </w:rPr>
        <w:t xml:space="preserve"> </w:t>
      </w:r>
      <w:r w:rsidR="00A94A79">
        <w:rPr>
          <w:rFonts w:asciiTheme="majorHAnsi" w:hAnsiTheme="majorHAnsi" w:cstheme="majorHAnsi"/>
        </w:rPr>
        <w:t>actions,</w:t>
      </w:r>
      <w:r w:rsidR="00B601A9">
        <w:rPr>
          <w:rFonts w:asciiTheme="majorHAnsi" w:hAnsiTheme="majorHAnsi" w:cstheme="majorHAnsi"/>
        </w:rPr>
        <w:t xml:space="preserve"> she sustained a fractured skull and broken sunglasses. The fractured skull could be argued as a </w:t>
      </w:r>
      <w:r w:rsidR="00FB3244">
        <w:rPr>
          <w:rFonts w:asciiTheme="majorHAnsi" w:hAnsiTheme="majorHAnsi" w:cstheme="majorHAnsi"/>
        </w:rPr>
        <w:t xml:space="preserve">reasonable consequence of her </w:t>
      </w:r>
      <w:r w:rsidR="00CA6A53">
        <w:rPr>
          <w:rFonts w:asciiTheme="majorHAnsi" w:hAnsiTheme="majorHAnsi" w:cstheme="majorHAnsi"/>
        </w:rPr>
        <w:t xml:space="preserve">actions as the lights and electrics that fell could have been as a direct result of Millie jumping onto the ride while it was in motion and </w:t>
      </w:r>
      <w:r w:rsidR="003F27A2">
        <w:rPr>
          <w:rFonts w:asciiTheme="majorHAnsi" w:hAnsiTheme="majorHAnsi" w:cstheme="majorHAnsi"/>
        </w:rPr>
        <w:t xml:space="preserve">by </w:t>
      </w:r>
      <w:r>
        <w:rPr>
          <w:rFonts w:asciiTheme="majorHAnsi" w:hAnsiTheme="majorHAnsi" w:cstheme="majorHAnsi"/>
        </w:rPr>
        <w:t xml:space="preserve">referring </w:t>
      </w:r>
      <w:r w:rsidR="003F27A2">
        <w:rPr>
          <w:rFonts w:asciiTheme="majorHAnsi" w:hAnsiTheme="majorHAnsi" w:cstheme="majorHAnsi"/>
        </w:rPr>
        <w:t>to s1(6) of the Occupiers Liability Act</w:t>
      </w:r>
      <w:r>
        <w:rPr>
          <w:rFonts w:asciiTheme="majorHAnsi" w:hAnsiTheme="majorHAnsi" w:cstheme="majorHAnsi"/>
        </w:rPr>
        <w:t xml:space="preserve"> this would determine that Carlton Parks did not owe Millie any dut</w:t>
      </w:r>
      <w:r>
        <w:rPr>
          <w:rFonts w:asciiTheme="majorHAnsi" w:hAnsiTheme="majorHAnsi" w:cstheme="majorHAnsi"/>
        </w:rPr>
        <w:t>y of care.</w:t>
      </w:r>
    </w:p>
    <w:p w14:paraId="2895BB76" w14:textId="3115E3CE" w:rsidR="00B601A9" w:rsidRDefault="007020A3" w:rsidP="00365C83">
      <w:pPr>
        <w:jc w:val="both"/>
        <w:rPr>
          <w:rFonts w:asciiTheme="majorHAnsi" w:hAnsiTheme="majorHAnsi" w:cstheme="majorHAnsi"/>
        </w:rPr>
      </w:pPr>
      <w:r>
        <w:rPr>
          <w:rFonts w:asciiTheme="majorHAnsi" w:hAnsiTheme="majorHAnsi" w:cstheme="majorHAnsi"/>
        </w:rPr>
        <w:t>Considering</w:t>
      </w:r>
      <w:r w:rsidR="00FB3244">
        <w:rPr>
          <w:rFonts w:asciiTheme="majorHAnsi" w:hAnsiTheme="majorHAnsi" w:cstheme="majorHAnsi"/>
        </w:rPr>
        <w:t xml:space="preserve"> Millie’s sunglasses under section 1(8) of the Occupiers Liability Act 1984 it states that no duty is owed to a non – visitor for property damage. </w:t>
      </w:r>
    </w:p>
    <w:p w14:paraId="4F617B27" w14:textId="2FD12BEE" w:rsidR="00FB3244" w:rsidRDefault="00FB3244" w:rsidP="00365C83">
      <w:pPr>
        <w:jc w:val="both"/>
        <w:rPr>
          <w:rFonts w:asciiTheme="majorHAnsi" w:hAnsiTheme="majorHAnsi" w:cstheme="majorHAnsi"/>
        </w:rPr>
      </w:pPr>
    </w:p>
    <w:p w14:paraId="068F17FD" w14:textId="238F903C" w:rsidR="00E7109B" w:rsidRDefault="007020A3" w:rsidP="00365C83">
      <w:pPr>
        <w:jc w:val="both"/>
        <w:rPr>
          <w:rFonts w:asciiTheme="majorHAnsi" w:hAnsiTheme="majorHAnsi" w:cstheme="majorHAnsi"/>
        </w:rPr>
      </w:pPr>
      <w:r>
        <w:rPr>
          <w:rFonts w:asciiTheme="majorHAnsi" w:hAnsiTheme="majorHAnsi" w:cstheme="majorHAnsi"/>
        </w:rPr>
        <w:t>It would be fair to conclude that Carlton Parks had no liability towards Millie as th</w:t>
      </w:r>
      <w:r>
        <w:rPr>
          <w:rFonts w:asciiTheme="majorHAnsi" w:hAnsiTheme="majorHAnsi" w:cstheme="majorHAnsi"/>
        </w:rPr>
        <w:t>e injuries she sustained were a result of her careless actions</w:t>
      </w:r>
      <w:r w:rsidR="00B14F1B">
        <w:rPr>
          <w:rFonts w:asciiTheme="majorHAnsi" w:hAnsiTheme="majorHAnsi" w:cstheme="majorHAnsi"/>
        </w:rPr>
        <w:t>. Carlton Parks could have been aware that a non-visitor entering the premises could be reasonably foreseeable</w:t>
      </w:r>
      <w:r w:rsidR="00887F45">
        <w:rPr>
          <w:rFonts w:asciiTheme="majorHAnsi" w:hAnsiTheme="majorHAnsi" w:cstheme="majorHAnsi"/>
        </w:rPr>
        <w:t xml:space="preserve"> and </w:t>
      </w:r>
      <w:r w:rsidR="00B14F1B">
        <w:rPr>
          <w:rFonts w:asciiTheme="majorHAnsi" w:hAnsiTheme="majorHAnsi" w:cstheme="majorHAnsi"/>
        </w:rPr>
        <w:t xml:space="preserve">have tried to avoid this by having a high perimeter fence, they could also be aware that there is a potential for rides to </w:t>
      </w:r>
      <w:r w:rsidR="00A94A79">
        <w:rPr>
          <w:rFonts w:asciiTheme="majorHAnsi" w:hAnsiTheme="majorHAnsi" w:cstheme="majorHAnsi"/>
        </w:rPr>
        <w:t xml:space="preserve">have parts break or fall off </w:t>
      </w:r>
      <w:r w:rsidR="00887F45">
        <w:rPr>
          <w:rFonts w:asciiTheme="majorHAnsi" w:hAnsiTheme="majorHAnsi" w:cstheme="majorHAnsi"/>
        </w:rPr>
        <w:t xml:space="preserve">however </w:t>
      </w:r>
      <w:r w:rsidR="00A94A79">
        <w:rPr>
          <w:rFonts w:asciiTheme="majorHAnsi" w:hAnsiTheme="majorHAnsi" w:cstheme="majorHAnsi"/>
        </w:rPr>
        <w:t xml:space="preserve">in this instance it isn’t made clear whether Millie’s actions could have been the cause of the parts </w:t>
      </w:r>
      <w:r w:rsidR="00887F45">
        <w:rPr>
          <w:rFonts w:asciiTheme="majorHAnsi" w:hAnsiTheme="majorHAnsi" w:cstheme="majorHAnsi"/>
        </w:rPr>
        <w:t xml:space="preserve">becoming loose and </w:t>
      </w:r>
      <w:r w:rsidR="00A94A79">
        <w:rPr>
          <w:rFonts w:asciiTheme="majorHAnsi" w:hAnsiTheme="majorHAnsi" w:cstheme="majorHAnsi"/>
        </w:rPr>
        <w:t xml:space="preserve">falling therefore unable to determine the true </w:t>
      </w:r>
      <w:r w:rsidR="00887F45">
        <w:rPr>
          <w:rFonts w:asciiTheme="majorHAnsi" w:hAnsiTheme="majorHAnsi" w:cstheme="majorHAnsi"/>
        </w:rPr>
        <w:t xml:space="preserve">state of the premises at the time of the accident. </w:t>
      </w:r>
    </w:p>
    <w:p w14:paraId="6A936E74" w14:textId="4EC3D601" w:rsidR="00A94A79" w:rsidRDefault="00A94A79" w:rsidP="00365C83">
      <w:pPr>
        <w:jc w:val="both"/>
        <w:rPr>
          <w:rFonts w:asciiTheme="majorHAnsi" w:hAnsiTheme="majorHAnsi" w:cstheme="majorHAnsi"/>
        </w:rPr>
      </w:pPr>
    </w:p>
    <w:p w14:paraId="49F5D2A8" w14:textId="5310D98D" w:rsidR="00165B4C" w:rsidRDefault="007020A3" w:rsidP="00365C83">
      <w:pPr>
        <w:jc w:val="both"/>
        <w:rPr>
          <w:rFonts w:asciiTheme="majorHAnsi" w:hAnsiTheme="majorHAnsi" w:cstheme="majorHAnsi"/>
        </w:rPr>
      </w:pPr>
      <w:r>
        <w:rPr>
          <w:rFonts w:asciiTheme="majorHAnsi" w:hAnsiTheme="majorHAnsi" w:cstheme="majorHAnsi"/>
        </w:rPr>
        <w:t xml:space="preserve">In </w:t>
      </w:r>
      <w:r w:rsidR="00C41DEC">
        <w:rPr>
          <w:rFonts w:asciiTheme="majorHAnsi" w:hAnsiTheme="majorHAnsi" w:cstheme="majorHAnsi"/>
        </w:rPr>
        <w:t xml:space="preserve">the </w:t>
      </w:r>
      <w:r>
        <w:rPr>
          <w:rFonts w:asciiTheme="majorHAnsi" w:hAnsiTheme="majorHAnsi" w:cstheme="majorHAnsi"/>
        </w:rPr>
        <w:t>case</w:t>
      </w:r>
      <w:r w:rsidR="00C41DEC">
        <w:rPr>
          <w:rFonts w:asciiTheme="majorHAnsi" w:hAnsiTheme="majorHAnsi" w:cstheme="majorHAnsi"/>
        </w:rPr>
        <w:t xml:space="preserve"> of</w:t>
      </w:r>
      <w:r>
        <w:rPr>
          <w:rFonts w:asciiTheme="majorHAnsi" w:hAnsiTheme="majorHAnsi" w:cstheme="majorHAnsi"/>
        </w:rPr>
        <w:t xml:space="preserve"> Ward v Tesco (1976)</w:t>
      </w:r>
      <w:r w:rsidR="00EA55E0">
        <w:rPr>
          <w:rFonts w:asciiTheme="majorHAnsi" w:hAnsiTheme="majorHAnsi" w:cstheme="majorHAnsi"/>
        </w:rPr>
        <w:t>, it raises the question of whether the accident would have occurred had it not been for negligence. W</w:t>
      </w:r>
      <w:r w:rsidR="00C41DEC">
        <w:rPr>
          <w:rFonts w:asciiTheme="majorHAnsi" w:hAnsiTheme="majorHAnsi" w:cstheme="majorHAnsi"/>
        </w:rPr>
        <w:t>ere</w:t>
      </w:r>
      <w:r w:rsidR="00EA55E0">
        <w:rPr>
          <w:rFonts w:asciiTheme="majorHAnsi" w:hAnsiTheme="majorHAnsi" w:cstheme="majorHAnsi"/>
        </w:rPr>
        <w:t xml:space="preserve"> Carlton Parks negligent in maintaining the ride?  And had </w:t>
      </w:r>
      <w:r w:rsidR="00C41DEC">
        <w:rPr>
          <w:rFonts w:asciiTheme="majorHAnsi" w:hAnsiTheme="majorHAnsi" w:cstheme="majorHAnsi"/>
        </w:rPr>
        <w:t>the</w:t>
      </w:r>
      <w:r w:rsidR="00EA55E0">
        <w:rPr>
          <w:rFonts w:asciiTheme="majorHAnsi" w:hAnsiTheme="majorHAnsi" w:cstheme="majorHAnsi"/>
        </w:rPr>
        <w:t xml:space="preserve"> ride been maintained to an acceptable standard would the</w:t>
      </w:r>
      <w:r w:rsidR="00C41DEC">
        <w:rPr>
          <w:rFonts w:asciiTheme="majorHAnsi" w:hAnsiTheme="majorHAnsi" w:cstheme="majorHAnsi"/>
        </w:rPr>
        <w:t xml:space="preserve"> light and electrics have fallen causing the fire.</w:t>
      </w:r>
      <w:r w:rsidR="00505BBC">
        <w:rPr>
          <w:rFonts w:asciiTheme="majorHAnsi" w:hAnsiTheme="majorHAnsi" w:cstheme="majorHAnsi"/>
        </w:rPr>
        <w:t xml:space="preserve"> </w:t>
      </w:r>
    </w:p>
    <w:p w14:paraId="0CC43AE1" w14:textId="77777777" w:rsidR="00A94A79" w:rsidRDefault="00A94A79" w:rsidP="00365C83">
      <w:pPr>
        <w:jc w:val="both"/>
        <w:rPr>
          <w:rFonts w:asciiTheme="majorHAnsi" w:hAnsiTheme="majorHAnsi" w:cstheme="majorHAnsi"/>
        </w:rPr>
      </w:pPr>
    </w:p>
    <w:p w14:paraId="51D35297" w14:textId="3DD00917" w:rsidR="00505BBC" w:rsidRDefault="007020A3" w:rsidP="00365C83">
      <w:pPr>
        <w:jc w:val="both"/>
        <w:rPr>
          <w:rFonts w:asciiTheme="majorHAnsi" w:hAnsiTheme="majorHAnsi" w:cstheme="majorHAnsi"/>
        </w:rPr>
      </w:pPr>
      <w:r>
        <w:rPr>
          <w:rFonts w:asciiTheme="majorHAnsi" w:hAnsiTheme="majorHAnsi" w:cstheme="majorHAnsi"/>
        </w:rPr>
        <w:t xml:space="preserve">Moreover, due to Carlton Parks having had </w:t>
      </w:r>
      <w:r w:rsidR="008454A9">
        <w:rPr>
          <w:rFonts w:asciiTheme="majorHAnsi" w:hAnsiTheme="majorHAnsi" w:cstheme="majorHAnsi"/>
        </w:rPr>
        <w:t>several tragic</w:t>
      </w:r>
      <w:r>
        <w:rPr>
          <w:rFonts w:asciiTheme="majorHAnsi" w:hAnsiTheme="majorHAnsi" w:cstheme="majorHAnsi"/>
        </w:rPr>
        <w:t xml:space="preserve"> incidents occur recently, t</w:t>
      </w:r>
      <w:r>
        <w:rPr>
          <w:rFonts w:asciiTheme="majorHAnsi" w:hAnsiTheme="majorHAnsi" w:cstheme="majorHAnsi"/>
        </w:rPr>
        <w:t xml:space="preserve">he events of Leos case and Millie's combined with the information </w:t>
      </w:r>
      <w:r w:rsidR="00F477F9">
        <w:rPr>
          <w:rFonts w:asciiTheme="majorHAnsi" w:hAnsiTheme="majorHAnsi" w:cstheme="majorHAnsi"/>
        </w:rPr>
        <w:t>of the recent tragic events could make it difficult for Carlton parks to argue no duty of care.</w:t>
      </w:r>
      <w:r w:rsidR="001F6680">
        <w:rPr>
          <w:rFonts w:asciiTheme="majorHAnsi" w:hAnsiTheme="majorHAnsi" w:cstheme="majorHAnsi"/>
        </w:rPr>
        <w:t xml:space="preserve"> It is also important to note that as she was committing a criminal offence at the time of the accident awarding a claim could face some criticism as it has the potential to promote ‘Compensation culture’ this was reviewed by Cardiff University which has seen a significant rise in compensation claim in recent years (Lewis, 2014). </w:t>
      </w:r>
    </w:p>
    <w:p w14:paraId="57FB84F5" w14:textId="48F41B1E" w:rsidR="00165B4C" w:rsidRDefault="00165B4C" w:rsidP="00365C83">
      <w:pPr>
        <w:jc w:val="both"/>
        <w:rPr>
          <w:rFonts w:asciiTheme="majorHAnsi" w:hAnsiTheme="majorHAnsi" w:cstheme="majorHAnsi"/>
        </w:rPr>
      </w:pPr>
    </w:p>
    <w:p w14:paraId="57C12A49" w14:textId="02FA3D10" w:rsidR="00C41DEC" w:rsidRDefault="007020A3" w:rsidP="00365C83">
      <w:pPr>
        <w:jc w:val="both"/>
        <w:rPr>
          <w:rFonts w:asciiTheme="majorHAnsi" w:hAnsiTheme="majorHAnsi" w:cstheme="majorHAnsi"/>
        </w:rPr>
      </w:pPr>
      <w:r>
        <w:rPr>
          <w:rFonts w:asciiTheme="majorHAnsi" w:hAnsiTheme="majorHAnsi" w:cstheme="majorHAnsi"/>
        </w:rPr>
        <w:t xml:space="preserve">These facts </w:t>
      </w:r>
      <w:r>
        <w:rPr>
          <w:rFonts w:asciiTheme="majorHAnsi" w:hAnsiTheme="majorHAnsi" w:cstheme="majorHAnsi"/>
        </w:rPr>
        <w:t>have the potential to overturn Millie’s original position as it could be argued that without her actions the incident had the potential to happen regardless of her intervention due to poor maintenance.</w:t>
      </w:r>
    </w:p>
    <w:p w14:paraId="470F81BC" w14:textId="77777777" w:rsidR="00FB3244" w:rsidRDefault="00FB3244" w:rsidP="00365C83">
      <w:pPr>
        <w:jc w:val="both"/>
        <w:rPr>
          <w:rFonts w:asciiTheme="majorHAnsi" w:hAnsiTheme="majorHAnsi" w:cstheme="majorHAnsi"/>
        </w:rPr>
      </w:pPr>
    </w:p>
    <w:p w14:paraId="52C3E594" w14:textId="441C2D9A" w:rsidR="00347E41" w:rsidRDefault="007020A3" w:rsidP="00365C83">
      <w:pPr>
        <w:jc w:val="both"/>
        <w:rPr>
          <w:rFonts w:asciiTheme="majorHAnsi" w:hAnsiTheme="majorHAnsi" w:cstheme="majorHAnsi"/>
        </w:rPr>
      </w:pPr>
      <w:r>
        <w:rPr>
          <w:rFonts w:asciiTheme="majorHAnsi" w:hAnsiTheme="majorHAnsi" w:cstheme="majorHAnsi"/>
        </w:rPr>
        <w:t>Moving on to Nia and Owen as they are both paying cus</w:t>
      </w:r>
      <w:r>
        <w:rPr>
          <w:rFonts w:asciiTheme="majorHAnsi" w:hAnsiTheme="majorHAnsi" w:cstheme="majorHAnsi"/>
        </w:rPr>
        <w:t xml:space="preserve">tomers to the </w:t>
      </w:r>
      <w:r w:rsidR="004061BB">
        <w:rPr>
          <w:rFonts w:asciiTheme="majorHAnsi" w:hAnsiTheme="majorHAnsi" w:cstheme="majorHAnsi"/>
        </w:rPr>
        <w:t>park,</w:t>
      </w:r>
      <w:r>
        <w:rPr>
          <w:rFonts w:asciiTheme="majorHAnsi" w:hAnsiTheme="majorHAnsi" w:cstheme="majorHAnsi"/>
        </w:rPr>
        <w:t xml:space="preserve"> they would be considered visitors to the premises therefore would be </w:t>
      </w:r>
      <w:r w:rsidR="006E4FE5">
        <w:rPr>
          <w:rFonts w:asciiTheme="majorHAnsi" w:hAnsiTheme="majorHAnsi" w:cstheme="majorHAnsi"/>
        </w:rPr>
        <w:t>considered under the Occupiers Liability Act 1957.</w:t>
      </w:r>
    </w:p>
    <w:p w14:paraId="080E4CA2" w14:textId="6AAD1557" w:rsidR="004061BB" w:rsidRDefault="004061BB" w:rsidP="00365C83">
      <w:pPr>
        <w:jc w:val="both"/>
        <w:rPr>
          <w:rFonts w:asciiTheme="majorHAnsi" w:hAnsiTheme="majorHAnsi" w:cstheme="majorHAnsi"/>
        </w:rPr>
      </w:pPr>
    </w:p>
    <w:p w14:paraId="0D189695" w14:textId="66414D02" w:rsidR="004061BB" w:rsidRDefault="007020A3" w:rsidP="00365C83">
      <w:pPr>
        <w:jc w:val="both"/>
        <w:rPr>
          <w:rFonts w:asciiTheme="majorHAnsi" w:hAnsiTheme="majorHAnsi" w:cstheme="majorHAnsi"/>
        </w:rPr>
      </w:pPr>
      <w:r>
        <w:rPr>
          <w:rFonts w:asciiTheme="majorHAnsi" w:hAnsiTheme="majorHAnsi" w:cstheme="majorHAnsi"/>
        </w:rPr>
        <w:t>In Nia’s case</w:t>
      </w:r>
      <w:r w:rsidR="00DA64CF">
        <w:rPr>
          <w:rFonts w:asciiTheme="majorHAnsi" w:hAnsiTheme="majorHAnsi" w:cstheme="majorHAnsi"/>
        </w:rPr>
        <w:t xml:space="preserve">, as she managed to escape from the ride without any physical injuries but has suffered from post-traumatic stress due to the incident, she would be considered a reasonably foreseeable victim as defined in the case Page v Smith (1996). </w:t>
      </w:r>
    </w:p>
    <w:p w14:paraId="723440E9" w14:textId="59AB0CCD" w:rsidR="00DA64CF" w:rsidRDefault="00DA64CF" w:rsidP="00365C83">
      <w:pPr>
        <w:jc w:val="both"/>
        <w:rPr>
          <w:rFonts w:asciiTheme="majorHAnsi" w:hAnsiTheme="majorHAnsi" w:cstheme="majorHAnsi"/>
        </w:rPr>
      </w:pPr>
    </w:p>
    <w:p w14:paraId="1216EC84" w14:textId="75CFBA7D" w:rsidR="00DA64CF" w:rsidRDefault="007020A3" w:rsidP="00365C83">
      <w:pPr>
        <w:jc w:val="both"/>
        <w:rPr>
          <w:rFonts w:asciiTheme="majorHAnsi" w:hAnsiTheme="majorHAnsi" w:cstheme="majorHAnsi"/>
        </w:rPr>
      </w:pPr>
      <w:r>
        <w:rPr>
          <w:rFonts w:asciiTheme="majorHAnsi" w:hAnsiTheme="majorHAnsi" w:cstheme="majorHAnsi"/>
        </w:rPr>
        <w:t>In this case, the House of Lords held that as it was reasonably foreseeable that the incident could have resulted in phy</w:t>
      </w:r>
      <w:r>
        <w:rPr>
          <w:rFonts w:asciiTheme="majorHAnsi" w:hAnsiTheme="majorHAnsi" w:cstheme="majorHAnsi"/>
        </w:rPr>
        <w:t>sical injury that it was suffic</w:t>
      </w:r>
      <w:r w:rsidR="00245C01">
        <w:rPr>
          <w:rFonts w:asciiTheme="majorHAnsi" w:hAnsiTheme="majorHAnsi" w:cstheme="majorHAnsi"/>
        </w:rPr>
        <w:t xml:space="preserve">ient for the claimant directly involved to recover in psychiatric injury even if the claimant didn’t suffer any physical injuries. As a result of this case, they identified two types of victims a primary victim and a secondary victim. </w:t>
      </w:r>
    </w:p>
    <w:p w14:paraId="3D3241ED" w14:textId="4C17E5F5" w:rsidR="00A67530" w:rsidRDefault="00A67530" w:rsidP="00365C83">
      <w:pPr>
        <w:jc w:val="both"/>
        <w:rPr>
          <w:rFonts w:asciiTheme="majorHAnsi" w:hAnsiTheme="majorHAnsi" w:cstheme="majorHAnsi"/>
        </w:rPr>
      </w:pPr>
    </w:p>
    <w:p w14:paraId="4BDDBF12" w14:textId="33739196" w:rsidR="00A67530" w:rsidRDefault="007020A3" w:rsidP="00365C83">
      <w:pPr>
        <w:jc w:val="both"/>
        <w:rPr>
          <w:rFonts w:asciiTheme="majorHAnsi" w:hAnsiTheme="majorHAnsi" w:cstheme="majorHAnsi"/>
        </w:rPr>
      </w:pPr>
      <w:r>
        <w:rPr>
          <w:rFonts w:asciiTheme="majorHAnsi" w:hAnsiTheme="majorHAnsi" w:cstheme="majorHAnsi"/>
        </w:rPr>
        <w:lastRenderedPageBreak/>
        <w:t xml:space="preserve">Nia would be considered a primary victim in this case as </w:t>
      </w:r>
      <w:r w:rsidR="006F7415">
        <w:rPr>
          <w:rFonts w:asciiTheme="majorHAnsi" w:hAnsiTheme="majorHAnsi" w:cstheme="majorHAnsi"/>
        </w:rPr>
        <w:t xml:space="preserve">stipulated in Page v Smith (1996) </w:t>
      </w:r>
      <w:r>
        <w:rPr>
          <w:rFonts w:asciiTheme="majorHAnsi" w:hAnsiTheme="majorHAnsi" w:cstheme="majorHAnsi"/>
        </w:rPr>
        <w:t>she was directly involved in the events as she was on the ride at the time of the incident</w:t>
      </w:r>
      <w:r w:rsidR="00DF7220">
        <w:rPr>
          <w:rFonts w:asciiTheme="majorHAnsi" w:hAnsiTheme="majorHAnsi" w:cstheme="majorHAnsi"/>
        </w:rPr>
        <w:t xml:space="preserve"> putting her in the zone of danger</w:t>
      </w:r>
      <w:r>
        <w:rPr>
          <w:rFonts w:asciiTheme="majorHAnsi" w:hAnsiTheme="majorHAnsi" w:cstheme="majorHAnsi"/>
        </w:rPr>
        <w:t xml:space="preserve"> </w:t>
      </w:r>
      <w:r w:rsidR="00DF7220">
        <w:rPr>
          <w:rFonts w:asciiTheme="majorHAnsi" w:hAnsiTheme="majorHAnsi" w:cstheme="majorHAnsi"/>
        </w:rPr>
        <w:t>which</w:t>
      </w:r>
      <w:r>
        <w:rPr>
          <w:rFonts w:asciiTheme="majorHAnsi" w:hAnsiTheme="majorHAnsi" w:cstheme="majorHAnsi"/>
        </w:rPr>
        <w:t xml:space="preserve"> </w:t>
      </w:r>
      <w:r w:rsidR="005D5E8E">
        <w:rPr>
          <w:rFonts w:asciiTheme="majorHAnsi" w:hAnsiTheme="majorHAnsi" w:cstheme="majorHAnsi"/>
        </w:rPr>
        <w:t xml:space="preserve">despite managing to escape with no physical </w:t>
      </w:r>
      <w:r w:rsidR="0083209B">
        <w:rPr>
          <w:rFonts w:asciiTheme="majorHAnsi" w:hAnsiTheme="majorHAnsi" w:cstheme="majorHAnsi"/>
        </w:rPr>
        <w:t>injury,</w:t>
      </w:r>
      <w:r w:rsidR="005D5E8E">
        <w:rPr>
          <w:rFonts w:asciiTheme="majorHAnsi" w:hAnsiTheme="majorHAnsi" w:cstheme="majorHAnsi"/>
        </w:rPr>
        <w:t xml:space="preserve"> she has suffered </w:t>
      </w:r>
      <w:r w:rsidR="00247B0C">
        <w:rPr>
          <w:rFonts w:asciiTheme="majorHAnsi" w:hAnsiTheme="majorHAnsi" w:cstheme="majorHAnsi"/>
        </w:rPr>
        <w:t xml:space="preserve">post-traumatic stress which is a recognised </w:t>
      </w:r>
      <w:r w:rsidR="005D5E8E">
        <w:rPr>
          <w:rFonts w:asciiTheme="majorHAnsi" w:hAnsiTheme="majorHAnsi" w:cstheme="majorHAnsi"/>
        </w:rPr>
        <w:t>psychiatric injury</w:t>
      </w:r>
      <w:r w:rsidR="00247B0C">
        <w:rPr>
          <w:rFonts w:asciiTheme="majorHAnsi" w:hAnsiTheme="majorHAnsi" w:cstheme="majorHAnsi"/>
        </w:rPr>
        <w:t xml:space="preserve"> known as </w:t>
      </w:r>
      <w:r w:rsidR="006F5403">
        <w:rPr>
          <w:rFonts w:asciiTheme="majorHAnsi" w:hAnsiTheme="majorHAnsi" w:cstheme="majorHAnsi"/>
        </w:rPr>
        <w:t>post-traumatic</w:t>
      </w:r>
      <w:r w:rsidR="00247B0C">
        <w:rPr>
          <w:rFonts w:asciiTheme="majorHAnsi" w:hAnsiTheme="majorHAnsi" w:cstheme="majorHAnsi"/>
        </w:rPr>
        <w:t xml:space="preserve"> stress disorder</w:t>
      </w:r>
      <w:r w:rsidR="005D5E8E">
        <w:rPr>
          <w:rFonts w:asciiTheme="majorHAnsi" w:hAnsiTheme="majorHAnsi" w:cstheme="majorHAnsi"/>
        </w:rPr>
        <w:t xml:space="preserve"> as a result</w:t>
      </w:r>
      <w:r w:rsidR="0083209B">
        <w:rPr>
          <w:rFonts w:asciiTheme="majorHAnsi" w:hAnsiTheme="majorHAnsi" w:cstheme="majorHAnsi"/>
        </w:rPr>
        <w:t>.</w:t>
      </w:r>
      <w:r w:rsidR="005D5E8E">
        <w:rPr>
          <w:rFonts w:asciiTheme="majorHAnsi" w:hAnsiTheme="majorHAnsi" w:cstheme="majorHAnsi"/>
        </w:rPr>
        <w:t xml:space="preserve"> </w:t>
      </w:r>
    </w:p>
    <w:p w14:paraId="2D1C12BB" w14:textId="29074A28" w:rsidR="00AD159D" w:rsidRDefault="00AD159D" w:rsidP="00365C83">
      <w:pPr>
        <w:jc w:val="both"/>
        <w:rPr>
          <w:rFonts w:asciiTheme="majorHAnsi" w:hAnsiTheme="majorHAnsi" w:cstheme="majorHAnsi"/>
        </w:rPr>
      </w:pPr>
    </w:p>
    <w:p w14:paraId="17B4992E" w14:textId="6BEDCAE8" w:rsidR="00AD159D" w:rsidRDefault="007020A3" w:rsidP="00365C83">
      <w:pPr>
        <w:jc w:val="both"/>
        <w:rPr>
          <w:rFonts w:asciiTheme="majorHAnsi" w:hAnsiTheme="majorHAnsi" w:cstheme="majorHAnsi"/>
        </w:rPr>
      </w:pPr>
      <w:r>
        <w:rPr>
          <w:rFonts w:asciiTheme="majorHAnsi" w:hAnsiTheme="majorHAnsi" w:cstheme="majorHAnsi"/>
        </w:rPr>
        <w:t xml:space="preserve">Under section </w:t>
      </w:r>
      <w:r w:rsidR="002B156D">
        <w:rPr>
          <w:rFonts w:asciiTheme="majorHAnsi" w:hAnsiTheme="majorHAnsi" w:cstheme="majorHAnsi"/>
        </w:rPr>
        <w:t>1 (3)</w:t>
      </w:r>
      <w:r>
        <w:rPr>
          <w:rFonts w:asciiTheme="majorHAnsi" w:hAnsiTheme="majorHAnsi" w:cstheme="majorHAnsi"/>
        </w:rPr>
        <w:t>(a) of th</w:t>
      </w:r>
      <w:r>
        <w:rPr>
          <w:rFonts w:asciiTheme="majorHAnsi" w:hAnsiTheme="majorHAnsi" w:cstheme="majorHAnsi"/>
        </w:rPr>
        <w:t>e Occupiers Liability Act 1957, Carlton Parks would have liability as the</w:t>
      </w:r>
      <w:r w:rsidR="002B156D">
        <w:rPr>
          <w:rFonts w:asciiTheme="majorHAnsi" w:hAnsiTheme="majorHAnsi" w:cstheme="majorHAnsi"/>
        </w:rPr>
        <w:t>y</w:t>
      </w:r>
      <w:r>
        <w:rPr>
          <w:rFonts w:asciiTheme="majorHAnsi" w:hAnsiTheme="majorHAnsi" w:cstheme="majorHAnsi"/>
        </w:rPr>
        <w:t xml:space="preserve"> owe a duty to any person occupying any fixed or moveable structure including a vessel, vehicle or aircraft. So, despite the Waltzers being a</w:t>
      </w:r>
      <w:r w:rsidR="002B156D">
        <w:rPr>
          <w:rFonts w:asciiTheme="majorHAnsi" w:hAnsiTheme="majorHAnsi" w:cstheme="majorHAnsi"/>
        </w:rPr>
        <w:t xml:space="preserve"> </w:t>
      </w:r>
      <w:r>
        <w:rPr>
          <w:rFonts w:asciiTheme="majorHAnsi" w:hAnsiTheme="majorHAnsi" w:cstheme="majorHAnsi"/>
        </w:rPr>
        <w:t xml:space="preserve">fixed structure the parts are moveable </w:t>
      </w:r>
      <w:r w:rsidR="002B156D">
        <w:rPr>
          <w:rFonts w:asciiTheme="majorHAnsi" w:hAnsiTheme="majorHAnsi" w:cstheme="majorHAnsi"/>
        </w:rPr>
        <w:t>and contribute to the incident occurring.</w:t>
      </w:r>
    </w:p>
    <w:p w14:paraId="46A5BB1F" w14:textId="1C8E2044" w:rsidR="002B156D" w:rsidRDefault="002B156D" w:rsidP="00365C83">
      <w:pPr>
        <w:jc w:val="both"/>
        <w:rPr>
          <w:rFonts w:asciiTheme="majorHAnsi" w:hAnsiTheme="majorHAnsi" w:cstheme="majorHAnsi"/>
        </w:rPr>
      </w:pPr>
    </w:p>
    <w:p w14:paraId="13789F75" w14:textId="4A813979" w:rsidR="002B156D" w:rsidRDefault="007020A3" w:rsidP="00365C83">
      <w:pPr>
        <w:jc w:val="both"/>
        <w:rPr>
          <w:rFonts w:asciiTheme="majorHAnsi" w:hAnsiTheme="majorHAnsi" w:cstheme="majorHAnsi"/>
        </w:rPr>
      </w:pPr>
      <w:r>
        <w:rPr>
          <w:rFonts w:asciiTheme="majorHAnsi" w:hAnsiTheme="majorHAnsi" w:cstheme="majorHAnsi"/>
        </w:rPr>
        <w:t>As Owen’s injuries are a result of him witnessing the incident unfold with the knowledge that his sister Nia was on the ride at the time of the incident this would make Owen a secondary victim.</w:t>
      </w:r>
      <w:r w:rsidR="002B2BE5">
        <w:rPr>
          <w:rFonts w:asciiTheme="majorHAnsi" w:hAnsiTheme="majorHAnsi" w:cstheme="majorHAnsi"/>
        </w:rPr>
        <w:t xml:space="preserve"> Owen would also be owed a duty of care by CPL under section 1(3)(a) of the Occupiers Liability Act (1957). </w:t>
      </w:r>
    </w:p>
    <w:p w14:paraId="211B1655" w14:textId="273487FB" w:rsidR="00375C58" w:rsidRDefault="00375C58" w:rsidP="00365C83">
      <w:pPr>
        <w:jc w:val="both"/>
        <w:rPr>
          <w:rFonts w:asciiTheme="majorHAnsi" w:hAnsiTheme="majorHAnsi" w:cstheme="majorHAnsi"/>
        </w:rPr>
      </w:pPr>
    </w:p>
    <w:p w14:paraId="7D9BE789" w14:textId="79D06807" w:rsidR="00AA4A3D" w:rsidRDefault="007020A3" w:rsidP="00365C83">
      <w:pPr>
        <w:jc w:val="both"/>
        <w:rPr>
          <w:rFonts w:asciiTheme="majorHAnsi" w:hAnsiTheme="majorHAnsi" w:cstheme="majorHAnsi"/>
        </w:rPr>
      </w:pPr>
      <w:r>
        <w:rPr>
          <w:rFonts w:asciiTheme="majorHAnsi" w:hAnsiTheme="majorHAnsi" w:cstheme="majorHAnsi"/>
        </w:rPr>
        <w:t>Some criteria must be met to satisfy a claimant as a secondary victim. This criterion was laid down in the case of Alcock v Chief Constable of South Yorkshire (1992)</w:t>
      </w:r>
    </w:p>
    <w:p w14:paraId="7ED6F4CF" w14:textId="77777777" w:rsidR="00AA4A3D" w:rsidRDefault="00AA4A3D" w:rsidP="00365C83">
      <w:pPr>
        <w:jc w:val="both"/>
        <w:rPr>
          <w:rFonts w:asciiTheme="majorHAnsi" w:hAnsiTheme="majorHAnsi" w:cstheme="majorHAnsi"/>
        </w:rPr>
      </w:pPr>
    </w:p>
    <w:p w14:paraId="25517E81" w14:textId="177AA595" w:rsidR="00375C58" w:rsidRDefault="007020A3" w:rsidP="00365C83">
      <w:pPr>
        <w:jc w:val="both"/>
        <w:rPr>
          <w:rFonts w:asciiTheme="majorHAnsi" w:hAnsiTheme="majorHAnsi" w:cstheme="majorHAnsi"/>
        </w:rPr>
      </w:pPr>
      <w:r>
        <w:rPr>
          <w:rFonts w:asciiTheme="majorHAnsi" w:hAnsiTheme="majorHAnsi" w:cstheme="majorHAnsi"/>
        </w:rPr>
        <w:t>Firstly, there must be a close relationship of love and affection with a primary victim such as spouses, family members and so on.</w:t>
      </w:r>
    </w:p>
    <w:p w14:paraId="1610330A" w14:textId="0682C354" w:rsidR="00375C58" w:rsidRDefault="00375C58" w:rsidP="00365C83">
      <w:pPr>
        <w:jc w:val="both"/>
        <w:rPr>
          <w:rFonts w:asciiTheme="majorHAnsi" w:hAnsiTheme="majorHAnsi" w:cstheme="majorHAnsi"/>
        </w:rPr>
      </w:pPr>
    </w:p>
    <w:p w14:paraId="618C25EF" w14:textId="3502E4C7" w:rsidR="00375C58" w:rsidRDefault="007020A3" w:rsidP="00365C83">
      <w:pPr>
        <w:jc w:val="both"/>
        <w:rPr>
          <w:rFonts w:asciiTheme="majorHAnsi" w:hAnsiTheme="majorHAnsi" w:cstheme="majorHAnsi"/>
        </w:rPr>
      </w:pPr>
      <w:r>
        <w:rPr>
          <w:rFonts w:asciiTheme="majorHAnsi" w:hAnsiTheme="majorHAnsi" w:cstheme="majorHAnsi"/>
        </w:rPr>
        <w:t>As Ni</w:t>
      </w:r>
      <w:r w:rsidR="00AA4A3D">
        <w:rPr>
          <w:rFonts w:asciiTheme="majorHAnsi" w:hAnsiTheme="majorHAnsi" w:cstheme="majorHAnsi"/>
        </w:rPr>
        <w:t>a</w:t>
      </w:r>
      <w:r>
        <w:rPr>
          <w:rFonts w:asciiTheme="majorHAnsi" w:hAnsiTheme="majorHAnsi" w:cstheme="majorHAnsi"/>
        </w:rPr>
        <w:t xml:space="preserve"> is </w:t>
      </w:r>
      <w:r w:rsidR="00803A93">
        <w:rPr>
          <w:rFonts w:asciiTheme="majorHAnsi" w:hAnsiTheme="majorHAnsi" w:cstheme="majorHAnsi"/>
        </w:rPr>
        <w:t>Owens’s</w:t>
      </w:r>
      <w:r>
        <w:rPr>
          <w:rFonts w:asciiTheme="majorHAnsi" w:hAnsiTheme="majorHAnsi" w:cstheme="majorHAnsi"/>
        </w:rPr>
        <w:t xml:space="preserve"> sister the </w:t>
      </w:r>
      <w:r w:rsidR="00AA4A3D">
        <w:rPr>
          <w:rFonts w:asciiTheme="majorHAnsi" w:hAnsiTheme="majorHAnsi" w:cstheme="majorHAnsi"/>
        </w:rPr>
        <w:t>relationship</w:t>
      </w:r>
      <w:r>
        <w:rPr>
          <w:rFonts w:asciiTheme="majorHAnsi" w:hAnsiTheme="majorHAnsi" w:cstheme="majorHAnsi"/>
        </w:rPr>
        <w:t xml:space="preserve"> to the primary victim would suffice</w:t>
      </w:r>
      <w:r w:rsidR="007D6922">
        <w:rPr>
          <w:rFonts w:asciiTheme="majorHAnsi" w:hAnsiTheme="majorHAnsi" w:cstheme="majorHAnsi"/>
        </w:rPr>
        <w:t xml:space="preserve"> however, siblings may not </w:t>
      </w:r>
      <w:r w:rsidR="003D1FDC">
        <w:rPr>
          <w:rFonts w:asciiTheme="majorHAnsi" w:hAnsiTheme="majorHAnsi" w:cstheme="majorHAnsi"/>
        </w:rPr>
        <w:t>automatically fit the close relationship criteria so Owen would need to prove the closeness of the relationship</w:t>
      </w:r>
      <w:r>
        <w:rPr>
          <w:rFonts w:asciiTheme="majorHAnsi" w:hAnsiTheme="majorHAnsi" w:cstheme="majorHAnsi"/>
        </w:rPr>
        <w:t xml:space="preserve">. </w:t>
      </w:r>
    </w:p>
    <w:p w14:paraId="24362AFC" w14:textId="4D1BBB58" w:rsidR="00AA4A3D" w:rsidRDefault="00AA4A3D" w:rsidP="00365C83">
      <w:pPr>
        <w:jc w:val="both"/>
        <w:rPr>
          <w:rFonts w:asciiTheme="majorHAnsi" w:hAnsiTheme="majorHAnsi" w:cstheme="majorHAnsi"/>
        </w:rPr>
      </w:pPr>
    </w:p>
    <w:p w14:paraId="3BEF08D8" w14:textId="0BB91724" w:rsidR="00AA4A3D" w:rsidRDefault="007020A3" w:rsidP="00365C83">
      <w:pPr>
        <w:jc w:val="both"/>
        <w:rPr>
          <w:rFonts w:asciiTheme="majorHAnsi" w:hAnsiTheme="majorHAnsi" w:cstheme="majorHAnsi"/>
        </w:rPr>
      </w:pPr>
      <w:r>
        <w:rPr>
          <w:rFonts w:asciiTheme="majorHAnsi" w:hAnsiTheme="majorHAnsi" w:cstheme="majorHAnsi"/>
        </w:rPr>
        <w:t xml:space="preserve">Secondly, any passers-by </w:t>
      </w:r>
      <w:r w:rsidR="00803A93">
        <w:rPr>
          <w:rFonts w:asciiTheme="majorHAnsi" w:hAnsiTheme="majorHAnsi" w:cstheme="majorHAnsi"/>
        </w:rPr>
        <w:t>may be</w:t>
      </w:r>
      <w:r w:rsidR="00E610CF">
        <w:rPr>
          <w:rFonts w:asciiTheme="majorHAnsi" w:hAnsiTheme="majorHAnsi" w:cstheme="majorHAnsi"/>
        </w:rPr>
        <w:t xml:space="preserve"> able to claim if the incident witnessed was ‘particularly horrific’.</w:t>
      </w:r>
    </w:p>
    <w:p w14:paraId="56B97008" w14:textId="230BC657" w:rsidR="00D30DB5" w:rsidRDefault="00D30DB5" w:rsidP="00365C83">
      <w:pPr>
        <w:jc w:val="both"/>
        <w:rPr>
          <w:rFonts w:asciiTheme="majorHAnsi" w:hAnsiTheme="majorHAnsi" w:cstheme="majorHAnsi"/>
        </w:rPr>
      </w:pPr>
    </w:p>
    <w:p w14:paraId="15C4AC82" w14:textId="62D75818" w:rsidR="00D30DB5" w:rsidRDefault="007020A3" w:rsidP="00365C83">
      <w:pPr>
        <w:jc w:val="both"/>
        <w:rPr>
          <w:rFonts w:asciiTheme="majorHAnsi" w:hAnsiTheme="majorHAnsi" w:cstheme="majorHAnsi"/>
        </w:rPr>
      </w:pPr>
      <w:r>
        <w:rPr>
          <w:rFonts w:asciiTheme="majorHAnsi" w:hAnsiTheme="majorHAnsi" w:cstheme="majorHAnsi"/>
        </w:rPr>
        <w:t xml:space="preserve">A secondary victim is not directly involved but suffers psychiatric injury as a result of witnessing it. </w:t>
      </w:r>
    </w:p>
    <w:p w14:paraId="4E12F998" w14:textId="48FE2891" w:rsidR="00E610CF" w:rsidRDefault="00E610CF" w:rsidP="00365C83">
      <w:pPr>
        <w:jc w:val="both"/>
        <w:rPr>
          <w:rFonts w:asciiTheme="majorHAnsi" w:hAnsiTheme="majorHAnsi" w:cstheme="majorHAnsi"/>
        </w:rPr>
      </w:pPr>
    </w:p>
    <w:p w14:paraId="59671D90" w14:textId="1B0BAC35" w:rsidR="00E610CF" w:rsidRDefault="007020A3" w:rsidP="00365C83">
      <w:pPr>
        <w:jc w:val="both"/>
        <w:rPr>
          <w:rFonts w:asciiTheme="majorHAnsi" w:hAnsiTheme="majorHAnsi" w:cstheme="majorHAnsi"/>
        </w:rPr>
      </w:pPr>
      <w:r>
        <w:rPr>
          <w:rFonts w:asciiTheme="majorHAnsi" w:hAnsiTheme="majorHAnsi" w:cstheme="majorHAnsi"/>
        </w:rPr>
        <w:t xml:space="preserve">As many </w:t>
      </w:r>
      <w:r w:rsidR="00803A93">
        <w:rPr>
          <w:rFonts w:asciiTheme="majorHAnsi" w:hAnsiTheme="majorHAnsi" w:cstheme="majorHAnsi"/>
        </w:rPr>
        <w:t xml:space="preserve">customers </w:t>
      </w:r>
      <w:r>
        <w:rPr>
          <w:rFonts w:asciiTheme="majorHAnsi" w:hAnsiTheme="majorHAnsi" w:cstheme="majorHAnsi"/>
        </w:rPr>
        <w:t>perished in</w:t>
      </w:r>
      <w:r w:rsidR="00803A93">
        <w:rPr>
          <w:rFonts w:asciiTheme="majorHAnsi" w:hAnsiTheme="majorHAnsi" w:cstheme="majorHAnsi"/>
        </w:rPr>
        <w:t xml:space="preserve"> the blaze </w:t>
      </w:r>
      <w:r w:rsidR="000C2696">
        <w:rPr>
          <w:rFonts w:asciiTheme="majorHAnsi" w:hAnsiTheme="majorHAnsi" w:cstheme="majorHAnsi"/>
        </w:rPr>
        <w:t>like the Alcock V Chief Constable of South Yorkshire (1992) case where primary and secondary victims had witnessed horrific events that resulted in many fatalities it is reasonably foreseeable in reviewing past case law that victims who witnessed the incident at Carlton Parks suffer similar psychiatric injuries. As Owen had witnessed the in</w:t>
      </w:r>
      <w:r w:rsidR="00255A6F">
        <w:rPr>
          <w:rFonts w:asciiTheme="majorHAnsi" w:hAnsiTheme="majorHAnsi" w:cstheme="majorHAnsi"/>
        </w:rPr>
        <w:t xml:space="preserve">cident unfold from the cable cars combined with the </w:t>
      </w:r>
      <w:r w:rsidR="00C01DE1">
        <w:rPr>
          <w:rFonts w:asciiTheme="majorHAnsi" w:hAnsiTheme="majorHAnsi" w:cstheme="majorHAnsi"/>
        </w:rPr>
        <w:t>knowledge that his sister Nia was on the ride this would satisfy both criteria</w:t>
      </w:r>
      <w:r w:rsidR="006F5403">
        <w:rPr>
          <w:rFonts w:asciiTheme="majorHAnsi" w:hAnsiTheme="majorHAnsi" w:cstheme="majorHAnsi"/>
        </w:rPr>
        <w:t xml:space="preserve">. Also allowing him a claim would be the fact that he must now take medication for depression following the incident which is a medically recognised psychiatric condition. </w:t>
      </w:r>
    </w:p>
    <w:p w14:paraId="104C5E9B" w14:textId="5CD62CA9" w:rsidR="00C01DE1" w:rsidRDefault="00C01DE1" w:rsidP="00365C83">
      <w:pPr>
        <w:jc w:val="both"/>
        <w:rPr>
          <w:rFonts w:asciiTheme="majorHAnsi" w:hAnsiTheme="majorHAnsi" w:cstheme="majorHAnsi"/>
        </w:rPr>
      </w:pPr>
    </w:p>
    <w:p w14:paraId="7F0D1DE4" w14:textId="0B896929" w:rsidR="00742C94" w:rsidRDefault="007020A3" w:rsidP="00365C83">
      <w:pPr>
        <w:jc w:val="both"/>
        <w:rPr>
          <w:rFonts w:asciiTheme="majorHAnsi" w:hAnsiTheme="majorHAnsi" w:cstheme="majorHAnsi"/>
        </w:rPr>
      </w:pPr>
      <w:r>
        <w:rPr>
          <w:rFonts w:asciiTheme="majorHAnsi" w:hAnsiTheme="majorHAnsi" w:cstheme="majorHAnsi"/>
        </w:rPr>
        <w:t>However, there is a question of proximity as Owen was not at the ride when it happened but saw it unfold from a distance this was considered in the case of Mclo</w:t>
      </w:r>
      <w:r>
        <w:rPr>
          <w:rFonts w:asciiTheme="majorHAnsi" w:hAnsiTheme="majorHAnsi" w:cstheme="majorHAnsi"/>
        </w:rPr>
        <w:t>ughlin v O’Brian (1983)</w:t>
      </w:r>
      <w:r w:rsidR="0087629C">
        <w:rPr>
          <w:rFonts w:asciiTheme="majorHAnsi" w:hAnsiTheme="majorHAnsi" w:cstheme="majorHAnsi"/>
        </w:rPr>
        <w:t>.</w:t>
      </w:r>
    </w:p>
    <w:p w14:paraId="31941234" w14:textId="188B133C" w:rsidR="00742C94" w:rsidRDefault="00742C94" w:rsidP="00365C83">
      <w:pPr>
        <w:jc w:val="both"/>
        <w:rPr>
          <w:rFonts w:asciiTheme="majorHAnsi" w:hAnsiTheme="majorHAnsi" w:cstheme="majorHAnsi"/>
        </w:rPr>
      </w:pPr>
    </w:p>
    <w:p w14:paraId="6FB8F108" w14:textId="7713B194" w:rsidR="0087629C" w:rsidRDefault="007020A3" w:rsidP="00365C83">
      <w:pPr>
        <w:jc w:val="both"/>
        <w:rPr>
          <w:rFonts w:asciiTheme="majorHAnsi" w:hAnsiTheme="majorHAnsi" w:cstheme="majorHAnsi"/>
        </w:rPr>
      </w:pPr>
      <w:r>
        <w:rPr>
          <w:rFonts w:asciiTheme="majorHAnsi" w:hAnsiTheme="majorHAnsi" w:cstheme="majorHAnsi"/>
        </w:rPr>
        <w:t xml:space="preserve">In this case, Lord Bridge determined that </w:t>
      </w:r>
      <w:r w:rsidR="000B2C6B">
        <w:rPr>
          <w:rFonts w:asciiTheme="majorHAnsi" w:hAnsiTheme="majorHAnsi" w:cstheme="majorHAnsi"/>
        </w:rPr>
        <w:t>‘</w:t>
      </w:r>
      <w:r>
        <w:rPr>
          <w:rFonts w:asciiTheme="majorHAnsi" w:hAnsiTheme="majorHAnsi" w:cstheme="majorHAnsi"/>
        </w:rPr>
        <w:t xml:space="preserve">common law </w:t>
      </w:r>
      <w:r w:rsidR="0014150E">
        <w:rPr>
          <w:rFonts w:asciiTheme="majorHAnsi" w:hAnsiTheme="majorHAnsi" w:cstheme="majorHAnsi"/>
        </w:rPr>
        <w:t xml:space="preserve">doesn’t give damages for emotional distress that any normal person could experience from a loved being injured or killed. Anxiety and depression are normal </w:t>
      </w:r>
      <w:r w:rsidR="000B2C6B">
        <w:rPr>
          <w:rFonts w:asciiTheme="majorHAnsi" w:hAnsiTheme="majorHAnsi" w:cstheme="majorHAnsi"/>
        </w:rPr>
        <w:t xml:space="preserve">human emotions however despite this an anxiety neurosis or reactive depression could be recognisable psychiatric illnesses, with or without psychosomatic symptoms. The first hurdle for a plaintiff claiming damages of the kind in question must surmount </w:t>
      </w:r>
      <w:r w:rsidR="005931C3">
        <w:rPr>
          <w:rFonts w:asciiTheme="majorHAnsi" w:hAnsiTheme="majorHAnsi" w:cstheme="majorHAnsi"/>
        </w:rPr>
        <w:t xml:space="preserve">is </w:t>
      </w:r>
      <w:r w:rsidR="000B2C6B">
        <w:rPr>
          <w:rFonts w:asciiTheme="majorHAnsi" w:hAnsiTheme="majorHAnsi" w:cstheme="majorHAnsi"/>
        </w:rPr>
        <w:t xml:space="preserve">to establish </w:t>
      </w:r>
      <w:r w:rsidR="005931C3">
        <w:rPr>
          <w:rFonts w:asciiTheme="majorHAnsi" w:hAnsiTheme="majorHAnsi" w:cstheme="majorHAnsi"/>
        </w:rPr>
        <w:t>that he is suffering, not just grief, distress or any other normal emotion, but a recognised psychiatric illness’ (Steele, 2017).</w:t>
      </w:r>
      <w:r w:rsidR="00247B0C">
        <w:rPr>
          <w:rFonts w:asciiTheme="majorHAnsi" w:hAnsiTheme="majorHAnsi" w:cstheme="majorHAnsi"/>
        </w:rPr>
        <w:t xml:space="preserve"> </w:t>
      </w:r>
    </w:p>
    <w:p w14:paraId="7E6C19E2" w14:textId="1429EE23" w:rsidR="00262DA6" w:rsidRDefault="00262DA6" w:rsidP="00365C83">
      <w:pPr>
        <w:jc w:val="both"/>
        <w:rPr>
          <w:rFonts w:asciiTheme="majorHAnsi" w:hAnsiTheme="majorHAnsi" w:cstheme="majorHAnsi"/>
        </w:rPr>
      </w:pPr>
    </w:p>
    <w:p w14:paraId="79574CBE" w14:textId="57CC99D3" w:rsidR="00262DA6" w:rsidRDefault="007020A3" w:rsidP="00262DA6">
      <w:pPr>
        <w:jc w:val="both"/>
        <w:rPr>
          <w:rFonts w:asciiTheme="majorHAnsi" w:hAnsiTheme="majorHAnsi" w:cstheme="majorHAnsi"/>
        </w:rPr>
      </w:pPr>
      <w:r>
        <w:rPr>
          <w:rFonts w:asciiTheme="majorHAnsi" w:hAnsiTheme="majorHAnsi" w:cstheme="majorHAnsi"/>
        </w:rPr>
        <w:t>The analysis of this case states that to satisfy the requirement of proximity, the claimant doesn’t need to be present at the time of the incident. As Owen saw the incident happen</w:t>
      </w:r>
      <w:r w:rsidR="002B2BE5">
        <w:rPr>
          <w:rFonts w:asciiTheme="majorHAnsi" w:hAnsiTheme="majorHAnsi" w:cstheme="majorHAnsi"/>
        </w:rPr>
        <w:t xml:space="preserve"> in real-time and not after the fact</w:t>
      </w:r>
      <w:r>
        <w:rPr>
          <w:rFonts w:asciiTheme="majorHAnsi" w:hAnsiTheme="majorHAnsi" w:cstheme="majorHAnsi"/>
        </w:rPr>
        <w:t xml:space="preserve"> regardless of it being from a distance considering the facts that Owen believed to be true at the time of the event this should make any </w:t>
      </w:r>
      <w:r w:rsidR="00505BBC">
        <w:rPr>
          <w:rFonts w:asciiTheme="majorHAnsi" w:hAnsiTheme="majorHAnsi" w:cstheme="majorHAnsi"/>
        </w:rPr>
        <w:t>claim,</w:t>
      </w:r>
      <w:r>
        <w:rPr>
          <w:rFonts w:asciiTheme="majorHAnsi" w:hAnsiTheme="majorHAnsi" w:cstheme="majorHAnsi"/>
        </w:rPr>
        <w:t xml:space="preserve"> he makes a successful one. </w:t>
      </w:r>
    </w:p>
    <w:p w14:paraId="1266387C" w14:textId="7691B4C0" w:rsidR="00505BBC" w:rsidRDefault="00505BBC" w:rsidP="00262DA6">
      <w:pPr>
        <w:jc w:val="both"/>
        <w:rPr>
          <w:rFonts w:asciiTheme="majorHAnsi" w:hAnsiTheme="majorHAnsi" w:cstheme="majorHAnsi"/>
        </w:rPr>
      </w:pPr>
    </w:p>
    <w:p w14:paraId="00D6AC6B" w14:textId="5E50FD13" w:rsidR="007E0601" w:rsidRDefault="007020A3" w:rsidP="00262DA6">
      <w:pPr>
        <w:jc w:val="both"/>
        <w:rPr>
          <w:rFonts w:asciiTheme="majorHAnsi" w:hAnsiTheme="majorHAnsi" w:cstheme="majorHAnsi"/>
        </w:rPr>
      </w:pPr>
      <w:r>
        <w:rPr>
          <w:rFonts w:asciiTheme="majorHAnsi" w:hAnsiTheme="majorHAnsi" w:cstheme="majorHAnsi"/>
        </w:rPr>
        <w:t xml:space="preserve">To summarise Leo would have a case against Carlton Parks for negligence, Millie does not due to her actions however may be able to raise a prima facie presumption of negligence to do this she would need to try and prove the defendant's negligence. </w:t>
      </w:r>
    </w:p>
    <w:p w14:paraId="2FBF79BE" w14:textId="77777777" w:rsidR="007E0601" w:rsidRDefault="007E0601" w:rsidP="00262DA6">
      <w:pPr>
        <w:jc w:val="both"/>
        <w:rPr>
          <w:rFonts w:asciiTheme="majorHAnsi" w:hAnsiTheme="majorHAnsi" w:cstheme="majorHAnsi"/>
        </w:rPr>
      </w:pPr>
    </w:p>
    <w:p w14:paraId="4ED0236F" w14:textId="7A5B842E" w:rsidR="00505BBC" w:rsidRDefault="007020A3" w:rsidP="00262DA6">
      <w:pPr>
        <w:jc w:val="both"/>
        <w:rPr>
          <w:rFonts w:asciiTheme="majorHAnsi" w:hAnsiTheme="majorHAnsi" w:cstheme="majorHAnsi"/>
        </w:rPr>
      </w:pPr>
      <w:r>
        <w:rPr>
          <w:rFonts w:asciiTheme="majorHAnsi" w:hAnsiTheme="majorHAnsi" w:cstheme="majorHAnsi"/>
        </w:rPr>
        <w:t>Nia wo</w:t>
      </w:r>
      <w:r>
        <w:rPr>
          <w:rFonts w:asciiTheme="majorHAnsi" w:hAnsiTheme="majorHAnsi" w:cstheme="majorHAnsi"/>
        </w:rPr>
        <w:t xml:space="preserve">uld have a case as a primary victim and Owen would have a case as a secondary victim. </w:t>
      </w:r>
    </w:p>
    <w:p w14:paraId="27A17D79" w14:textId="77777777" w:rsidR="00262DA6" w:rsidRDefault="00262DA6" w:rsidP="00365C83">
      <w:pPr>
        <w:jc w:val="both"/>
        <w:rPr>
          <w:rFonts w:asciiTheme="majorHAnsi" w:hAnsiTheme="majorHAnsi" w:cstheme="majorHAnsi"/>
        </w:rPr>
      </w:pPr>
    </w:p>
    <w:p w14:paraId="689596D6" w14:textId="4DC88E72" w:rsidR="00375C58" w:rsidRDefault="00375C58" w:rsidP="00365C83">
      <w:pPr>
        <w:jc w:val="both"/>
        <w:rPr>
          <w:rFonts w:asciiTheme="majorHAnsi" w:hAnsiTheme="majorHAnsi" w:cstheme="majorHAnsi"/>
        </w:rPr>
      </w:pPr>
    </w:p>
    <w:p w14:paraId="220D8B2D" w14:textId="77777777" w:rsidR="00375C58" w:rsidRDefault="00375C58" w:rsidP="00365C83">
      <w:pPr>
        <w:jc w:val="both"/>
        <w:rPr>
          <w:rFonts w:asciiTheme="majorHAnsi" w:hAnsiTheme="majorHAnsi" w:cstheme="majorHAnsi"/>
        </w:rPr>
      </w:pPr>
    </w:p>
    <w:p w14:paraId="6077B87F" w14:textId="77777777" w:rsidR="002B156D" w:rsidRDefault="002B156D" w:rsidP="00365C83">
      <w:pPr>
        <w:jc w:val="both"/>
        <w:rPr>
          <w:rFonts w:asciiTheme="majorHAnsi" w:hAnsiTheme="majorHAnsi" w:cstheme="majorHAnsi"/>
        </w:rPr>
      </w:pPr>
    </w:p>
    <w:p w14:paraId="2BD34E74" w14:textId="6475817E" w:rsidR="0001039E" w:rsidRDefault="0001039E" w:rsidP="00365C83">
      <w:pPr>
        <w:jc w:val="both"/>
        <w:rPr>
          <w:rFonts w:asciiTheme="majorHAnsi" w:hAnsiTheme="majorHAnsi" w:cstheme="majorHAnsi"/>
        </w:rPr>
      </w:pPr>
    </w:p>
    <w:p w14:paraId="0AF5B850" w14:textId="2B390FC6" w:rsidR="0001039E" w:rsidRDefault="0001039E" w:rsidP="00365C83">
      <w:pPr>
        <w:jc w:val="both"/>
        <w:rPr>
          <w:rFonts w:asciiTheme="majorHAnsi" w:hAnsiTheme="majorHAnsi" w:cstheme="majorHAnsi"/>
        </w:rPr>
      </w:pPr>
    </w:p>
    <w:p w14:paraId="24EC321D" w14:textId="144B3A23" w:rsidR="00245C01" w:rsidRDefault="00245C01" w:rsidP="00365C83">
      <w:pPr>
        <w:jc w:val="both"/>
        <w:rPr>
          <w:rFonts w:asciiTheme="majorHAnsi" w:hAnsiTheme="majorHAnsi" w:cstheme="majorHAnsi"/>
        </w:rPr>
      </w:pPr>
    </w:p>
    <w:p w14:paraId="2501FBA7" w14:textId="77777777" w:rsidR="00245C01" w:rsidRDefault="00245C01" w:rsidP="00365C83">
      <w:pPr>
        <w:jc w:val="both"/>
        <w:rPr>
          <w:rFonts w:asciiTheme="majorHAnsi" w:hAnsiTheme="majorHAnsi" w:cstheme="majorHAnsi"/>
        </w:rPr>
      </w:pPr>
    </w:p>
    <w:p w14:paraId="09B7C92A" w14:textId="77777777" w:rsidR="004061BB" w:rsidRDefault="004061BB" w:rsidP="00365C83">
      <w:pPr>
        <w:jc w:val="both"/>
        <w:rPr>
          <w:rFonts w:asciiTheme="majorHAnsi" w:hAnsiTheme="majorHAnsi" w:cstheme="majorHAnsi"/>
        </w:rPr>
      </w:pPr>
    </w:p>
    <w:p w14:paraId="40418B7F" w14:textId="2D915A89" w:rsidR="006E4FE5" w:rsidRDefault="006E4FE5" w:rsidP="00365C83">
      <w:pPr>
        <w:jc w:val="both"/>
        <w:rPr>
          <w:rFonts w:asciiTheme="majorHAnsi" w:hAnsiTheme="majorHAnsi" w:cstheme="majorHAnsi"/>
        </w:rPr>
      </w:pPr>
    </w:p>
    <w:p w14:paraId="3C4AF39D" w14:textId="77777777" w:rsidR="006E4FE5" w:rsidRDefault="006E4FE5" w:rsidP="00365C83">
      <w:pPr>
        <w:jc w:val="both"/>
        <w:rPr>
          <w:rFonts w:asciiTheme="majorHAnsi" w:hAnsiTheme="majorHAnsi" w:cstheme="majorHAnsi"/>
        </w:rPr>
      </w:pPr>
    </w:p>
    <w:p w14:paraId="01907692" w14:textId="77777777" w:rsidR="00645310" w:rsidRDefault="00645310" w:rsidP="00365C83">
      <w:pPr>
        <w:jc w:val="both"/>
        <w:rPr>
          <w:rFonts w:asciiTheme="majorHAnsi" w:hAnsiTheme="majorHAnsi" w:cstheme="majorHAnsi"/>
        </w:rPr>
      </w:pPr>
    </w:p>
    <w:p w14:paraId="025AED7A" w14:textId="07A07A96" w:rsidR="00314D64" w:rsidRDefault="00314D64" w:rsidP="00365C83">
      <w:pPr>
        <w:jc w:val="both"/>
        <w:rPr>
          <w:rFonts w:asciiTheme="majorHAnsi" w:hAnsiTheme="majorHAnsi" w:cstheme="majorHAnsi"/>
        </w:rPr>
      </w:pPr>
    </w:p>
    <w:p w14:paraId="328B8AAF" w14:textId="2E542C46" w:rsidR="00314D64" w:rsidRDefault="00314D64" w:rsidP="00365C83">
      <w:pPr>
        <w:jc w:val="both"/>
        <w:rPr>
          <w:rFonts w:asciiTheme="majorHAnsi" w:hAnsiTheme="majorHAnsi" w:cstheme="majorHAnsi"/>
        </w:rPr>
      </w:pPr>
    </w:p>
    <w:p w14:paraId="6E3344F4" w14:textId="77777777" w:rsidR="00314D64" w:rsidRDefault="00314D64" w:rsidP="00365C83">
      <w:pPr>
        <w:jc w:val="both"/>
        <w:rPr>
          <w:rFonts w:asciiTheme="majorHAnsi" w:hAnsiTheme="majorHAnsi" w:cstheme="majorHAnsi"/>
        </w:rPr>
      </w:pPr>
    </w:p>
    <w:p w14:paraId="6000C44A" w14:textId="18773309" w:rsidR="00E75C53" w:rsidRDefault="00E75C53" w:rsidP="00365C83">
      <w:pPr>
        <w:jc w:val="both"/>
        <w:rPr>
          <w:rFonts w:asciiTheme="majorHAnsi" w:hAnsiTheme="majorHAnsi" w:cstheme="majorHAnsi"/>
        </w:rPr>
      </w:pPr>
    </w:p>
    <w:p w14:paraId="2FEDA62E" w14:textId="77777777" w:rsidR="00E75C53" w:rsidRDefault="00E75C53" w:rsidP="00365C83">
      <w:pPr>
        <w:jc w:val="both"/>
        <w:rPr>
          <w:rFonts w:asciiTheme="majorHAnsi" w:hAnsiTheme="majorHAnsi" w:cstheme="majorHAnsi"/>
        </w:rPr>
      </w:pPr>
    </w:p>
    <w:p w14:paraId="0E490469" w14:textId="223ADFBA" w:rsidR="006C10AD" w:rsidRDefault="006C10AD" w:rsidP="00365C83">
      <w:pPr>
        <w:jc w:val="both"/>
        <w:rPr>
          <w:rFonts w:asciiTheme="majorHAnsi" w:hAnsiTheme="majorHAnsi" w:cstheme="majorHAnsi"/>
        </w:rPr>
      </w:pPr>
    </w:p>
    <w:p w14:paraId="47A5A329" w14:textId="77777777" w:rsidR="006C10AD" w:rsidRDefault="006C10AD" w:rsidP="00365C83">
      <w:pPr>
        <w:jc w:val="both"/>
        <w:rPr>
          <w:rFonts w:asciiTheme="majorHAnsi" w:hAnsiTheme="majorHAnsi" w:cstheme="majorHAnsi"/>
        </w:rPr>
      </w:pPr>
    </w:p>
    <w:p w14:paraId="6300E3E7" w14:textId="3433FB0C" w:rsidR="003C6BAB" w:rsidRDefault="003C6BAB" w:rsidP="00365C83">
      <w:pPr>
        <w:jc w:val="both"/>
        <w:rPr>
          <w:rFonts w:asciiTheme="majorHAnsi" w:hAnsiTheme="majorHAnsi" w:cstheme="majorHAnsi"/>
        </w:rPr>
      </w:pPr>
    </w:p>
    <w:p w14:paraId="4932C4F0" w14:textId="77777777" w:rsidR="003C6BAB" w:rsidRDefault="003C6BAB" w:rsidP="00365C83">
      <w:pPr>
        <w:jc w:val="both"/>
        <w:rPr>
          <w:rFonts w:asciiTheme="majorHAnsi" w:hAnsiTheme="majorHAnsi" w:cstheme="majorHAnsi"/>
        </w:rPr>
      </w:pPr>
    </w:p>
    <w:p w14:paraId="2E4D4979" w14:textId="3B0D2187" w:rsidR="008258D2" w:rsidRDefault="008258D2" w:rsidP="00365C83">
      <w:pPr>
        <w:jc w:val="both"/>
        <w:rPr>
          <w:rFonts w:asciiTheme="majorHAnsi" w:hAnsiTheme="majorHAnsi" w:cstheme="majorHAnsi"/>
        </w:rPr>
      </w:pPr>
    </w:p>
    <w:p w14:paraId="01CC1316" w14:textId="77777777" w:rsidR="005C34D9" w:rsidRDefault="005C34D9" w:rsidP="00365C83">
      <w:pPr>
        <w:jc w:val="both"/>
        <w:rPr>
          <w:rFonts w:asciiTheme="majorHAnsi" w:hAnsiTheme="majorHAnsi" w:cstheme="majorHAnsi"/>
        </w:rPr>
      </w:pPr>
    </w:p>
    <w:p w14:paraId="6E255095" w14:textId="289155DF" w:rsidR="008258D2" w:rsidRDefault="008258D2" w:rsidP="00365C83">
      <w:pPr>
        <w:jc w:val="both"/>
        <w:rPr>
          <w:rFonts w:asciiTheme="majorHAnsi" w:hAnsiTheme="majorHAnsi" w:cstheme="majorHAnsi"/>
        </w:rPr>
      </w:pPr>
    </w:p>
    <w:p w14:paraId="6A981BA9" w14:textId="6869FF74" w:rsidR="008258D2" w:rsidRDefault="008258D2" w:rsidP="00365C83">
      <w:pPr>
        <w:jc w:val="both"/>
        <w:rPr>
          <w:rFonts w:asciiTheme="majorHAnsi" w:hAnsiTheme="majorHAnsi" w:cstheme="majorHAnsi"/>
        </w:rPr>
      </w:pPr>
    </w:p>
    <w:p w14:paraId="7585DF9F" w14:textId="77777777" w:rsidR="00552397" w:rsidRDefault="00552397" w:rsidP="00365C83">
      <w:pPr>
        <w:jc w:val="both"/>
        <w:rPr>
          <w:rFonts w:asciiTheme="majorHAnsi" w:hAnsiTheme="majorHAnsi" w:cstheme="majorHAnsi"/>
          <w:b/>
          <w:bCs/>
          <w:u w:val="single"/>
        </w:rPr>
      </w:pPr>
    </w:p>
    <w:p w14:paraId="6BA0B3AE" w14:textId="77777777" w:rsidR="00552397" w:rsidRDefault="00552397" w:rsidP="00365C83">
      <w:pPr>
        <w:jc w:val="both"/>
        <w:rPr>
          <w:rFonts w:asciiTheme="majorHAnsi" w:hAnsiTheme="majorHAnsi" w:cstheme="majorHAnsi"/>
          <w:b/>
          <w:bCs/>
          <w:u w:val="single"/>
        </w:rPr>
      </w:pPr>
    </w:p>
    <w:p w14:paraId="7457EA26" w14:textId="77777777" w:rsidR="00552397" w:rsidRDefault="00552397" w:rsidP="00365C83">
      <w:pPr>
        <w:jc w:val="both"/>
        <w:rPr>
          <w:rFonts w:asciiTheme="majorHAnsi" w:hAnsiTheme="majorHAnsi" w:cstheme="majorHAnsi"/>
          <w:b/>
          <w:bCs/>
          <w:u w:val="single"/>
        </w:rPr>
      </w:pPr>
    </w:p>
    <w:p w14:paraId="0EAA9B70" w14:textId="77777777" w:rsidR="00552397" w:rsidRDefault="00552397" w:rsidP="00365C83">
      <w:pPr>
        <w:jc w:val="both"/>
        <w:rPr>
          <w:rFonts w:asciiTheme="majorHAnsi" w:hAnsiTheme="majorHAnsi" w:cstheme="majorHAnsi"/>
          <w:b/>
          <w:bCs/>
          <w:u w:val="single"/>
        </w:rPr>
      </w:pPr>
    </w:p>
    <w:p w14:paraId="75233E71" w14:textId="77777777" w:rsidR="00552397" w:rsidRDefault="00552397" w:rsidP="00365C83">
      <w:pPr>
        <w:jc w:val="both"/>
        <w:rPr>
          <w:rFonts w:asciiTheme="majorHAnsi" w:hAnsiTheme="majorHAnsi" w:cstheme="majorHAnsi"/>
          <w:b/>
          <w:bCs/>
          <w:u w:val="single"/>
        </w:rPr>
      </w:pPr>
    </w:p>
    <w:p w14:paraId="22FC71BA" w14:textId="77777777" w:rsidR="00552397" w:rsidRDefault="00552397" w:rsidP="00365C83">
      <w:pPr>
        <w:jc w:val="both"/>
        <w:rPr>
          <w:rFonts w:asciiTheme="majorHAnsi" w:hAnsiTheme="majorHAnsi" w:cstheme="majorHAnsi"/>
          <w:b/>
          <w:bCs/>
          <w:u w:val="single"/>
        </w:rPr>
      </w:pPr>
    </w:p>
    <w:p w14:paraId="2A55E373" w14:textId="77777777" w:rsidR="00552397" w:rsidRDefault="00552397" w:rsidP="00365C83">
      <w:pPr>
        <w:jc w:val="both"/>
        <w:rPr>
          <w:rFonts w:asciiTheme="majorHAnsi" w:hAnsiTheme="majorHAnsi" w:cstheme="majorHAnsi"/>
          <w:b/>
          <w:bCs/>
          <w:u w:val="single"/>
        </w:rPr>
      </w:pPr>
    </w:p>
    <w:p w14:paraId="6B56A7AF" w14:textId="77777777" w:rsidR="00552397" w:rsidRDefault="00552397" w:rsidP="00365C83">
      <w:pPr>
        <w:jc w:val="both"/>
        <w:rPr>
          <w:rFonts w:asciiTheme="majorHAnsi" w:hAnsiTheme="majorHAnsi" w:cstheme="majorHAnsi"/>
          <w:b/>
          <w:bCs/>
          <w:u w:val="single"/>
        </w:rPr>
      </w:pPr>
    </w:p>
    <w:p w14:paraId="247C54BC" w14:textId="77777777" w:rsidR="00552397" w:rsidRDefault="00552397" w:rsidP="00365C83">
      <w:pPr>
        <w:jc w:val="both"/>
        <w:rPr>
          <w:rFonts w:asciiTheme="majorHAnsi" w:hAnsiTheme="majorHAnsi" w:cstheme="majorHAnsi"/>
          <w:b/>
          <w:bCs/>
          <w:u w:val="single"/>
        </w:rPr>
      </w:pPr>
    </w:p>
    <w:p w14:paraId="277FE06E" w14:textId="77777777" w:rsidR="00552397" w:rsidRDefault="00552397" w:rsidP="00365C83">
      <w:pPr>
        <w:jc w:val="both"/>
        <w:rPr>
          <w:rFonts w:asciiTheme="majorHAnsi" w:hAnsiTheme="majorHAnsi" w:cstheme="majorHAnsi"/>
          <w:b/>
          <w:bCs/>
          <w:u w:val="single"/>
        </w:rPr>
      </w:pPr>
    </w:p>
    <w:p w14:paraId="56CBBE19" w14:textId="77777777" w:rsidR="00552397" w:rsidRDefault="00552397" w:rsidP="00365C83">
      <w:pPr>
        <w:jc w:val="both"/>
        <w:rPr>
          <w:rFonts w:asciiTheme="majorHAnsi" w:hAnsiTheme="majorHAnsi" w:cstheme="majorHAnsi"/>
          <w:b/>
          <w:bCs/>
          <w:u w:val="single"/>
        </w:rPr>
      </w:pPr>
    </w:p>
    <w:p w14:paraId="3BD180B7" w14:textId="77777777" w:rsidR="00552397" w:rsidRDefault="00552397" w:rsidP="00365C83">
      <w:pPr>
        <w:jc w:val="both"/>
        <w:rPr>
          <w:rFonts w:asciiTheme="majorHAnsi" w:hAnsiTheme="majorHAnsi" w:cstheme="majorHAnsi"/>
          <w:b/>
          <w:bCs/>
          <w:u w:val="single"/>
        </w:rPr>
      </w:pPr>
    </w:p>
    <w:p w14:paraId="14F6D6A8" w14:textId="77777777" w:rsidR="00552397" w:rsidRDefault="00552397" w:rsidP="00365C83">
      <w:pPr>
        <w:jc w:val="both"/>
        <w:rPr>
          <w:rFonts w:asciiTheme="majorHAnsi" w:hAnsiTheme="majorHAnsi" w:cstheme="majorHAnsi"/>
          <w:b/>
          <w:bCs/>
          <w:u w:val="single"/>
        </w:rPr>
      </w:pPr>
    </w:p>
    <w:p w14:paraId="729E3684" w14:textId="77777777" w:rsidR="00552397" w:rsidRDefault="00552397" w:rsidP="00365C83">
      <w:pPr>
        <w:jc w:val="both"/>
        <w:rPr>
          <w:rFonts w:asciiTheme="majorHAnsi" w:hAnsiTheme="majorHAnsi" w:cstheme="majorHAnsi"/>
          <w:b/>
          <w:bCs/>
          <w:u w:val="single"/>
        </w:rPr>
      </w:pPr>
    </w:p>
    <w:p w14:paraId="69BC1E89" w14:textId="77777777" w:rsidR="00552397" w:rsidRDefault="00552397" w:rsidP="00365C83">
      <w:pPr>
        <w:jc w:val="both"/>
        <w:rPr>
          <w:rFonts w:asciiTheme="majorHAnsi" w:hAnsiTheme="majorHAnsi" w:cstheme="majorHAnsi"/>
          <w:b/>
          <w:bCs/>
          <w:u w:val="single"/>
        </w:rPr>
      </w:pPr>
    </w:p>
    <w:p w14:paraId="020D1977" w14:textId="713166C5" w:rsidR="00552397" w:rsidRDefault="00552397" w:rsidP="00365C83">
      <w:pPr>
        <w:jc w:val="both"/>
        <w:rPr>
          <w:rFonts w:asciiTheme="majorHAnsi" w:hAnsiTheme="majorHAnsi" w:cstheme="majorHAnsi"/>
          <w:b/>
          <w:bCs/>
          <w:u w:val="single"/>
        </w:rPr>
      </w:pPr>
    </w:p>
    <w:p w14:paraId="6EB69D33" w14:textId="77777777" w:rsidR="00552397" w:rsidRDefault="00552397" w:rsidP="00365C83">
      <w:pPr>
        <w:jc w:val="both"/>
        <w:rPr>
          <w:rFonts w:asciiTheme="majorHAnsi" w:hAnsiTheme="majorHAnsi" w:cstheme="majorHAnsi"/>
          <w:b/>
          <w:bCs/>
          <w:u w:val="single"/>
        </w:rPr>
      </w:pPr>
    </w:p>
    <w:p w14:paraId="6053FE68" w14:textId="77777777" w:rsidR="00552397" w:rsidRDefault="00552397" w:rsidP="00365C83">
      <w:pPr>
        <w:jc w:val="both"/>
        <w:rPr>
          <w:rFonts w:asciiTheme="majorHAnsi" w:hAnsiTheme="majorHAnsi" w:cstheme="majorHAnsi"/>
          <w:b/>
          <w:bCs/>
          <w:u w:val="single"/>
        </w:rPr>
      </w:pPr>
    </w:p>
    <w:p w14:paraId="54FDD454" w14:textId="77777777" w:rsidR="00552397" w:rsidRDefault="00552397" w:rsidP="00365C83">
      <w:pPr>
        <w:jc w:val="both"/>
        <w:rPr>
          <w:rFonts w:asciiTheme="majorHAnsi" w:hAnsiTheme="majorHAnsi" w:cstheme="majorHAnsi"/>
          <w:b/>
          <w:bCs/>
          <w:u w:val="single"/>
        </w:rPr>
      </w:pPr>
    </w:p>
    <w:p w14:paraId="067CDC19" w14:textId="77777777" w:rsidR="00552397" w:rsidRDefault="00552397" w:rsidP="00365C83">
      <w:pPr>
        <w:jc w:val="both"/>
        <w:rPr>
          <w:rFonts w:asciiTheme="majorHAnsi" w:hAnsiTheme="majorHAnsi" w:cstheme="majorHAnsi"/>
          <w:b/>
          <w:bCs/>
          <w:u w:val="single"/>
        </w:rPr>
      </w:pPr>
    </w:p>
    <w:p w14:paraId="6DF2756C" w14:textId="77777777" w:rsidR="00552397" w:rsidRDefault="00552397" w:rsidP="00365C83">
      <w:pPr>
        <w:jc w:val="both"/>
        <w:rPr>
          <w:rFonts w:asciiTheme="majorHAnsi" w:hAnsiTheme="majorHAnsi" w:cstheme="majorHAnsi"/>
          <w:b/>
          <w:bCs/>
          <w:u w:val="single"/>
        </w:rPr>
      </w:pPr>
    </w:p>
    <w:p w14:paraId="138F4888" w14:textId="77777777" w:rsidR="00F41A52" w:rsidRDefault="00F41A52" w:rsidP="00365C83">
      <w:pPr>
        <w:jc w:val="both"/>
        <w:rPr>
          <w:rFonts w:asciiTheme="majorHAnsi" w:hAnsiTheme="majorHAnsi" w:cstheme="majorHAnsi"/>
          <w:b/>
          <w:bCs/>
          <w:u w:val="single"/>
        </w:rPr>
      </w:pPr>
    </w:p>
    <w:p w14:paraId="39CA07AC" w14:textId="77777777" w:rsidR="00F41A52" w:rsidRDefault="00F41A52" w:rsidP="00365C83">
      <w:pPr>
        <w:jc w:val="both"/>
        <w:rPr>
          <w:rFonts w:asciiTheme="majorHAnsi" w:hAnsiTheme="majorHAnsi" w:cstheme="majorHAnsi"/>
          <w:b/>
          <w:bCs/>
          <w:u w:val="single"/>
        </w:rPr>
      </w:pPr>
    </w:p>
    <w:p w14:paraId="72F3E919" w14:textId="77777777" w:rsidR="00F41A52" w:rsidRDefault="00F41A52" w:rsidP="00365C83">
      <w:pPr>
        <w:jc w:val="both"/>
        <w:rPr>
          <w:rFonts w:asciiTheme="majorHAnsi" w:hAnsiTheme="majorHAnsi" w:cstheme="majorHAnsi"/>
          <w:b/>
          <w:bCs/>
          <w:u w:val="single"/>
        </w:rPr>
      </w:pPr>
    </w:p>
    <w:p w14:paraId="1744DF52" w14:textId="77777777" w:rsidR="00F41A52" w:rsidRDefault="00F41A52" w:rsidP="00365C83">
      <w:pPr>
        <w:jc w:val="both"/>
        <w:rPr>
          <w:rFonts w:asciiTheme="majorHAnsi" w:hAnsiTheme="majorHAnsi" w:cstheme="majorHAnsi"/>
          <w:b/>
          <w:bCs/>
          <w:u w:val="single"/>
        </w:rPr>
      </w:pPr>
    </w:p>
    <w:p w14:paraId="0EB70950" w14:textId="12425F0B" w:rsidR="008258D2" w:rsidRDefault="007020A3" w:rsidP="00365C83">
      <w:pPr>
        <w:jc w:val="both"/>
        <w:rPr>
          <w:rFonts w:asciiTheme="majorHAnsi" w:hAnsiTheme="majorHAnsi" w:cstheme="majorHAnsi"/>
          <w:b/>
          <w:bCs/>
          <w:u w:val="single"/>
        </w:rPr>
      </w:pPr>
      <w:r>
        <w:rPr>
          <w:rFonts w:asciiTheme="majorHAnsi" w:hAnsiTheme="majorHAnsi" w:cstheme="majorHAnsi"/>
          <w:b/>
          <w:bCs/>
          <w:u w:val="single"/>
        </w:rPr>
        <w:lastRenderedPageBreak/>
        <w:t xml:space="preserve">Reference List </w:t>
      </w:r>
    </w:p>
    <w:p w14:paraId="7749B004" w14:textId="60F28A67" w:rsidR="00D6106E" w:rsidRDefault="00D6106E" w:rsidP="00365C83">
      <w:pPr>
        <w:jc w:val="both"/>
        <w:rPr>
          <w:rFonts w:asciiTheme="majorHAnsi" w:hAnsiTheme="majorHAnsi" w:cstheme="majorHAnsi"/>
          <w:b/>
          <w:bCs/>
          <w:u w:val="single"/>
        </w:rPr>
      </w:pPr>
    </w:p>
    <w:p w14:paraId="29BAF8AA" w14:textId="467C35E0" w:rsidR="002213F1" w:rsidRPr="002213F1" w:rsidRDefault="007020A3" w:rsidP="00365C83">
      <w:pPr>
        <w:jc w:val="both"/>
        <w:rPr>
          <w:rFonts w:asciiTheme="majorHAnsi" w:hAnsiTheme="majorHAnsi" w:cstheme="majorHAnsi"/>
        </w:rPr>
      </w:pPr>
      <w:r>
        <w:rPr>
          <w:rFonts w:asciiTheme="majorHAnsi" w:hAnsiTheme="majorHAnsi" w:cstheme="majorHAnsi"/>
        </w:rPr>
        <w:t xml:space="preserve">Cooke, J. (2018) </w:t>
      </w:r>
      <w:r>
        <w:rPr>
          <w:rFonts w:asciiTheme="majorHAnsi" w:hAnsiTheme="majorHAnsi" w:cstheme="majorHAnsi"/>
          <w:i/>
          <w:iCs/>
        </w:rPr>
        <w:t>Law of Tort. 1</w:t>
      </w:r>
      <w:r w:rsidRPr="002213F1">
        <w:rPr>
          <w:rFonts w:asciiTheme="majorHAnsi" w:hAnsiTheme="majorHAnsi" w:cstheme="majorHAnsi"/>
        </w:rPr>
        <w:t>4</w:t>
      </w:r>
      <w:r w:rsidRPr="002213F1">
        <w:rPr>
          <w:rFonts w:asciiTheme="majorHAnsi" w:hAnsiTheme="majorHAnsi" w:cstheme="majorHAnsi"/>
          <w:vertAlign w:val="superscript"/>
        </w:rPr>
        <w:t>th</w:t>
      </w:r>
      <w:r w:rsidRPr="002213F1">
        <w:rPr>
          <w:rFonts w:asciiTheme="majorHAnsi" w:hAnsiTheme="majorHAnsi" w:cstheme="majorHAnsi"/>
        </w:rPr>
        <w:t xml:space="preserve"> Edn</w:t>
      </w:r>
      <w:r>
        <w:rPr>
          <w:rFonts w:asciiTheme="majorHAnsi" w:hAnsiTheme="majorHAnsi" w:cstheme="majorHAnsi"/>
          <w:i/>
          <w:iCs/>
        </w:rPr>
        <w:t xml:space="preserve">. </w:t>
      </w:r>
      <w:r>
        <w:rPr>
          <w:rFonts w:asciiTheme="majorHAnsi" w:hAnsiTheme="majorHAnsi" w:cstheme="majorHAnsi"/>
        </w:rPr>
        <w:t>Harlow: Pea</w:t>
      </w:r>
      <w:r w:rsidR="00552397">
        <w:rPr>
          <w:rFonts w:asciiTheme="majorHAnsi" w:hAnsiTheme="majorHAnsi" w:cstheme="majorHAnsi"/>
        </w:rPr>
        <w:t xml:space="preserve">rson Education Limited. </w:t>
      </w:r>
    </w:p>
    <w:p w14:paraId="7D5ABD58" w14:textId="77777777" w:rsidR="002213F1" w:rsidRDefault="002213F1" w:rsidP="00365C83">
      <w:pPr>
        <w:jc w:val="both"/>
        <w:rPr>
          <w:rFonts w:asciiTheme="majorHAnsi" w:hAnsiTheme="majorHAnsi" w:cstheme="majorHAnsi"/>
        </w:rPr>
      </w:pPr>
    </w:p>
    <w:p w14:paraId="223C9B51" w14:textId="70F99EE7" w:rsidR="008258D2" w:rsidRDefault="007020A3" w:rsidP="00365C83">
      <w:pPr>
        <w:jc w:val="both"/>
        <w:rPr>
          <w:rFonts w:asciiTheme="majorHAnsi" w:hAnsiTheme="majorHAnsi" w:cstheme="majorHAnsi"/>
        </w:rPr>
      </w:pPr>
      <w:r>
        <w:rPr>
          <w:rFonts w:asciiTheme="majorHAnsi" w:hAnsiTheme="majorHAnsi" w:cstheme="majorHAnsi"/>
        </w:rPr>
        <w:t xml:space="preserve">Finch, E. and Fafinski, S. (2021) </w:t>
      </w:r>
      <w:r>
        <w:rPr>
          <w:rFonts w:asciiTheme="majorHAnsi" w:hAnsiTheme="majorHAnsi" w:cstheme="majorHAnsi"/>
          <w:i/>
          <w:iCs/>
        </w:rPr>
        <w:t xml:space="preserve">Tort Law. </w:t>
      </w:r>
      <w:r>
        <w:rPr>
          <w:rFonts w:asciiTheme="majorHAnsi" w:hAnsiTheme="majorHAnsi" w:cstheme="majorHAnsi"/>
        </w:rPr>
        <w:t>8</w:t>
      </w:r>
      <w:r w:rsidRPr="004D4DCB">
        <w:rPr>
          <w:rFonts w:asciiTheme="majorHAnsi" w:hAnsiTheme="majorHAnsi" w:cstheme="majorHAnsi"/>
          <w:vertAlign w:val="superscript"/>
        </w:rPr>
        <w:t>th</w:t>
      </w:r>
      <w:r>
        <w:rPr>
          <w:rFonts w:asciiTheme="majorHAnsi" w:hAnsiTheme="majorHAnsi" w:cstheme="majorHAnsi"/>
        </w:rPr>
        <w:t xml:space="preserve"> Edn. Harlow: Pearson Education Limited. </w:t>
      </w:r>
    </w:p>
    <w:p w14:paraId="3352052C" w14:textId="6C9D2932" w:rsidR="001F6680" w:rsidRDefault="001F6680" w:rsidP="00365C83">
      <w:pPr>
        <w:jc w:val="both"/>
        <w:rPr>
          <w:rFonts w:asciiTheme="majorHAnsi" w:hAnsiTheme="majorHAnsi" w:cstheme="majorHAnsi"/>
        </w:rPr>
      </w:pPr>
    </w:p>
    <w:p w14:paraId="6442568D" w14:textId="4340097A" w:rsidR="001F6680" w:rsidRPr="009A2DD2" w:rsidRDefault="007020A3" w:rsidP="00365C83">
      <w:pPr>
        <w:jc w:val="both"/>
        <w:rPr>
          <w:rFonts w:asciiTheme="majorHAnsi" w:hAnsiTheme="majorHAnsi" w:cstheme="majorHAnsi"/>
        </w:rPr>
      </w:pPr>
      <w:r>
        <w:rPr>
          <w:rFonts w:asciiTheme="majorHAnsi" w:hAnsiTheme="majorHAnsi" w:cstheme="majorHAnsi"/>
        </w:rPr>
        <w:t xml:space="preserve">Lewis, R. (2014) ‘Compensation Culture Reviewed: Incentives to Claim and Damages Levels’, </w:t>
      </w:r>
      <w:r>
        <w:rPr>
          <w:rFonts w:asciiTheme="majorHAnsi" w:hAnsiTheme="majorHAnsi" w:cstheme="majorHAnsi"/>
          <w:i/>
          <w:iCs/>
        </w:rPr>
        <w:t xml:space="preserve">Journal of Personal Injury Law (4), </w:t>
      </w:r>
      <w:r>
        <w:rPr>
          <w:rFonts w:asciiTheme="majorHAnsi" w:hAnsiTheme="majorHAnsi" w:cstheme="majorHAnsi"/>
        </w:rPr>
        <w:t>pp. 209 – 225.</w:t>
      </w:r>
    </w:p>
    <w:p w14:paraId="2A744AE2" w14:textId="4A697ED1" w:rsidR="005931C3" w:rsidRDefault="005931C3" w:rsidP="00365C83">
      <w:pPr>
        <w:jc w:val="both"/>
        <w:rPr>
          <w:rFonts w:asciiTheme="majorHAnsi" w:hAnsiTheme="majorHAnsi" w:cstheme="majorHAnsi"/>
        </w:rPr>
      </w:pPr>
    </w:p>
    <w:p w14:paraId="4C32F30A" w14:textId="51218C03" w:rsidR="005931C3" w:rsidRPr="005931C3" w:rsidRDefault="007020A3" w:rsidP="00365C83">
      <w:pPr>
        <w:jc w:val="both"/>
        <w:rPr>
          <w:rFonts w:asciiTheme="majorHAnsi" w:hAnsiTheme="majorHAnsi" w:cstheme="majorHAnsi"/>
        </w:rPr>
      </w:pPr>
      <w:r>
        <w:rPr>
          <w:rFonts w:asciiTheme="majorHAnsi" w:hAnsiTheme="majorHAnsi" w:cstheme="majorHAnsi"/>
        </w:rPr>
        <w:t xml:space="preserve">Steele, J. (2017) </w:t>
      </w:r>
      <w:r>
        <w:rPr>
          <w:rFonts w:asciiTheme="majorHAnsi" w:hAnsiTheme="majorHAnsi" w:cstheme="majorHAnsi"/>
          <w:i/>
          <w:iCs/>
        </w:rPr>
        <w:t xml:space="preserve">Tort Law Text Cases and Materials. </w:t>
      </w:r>
      <w:r>
        <w:rPr>
          <w:rFonts w:asciiTheme="majorHAnsi" w:hAnsiTheme="majorHAnsi" w:cstheme="majorHAnsi"/>
        </w:rPr>
        <w:t>4</w:t>
      </w:r>
      <w:r w:rsidRPr="005931C3">
        <w:rPr>
          <w:rFonts w:asciiTheme="majorHAnsi" w:hAnsiTheme="majorHAnsi" w:cstheme="majorHAnsi"/>
          <w:vertAlign w:val="superscript"/>
        </w:rPr>
        <w:t>th</w:t>
      </w:r>
      <w:r>
        <w:rPr>
          <w:rFonts w:asciiTheme="majorHAnsi" w:hAnsiTheme="majorHAnsi" w:cstheme="majorHAnsi"/>
        </w:rPr>
        <w:t xml:space="preserve"> Edn. Oxford: Oxford University Press.  </w:t>
      </w:r>
    </w:p>
    <w:p w14:paraId="6D2ACB76" w14:textId="1DCC5D1A" w:rsidR="008258D2" w:rsidRDefault="008258D2" w:rsidP="00365C83">
      <w:pPr>
        <w:jc w:val="both"/>
        <w:rPr>
          <w:rFonts w:asciiTheme="majorHAnsi" w:hAnsiTheme="majorHAnsi" w:cstheme="majorHAnsi"/>
        </w:rPr>
      </w:pPr>
    </w:p>
    <w:p w14:paraId="441C679E" w14:textId="7758F67D" w:rsidR="008258D2" w:rsidRDefault="007020A3" w:rsidP="00365C83">
      <w:pPr>
        <w:jc w:val="both"/>
        <w:rPr>
          <w:rFonts w:asciiTheme="majorHAnsi" w:hAnsiTheme="majorHAnsi" w:cstheme="majorHAnsi"/>
          <w:b/>
          <w:bCs/>
          <w:u w:val="single"/>
        </w:rPr>
      </w:pPr>
      <w:r w:rsidRPr="008258D2">
        <w:rPr>
          <w:rFonts w:asciiTheme="majorHAnsi" w:hAnsiTheme="majorHAnsi" w:cstheme="majorHAnsi"/>
          <w:b/>
          <w:bCs/>
          <w:u w:val="single"/>
        </w:rPr>
        <w:t xml:space="preserve">Case Law and Legislation </w:t>
      </w:r>
    </w:p>
    <w:p w14:paraId="2AF5145E" w14:textId="171B36D6" w:rsidR="008258D2" w:rsidRDefault="008258D2" w:rsidP="00365C83">
      <w:pPr>
        <w:jc w:val="both"/>
        <w:rPr>
          <w:rFonts w:asciiTheme="majorHAnsi" w:hAnsiTheme="majorHAnsi" w:cstheme="majorHAnsi"/>
          <w:b/>
          <w:bCs/>
          <w:u w:val="single"/>
        </w:rPr>
      </w:pPr>
    </w:p>
    <w:p w14:paraId="0A137DAC" w14:textId="3BEF9162" w:rsidR="008258D2" w:rsidRDefault="007020A3" w:rsidP="00365C83">
      <w:pPr>
        <w:jc w:val="both"/>
        <w:rPr>
          <w:rFonts w:asciiTheme="majorHAnsi" w:hAnsiTheme="majorHAnsi" w:cstheme="majorHAnsi"/>
        </w:rPr>
      </w:pPr>
      <w:r>
        <w:rPr>
          <w:rFonts w:asciiTheme="majorHAnsi" w:hAnsiTheme="majorHAnsi" w:cstheme="majorHAnsi"/>
        </w:rPr>
        <w:t>Occupiers Liability Act 1957 s1(1).</w:t>
      </w:r>
    </w:p>
    <w:p w14:paraId="70A93C48" w14:textId="277A94A3" w:rsidR="002B156D" w:rsidRDefault="002B156D" w:rsidP="00365C83">
      <w:pPr>
        <w:jc w:val="both"/>
        <w:rPr>
          <w:rFonts w:asciiTheme="majorHAnsi" w:hAnsiTheme="majorHAnsi" w:cstheme="majorHAnsi"/>
        </w:rPr>
      </w:pPr>
    </w:p>
    <w:p w14:paraId="24A4FC12" w14:textId="27EE02B4" w:rsidR="002B156D" w:rsidRDefault="007020A3" w:rsidP="00365C83">
      <w:pPr>
        <w:jc w:val="both"/>
        <w:rPr>
          <w:rFonts w:asciiTheme="majorHAnsi" w:hAnsiTheme="majorHAnsi" w:cstheme="majorHAnsi"/>
        </w:rPr>
      </w:pPr>
      <w:r>
        <w:rPr>
          <w:rFonts w:asciiTheme="majorHAnsi" w:hAnsiTheme="majorHAnsi" w:cstheme="majorHAnsi"/>
        </w:rPr>
        <w:t>Occupiers Liability Act 1957 s1(3)(a).</w:t>
      </w:r>
    </w:p>
    <w:p w14:paraId="5C0768E6" w14:textId="23502323" w:rsidR="00F1549C" w:rsidRDefault="00F1549C" w:rsidP="00365C83">
      <w:pPr>
        <w:jc w:val="both"/>
        <w:rPr>
          <w:rFonts w:asciiTheme="majorHAnsi" w:hAnsiTheme="majorHAnsi" w:cstheme="majorHAnsi"/>
        </w:rPr>
      </w:pPr>
    </w:p>
    <w:p w14:paraId="5460B88D" w14:textId="31386891" w:rsidR="00F1549C" w:rsidRDefault="007020A3" w:rsidP="00365C83">
      <w:pPr>
        <w:jc w:val="both"/>
        <w:rPr>
          <w:rFonts w:asciiTheme="majorHAnsi" w:hAnsiTheme="majorHAnsi" w:cstheme="majorHAnsi"/>
        </w:rPr>
      </w:pPr>
      <w:r>
        <w:rPr>
          <w:rFonts w:asciiTheme="majorHAnsi" w:hAnsiTheme="majorHAnsi" w:cstheme="majorHAnsi"/>
        </w:rPr>
        <w:t>Occupiers Liability Act 1957 s2(2).</w:t>
      </w:r>
    </w:p>
    <w:p w14:paraId="1766A676" w14:textId="3EF36FDE" w:rsidR="008258D2" w:rsidRDefault="008258D2" w:rsidP="00365C83">
      <w:pPr>
        <w:jc w:val="both"/>
        <w:rPr>
          <w:rFonts w:asciiTheme="majorHAnsi" w:hAnsiTheme="majorHAnsi" w:cstheme="majorHAnsi"/>
        </w:rPr>
      </w:pPr>
    </w:p>
    <w:p w14:paraId="1C177370" w14:textId="2DB6B982" w:rsidR="00482D34" w:rsidRDefault="007020A3" w:rsidP="00365C83">
      <w:pPr>
        <w:jc w:val="both"/>
        <w:rPr>
          <w:rFonts w:asciiTheme="majorHAnsi" w:hAnsiTheme="majorHAnsi" w:cstheme="majorHAnsi"/>
        </w:rPr>
      </w:pPr>
      <w:r>
        <w:rPr>
          <w:rFonts w:asciiTheme="majorHAnsi" w:hAnsiTheme="majorHAnsi" w:cstheme="majorHAnsi"/>
        </w:rPr>
        <w:t>Occupiers Liabili</w:t>
      </w:r>
      <w:r>
        <w:rPr>
          <w:rFonts w:asciiTheme="majorHAnsi" w:hAnsiTheme="majorHAnsi" w:cstheme="majorHAnsi"/>
        </w:rPr>
        <w:t>ty Act 1957 s2(3)(a).</w:t>
      </w:r>
    </w:p>
    <w:p w14:paraId="55F781AC" w14:textId="13368E56" w:rsidR="00D84BF8" w:rsidRDefault="00D84BF8" w:rsidP="00365C83">
      <w:pPr>
        <w:jc w:val="both"/>
        <w:rPr>
          <w:rFonts w:asciiTheme="majorHAnsi" w:hAnsiTheme="majorHAnsi" w:cstheme="majorHAnsi"/>
        </w:rPr>
      </w:pPr>
    </w:p>
    <w:p w14:paraId="2EFF2D78" w14:textId="3BB3AA7F" w:rsidR="00D84BF8" w:rsidRDefault="007020A3" w:rsidP="00365C83">
      <w:pPr>
        <w:jc w:val="both"/>
        <w:rPr>
          <w:rFonts w:asciiTheme="majorHAnsi" w:hAnsiTheme="majorHAnsi" w:cstheme="majorHAnsi"/>
        </w:rPr>
      </w:pPr>
      <w:r>
        <w:rPr>
          <w:rFonts w:asciiTheme="majorHAnsi" w:hAnsiTheme="majorHAnsi" w:cstheme="majorHAnsi"/>
        </w:rPr>
        <w:t xml:space="preserve">Occupiers Liability Act 1984 s1(3). </w:t>
      </w:r>
    </w:p>
    <w:p w14:paraId="76A0AD44" w14:textId="0D23EF76" w:rsidR="00FB4621" w:rsidRDefault="00FB4621" w:rsidP="00365C83">
      <w:pPr>
        <w:jc w:val="both"/>
        <w:rPr>
          <w:rFonts w:asciiTheme="majorHAnsi" w:hAnsiTheme="majorHAnsi" w:cstheme="majorHAnsi"/>
        </w:rPr>
      </w:pPr>
    </w:p>
    <w:p w14:paraId="36A628C2" w14:textId="26BE55F1" w:rsidR="00FB4621" w:rsidRDefault="007020A3" w:rsidP="00365C83">
      <w:pPr>
        <w:jc w:val="both"/>
        <w:rPr>
          <w:rFonts w:asciiTheme="majorHAnsi" w:hAnsiTheme="majorHAnsi" w:cstheme="majorHAnsi"/>
        </w:rPr>
      </w:pPr>
      <w:r>
        <w:rPr>
          <w:rFonts w:asciiTheme="majorHAnsi" w:hAnsiTheme="majorHAnsi" w:cstheme="majorHAnsi"/>
        </w:rPr>
        <w:t xml:space="preserve">Occupiers Liability Act 1957 s1(3)(a). </w:t>
      </w:r>
    </w:p>
    <w:p w14:paraId="5E1AB7E5" w14:textId="420DC653" w:rsidR="00737447" w:rsidRDefault="00737447" w:rsidP="00365C83">
      <w:pPr>
        <w:jc w:val="both"/>
        <w:rPr>
          <w:rFonts w:asciiTheme="majorHAnsi" w:hAnsiTheme="majorHAnsi" w:cstheme="majorHAnsi"/>
        </w:rPr>
      </w:pPr>
    </w:p>
    <w:p w14:paraId="257E3AD7" w14:textId="31850EED" w:rsidR="00737447" w:rsidRDefault="007020A3" w:rsidP="00365C83">
      <w:pPr>
        <w:jc w:val="both"/>
        <w:rPr>
          <w:rFonts w:asciiTheme="majorHAnsi" w:hAnsiTheme="majorHAnsi" w:cstheme="majorHAnsi"/>
        </w:rPr>
      </w:pPr>
      <w:r>
        <w:rPr>
          <w:rFonts w:asciiTheme="majorHAnsi" w:hAnsiTheme="majorHAnsi" w:cstheme="majorHAnsi"/>
        </w:rPr>
        <w:t xml:space="preserve">Occupiers Liability Act 1984 s1(6). </w:t>
      </w:r>
    </w:p>
    <w:p w14:paraId="589A7463" w14:textId="386FCF16" w:rsidR="00FB3244" w:rsidRDefault="00FB3244" w:rsidP="00365C83">
      <w:pPr>
        <w:jc w:val="both"/>
        <w:rPr>
          <w:rFonts w:asciiTheme="majorHAnsi" w:hAnsiTheme="majorHAnsi" w:cstheme="majorHAnsi"/>
        </w:rPr>
      </w:pPr>
    </w:p>
    <w:p w14:paraId="34683FA8" w14:textId="4962F213" w:rsidR="00FB3244" w:rsidRDefault="007020A3" w:rsidP="00365C83">
      <w:pPr>
        <w:jc w:val="both"/>
        <w:rPr>
          <w:rFonts w:asciiTheme="majorHAnsi" w:hAnsiTheme="majorHAnsi" w:cstheme="majorHAnsi"/>
        </w:rPr>
      </w:pPr>
      <w:r>
        <w:rPr>
          <w:rFonts w:asciiTheme="majorHAnsi" w:hAnsiTheme="majorHAnsi" w:cstheme="majorHAnsi"/>
        </w:rPr>
        <w:t xml:space="preserve">Occupiers Liability Act 1984 s1(8). </w:t>
      </w:r>
    </w:p>
    <w:p w14:paraId="73EDAC06" w14:textId="7FED5C4F" w:rsidR="00AA4A3D" w:rsidRDefault="00AA4A3D" w:rsidP="00365C83">
      <w:pPr>
        <w:jc w:val="both"/>
        <w:rPr>
          <w:rFonts w:asciiTheme="majorHAnsi" w:hAnsiTheme="majorHAnsi" w:cstheme="majorHAnsi"/>
        </w:rPr>
      </w:pPr>
    </w:p>
    <w:p w14:paraId="4FFB45E6" w14:textId="373F3355" w:rsidR="00AA4A3D" w:rsidRDefault="007020A3" w:rsidP="00365C83">
      <w:pPr>
        <w:jc w:val="both"/>
        <w:rPr>
          <w:rFonts w:asciiTheme="majorHAnsi" w:hAnsiTheme="majorHAnsi" w:cstheme="majorHAnsi"/>
        </w:rPr>
      </w:pPr>
      <w:r>
        <w:rPr>
          <w:rFonts w:asciiTheme="majorHAnsi" w:hAnsiTheme="majorHAnsi" w:cstheme="majorHAnsi"/>
        </w:rPr>
        <w:t xml:space="preserve">Alcock v Chief Constable of South Yorkshire (1992) 1 AC 310 (HL). </w:t>
      </w:r>
    </w:p>
    <w:p w14:paraId="7F9F9137" w14:textId="0E150022" w:rsidR="008258D2" w:rsidRDefault="008258D2" w:rsidP="00365C83">
      <w:pPr>
        <w:jc w:val="both"/>
        <w:rPr>
          <w:rFonts w:asciiTheme="majorHAnsi" w:hAnsiTheme="majorHAnsi" w:cstheme="majorHAnsi"/>
        </w:rPr>
      </w:pPr>
    </w:p>
    <w:p w14:paraId="56B2D857" w14:textId="11F64D44" w:rsidR="00482D34" w:rsidRDefault="007020A3" w:rsidP="00365C83">
      <w:pPr>
        <w:jc w:val="both"/>
        <w:rPr>
          <w:rFonts w:asciiTheme="majorHAnsi" w:hAnsiTheme="majorHAnsi" w:cstheme="majorHAnsi"/>
        </w:rPr>
      </w:pPr>
      <w:r>
        <w:rPr>
          <w:rFonts w:asciiTheme="majorHAnsi" w:hAnsiTheme="majorHAnsi" w:cstheme="majorHAnsi"/>
        </w:rPr>
        <w:t>Glasgow Corporation v Taylor (1922) 1 AC 44</w:t>
      </w:r>
    </w:p>
    <w:p w14:paraId="30FEE1C0" w14:textId="3D27577F" w:rsidR="005C34D9" w:rsidRDefault="005C34D9" w:rsidP="00365C83">
      <w:pPr>
        <w:jc w:val="both"/>
        <w:rPr>
          <w:rFonts w:asciiTheme="majorHAnsi" w:hAnsiTheme="majorHAnsi" w:cstheme="majorHAnsi"/>
        </w:rPr>
      </w:pPr>
    </w:p>
    <w:p w14:paraId="29546753" w14:textId="37D41941" w:rsidR="005C34D9" w:rsidRDefault="007020A3" w:rsidP="00365C83">
      <w:pPr>
        <w:jc w:val="both"/>
        <w:rPr>
          <w:rFonts w:asciiTheme="majorHAnsi" w:hAnsiTheme="majorHAnsi" w:cstheme="majorHAnsi"/>
        </w:rPr>
      </w:pPr>
      <w:r>
        <w:rPr>
          <w:rFonts w:asciiTheme="majorHAnsi" w:hAnsiTheme="majorHAnsi" w:cstheme="majorHAnsi"/>
        </w:rPr>
        <w:t>Hastie v Edinburgh Magistrates (1907) SC 1102</w:t>
      </w:r>
    </w:p>
    <w:p w14:paraId="5ED9966C" w14:textId="5C6C95D5" w:rsidR="00C01DE1" w:rsidRDefault="00C01DE1" w:rsidP="00365C83">
      <w:pPr>
        <w:jc w:val="both"/>
        <w:rPr>
          <w:rFonts w:asciiTheme="majorHAnsi" w:hAnsiTheme="majorHAnsi" w:cstheme="majorHAnsi"/>
        </w:rPr>
      </w:pPr>
    </w:p>
    <w:p w14:paraId="4CBCFC19" w14:textId="7D390330" w:rsidR="00C01DE1" w:rsidRDefault="007020A3" w:rsidP="00365C83">
      <w:pPr>
        <w:jc w:val="both"/>
        <w:rPr>
          <w:rFonts w:asciiTheme="majorHAnsi" w:hAnsiTheme="majorHAnsi" w:cstheme="majorHAnsi"/>
        </w:rPr>
      </w:pPr>
      <w:r>
        <w:rPr>
          <w:rFonts w:asciiTheme="majorHAnsi" w:hAnsiTheme="majorHAnsi" w:cstheme="majorHAnsi"/>
        </w:rPr>
        <w:t>Mcloughlin v O’Brian (1983) 1 AC 410 (HL)</w:t>
      </w:r>
    </w:p>
    <w:p w14:paraId="0084B5C2" w14:textId="7E3D77F7" w:rsidR="00DA64CF" w:rsidRDefault="00DA64CF" w:rsidP="00365C83">
      <w:pPr>
        <w:jc w:val="both"/>
        <w:rPr>
          <w:rFonts w:asciiTheme="majorHAnsi" w:hAnsiTheme="majorHAnsi" w:cstheme="majorHAnsi"/>
        </w:rPr>
      </w:pPr>
    </w:p>
    <w:p w14:paraId="17302A2E" w14:textId="0B2AF202" w:rsidR="00DA64CF" w:rsidRDefault="007020A3" w:rsidP="00365C83">
      <w:pPr>
        <w:jc w:val="both"/>
        <w:rPr>
          <w:rFonts w:asciiTheme="majorHAnsi" w:hAnsiTheme="majorHAnsi" w:cstheme="majorHAnsi"/>
        </w:rPr>
      </w:pPr>
      <w:r>
        <w:rPr>
          <w:rFonts w:asciiTheme="majorHAnsi" w:hAnsiTheme="majorHAnsi" w:cstheme="majorHAnsi"/>
        </w:rPr>
        <w:t>Page v Smith (1996) AC 155 (HL)</w:t>
      </w:r>
    </w:p>
    <w:p w14:paraId="78BDFFD2" w14:textId="4239DB97" w:rsidR="00482D34" w:rsidRDefault="00482D34" w:rsidP="00365C83">
      <w:pPr>
        <w:jc w:val="both"/>
        <w:rPr>
          <w:rFonts w:asciiTheme="majorHAnsi" w:hAnsiTheme="majorHAnsi" w:cstheme="majorHAnsi"/>
        </w:rPr>
      </w:pPr>
    </w:p>
    <w:p w14:paraId="40A9FB4F" w14:textId="58566F89" w:rsidR="00482D34" w:rsidRDefault="007020A3" w:rsidP="00365C83">
      <w:pPr>
        <w:jc w:val="both"/>
        <w:rPr>
          <w:rFonts w:asciiTheme="majorHAnsi" w:hAnsiTheme="majorHAnsi" w:cstheme="majorHAnsi"/>
        </w:rPr>
      </w:pPr>
      <w:r>
        <w:rPr>
          <w:rFonts w:asciiTheme="majorHAnsi" w:hAnsiTheme="majorHAnsi" w:cstheme="majorHAnsi"/>
        </w:rPr>
        <w:t xml:space="preserve">Phipps v </w:t>
      </w:r>
      <w:r>
        <w:rPr>
          <w:rFonts w:asciiTheme="majorHAnsi" w:hAnsiTheme="majorHAnsi" w:cstheme="majorHAnsi"/>
        </w:rPr>
        <w:t>Rochester Corporation (1955) 1 QB 450</w:t>
      </w:r>
    </w:p>
    <w:p w14:paraId="0701D249" w14:textId="6BECE321" w:rsidR="00853449" w:rsidRDefault="00853449" w:rsidP="00365C83">
      <w:pPr>
        <w:jc w:val="both"/>
        <w:rPr>
          <w:rFonts w:asciiTheme="majorHAnsi" w:hAnsiTheme="majorHAnsi" w:cstheme="majorHAnsi"/>
        </w:rPr>
      </w:pPr>
    </w:p>
    <w:p w14:paraId="79D2540F" w14:textId="1958EFF0" w:rsidR="00853449" w:rsidRDefault="007020A3" w:rsidP="00365C83">
      <w:pPr>
        <w:jc w:val="both"/>
        <w:rPr>
          <w:rFonts w:asciiTheme="majorHAnsi" w:hAnsiTheme="majorHAnsi" w:cstheme="majorHAnsi"/>
        </w:rPr>
      </w:pPr>
      <w:r>
        <w:rPr>
          <w:rFonts w:asciiTheme="majorHAnsi" w:hAnsiTheme="majorHAnsi" w:cstheme="majorHAnsi"/>
        </w:rPr>
        <w:t>Ratcliff v McConnell and Harper Adams College (1997) EWCA Civ 2679</w:t>
      </w:r>
    </w:p>
    <w:p w14:paraId="05D93C86" w14:textId="79F39D5E" w:rsidR="00D6106E" w:rsidRDefault="00D6106E" w:rsidP="00365C83">
      <w:pPr>
        <w:jc w:val="both"/>
        <w:rPr>
          <w:rFonts w:asciiTheme="majorHAnsi" w:hAnsiTheme="majorHAnsi" w:cstheme="majorHAnsi"/>
        </w:rPr>
      </w:pPr>
    </w:p>
    <w:p w14:paraId="11E9244D" w14:textId="2FF318D7" w:rsidR="00D6106E" w:rsidRDefault="007020A3" w:rsidP="00365C83">
      <w:pPr>
        <w:jc w:val="both"/>
        <w:rPr>
          <w:rFonts w:asciiTheme="majorHAnsi" w:hAnsiTheme="majorHAnsi" w:cstheme="majorHAnsi"/>
        </w:rPr>
      </w:pPr>
      <w:r>
        <w:rPr>
          <w:rFonts w:asciiTheme="majorHAnsi" w:hAnsiTheme="majorHAnsi" w:cstheme="majorHAnsi"/>
        </w:rPr>
        <w:t>Robert Addie &amp; Sons (Collieries) Ltd v Dumbreck (1929)   AC 358 (HL)</w:t>
      </w:r>
    </w:p>
    <w:p w14:paraId="4DE97234" w14:textId="0FCF1F11" w:rsidR="0030100D" w:rsidRDefault="0030100D" w:rsidP="00365C83">
      <w:pPr>
        <w:jc w:val="both"/>
        <w:rPr>
          <w:rFonts w:asciiTheme="majorHAnsi" w:hAnsiTheme="majorHAnsi" w:cstheme="majorHAnsi"/>
        </w:rPr>
      </w:pPr>
    </w:p>
    <w:p w14:paraId="17E7916A" w14:textId="7665BE03" w:rsidR="0030100D" w:rsidRDefault="007020A3" w:rsidP="00365C83">
      <w:pPr>
        <w:jc w:val="both"/>
        <w:rPr>
          <w:rFonts w:asciiTheme="majorHAnsi" w:hAnsiTheme="majorHAnsi" w:cstheme="majorHAnsi"/>
        </w:rPr>
      </w:pPr>
      <w:r>
        <w:rPr>
          <w:rFonts w:asciiTheme="majorHAnsi" w:hAnsiTheme="majorHAnsi" w:cstheme="majorHAnsi"/>
        </w:rPr>
        <w:t xml:space="preserve">Stevenson v Glasgow Corporation (1908) SC 1034 </w:t>
      </w:r>
    </w:p>
    <w:p w14:paraId="38376177" w14:textId="3FA2ED1E" w:rsidR="009D01BF" w:rsidRDefault="009D01BF" w:rsidP="00365C83">
      <w:pPr>
        <w:jc w:val="both"/>
        <w:rPr>
          <w:rFonts w:asciiTheme="majorHAnsi" w:hAnsiTheme="majorHAnsi" w:cstheme="majorHAnsi"/>
        </w:rPr>
      </w:pPr>
    </w:p>
    <w:p w14:paraId="686F7E66" w14:textId="366209A0" w:rsidR="009D01BF" w:rsidRDefault="007020A3" w:rsidP="00365C83">
      <w:pPr>
        <w:jc w:val="both"/>
        <w:rPr>
          <w:rFonts w:asciiTheme="majorHAnsi" w:hAnsiTheme="majorHAnsi" w:cstheme="majorHAnsi"/>
        </w:rPr>
      </w:pPr>
      <w:r>
        <w:rPr>
          <w:rFonts w:asciiTheme="majorHAnsi" w:hAnsiTheme="majorHAnsi" w:cstheme="majorHAnsi"/>
        </w:rPr>
        <w:t xml:space="preserve">Tomlinson v Congleton Borough </w:t>
      </w:r>
      <w:r>
        <w:rPr>
          <w:rFonts w:asciiTheme="majorHAnsi" w:hAnsiTheme="majorHAnsi" w:cstheme="majorHAnsi"/>
        </w:rPr>
        <w:t>Council (2004) 1 AC 46</w:t>
      </w:r>
    </w:p>
    <w:p w14:paraId="287CA15E" w14:textId="50475948" w:rsidR="00165B4C" w:rsidRDefault="00165B4C" w:rsidP="00365C83">
      <w:pPr>
        <w:jc w:val="both"/>
        <w:rPr>
          <w:rFonts w:asciiTheme="majorHAnsi" w:hAnsiTheme="majorHAnsi" w:cstheme="majorHAnsi"/>
        </w:rPr>
      </w:pPr>
    </w:p>
    <w:p w14:paraId="5C38F998" w14:textId="022B714C" w:rsidR="00165B4C" w:rsidRDefault="007020A3" w:rsidP="00365C83">
      <w:pPr>
        <w:jc w:val="both"/>
        <w:rPr>
          <w:rFonts w:asciiTheme="majorHAnsi" w:hAnsiTheme="majorHAnsi" w:cstheme="majorHAnsi"/>
        </w:rPr>
      </w:pPr>
      <w:r>
        <w:rPr>
          <w:rFonts w:asciiTheme="majorHAnsi" w:hAnsiTheme="majorHAnsi" w:cstheme="majorHAnsi"/>
        </w:rPr>
        <w:t xml:space="preserve">Ward v Tesco (1976) 1 WLR 810 (CA) </w:t>
      </w:r>
    </w:p>
    <w:p w14:paraId="257D28A0" w14:textId="77777777" w:rsidR="00482D34" w:rsidRDefault="00482D34" w:rsidP="00365C83">
      <w:pPr>
        <w:jc w:val="both"/>
        <w:rPr>
          <w:rFonts w:asciiTheme="majorHAnsi" w:hAnsiTheme="majorHAnsi" w:cstheme="majorHAnsi"/>
        </w:rPr>
      </w:pPr>
    </w:p>
    <w:p w14:paraId="4C5D8456" w14:textId="448F172C" w:rsidR="008258D2" w:rsidRDefault="007020A3" w:rsidP="00365C83">
      <w:pPr>
        <w:jc w:val="both"/>
        <w:rPr>
          <w:rFonts w:asciiTheme="majorHAnsi" w:hAnsiTheme="majorHAnsi" w:cstheme="majorHAnsi"/>
        </w:rPr>
      </w:pPr>
      <w:r>
        <w:rPr>
          <w:rFonts w:asciiTheme="majorHAnsi" w:hAnsiTheme="majorHAnsi" w:cstheme="majorHAnsi"/>
        </w:rPr>
        <w:t>Wheat v E Lacon &amp; Co Ltd (1966) AC 552</w:t>
      </w:r>
    </w:p>
    <w:p w14:paraId="4078CB40" w14:textId="751A2F0A" w:rsidR="00FF1FE5" w:rsidRDefault="00FF1FE5" w:rsidP="00365C83">
      <w:pPr>
        <w:jc w:val="both"/>
        <w:rPr>
          <w:rFonts w:asciiTheme="majorHAnsi" w:hAnsiTheme="majorHAnsi" w:cstheme="majorHAnsi"/>
        </w:rPr>
      </w:pPr>
    </w:p>
    <w:p w14:paraId="088B75D7" w14:textId="3B30A795" w:rsidR="00FF1FE5" w:rsidRPr="008258D2" w:rsidRDefault="007020A3" w:rsidP="00365C83">
      <w:pPr>
        <w:jc w:val="both"/>
        <w:rPr>
          <w:rFonts w:asciiTheme="majorHAnsi" w:hAnsiTheme="majorHAnsi" w:cstheme="majorHAnsi"/>
        </w:rPr>
      </w:pPr>
      <w:r>
        <w:rPr>
          <w:rFonts w:asciiTheme="majorHAnsi" w:hAnsiTheme="majorHAnsi" w:cstheme="majorHAnsi"/>
        </w:rPr>
        <w:t xml:space="preserve">Young v </w:t>
      </w:r>
      <w:r w:rsidR="00453075">
        <w:rPr>
          <w:rFonts w:asciiTheme="majorHAnsi" w:hAnsiTheme="majorHAnsi" w:cstheme="majorHAnsi"/>
        </w:rPr>
        <w:t>Kent</w:t>
      </w:r>
      <w:r>
        <w:rPr>
          <w:rFonts w:asciiTheme="majorHAnsi" w:hAnsiTheme="majorHAnsi" w:cstheme="majorHAnsi"/>
        </w:rPr>
        <w:t xml:space="preserve"> County Council (2005) </w:t>
      </w:r>
      <w:r w:rsidR="00453075">
        <w:rPr>
          <w:rFonts w:asciiTheme="majorHAnsi" w:hAnsiTheme="majorHAnsi" w:cstheme="majorHAnsi"/>
        </w:rPr>
        <w:t>EWCH 1342 (QB)</w:t>
      </w:r>
    </w:p>
    <w:sectPr w:rsidR="00FF1FE5" w:rsidRPr="008258D2" w:rsidSect="00BD7923">
      <w:pgSz w:w="11900" w:h="16820"/>
      <w:pgMar w:top="720" w:right="720" w:bottom="720" w:left="720" w:header="709" w:footer="454"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C83"/>
    <w:rsid w:val="0001039E"/>
    <w:rsid w:val="000B2C6B"/>
    <w:rsid w:val="000C15B5"/>
    <w:rsid w:val="000C2696"/>
    <w:rsid w:val="00134024"/>
    <w:rsid w:val="0014150E"/>
    <w:rsid w:val="00145D76"/>
    <w:rsid w:val="00165B4C"/>
    <w:rsid w:val="00197B04"/>
    <w:rsid w:val="001A3384"/>
    <w:rsid w:val="001B1BEF"/>
    <w:rsid w:val="001E33FA"/>
    <w:rsid w:val="001F6680"/>
    <w:rsid w:val="00206BEB"/>
    <w:rsid w:val="002213F1"/>
    <w:rsid w:val="002220A2"/>
    <w:rsid w:val="00223EE5"/>
    <w:rsid w:val="00245C01"/>
    <w:rsid w:val="00247B0C"/>
    <w:rsid w:val="00255A6F"/>
    <w:rsid w:val="00262DA6"/>
    <w:rsid w:val="002672A7"/>
    <w:rsid w:val="002B156D"/>
    <w:rsid w:val="002B2BE5"/>
    <w:rsid w:val="002C3E21"/>
    <w:rsid w:val="0030100D"/>
    <w:rsid w:val="00314D64"/>
    <w:rsid w:val="00347E41"/>
    <w:rsid w:val="00365C83"/>
    <w:rsid w:val="00375C58"/>
    <w:rsid w:val="003969ED"/>
    <w:rsid w:val="003C6BAB"/>
    <w:rsid w:val="003D1FDC"/>
    <w:rsid w:val="003F27A2"/>
    <w:rsid w:val="004061BB"/>
    <w:rsid w:val="00414227"/>
    <w:rsid w:val="0043150C"/>
    <w:rsid w:val="00453075"/>
    <w:rsid w:val="00482D34"/>
    <w:rsid w:val="004D4DCB"/>
    <w:rsid w:val="00505BBC"/>
    <w:rsid w:val="00522CD1"/>
    <w:rsid w:val="00552397"/>
    <w:rsid w:val="005931C3"/>
    <w:rsid w:val="005A62BE"/>
    <w:rsid w:val="005C34D9"/>
    <w:rsid w:val="005D5E8E"/>
    <w:rsid w:val="00645310"/>
    <w:rsid w:val="006A0E5F"/>
    <w:rsid w:val="006C10AD"/>
    <w:rsid w:val="006E4FE5"/>
    <w:rsid w:val="006F5403"/>
    <w:rsid w:val="006F7415"/>
    <w:rsid w:val="007020A3"/>
    <w:rsid w:val="00737447"/>
    <w:rsid w:val="00742C94"/>
    <w:rsid w:val="00754B33"/>
    <w:rsid w:val="0079208E"/>
    <w:rsid w:val="007A1875"/>
    <w:rsid w:val="007A6F19"/>
    <w:rsid w:val="007D6922"/>
    <w:rsid w:val="007E0601"/>
    <w:rsid w:val="008021A1"/>
    <w:rsid w:val="00803A93"/>
    <w:rsid w:val="00823F5A"/>
    <w:rsid w:val="008258D2"/>
    <w:rsid w:val="0083209B"/>
    <w:rsid w:val="008454A9"/>
    <w:rsid w:val="008470E9"/>
    <w:rsid w:val="00853449"/>
    <w:rsid w:val="0087629C"/>
    <w:rsid w:val="00887F45"/>
    <w:rsid w:val="008E7911"/>
    <w:rsid w:val="0091220E"/>
    <w:rsid w:val="009546E6"/>
    <w:rsid w:val="00961156"/>
    <w:rsid w:val="00980C22"/>
    <w:rsid w:val="009A2DD2"/>
    <w:rsid w:val="009A3C5B"/>
    <w:rsid w:val="009D01BF"/>
    <w:rsid w:val="00A02BA2"/>
    <w:rsid w:val="00A67530"/>
    <w:rsid w:val="00A67995"/>
    <w:rsid w:val="00A85435"/>
    <w:rsid w:val="00A94A79"/>
    <w:rsid w:val="00AA4A3D"/>
    <w:rsid w:val="00AD159D"/>
    <w:rsid w:val="00AF0900"/>
    <w:rsid w:val="00B05922"/>
    <w:rsid w:val="00B14F1B"/>
    <w:rsid w:val="00B37120"/>
    <w:rsid w:val="00B424F9"/>
    <w:rsid w:val="00B601A9"/>
    <w:rsid w:val="00BC578F"/>
    <w:rsid w:val="00BD7923"/>
    <w:rsid w:val="00C01DE1"/>
    <w:rsid w:val="00C41DEC"/>
    <w:rsid w:val="00CA6A53"/>
    <w:rsid w:val="00D130BE"/>
    <w:rsid w:val="00D30DB5"/>
    <w:rsid w:val="00D6106E"/>
    <w:rsid w:val="00D84BF8"/>
    <w:rsid w:val="00DA64CF"/>
    <w:rsid w:val="00DF7220"/>
    <w:rsid w:val="00E200BF"/>
    <w:rsid w:val="00E453AA"/>
    <w:rsid w:val="00E610CF"/>
    <w:rsid w:val="00E7109B"/>
    <w:rsid w:val="00E75C53"/>
    <w:rsid w:val="00EA55E0"/>
    <w:rsid w:val="00F1549C"/>
    <w:rsid w:val="00F2700B"/>
    <w:rsid w:val="00F41A52"/>
    <w:rsid w:val="00F4269A"/>
    <w:rsid w:val="00F477F9"/>
    <w:rsid w:val="00F67E4B"/>
    <w:rsid w:val="00F76C71"/>
    <w:rsid w:val="00F76D65"/>
    <w:rsid w:val="00FB29D1"/>
    <w:rsid w:val="00FB3244"/>
    <w:rsid w:val="00FB4621"/>
    <w:rsid w:val="00FD1607"/>
    <w:rsid w:val="00FF1FE5"/>
    <w:rsid w:val="00FF75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419AA5"/>
  <w15:chartTrackingRefBased/>
  <w15:docId w15:val="{96488328-3B79-CB4F-B685-F37823A3E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2648</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Anne Kan (2017444)</dc:creator>
  <cp:lastModifiedBy>Teresa Anne Kan (2017444)</cp:lastModifiedBy>
  <cp:revision>2</cp:revision>
  <dcterms:created xsi:type="dcterms:W3CDTF">2021-12-15T10:36:00Z</dcterms:created>
  <dcterms:modified xsi:type="dcterms:W3CDTF">2021-12-15T10:36:00Z</dcterms:modified>
</cp:coreProperties>
</file>