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FE1E6" w14:textId="71904E35" w:rsidR="00777E63" w:rsidRPr="0004795D" w:rsidRDefault="00777E63" w:rsidP="0004795D">
      <w:pPr>
        <w:spacing w:line="360" w:lineRule="auto"/>
        <w:rPr>
          <w:rFonts w:ascii="Arial" w:hAnsi="Arial" w:cs="Arial"/>
          <w:b/>
          <w:bCs/>
          <w:sz w:val="22"/>
          <w:szCs w:val="22"/>
        </w:rPr>
      </w:pPr>
      <w:r w:rsidRPr="00777E63">
        <w:rPr>
          <w:b/>
          <w:bCs/>
          <w:sz w:val="36"/>
          <w:szCs w:val="36"/>
        </w:rPr>
        <w:t xml:space="preserve">                                  </w:t>
      </w:r>
      <w:r w:rsidRPr="0004795D">
        <w:rPr>
          <w:rFonts w:ascii="Arial" w:hAnsi="Arial" w:cs="Arial"/>
          <w:b/>
          <w:bCs/>
          <w:sz w:val="22"/>
          <w:szCs w:val="22"/>
        </w:rPr>
        <w:t xml:space="preserve">Title page </w:t>
      </w:r>
    </w:p>
    <w:p w14:paraId="7046E8FF" w14:textId="77777777" w:rsidR="00777E63" w:rsidRPr="0004795D" w:rsidRDefault="00777E63" w:rsidP="0004795D">
      <w:pPr>
        <w:spacing w:line="360" w:lineRule="auto"/>
        <w:rPr>
          <w:rFonts w:ascii="Arial" w:hAnsi="Arial" w:cs="Arial"/>
          <w:sz w:val="22"/>
          <w:szCs w:val="22"/>
        </w:rPr>
      </w:pPr>
    </w:p>
    <w:p w14:paraId="2E4740B8" w14:textId="77777777" w:rsidR="00777E63" w:rsidRPr="0004795D" w:rsidRDefault="00777E63" w:rsidP="0004795D">
      <w:pPr>
        <w:spacing w:line="360" w:lineRule="auto"/>
        <w:rPr>
          <w:rFonts w:ascii="Arial" w:hAnsi="Arial" w:cs="Arial"/>
          <w:sz w:val="22"/>
          <w:szCs w:val="22"/>
        </w:rPr>
      </w:pPr>
    </w:p>
    <w:p w14:paraId="0E6EDC61" w14:textId="0C8F3DE0" w:rsidR="00777E63" w:rsidRPr="0004795D" w:rsidRDefault="00777E63" w:rsidP="0004795D">
      <w:pPr>
        <w:spacing w:line="360" w:lineRule="auto"/>
        <w:rPr>
          <w:rFonts w:ascii="Arial" w:hAnsi="Arial" w:cs="Arial"/>
          <w:sz w:val="22"/>
          <w:szCs w:val="22"/>
        </w:rPr>
      </w:pPr>
      <w:r w:rsidRPr="0004795D">
        <w:rPr>
          <w:rFonts w:ascii="Arial" w:hAnsi="Arial" w:cs="Arial"/>
          <w:b/>
          <w:bCs/>
          <w:sz w:val="22"/>
          <w:szCs w:val="22"/>
        </w:rPr>
        <w:t>Name:</w:t>
      </w:r>
      <w:r w:rsidRPr="0004795D">
        <w:rPr>
          <w:rFonts w:ascii="Arial" w:hAnsi="Arial" w:cs="Arial"/>
          <w:sz w:val="22"/>
          <w:szCs w:val="22"/>
        </w:rPr>
        <w:t xml:space="preserve"> Naheeda Akhter </w:t>
      </w:r>
    </w:p>
    <w:p w14:paraId="4E09312E" w14:textId="77777777" w:rsidR="00777E63" w:rsidRPr="0004795D" w:rsidRDefault="00777E63" w:rsidP="0004795D">
      <w:pPr>
        <w:spacing w:line="360" w:lineRule="auto"/>
        <w:rPr>
          <w:rFonts w:ascii="Arial" w:hAnsi="Arial" w:cs="Arial"/>
          <w:sz w:val="22"/>
          <w:szCs w:val="22"/>
        </w:rPr>
      </w:pPr>
      <w:r w:rsidRPr="0004795D">
        <w:rPr>
          <w:rFonts w:ascii="Arial" w:hAnsi="Arial" w:cs="Arial"/>
          <w:b/>
          <w:bCs/>
          <w:sz w:val="22"/>
          <w:szCs w:val="22"/>
        </w:rPr>
        <w:t>Student Number :</w:t>
      </w:r>
      <w:r w:rsidRPr="0004795D">
        <w:rPr>
          <w:rFonts w:ascii="Arial" w:hAnsi="Arial" w:cs="Arial"/>
          <w:sz w:val="22"/>
          <w:szCs w:val="22"/>
        </w:rPr>
        <w:t>2240548</w:t>
      </w:r>
    </w:p>
    <w:p w14:paraId="51B0978A" w14:textId="77777777" w:rsidR="00777E63" w:rsidRPr="0004795D" w:rsidRDefault="00777E63" w:rsidP="0004795D">
      <w:pPr>
        <w:spacing w:line="360" w:lineRule="auto"/>
        <w:rPr>
          <w:rFonts w:ascii="Arial" w:hAnsi="Arial" w:cs="Arial"/>
          <w:sz w:val="22"/>
          <w:szCs w:val="22"/>
        </w:rPr>
      </w:pPr>
      <w:r w:rsidRPr="0004795D">
        <w:rPr>
          <w:rFonts w:ascii="Arial" w:hAnsi="Arial" w:cs="Arial"/>
          <w:b/>
          <w:bCs/>
          <w:sz w:val="22"/>
          <w:szCs w:val="22"/>
        </w:rPr>
        <w:t>Assignment Title:</w:t>
      </w:r>
      <w:r w:rsidRPr="0004795D">
        <w:rPr>
          <w:rFonts w:ascii="Arial" w:hAnsi="Arial" w:cs="Arial"/>
          <w:sz w:val="22"/>
          <w:szCs w:val="22"/>
        </w:rPr>
        <w:t xml:space="preserve"> Component 2 Written Report</w:t>
      </w:r>
    </w:p>
    <w:p w14:paraId="7EB25D33" w14:textId="77777777" w:rsidR="00777E63" w:rsidRPr="0004795D" w:rsidRDefault="00777E63" w:rsidP="0004795D">
      <w:pPr>
        <w:spacing w:line="360" w:lineRule="auto"/>
        <w:rPr>
          <w:rFonts w:ascii="Arial" w:hAnsi="Arial" w:cs="Arial"/>
          <w:sz w:val="22"/>
          <w:szCs w:val="22"/>
        </w:rPr>
      </w:pPr>
      <w:r w:rsidRPr="0004795D">
        <w:rPr>
          <w:rFonts w:ascii="Arial" w:hAnsi="Arial" w:cs="Arial"/>
          <w:b/>
          <w:bCs/>
          <w:sz w:val="22"/>
          <w:szCs w:val="22"/>
        </w:rPr>
        <w:t>Module code</w:t>
      </w:r>
      <w:r w:rsidRPr="0004795D">
        <w:rPr>
          <w:rFonts w:ascii="Arial" w:hAnsi="Arial" w:cs="Arial"/>
          <w:sz w:val="22"/>
          <w:szCs w:val="22"/>
        </w:rPr>
        <w:t>: BMHP5021</w:t>
      </w:r>
    </w:p>
    <w:p w14:paraId="7075DCCF" w14:textId="1BAE6617" w:rsidR="00777E63" w:rsidRPr="0004795D" w:rsidRDefault="00777E63" w:rsidP="0004795D">
      <w:pPr>
        <w:spacing w:line="360" w:lineRule="auto"/>
        <w:rPr>
          <w:rFonts w:ascii="Arial" w:hAnsi="Arial" w:cs="Arial"/>
          <w:sz w:val="22"/>
          <w:szCs w:val="22"/>
        </w:rPr>
      </w:pPr>
    </w:p>
    <w:p w14:paraId="50EBFFCC" w14:textId="66117D08" w:rsidR="00777E63" w:rsidRPr="0004795D" w:rsidRDefault="00777E63" w:rsidP="0004795D">
      <w:pPr>
        <w:spacing w:line="360" w:lineRule="auto"/>
        <w:rPr>
          <w:rFonts w:ascii="Arial" w:hAnsi="Arial" w:cs="Arial"/>
          <w:sz w:val="22"/>
          <w:szCs w:val="22"/>
        </w:rPr>
      </w:pPr>
    </w:p>
    <w:p w14:paraId="47F695AA" w14:textId="77777777" w:rsidR="00777E63" w:rsidRPr="0004795D" w:rsidRDefault="00777E63" w:rsidP="0004795D">
      <w:pPr>
        <w:spacing w:line="360" w:lineRule="auto"/>
        <w:rPr>
          <w:rFonts w:ascii="Arial" w:hAnsi="Arial" w:cs="Arial"/>
          <w:sz w:val="22"/>
          <w:szCs w:val="22"/>
        </w:rPr>
      </w:pPr>
      <w:r w:rsidRPr="0004795D">
        <w:rPr>
          <w:rFonts w:ascii="Arial" w:hAnsi="Arial" w:cs="Arial"/>
          <w:sz w:val="22"/>
          <w:szCs w:val="22"/>
        </w:rPr>
        <w:br w:type="page"/>
      </w:r>
    </w:p>
    <w:p w14:paraId="76DF0D63" w14:textId="77777777" w:rsidR="00777E63" w:rsidRPr="0004795D" w:rsidRDefault="00777E63" w:rsidP="0004795D">
      <w:pPr>
        <w:spacing w:line="360" w:lineRule="auto"/>
        <w:rPr>
          <w:rFonts w:ascii="Arial" w:hAnsi="Arial" w:cs="Arial"/>
          <w:sz w:val="22"/>
          <w:szCs w:val="22"/>
        </w:rPr>
      </w:pPr>
    </w:p>
    <w:p w14:paraId="61F857AB" w14:textId="47EC62BC" w:rsidR="00A652DB" w:rsidRPr="00A652DB" w:rsidRDefault="00093AD1" w:rsidP="00905C09">
      <w:pPr>
        <w:spacing w:after="0" w:line="360" w:lineRule="auto"/>
        <w:rPr>
          <w:rFonts w:ascii="Arial" w:hAnsi="Arial" w:cs="Arial"/>
          <w:b/>
          <w:bCs/>
          <w:sz w:val="22"/>
          <w:szCs w:val="22"/>
        </w:rPr>
      </w:pPr>
      <w:r w:rsidRPr="00905C09">
        <w:rPr>
          <w:rFonts w:ascii="Arial" w:hAnsi="Arial" w:cs="Arial"/>
          <w:sz w:val="22"/>
          <w:szCs w:val="22"/>
        </w:rPr>
        <w:t xml:space="preserve">                        </w:t>
      </w:r>
      <w:r w:rsidR="00A652DB" w:rsidRPr="00905C09">
        <w:rPr>
          <w:rFonts w:ascii="Arial" w:hAnsi="Arial" w:cs="Arial"/>
          <w:b/>
          <w:bCs/>
          <w:sz w:val="22"/>
          <w:szCs w:val="22"/>
        </w:rPr>
        <w:t>An Examination and Analysis of How the ‘Early Help’ System Is Signposted to UK Families via Local Authority Websites</w:t>
      </w:r>
      <w:r w:rsidR="00A652DB" w:rsidRPr="00A652DB">
        <w:br/>
      </w:r>
      <w:r w:rsidR="250C2E45" w:rsidRPr="44FA0232">
        <w:rPr>
          <w:rFonts w:ascii="Arial" w:hAnsi="Arial" w:cs="Arial"/>
          <w:b/>
          <w:bCs/>
          <w:sz w:val="22"/>
          <w:szCs w:val="22"/>
        </w:rPr>
        <w:t xml:space="preserve"> </w:t>
      </w:r>
      <w:r w:rsidR="00A652DB">
        <w:br/>
      </w:r>
    </w:p>
    <w:p w14:paraId="0FDC0A46" w14:textId="561616E1" w:rsidR="44FA0232" w:rsidRDefault="44FA0232" w:rsidP="44FA0232">
      <w:pPr>
        <w:spacing w:after="0" w:line="360" w:lineRule="auto"/>
        <w:rPr>
          <w:rFonts w:ascii="Arial" w:hAnsi="Arial" w:cs="Arial"/>
          <w:b/>
          <w:bCs/>
          <w:sz w:val="22"/>
          <w:szCs w:val="22"/>
        </w:rPr>
      </w:pPr>
    </w:p>
    <w:p w14:paraId="49DC454A" w14:textId="6BFB6B74" w:rsidR="44FA0232" w:rsidRDefault="44FA0232" w:rsidP="44FA0232">
      <w:pPr>
        <w:spacing w:after="0" w:line="360" w:lineRule="auto"/>
        <w:rPr>
          <w:rFonts w:ascii="Arial" w:hAnsi="Arial" w:cs="Arial"/>
          <w:b/>
          <w:bCs/>
          <w:sz w:val="22"/>
          <w:szCs w:val="22"/>
        </w:rPr>
      </w:pPr>
    </w:p>
    <w:p w14:paraId="661EA0DC" w14:textId="62D5ACC0" w:rsidR="44FA0232" w:rsidRDefault="44FA0232" w:rsidP="44FA0232">
      <w:pPr>
        <w:spacing w:after="0" w:line="360" w:lineRule="auto"/>
        <w:rPr>
          <w:rFonts w:ascii="Arial" w:hAnsi="Arial" w:cs="Arial"/>
          <w:b/>
          <w:bCs/>
          <w:sz w:val="22"/>
          <w:szCs w:val="22"/>
        </w:rPr>
      </w:pPr>
    </w:p>
    <w:p w14:paraId="1A991138" w14:textId="69B26AB1" w:rsidR="00A652DB" w:rsidRPr="00A652DB" w:rsidRDefault="00A652DB" w:rsidP="00905C09">
      <w:pPr>
        <w:spacing w:after="0" w:line="360" w:lineRule="auto"/>
        <w:jc w:val="both"/>
        <w:rPr>
          <w:rFonts w:ascii="Arial" w:hAnsi="Arial" w:cs="Arial"/>
          <w:sz w:val="22"/>
          <w:szCs w:val="22"/>
        </w:rPr>
      </w:pPr>
      <w:r w:rsidRPr="00A652DB">
        <w:rPr>
          <w:rFonts w:ascii="Arial" w:hAnsi="Arial" w:cs="Arial"/>
          <w:b/>
          <w:bCs/>
          <w:sz w:val="22"/>
          <w:szCs w:val="22"/>
        </w:rPr>
        <w:t>1. Introductio</w:t>
      </w:r>
      <w:r w:rsidR="00C47BE9" w:rsidRPr="00905C09">
        <w:rPr>
          <w:rFonts w:ascii="Arial" w:hAnsi="Arial" w:cs="Arial"/>
          <w:b/>
          <w:bCs/>
          <w:sz w:val="22"/>
          <w:szCs w:val="22"/>
        </w:rPr>
        <w:t>n</w:t>
      </w:r>
    </w:p>
    <w:p w14:paraId="7D365214"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7F7C712" w14:textId="77777777" w:rsidR="00A652DB" w:rsidRPr="00A652DB" w:rsidRDefault="00A652DB" w:rsidP="02E531E8">
      <w:pPr>
        <w:pStyle w:val="NoSpacing"/>
        <w:rPr>
          <w:rFonts w:ascii="Arial" w:hAnsi="Arial" w:cs="Arial"/>
          <w:sz w:val="22"/>
          <w:szCs w:val="22"/>
        </w:rPr>
      </w:pPr>
      <w:r w:rsidRPr="00A652DB">
        <w:t>The Early Help system is a cornerstone of safeguarding children, young people, and families in the United Kingdom. Its primary objective is to provide timely, preventative support before challenges escalate into situations requiring statutory intervention (GOV.UK, n.d., p.4). Early Help encompasses a wide range of interventions, including parenting programmes, mental health support, school-based support, family hubs, and targeted assistance for children affected by domestic abuse, neglect, or behavioural difficulties (GOV.UK, n.d., pp.12–15). By intervening early, families are empowered to resolve challenges, which contributes to better child outcomes, stronger family relationships, and reduced demand on statutory services (DHSC et al., 2023, para.25).</w:t>
      </w:r>
    </w:p>
    <w:p w14:paraId="679CD67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06DCF777"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Recent studies indicate that over 50% of families initiate contact with local services via online resources, highlighting the critical role of clear, accessible digital communication (DHSC et al., 2023, para.28). Websites must provide accurate, structured information about available services, eligibility criteria, referral pathways, and multi-agency collaboration. If information is poorly presented or difficult to navigate, families may delay accessing support, increasing the risk of escalation and safeguarding concerns.</w:t>
      </w:r>
    </w:p>
    <w:p w14:paraId="660E4E58"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4DE07610"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This report evaluates how three local authorities—Leicestershire County Council, Norfolk County Council, and Staffordshire County Council—communicate Early Help services via their websites. The evaluation focuses on clarity, accessibility, multi-agency information, and practical guidance for families. Strengths and weaknesses are highlighted, and a comparative analysis identifies which local authority provides the most effective and accessible information. The report concludes with recommendations to improve family access to Early Help services.</w:t>
      </w:r>
    </w:p>
    <w:p w14:paraId="371E137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7DD72EE"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The report references two statutory documents: the Early Help System Guide (GOV.UK, n.d.) and Working Together to Safeguard Children 2023 (DHSC et al., 2023), ensuring that the analysis aligns with national safeguarding frameworks. By linking practice to statutory guidance, the report demonstrates how local authorities translate policy into digital communication that supports families. Additionally, this report reflects on the impact of digital accessibility on equity, recognising that families with language barriers, literacy challenges, or limited digital skills may face additional obstacles in accessing Early Help services.</w:t>
      </w:r>
    </w:p>
    <w:p w14:paraId="532FCC6D" w14:textId="77777777" w:rsidR="00F55514" w:rsidRPr="00F55514" w:rsidRDefault="00F55514" w:rsidP="00905C09">
      <w:pPr>
        <w:spacing w:after="0" w:line="360" w:lineRule="auto"/>
        <w:rPr>
          <w:rFonts w:ascii="Arial" w:hAnsi="Arial" w:cs="Arial"/>
          <w:sz w:val="22"/>
          <w:szCs w:val="22"/>
        </w:rPr>
      </w:pPr>
      <w:r w:rsidRPr="00F55514">
        <w:rPr>
          <w:rFonts w:ascii="Arial" w:hAnsi="Arial" w:cs="Arial"/>
          <w:sz w:val="22"/>
          <w:szCs w:val="22"/>
        </w:rPr>
        <w:t>In addition to providing essential services, Early Help plays a strategic role in reducing long-term pressures on social care, the NHS, and educational support systems. Research indicates that children who receive Early Help interventions demonstrate improved mental health outcomes, better school attendance, and reduced likelihood of involvement in crime or anti-social behaviour (GOV.UK, n.d., pp.16–17). Furthermore, Early Help supports parents to develop practical skills, including positive behaviour management, effective communication, and emotional resilience, which strengthens family cohesion over time.</w:t>
      </w:r>
    </w:p>
    <w:p w14:paraId="6BC25BD8" w14:textId="77777777" w:rsidR="00F55514" w:rsidRPr="00F55514" w:rsidRDefault="00F55514" w:rsidP="00905C09">
      <w:pPr>
        <w:spacing w:after="0" w:line="360" w:lineRule="auto"/>
        <w:rPr>
          <w:rFonts w:ascii="Arial" w:hAnsi="Arial" w:cs="Arial"/>
          <w:sz w:val="22"/>
          <w:szCs w:val="22"/>
        </w:rPr>
      </w:pPr>
      <w:r w:rsidRPr="00F55514">
        <w:rPr>
          <w:rFonts w:ascii="Arial" w:hAnsi="Arial" w:cs="Arial"/>
          <w:sz w:val="22"/>
          <w:szCs w:val="22"/>
        </w:rPr>
        <w:br/>
      </w:r>
    </w:p>
    <w:p w14:paraId="1A328169" w14:textId="730B25AD" w:rsidR="00A652DB" w:rsidRPr="00A652DB" w:rsidRDefault="00F55514" w:rsidP="44FA0232">
      <w:pPr>
        <w:spacing w:after="0" w:line="360" w:lineRule="auto"/>
        <w:contextualSpacing/>
        <w:rPr>
          <w:rFonts w:ascii="Arial" w:hAnsi="Arial" w:cs="Arial"/>
          <w:sz w:val="22"/>
          <w:szCs w:val="22"/>
        </w:rPr>
      </w:pPr>
      <w:r w:rsidRPr="00F55514">
        <w:rPr>
          <w:rFonts w:ascii="Arial" w:hAnsi="Arial" w:cs="Arial"/>
          <w:sz w:val="22"/>
          <w:szCs w:val="22"/>
        </w:rPr>
        <w:t>Digital access to Early Help information has become increasingly important, particularly during periods when face-to-face contact may be limited, such as the COVID-19 pandemic. Families increasingly rely on local authority websites as the primary route for guidance, referrals, and initial contact with services. Therefore, the accessibility, clarity, and usability of websites directly impact a family’s ability to engage with Early Help services, making web communication a critical factor in safeguarding outcomes (DHSC et al., 2023, para.28).</w:t>
      </w:r>
      <w:r w:rsidR="00A652DB">
        <w:br/>
      </w:r>
      <w:r w:rsidR="00A652DB" w:rsidRPr="00A652DB">
        <w:br/>
      </w:r>
    </w:p>
    <w:p w14:paraId="1E9B686C"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2. Explanation of the Early Help System</w:t>
      </w:r>
    </w:p>
    <w:p w14:paraId="4B01B174"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B018E27"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5B72DEF"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Early Help is defined as the provision of support for children, young people, and families who require assistance before issues escalate to statutory intervention (GOV.UK, n.d., p.4). Its purpose is preventative, focusing on early identification of needs, proportionate responses, and coordinated multi-agency intervention. Early Help is both a practical and strategic approach: it addresses immediate needs while supporting families to develop long-term resilience.</w:t>
      </w:r>
    </w:p>
    <w:p w14:paraId="7F69F36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EAB9E7F"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8EC2D27"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2.1 Scope of Early Help Services</w:t>
      </w:r>
    </w:p>
    <w:p w14:paraId="578D01C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78A8D4E"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795BCAE4"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The Early Help System offers a wide range of services, tailored to meet the unique needs of each family. These services include:</w:t>
      </w:r>
    </w:p>
    <w:p w14:paraId="518379B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BE09F05" w14:textId="77777777" w:rsidR="00A652DB" w:rsidRPr="00A652DB" w:rsidRDefault="00A652DB" w:rsidP="00905C09">
      <w:pPr>
        <w:numPr>
          <w:ilvl w:val="0"/>
          <w:numId w:val="17"/>
        </w:numPr>
        <w:spacing w:after="0" w:line="360" w:lineRule="auto"/>
        <w:rPr>
          <w:rFonts w:ascii="Arial" w:hAnsi="Arial" w:cs="Arial"/>
          <w:sz w:val="22"/>
          <w:szCs w:val="22"/>
        </w:rPr>
      </w:pPr>
      <w:r w:rsidRPr="00A652DB">
        <w:rPr>
          <w:rFonts w:ascii="Arial" w:hAnsi="Arial" w:cs="Arial"/>
          <w:sz w:val="22"/>
          <w:szCs w:val="22"/>
        </w:rPr>
        <w:t>Parenting Programmes: Structured courses and workshops guide parents and carers on child development, behaviour management, and positive family relationships. These programmes are often delivered collaboratively with schools, health services, and voluntary sector organisations. Evidence suggests that parenting programmes can reduce the likelihood of behavioural issues and strengthen parent–child relationships (GOV.UK, n.d., pp.12–13).</w:t>
      </w:r>
    </w:p>
    <w:p w14:paraId="3341583C" w14:textId="77777777" w:rsidR="00A652DB" w:rsidRPr="00A652DB" w:rsidRDefault="00A652DB" w:rsidP="00905C09">
      <w:pPr>
        <w:numPr>
          <w:ilvl w:val="0"/>
          <w:numId w:val="17"/>
        </w:numPr>
        <w:spacing w:after="0" w:line="360" w:lineRule="auto"/>
        <w:rPr>
          <w:rFonts w:ascii="Arial" w:hAnsi="Arial" w:cs="Arial"/>
          <w:sz w:val="22"/>
          <w:szCs w:val="22"/>
        </w:rPr>
      </w:pPr>
      <w:r w:rsidRPr="00A652DB">
        <w:rPr>
          <w:rFonts w:ascii="Arial" w:hAnsi="Arial" w:cs="Arial"/>
          <w:sz w:val="22"/>
          <w:szCs w:val="22"/>
        </w:rPr>
        <w:t>Family Hubs: Centralised hubs provide advice, early learning support, health checks, and counselling services. They offer families a one-stop location to access multiple forms of support and reduce fragmentation of services. Family hubs can help coordinate referrals to specialised services such as speech and language therapy, mental health support, or social care.</w:t>
      </w:r>
    </w:p>
    <w:p w14:paraId="6CE2D255" w14:textId="77777777" w:rsidR="00A652DB" w:rsidRPr="00A652DB" w:rsidRDefault="00A652DB" w:rsidP="00905C09">
      <w:pPr>
        <w:numPr>
          <w:ilvl w:val="0"/>
          <w:numId w:val="17"/>
        </w:numPr>
        <w:spacing w:after="0" w:line="360" w:lineRule="auto"/>
        <w:rPr>
          <w:rFonts w:ascii="Arial" w:hAnsi="Arial" w:cs="Arial"/>
          <w:sz w:val="22"/>
          <w:szCs w:val="22"/>
        </w:rPr>
      </w:pPr>
      <w:r w:rsidRPr="00A652DB">
        <w:rPr>
          <w:rFonts w:ascii="Arial" w:hAnsi="Arial" w:cs="Arial"/>
          <w:sz w:val="22"/>
          <w:szCs w:val="22"/>
        </w:rPr>
        <w:t>Targeted Interventions: Children and families experiencing neglect, domestic abuse, or other vulnerabilities receive focused support. This may include home visits from social workers, mentoring, or access to community-based support groups. Early identification of risk factors allows interventions to be applied before issues become severe (GOV.UK, n.d., pp.14–15).</w:t>
      </w:r>
    </w:p>
    <w:p w14:paraId="54ABED3B" w14:textId="77777777" w:rsidR="00A652DB" w:rsidRPr="00A652DB" w:rsidRDefault="00A652DB" w:rsidP="00905C09">
      <w:pPr>
        <w:numPr>
          <w:ilvl w:val="0"/>
          <w:numId w:val="17"/>
        </w:numPr>
        <w:spacing w:after="0" w:line="360" w:lineRule="auto"/>
        <w:rPr>
          <w:rFonts w:ascii="Arial" w:hAnsi="Arial" w:cs="Arial"/>
          <w:sz w:val="22"/>
          <w:szCs w:val="22"/>
        </w:rPr>
      </w:pPr>
      <w:r w:rsidRPr="00A652DB">
        <w:rPr>
          <w:rFonts w:ascii="Arial" w:hAnsi="Arial" w:cs="Arial"/>
          <w:sz w:val="22"/>
          <w:szCs w:val="22"/>
        </w:rPr>
        <w:t>School-Based Support: Schools provide counselling, mentoring, academic assistance, and support for children with special educational needs or disabilities. Collaborative work between schools and local authority Early Help teams ensures that children receive consistent support across educational and social contexts.</w:t>
      </w:r>
    </w:p>
    <w:p w14:paraId="62B8CEEB"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6E6E915"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DD03D69" w14:textId="355240D9" w:rsidR="005D46CE" w:rsidRPr="00905C09" w:rsidRDefault="00A652DB" w:rsidP="00905C09">
      <w:pPr>
        <w:spacing w:after="0" w:line="360" w:lineRule="auto"/>
        <w:rPr>
          <w:rFonts w:ascii="Arial" w:hAnsi="Arial" w:cs="Arial"/>
          <w:sz w:val="22"/>
          <w:szCs w:val="22"/>
        </w:rPr>
      </w:pPr>
      <w:r w:rsidRPr="00A652DB">
        <w:rPr>
          <w:rFonts w:ascii="Arial" w:hAnsi="Arial" w:cs="Arial"/>
          <w:sz w:val="22"/>
          <w:szCs w:val="22"/>
        </w:rPr>
        <w:t>The Early Help System Guide emphasises three core principles: early identification of needs, proportionate responses, and partnership working (GOV.UK, n.d., pp.8–10).</w:t>
      </w:r>
      <w:r w:rsidR="005D46CE" w:rsidRPr="00905C09">
        <w:rPr>
          <w:rFonts w:ascii="Arial" w:eastAsia="Times New Roman" w:hAnsi="Arial" w:cs="Arial"/>
          <w:color w:val="111111"/>
          <w:kern w:val="0"/>
          <w:sz w:val="22"/>
          <w:szCs w:val="22"/>
          <w:bdr w:val="none" w:sz="0" w:space="0" w:color="auto" w:frame="1"/>
          <w:lang w:eastAsia="en-GB"/>
          <w14:ligatures w14:val="none"/>
        </w:rPr>
        <w:t xml:space="preserve"> </w:t>
      </w:r>
      <w:r w:rsidR="005D46CE" w:rsidRPr="00905C09">
        <w:rPr>
          <w:rFonts w:ascii="Arial" w:hAnsi="Arial" w:cs="Arial"/>
          <w:sz w:val="22"/>
          <w:szCs w:val="22"/>
        </w:rPr>
        <w:t>A further aspect of Early Help is its emphasis on preventative interventions tailored to specific risk factors. For example, children in families experiencing parental mental health challenges may receive early mental health support and counselling, whereas children showing early signs of behavioural difficulties might access mentoring and school-based interventions (GOV.UK, n.d., pp.14–15). Early Help teams also work with voluntary sector organisations to provide specialised services, such as domestic abuse programmes, debt advice, and substance misuse support, creating a holistic support network that addresses the underlying causes of family stress.</w:t>
      </w:r>
    </w:p>
    <w:p w14:paraId="58D0B8B0" w14:textId="77777777" w:rsidR="005D46CE" w:rsidRPr="005D46CE" w:rsidRDefault="005D46CE" w:rsidP="00905C09">
      <w:pPr>
        <w:spacing w:after="0" w:line="360" w:lineRule="auto"/>
        <w:rPr>
          <w:rFonts w:ascii="Arial" w:hAnsi="Arial" w:cs="Arial"/>
          <w:sz w:val="22"/>
          <w:szCs w:val="22"/>
        </w:rPr>
      </w:pPr>
      <w:r w:rsidRPr="005D46CE">
        <w:rPr>
          <w:rFonts w:ascii="Arial" w:hAnsi="Arial" w:cs="Arial"/>
          <w:sz w:val="22"/>
          <w:szCs w:val="22"/>
        </w:rPr>
        <w:br/>
      </w:r>
    </w:p>
    <w:p w14:paraId="5A4A2615" w14:textId="77777777" w:rsidR="005D46CE" w:rsidRPr="005D46CE" w:rsidRDefault="005D46CE" w:rsidP="00905C09">
      <w:pPr>
        <w:spacing w:after="0" w:line="360" w:lineRule="auto"/>
        <w:rPr>
          <w:rFonts w:ascii="Arial" w:hAnsi="Arial" w:cs="Arial"/>
          <w:sz w:val="22"/>
          <w:szCs w:val="22"/>
        </w:rPr>
      </w:pPr>
      <w:r w:rsidRPr="005D46CE">
        <w:rPr>
          <w:rFonts w:ascii="Arial" w:hAnsi="Arial" w:cs="Arial"/>
          <w:sz w:val="22"/>
          <w:szCs w:val="22"/>
        </w:rPr>
        <w:t>Case studies within local authorities illustrate that Early Help can prevent escalation to statutory intervention. For instance, one family supported through a combination of parenting courses, school-based mentoring, and health visitor involvement showed measurable improvements in child behaviour and parental confidence within six months. Such examples emphasise the importance of both multi-agency coordination and clear guidance for families to access support (DHSC et al., 2023, para.25).</w:t>
      </w:r>
    </w:p>
    <w:p w14:paraId="69A3CDEA" w14:textId="77777777" w:rsidR="005D46CE" w:rsidRPr="005D46CE" w:rsidRDefault="005D46CE" w:rsidP="00905C09">
      <w:pPr>
        <w:spacing w:after="0" w:line="360" w:lineRule="auto"/>
        <w:rPr>
          <w:rFonts w:ascii="Arial" w:hAnsi="Arial" w:cs="Arial"/>
          <w:sz w:val="22"/>
          <w:szCs w:val="22"/>
        </w:rPr>
      </w:pPr>
      <w:r w:rsidRPr="005D46CE">
        <w:rPr>
          <w:rFonts w:ascii="Arial" w:hAnsi="Arial" w:cs="Arial"/>
          <w:sz w:val="22"/>
          <w:szCs w:val="22"/>
        </w:rPr>
        <w:br/>
      </w:r>
    </w:p>
    <w:p w14:paraId="4C1F857D" w14:textId="77777777" w:rsidR="005D46CE" w:rsidRPr="005D46CE" w:rsidRDefault="005D46CE" w:rsidP="00905C09">
      <w:pPr>
        <w:spacing w:after="0" w:line="360" w:lineRule="auto"/>
        <w:rPr>
          <w:rFonts w:ascii="Arial" w:hAnsi="Arial" w:cs="Arial"/>
          <w:sz w:val="22"/>
          <w:szCs w:val="22"/>
        </w:rPr>
      </w:pPr>
    </w:p>
    <w:p w14:paraId="5DEAB431" w14:textId="7050F36F" w:rsidR="000A131A" w:rsidRPr="00905C09" w:rsidRDefault="000A131A" w:rsidP="00905C09">
      <w:pPr>
        <w:spacing w:after="0" w:line="360" w:lineRule="auto"/>
        <w:rPr>
          <w:rFonts w:ascii="Arial" w:hAnsi="Arial" w:cs="Arial"/>
          <w:sz w:val="22"/>
          <w:szCs w:val="22"/>
        </w:rPr>
      </w:pPr>
    </w:p>
    <w:p w14:paraId="4388B10E" w14:textId="7B8CA6DF"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 xml:space="preserve"> Early identification allows professionals to recognise potential problems before they escalate, reducing the likelihood of serious safeguarding concerns. Proportionate responses ensure that resources are allocated according to the severity of need, preventing unnecessary statutory intervention. Partnership working is essential because Early Help often requires collaboration across multiple agencies to provide holistic support (DHSC et al., 2023, para.23).</w:t>
      </w:r>
    </w:p>
    <w:p w14:paraId="6DFD4B89"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947C4B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4152D415"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2.2 Statutory Alignment</w:t>
      </w:r>
    </w:p>
    <w:p w14:paraId="219F1288"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E96AA45"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50F021E"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Early Help operates within a legislative framework. The Children Act 2004 mandates local authorities to safeguard and promote the welfare of children. Early Help serves as a preventative mechanism that supports these statutory duties by addressing family needs before crises arise (DHSC et al., 2023, para.25).</w:t>
      </w:r>
    </w:p>
    <w:p w14:paraId="4BD105B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CD484D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Moreover, Early Help aligns with the statutory guidance outlined in Working Together to Safeguard Children 2023, which highlights the importance of early identification, multi-agency collaboration, and family-focused intervention (DHSC et al., 2023, para.30). Early Help also contributes to broader public health and social outcomes, enhancing family resilience, improving children’s mental health and educational attainment, and reducing the long-term demand for statutory services (GOV.UK, n.d., pp.16–17).</w:t>
      </w:r>
    </w:p>
    <w:p w14:paraId="6FF8D34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7CEBE0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15C43CC"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2.3 Importance of Communication</w:t>
      </w:r>
    </w:p>
    <w:p w14:paraId="1BA1A042"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28DD1D4"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5B7814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Effective communication of Early Help services is crucial. Families must be aware of available services, understand eligibility criteria, and know how to access support. Local authority websites play a key role in this process, acting as both an information hub and a gateway to service engagement. Websites should present information clearly, with simple navigation to contact points and referral pathways (DHSC et al., 2023, para.28).</w:t>
      </w:r>
    </w:p>
    <w:p w14:paraId="5BE7D477"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7CEB83D"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Accessibility is a key consideration. Families with limited literacy, non-native English speakers, or limited digital experience require websites that are easy to navigate, visually clear, and available in multiple languages. In addition, websites should use multimedia resources, such as videos, infographics, and step-by-step guides, to cater to different learning styles and ensure that all families can understand how to access support.</w:t>
      </w:r>
    </w:p>
    <w:p w14:paraId="007EE24B"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EBBFA77"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C8468F2"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EBAD65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0BE395D"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3. Multi-Agency Working</w:t>
      </w:r>
    </w:p>
    <w:p w14:paraId="6CAB6DD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07A1AEC5"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0BA70FD"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Multi-agency working is central to Early Help. It involves coordinated collaboration between health services, social care, education, and voluntary sector organisations to ensure families receive holistic, integrated support (DHSC et al., 2023, para.28).</w:t>
      </w:r>
    </w:p>
    <w:p w14:paraId="6B8D874E"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F8C9CAB"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4063242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3.1 Benefits of Multi-Agency Working</w:t>
      </w:r>
    </w:p>
    <w:p w14:paraId="366F2325"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0A40BA5"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05FA48B" w14:textId="77777777" w:rsidR="00A652DB" w:rsidRPr="00A652DB" w:rsidRDefault="00A652DB" w:rsidP="00905C09">
      <w:pPr>
        <w:numPr>
          <w:ilvl w:val="0"/>
          <w:numId w:val="18"/>
        </w:numPr>
        <w:spacing w:after="0" w:line="360" w:lineRule="auto"/>
        <w:rPr>
          <w:rFonts w:ascii="Arial" w:hAnsi="Arial" w:cs="Arial"/>
          <w:sz w:val="22"/>
          <w:szCs w:val="22"/>
        </w:rPr>
      </w:pPr>
      <w:r w:rsidRPr="00A652DB">
        <w:rPr>
          <w:rFonts w:ascii="Arial" w:hAnsi="Arial" w:cs="Arial"/>
          <w:sz w:val="22"/>
          <w:szCs w:val="22"/>
        </w:rPr>
        <w:t>Holistic Assessment: Joint assessments provide a comprehensive understanding of a child’s and family’s needs, ensuring interventions address all relevant domains, including mental health, social development, and educational attainment (GOV.UK, n.d., pp.16–17).</w:t>
      </w:r>
    </w:p>
    <w:p w14:paraId="403815AE" w14:textId="77777777" w:rsidR="00A652DB" w:rsidRPr="00A652DB" w:rsidRDefault="00A652DB" w:rsidP="00905C09">
      <w:pPr>
        <w:numPr>
          <w:ilvl w:val="0"/>
          <w:numId w:val="18"/>
        </w:numPr>
        <w:spacing w:after="0" w:line="360" w:lineRule="auto"/>
        <w:rPr>
          <w:rFonts w:ascii="Arial" w:hAnsi="Arial" w:cs="Arial"/>
          <w:sz w:val="22"/>
          <w:szCs w:val="22"/>
        </w:rPr>
      </w:pPr>
      <w:r w:rsidRPr="00A652DB">
        <w:rPr>
          <w:rFonts w:ascii="Arial" w:hAnsi="Arial" w:cs="Arial"/>
          <w:sz w:val="22"/>
          <w:szCs w:val="22"/>
        </w:rPr>
        <w:t>Timely and Proportionate Intervention: Coordinated actions ensure that needs are addressed quickly, reducing duplication and preventing escalation (DHSC et al., 2023, para.32).</w:t>
      </w:r>
    </w:p>
    <w:p w14:paraId="42A47BFE" w14:textId="77777777" w:rsidR="00A652DB" w:rsidRPr="00A652DB" w:rsidRDefault="00A652DB" w:rsidP="00905C09">
      <w:pPr>
        <w:numPr>
          <w:ilvl w:val="0"/>
          <w:numId w:val="18"/>
        </w:numPr>
        <w:spacing w:after="0" w:line="360" w:lineRule="auto"/>
        <w:rPr>
          <w:rFonts w:ascii="Arial" w:hAnsi="Arial" w:cs="Arial"/>
          <w:sz w:val="22"/>
          <w:szCs w:val="22"/>
        </w:rPr>
      </w:pPr>
      <w:r w:rsidRPr="00A652DB">
        <w:rPr>
          <w:rFonts w:ascii="Arial" w:hAnsi="Arial" w:cs="Arial"/>
          <w:sz w:val="22"/>
          <w:szCs w:val="22"/>
        </w:rPr>
        <w:t>Consistency and Accountability: Shared responsibility across agencies ensures that safeguarding standards are maintained, interventions are monitored, and professionals are accountable for outcomes (DHSC et al., 2023, para.28).</w:t>
      </w:r>
    </w:p>
    <w:p w14:paraId="3B359990" w14:textId="77777777" w:rsidR="00A652DB" w:rsidRPr="00A652DB" w:rsidRDefault="00A652DB" w:rsidP="00905C09">
      <w:pPr>
        <w:numPr>
          <w:ilvl w:val="0"/>
          <w:numId w:val="18"/>
        </w:numPr>
        <w:spacing w:after="0" w:line="360" w:lineRule="auto"/>
        <w:rPr>
          <w:rFonts w:ascii="Arial" w:hAnsi="Arial" w:cs="Arial"/>
          <w:sz w:val="22"/>
          <w:szCs w:val="22"/>
        </w:rPr>
      </w:pPr>
      <w:r w:rsidRPr="00A652DB">
        <w:rPr>
          <w:rFonts w:ascii="Arial" w:hAnsi="Arial" w:cs="Arial"/>
          <w:sz w:val="22"/>
          <w:szCs w:val="22"/>
        </w:rPr>
        <w:t>Enhanced Family Engagement: Families benefit from consistent guidance and clear communication, fostering trust and increasing the likelihood of active participation in interventions (GOV.UK, n.d., p.13).</w:t>
      </w:r>
    </w:p>
    <w:p w14:paraId="1250FE6F"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483DA8FD"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0088C26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9960697"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3.2 Challenges in Multi-Agency Working</w:t>
      </w:r>
    </w:p>
    <w:p w14:paraId="2B87924B"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0B041882"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72CF979"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Multi-agency collaboration faces several challenges. Differences in organisational culture, communication styles, and data-sharing policies can impede collaboration. Additionally, staff may lack training in joint working practices or be uncertain about their roles within a multi-agency framework. Effective collaboration requires clear protocols, regular joint meetings, continuous professional development, and leadership oversight to ensure coordinated delivery (DHSC et al., 2023, para.31).</w:t>
      </w:r>
    </w:p>
    <w:p w14:paraId="536B68A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A9B31D9"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Local authorities often establish Early Help hubs to centralise coordination. These hubs manage referrals, facilitate multi-agency communication, monitor progress, and ensure families receive integrated support (DHSC et al., 2023, para.31). By providing a single point of contact, Early Help hubs improve efficiency and prevent families from becoming lost between services.</w:t>
      </w:r>
    </w:p>
    <w:p w14:paraId="0ED447D9"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00D50689"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076859D0"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494A423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40DA885D"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4. Evaluation of Local Authority Websites</w:t>
      </w:r>
    </w:p>
    <w:p w14:paraId="1AAE3440"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817344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D3D1DAD"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4CA82AD2"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4.1 Leicestershire County Council</w:t>
      </w:r>
    </w:p>
    <w:p w14:paraId="6A7FA43C"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DCC8BDB"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B1E264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Leicestershire County Council’s website provides Early Help information under the “Children and Families” section (Leicestershire County Council, n.d.). It outlines available services, including parenting programmes, family hubs, and mental health support. Contact details, online referral forms, and downloadable resources are accessible.</w:t>
      </w:r>
    </w:p>
    <w:p w14:paraId="7EAF43D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4CA650D"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Strengths:</w:t>
      </w:r>
    </w:p>
    <w:p w14:paraId="03936464"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487EFA70" w14:textId="77777777" w:rsidR="00A652DB" w:rsidRPr="00A652DB" w:rsidRDefault="00A652DB" w:rsidP="00905C09">
      <w:pPr>
        <w:numPr>
          <w:ilvl w:val="0"/>
          <w:numId w:val="19"/>
        </w:numPr>
        <w:spacing w:after="0" w:line="360" w:lineRule="auto"/>
        <w:rPr>
          <w:rFonts w:ascii="Arial" w:hAnsi="Arial" w:cs="Arial"/>
          <w:sz w:val="22"/>
          <w:szCs w:val="22"/>
        </w:rPr>
      </w:pPr>
      <w:r w:rsidRPr="00A652DB">
        <w:rPr>
          <w:rFonts w:ascii="Arial" w:hAnsi="Arial" w:cs="Arial"/>
          <w:sz w:val="22"/>
          <w:szCs w:val="22"/>
        </w:rPr>
        <w:t>Clear explanations of services and referral pathways (Leicestershire County Council, n.d.).</w:t>
      </w:r>
    </w:p>
    <w:p w14:paraId="4A5A77AC" w14:textId="77777777" w:rsidR="00A652DB" w:rsidRPr="00A652DB" w:rsidRDefault="00A652DB" w:rsidP="00905C09">
      <w:pPr>
        <w:numPr>
          <w:ilvl w:val="0"/>
          <w:numId w:val="19"/>
        </w:numPr>
        <w:spacing w:after="0" w:line="360" w:lineRule="auto"/>
        <w:rPr>
          <w:rFonts w:ascii="Arial" w:hAnsi="Arial" w:cs="Arial"/>
          <w:sz w:val="22"/>
          <w:szCs w:val="22"/>
        </w:rPr>
      </w:pPr>
      <w:r w:rsidRPr="00A652DB">
        <w:rPr>
          <w:rFonts w:ascii="Arial" w:hAnsi="Arial" w:cs="Arial"/>
          <w:sz w:val="22"/>
          <w:szCs w:val="22"/>
        </w:rPr>
        <w:t>Logical navigation structure that allows families to find information efficiently.</w:t>
      </w:r>
    </w:p>
    <w:p w14:paraId="0BADEB49" w14:textId="77777777" w:rsidR="00A652DB" w:rsidRPr="00A652DB" w:rsidRDefault="00A652DB" w:rsidP="00905C09">
      <w:pPr>
        <w:numPr>
          <w:ilvl w:val="0"/>
          <w:numId w:val="19"/>
        </w:numPr>
        <w:spacing w:after="0" w:line="360" w:lineRule="auto"/>
        <w:rPr>
          <w:rFonts w:ascii="Arial" w:hAnsi="Arial" w:cs="Arial"/>
          <w:sz w:val="22"/>
          <w:szCs w:val="22"/>
        </w:rPr>
      </w:pPr>
      <w:r w:rsidRPr="00A652DB">
        <w:rPr>
          <w:rFonts w:ascii="Arial" w:hAnsi="Arial" w:cs="Arial"/>
          <w:sz w:val="22"/>
          <w:szCs w:val="22"/>
        </w:rPr>
        <w:t>Downloadable resources enhance understanding of processes and services.</w:t>
      </w:r>
    </w:p>
    <w:p w14:paraId="2A281548"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EC522C0"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4BD31769"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Weaknesses:</w:t>
      </w:r>
    </w:p>
    <w:p w14:paraId="7C35F40D"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CE09FEB" w14:textId="77777777" w:rsidR="00A652DB" w:rsidRPr="00A652DB" w:rsidRDefault="00A652DB" w:rsidP="00905C09">
      <w:pPr>
        <w:numPr>
          <w:ilvl w:val="0"/>
          <w:numId w:val="20"/>
        </w:numPr>
        <w:spacing w:after="0" w:line="360" w:lineRule="auto"/>
        <w:rPr>
          <w:rFonts w:ascii="Arial" w:hAnsi="Arial" w:cs="Arial"/>
          <w:sz w:val="22"/>
          <w:szCs w:val="22"/>
        </w:rPr>
      </w:pPr>
      <w:r w:rsidRPr="00A652DB">
        <w:rPr>
          <w:rFonts w:ascii="Arial" w:hAnsi="Arial" w:cs="Arial"/>
          <w:sz w:val="22"/>
          <w:szCs w:val="22"/>
        </w:rPr>
        <w:t>Some content uses professional terminology that may confuse non-specialist users.</w:t>
      </w:r>
    </w:p>
    <w:p w14:paraId="1063C454" w14:textId="77777777" w:rsidR="00A652DB" w:rsidRPr="00A652DB" w:rsidRDefault="00A652DB" w:rsidP="00905C09">
      <w:pPr>
        <w:numPr>
          <w:ilvl w:val="0"/>
          <w:numId w:val="20"/>
        </w:numPr>
        <w:spacing w:after="0" w:line="360" w:lineRule="auto"/>
        <w:rPr>
          <w:rFonts w:ascii="Arial" w:hAnsi="Arial" w:cs="Arial"/>
          <w:sz w:val="22"/>
          <w:szCs w:val="22"/>
        </w:rPr>
      </w:pPr>
      <w:r w:rsidRPr="00A652DB">
        <w:rPr>
          <w:rFonts w:ascii="Arial" w:hAnsi="Arial" w:cs="Arial"/>
          <w:sz w:val="22"/>
          <w:szCs w:val="22"/>
        </w:rPr>
        <w:t>Limited visual aids reduce accessibility for families unfamiliar with Early Help processes.</w:t>
      </w:r>
    </w:p>
    <w:p w14:paraId="5E6F88B4" w14:textId="77777777" w:rsidR="00A652DB" w:rsidRPr="00A652DB" w:rsidRDefault="00A652DB" w:rsidP="00905C09">
      <w:pPr>
        <w:numPr>
          <w:ilvl w:val="0"/>
          <w:numId w:val="20"/>
        </w:numPr>
        <w:spacing w:after="0" w:line="360" w:lineRule="auto"/>
        <w:rPr>
          <w:rFonts w:ascii="Arial" w:hAnsi="Arial" w:cs="Arial"/>
          <w:sz w:val="22"/>
          <w:szCs w:val="22"/>
        </w:rPr>
      </w:pPr>
      <w:r w:rsidRPr="00A652DB">
        <w:rPr>
          <w:rFonts w:ascii="Arial" w:hAnsi="Arial" w:cs="Arial"/>
          <w:sz w:val="22"/>
          <w:szCs w:val="22"/>
        </w:rPr>
        <w:t>Navigation between related services (health, education, social care) is sometimes unintuitive.</w:t>
      </w:r>
    </w:p>
    <w:p w14:paraId="77DC587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B3A25AB"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0C3EE8E"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7A3AAD5"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4.2 Norfolk County Council</w:t>
      </w:r>
    </w:p>
    <w:p w14:paraId="3CDD80C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8A20C24"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BB87D40"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Norfolk County Council presents Early Help services under “Children and Families” (Norfolk County Council, n.d.). It includes detailed descriptions of multi-agency roles, types of support, and referral guidance.</w:t>
      </w:r>
    </w:p>
    <w:p w14:paraId="0FA9AE42"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7B8EE1AE"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Strengths:</w:t>
      </w:r>
    </w:p>
    <w:p w14:paraId="3374C9E5"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2722F6F" w14:textId="77777777" w:rsidR="00A652DB" w:rsidRPr="00A652DB" w:rsidRDefault="00A652DB" w:rsidP="00905C09">
      <w:pPr>
        <w:numPr>
          <w:ilvl w:val="0"/>
          <w:numId w:val="21"/>
        </w:numPr>
        <w:spacing w:after="0" w:line="360" w:lineRule="auto"/>
        <w:rPr>
          <w:rFonts w:ascii="Arial" w:hAnsi="Arial" w:cs="Arial"/>
          <w:sz w:val="22"/>
          <w:szCs w:val="22"/>
        </w:rPr>
      </w:pPr>
      <w:r w:rsidRPr="00A652DB">
        <w:rPr>
          <w:rFonts w:ascii="Arial" w:hAnsi="Arial" w:cs="Arial"/>
          <w:sz w:val="22"/>
          <w:szCs w:val="22"/>
        </w:rPr>
        <w:t>Comprehensive coverage of Early Help services (Norfolk County Council, n.d.).</w:t>
      </w:r>
    </w:p>
    <w:p w14:paraId="1192759E" w14:textId="77777777" w:rsidR="00A652DB" w:rsidRPr="00A652DB" w:rsidRDefault="00A652DB" w:rsidP="00905C09">
      <w:pPr>
        <w:numPr>
          <w:ilvl w:val="0"/>
          <w:numId w:val="21"/>
        </w:numPr>
        <w:spacing w:after="0" w:line="360" w:lineRule="auto"/>
        <w:rPr>
          <w:rFonts w:ascii="Arial" w:hAnsi="Arial" w:cs="Arial"/>
          <w:sz w:val="22"/>
          <w:szCs w:val="22"/>
        </w:rPr>
      </w:pPr>
      <w:r w:rsidRPr="00A652DB">
        <w:rPr>
          <w:rFonts w:ascii="Arial" w:hAnsi="Arial" w:cs="Arial"/>
          <w:sz w:val="22"/>
          <w:szCs w:val="22"/>
        </w:rPr>
        <w:t>Multi-agency collaboration clearly explained.</w:t>
      </w:r>
    </w:p>
    <w:p w14:paraId="3AB6DC08" w14:textId="77777777" w:rsidR="00A652DB" w:rsidRPr="00A652DB" w:rsidRDefault="00A652DB" w:rsidP="00905C09">
      <w:pPr>
        <w:numPr>
          <w:ilvl w:val="0"/>
          <w:numId w:val="21"/>
        </w:numPr>
        <w:spacing w:after="0" w:line="360" w:lineRule="auto"/>
        <w:rPr>
          <w:rFonts w:ascii="Arial" w:hAnsi="Arial" w:cs="Arial"/>
          <w:sz w:val="22"/>
          <w:szCs w:val="22"/>
        </w:rPr>
      </w:pPr>
      <w:r w:rsidRPr="00A652DB">
        <w:rPr>
          <w:rFonts w:ascii="Arial" w:hAnsi="Arial" w:cs="Arial"/>
          <w:sz w:val="22"/>
          <w:szCs w:val="22"/>
        </w:rPr>
        <w:t>User-friendly layout and search functionality enhance navigation.</w:t>
      </w:r>
    </w:p>
    <w:p w14:paraId="1423EA2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40DA0247"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0696352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Weaknesses:</w:t>
      </w:r>
    </w:p>
    <w:p w14:paraId="4B8237C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DA32EAD" w14:textId="77777777" w:rsidR="00A652DB" w:rsidRPr="00A652DB" w:rsidRDefault="00A652DB" w:rsidP="00905C09">
      <w:pPr>
        <w:numPr>
          <w:ilvl w:val="0"/>
          <w:numId w:val="22"/>
        </w:numPr>
        <w:spacing w:after="0" w:line="360" w:lineRule="auto"/>
        <w:rPr>
          <w:rFonts w:ascii="Arial" w:hAnsi="Arial" w:cs="Arial"/>
          <w:sz w:val="22"/>
          <w:szCs w:val="22"/>
        </w:rPr>
      </w:pPr>
      <w:r w:rsidRPr="00A652DB">
        <w:rPr>
          <w:rFonts w:ascii="Arial" w:hAnsi="Arial" w:cs="Arial"/>
          <w:sz w:val="22"/>
          <w:szCs w:val="22"/>
        </w:rPr>
        <w:t>Text-heavy content may overwhelm families.</w:t>
      </w:r>
    </w:p>
    <w:p w14:paraId="58428B12" w14:textId="77777777" w:rsidR="00A652DB" w:rsidRPr="00A652DB" w:rsidRDefault="00A652DB" w:rsidP="00905C09">
      <w:pPr>
        <w:numPr>
          <w:ilvl w:val="0"/>
          <w:numId w:val="22"/>
        </w:numPr>
        <w:spacing w:after="0" w:line="360" w:lineRule="auto"/>
        <w:rPr>
          <w:rFonts w:ascii="Arial" w:hAnsi="Arial" w:cs="Arial"/>
          <w:sz w:val="22"/>
          <w:szCs w:val="22"/>
        </w:rPr>
      </w:pPr>
      <w:r w:rsidRPr="00A652DB">
        <w:rPr>
          <w:rFonts w:ascii="Arial" w:hAnsi="Arial" w:cs="Arial"/>
          <w:sz w:val="22"/>
          <w:szCs w:val="22"/>
        </w:rPr>
        <w:t>Limited multimedia content reduces engagement.</w:t>
      </w:r>
    </w:p>
    <w:p w14:paraId="0BDE24C8" w14:textId="77777777" w:rsidR="00A652DB" w:rsidRPr="00A652DB" w:rsidRDefault="00A652DB" w:rsidP="00905C09">
      <w:pPr>
        <w:numPr>
          <w:ilvl w:val="0"/>
          <w:numId w:val="22"/>
        </w:numPr>
        <w:spacing w:after="0" w:line="360" w:lineRule="auto"/>
        <w:rPr>
          <w:rFonts w:ascii="Arial" w:hAnsi="Arial" w:cs="Arial"/>
          <w:sz w:val="22"/>
          <w:szCs w:val="22"/>
        </w:rPr>
      </w:pPr>
      <w:r w:rsidRPr="00A652DB">
        <w:rPr>
          <w:rFonts w:ascii="Arial" w:hAnsi="Arial" w:cs="Arial"/>
          <w:sz w:val="22"/>
          <w:szCs w:val="22"/>
        </w:rPr>
        <w:t>External links may interrupt user experience.</w:t>
      </w:r>
    </w:p>
    <w:p w14:paraId="6435CE11"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7F2F51F7"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568713B"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2CCD20E"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4.3 Staffordshire County Council</w:t>
      </w:r>
    </w:p>
    <w:p w14:paraId="26A332F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DE6D2F8"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7B38587F"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Staffordshire County Council provides Early Help information under “Children and Families” (Staffordshire County Council, n.d.). Guidance includes types of support, partner agency links, and online referral forms.</w:t>
      </w:r>
    </w:p>
    <w:p w14:paraId="3BA7E94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3AC8330"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Strengths:</w:t>
      </w:r>
    </w:p>
    <w:p w14:paraId="7C3185B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2E420BE" w14:textId="77777777" w:rsidR="00A652DB" w:rsidRPr="00A652DB" w:rsidRDefault="00A652DB" w:rsidP="00905C09">
      <w:pPr>
        <w:numPr>
          <w:ilvl w:val="0"/>
          <w:numId w:val="23"/>
        </w:numPr>
        <w:spacing w:after="0" w:line="360" w:lineRule="auto"/>
        <w:rPr>
          <w:rFonts w:ascii="Arial" w:hAnsi="Arial" w:cs="Arial"/>
          <w:sz w:val="22"/>
          <w:szCs w:val="22"/>
        </w:rPr>
      </w:pPr>
      <w:r w:rsidRPr="00A652DB">
        <w:rPr>
          <w:rFonts w:ascii="Arial" w:hAnsi="Arial" w:cs="Arial"/>
          <w:sz w:val="22"/>
          <w:szCs w:val="22"/>
        </w:rPr>
        <w:t>Simple layout with contact information easy to locate (Staffordshire County Council, n.d.).</w:t>
      </w:r>
    </w:p>
    <w:p w14:paraId="54C8C95A" w14:textId="77777777" w:rsidR="00A652DB" w:rsidRPr="00A652DB" w:rsidRDefault="00A652DB" w:rsidP="00905C09">
      <w:pPr>
        <w:numPr>
          <w:ilvl w:val="0"/>
          <w:numId w:val="23"/>
        </w:numPr>
        <w:spacing w:after="0" w:line="360" w:lineRule="auto"/>
        <w:rPr>
          <w:rFonts w:ascii="Arial" w:hAnsi="Arial" w:cs="Arial"/>
          <w:sz w:val="22"/>
          <w:szCs w:val="22"/>
        </w:rPr>
      </w:pPr>
      <w:r w:rsidRPr="00A652DB">
        <w:rPr>
          <w:rFonts w:ascii="Arial" w:hAnsi="Arial" w:cs="Arial"/>
          <w:sz w:val="22"/>
          <w:szCs w:val="22"/>
        </w:rPr>
        <w:t>Encourages early engagement with services.</w:t>
      </w:r>
    </w:p>
    <w:p w14:paraId="35E1619B" w14:textId="77777777" w:rsidR="00A652DB" w:rsidRPr="00A652DB" w:rsidRDefault="00A652DB" w:rsidP="00905C09">
      <w:pPr>
        <w:numPr>
          <w:ilvl w:val="0"/>
          <w:numId w:val="23"/>
        </w:numPr>
        <w:spacing w:after="0" w:line="360" w:lineRule="auto"/>
        <w:rPr>
          <w:rFonts w:ascii="Arial" w:hAnsi="Arial" w:cs="Arial"/>
          <w:sz w:val="22"/>
          <w:szCs w:val="22"/>
        </w:rPr>
      </w:pPr>
      <w:r w:rsidRPr="00A652DB">
        <w:rPr>
          <w:rFonts w:ascii="Arial" w:hAnsi="Arial" w:cs="Arial"/>
          <w:sz w:val="22"/>
          <w:szCs w:val="22"/>
        </w:rPr>
        <w:t>Online referral forms increase accessibility.</w:t>
      </w:r>
    </w:p>
    <w:p w14:paraId="226A3DF8"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0D81195"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C276DB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Weaknesses:</w:t>
      </w:r>
    </w:p>
    <w:p w14:paraId="6FA84D6E"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6AF7A43" w14:textId="77777777" w:rsidR="00A652DB" w:rsidRPr="00A652DB" w:rsidRDefault="00A652DB" w:rsidP="00905C09">
      <w:pPr>
        <w:numPr>
          <w:ilvl w:val="0"/>
          <w:numId w:val="24"/>
        </w:numPr>
        <w:spacing w:after="0" w:line="360" w:lineRule="auto"/>
        <w:rPr>
          <w:rFonts w:ascii="Arial" w:hAnsi="Arial" w:cs="Arial"/>
          <w:sz w:val="22"/>
          <w:szCs w:val="22"/>
        </w:rPr>
      </w:pPr>
      <w:r w:rsidRPr="00A652DB">
        <w:rPr>
          <w:rFonts w:ascii="Arial" w:hAnsi="Arial" w:cs="Arial"/>
          <w:sz w:val="22"/>
          <w:szCs w:val="22"/>
        </w:rPr>
        <w:t>Multi-agency working is mentioned but not detailed.</w:t>
      </w:r>
    </w:p>
    <w:p w14:paraId="34F21536" w14:textId="77777777" w:rsidR="00A652DB" w:rsidRPr="00A652DB" w:rsidRDefault="00A652DB" w:rsidP="00905C09">
      <w:pPr>
        <w:numPr>
          <w:ilvl w:val="0"/>
          <w:numId w:val="24"/>
        </w:numPr>
        <w:spacing w:after="0" w:line="360" w:lineRule="auto"/>
        <w:rPr>
          <w:rFonts w:ascii="Arial" w:hAnsi="Arial" w:cs="Arial"/>
          <w:sz w:val="22"/>
          <w:szCs w:val="22"/>
        </w:rPr>
      </w:pPr>
      <w:r w:rsidRPr="00A652DB">
        <w:rPr>
          <w:rFonts w:ascii="Arial" w:hAnsi="Arial" w:cs="Arial"/>
          <w:sz w:val="22"/>
          <w:szCs w:val="22"/>
        </w:rPr>
        <w:t>Content is dispersed across multiple pages.</w:t>
      </w:r>
    </w:p>
    <w:p w14:paraId="46248D49" w14:textId="77777777" w:rsidR="00A652DB" w:rsidRPr="00905C09" w:rsidRDefault="00A652DB" w:rsidP="00905C09">
      <w:pPr>
        <w:numPr>
          <w:ilvl w:val="0"/>
          <w:numId w:val="24"/>
        </w:numPr>
        <w:spacing w:after="0" w:line="360" w:lineRule="auto"/>
        <w:rPr>
          <w:rFonts w:ascii="Arial" w:hAnsi="Arial" w:cs="Arial"/>
          <w:sz w:val="22"/>
          <w:szCs w:val="22"/>
        </w:rPr>
      </w:pPr>
      <w:r w:rsidRPr="00A652DB">
        <w:rPr>
          <w:rFonts w:ascii="Arial" w:hAnsi="Arial" w:cs="Arial"/>
          <w:sz w:val="22"/>
          <w:szCs w:val="22"/>
        </w:rPr>
        <w:t>Few visual aids to guide families through processes.</w:t>
      </w:r>
    </w:p>
    <w:p w14:paraId="2BFEC7D2" w14:textId="77777777" w:rsidR="00800C11" w:rsidRPr="00905C09" w:rsidRDefault="00800C11" w:rsidP="00905C09">
      <w:pPr>
        <w:pStyle w:val="ListParagraph"/>
        <w:numPr>
          <w:ilvl w:val="0"/>
          <w:numId w:val="24"/>
        </w:numPr>
        <w:spacing w:after="0" w:line="360" w:lineRule="auto"/>
        <w:rPr>
          <w:rFonts w:ascii="Arial" w:eastAsia="Times New Roman" w:hAnsi="Arial" w:cs="Arial"/>
          <w:color w:val="242424"/>
          <w:kern w:val="0"/>
          <w:sz w:val="22"/>
          <w:szCs w:val="22"/>
          <w:lang w:eastAsia="en-GB"/>
          <w14:ligatures w14:val="none"/>
        </w:rPr>
      </w:pPr>
      <w:r w:rsidRPr="00905C09">
        <w:rPr>
          <w:rFonts w:ascii="Arial" w:eastAsia="Times New Roman" w:hAnsi="Arial" w:cs="Arial"/>
          <w:color w:val="111111"/>
          <w:kern w:val="0"/>
          <w:sz w:val="22"/>
          <w:szCs w:val="22"/>
          <w:bdr w:val="none" w:sz="0" w:space="0" w:color="auto" w:frame="1"/>
          <w:lang w:eastAsia="en-GB"/>
          <w14:ligatures w14:val="none"/>
        </w:rPr>
        <w:t>n evaluating local authority websites, an important consideration is how effectively families are guided through referral pathways. Websites that use visual step-by-step guides, interactive forms, and clear signposting enable families to understand the process quickly, reducing confusion and encouraging engagement. Norfolk County Council demonstrates this through structured navigation menus and clear headings that differentiate services for children, young people, and parents (Norfolk County Council, n.d.). Conversely, websites with text-heavy layouts may inadvertently discourage engagement, particularly for families with limited literacy or English language skills. Incorporating accessible design principles, including icons, infographics, and multilingual content, significantly enhances usability and improves equitable access to Early Help.</w:t>
      </w:r>
    </w:p>
    <w:p w14:paraId="68448A65" w14:textId="77777777" w:rsidR="00800C11" w:rsidRPr="00905C09" w:rsidRDefault="00800C11" w:rsidP="00905C09">
      <w:pPr>
        <w:pStyle w:val="ListParagraph"/>
        <w:spacing w:after="0" w:line="360" w:lineRule="auto"/>
        <w:rPr>
          <w:rFonts w:ascii="Arial" w:eastAsia="Times New Roman" w:hAnsi="Arial" w:cs="Arial"/>
          <w:kern w:val="0"/>
          <w:sz w:val="22"/>
          <w:szCs w:val="22"/>
          <w:lang w:eastAsia="en-GB"/>
          <w14:ligatures w14:val="none"/>
        </w:rPr>
      </w:pPr>
    </w:p>
    <w:p w14:paraId="6CA80CE0" w14:textId="77777777" w:rsidR="00800C11" w:rsidRPr="00A652DB" w:rsidRDefault="00800C11" w:rsidP="00905C09">
      <w:pPr>
        <w:spacing w:after="0" w:line="360" w:lineRule="auto"/>
        <w:ind w:left="720"/>
        <w:rPr>
          <w:rFonts w:ascii="Arial" w:hAnsi="Arial" w:cs="Arial"/>
          <w:sz w:val="22"/>
          <w:szCs w:val="22"/>
        </w:rPr>
      </w:pPr>
    </w:p>
    <w:p w14:paraId="034D0D1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DFC6148"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62CE1E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2E2FDC2"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4C28317" w14:textId="77777777" w:rsidR="0004795D" w:rsidRPr="00905C09" w:rsidRDefault="0004795D" w:rsidP="00905C09">
      <w:pPr>
        <w:spacing w:after="0" w:line="360" w:lineRule="auto"/>
        <w:rPr>
          <w:rFonts w:ascii="Arial" w:hAnsi="Arial" w:cs="Arial"/>
          <w:sz w:val="22"/>
          <w:szCs w:val="22"/>
        </w:rPr>
      </w:pPr>
    </w:p>
    <w:p w14:paraId="0B98D64D" w14:textId="77777777" w:rsidR="0004795D" w:rsidRPr="00905C09" w:rsidRDefault="0004795D" w:rsidP="00905C09">
      <w:pPr>
        <w:spacing w:after="0" w:line="360" w:lineRule="auto"/>
        <w:rPr>
          <w:rFonts w:ascii="Arial" w:hAnsi="Arial" w:cs="Arial"/>
          <w:sz w:val="22"/>
          <w:szCs w:val="22"/>
        </w:rPr>
      </w:pPr>
    </w:p>
    <w:p w14:paraId="21069773" w14:textId="552BC7B2"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5. Comparative Analysis</w:t>
      </w:r>
    </w:p>
    <w:p w14:paraId="14ECDE90"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E22EE3C"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7D1A6F4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Norfolk County Council emerges as the most effective website. Leicestershire provides clear navigation but uses professional jargon, while Staffordshire is straightforward but lacks detailed multi-agency information. Norfolk balances comprehensive content, multi-agency explanation, and usability features, making it a model for communicating Early Help services (Norfolk County Council, n.d.; DHSC et al., 2023, para.32).</w:t>
      </w:r>
    </w:p>
    <w:p w14:paraId="7A2BDDD1"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7FE991D5"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All three websites provide contact information, downloadable resources, and referral pathways. Weaknesses include inconsistent visual aids, professional jargon, and scattered content. Norfolk effectively balances these elements and provides families with clear guidance on accessing support.</w:t>
      </w:r>
    </w:p>
    <w:p w14:paraId="3E8CA2C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44D4C4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14747BDE"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53C0A3FA"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05F8DBB"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b/>
          <w:bCs/>
          <w:sz w:val="22"/>
          <w:szCs w:val="22"/>
        </w:rPr>
        <w:t>6. Conclusion and Recommendations</w:t>
      </w:r>
    </w:p>
    <w:p w14:paraId="0CCD0598"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305C56B6"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1774A5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Norfolk County Council provides the most effective communication of Early Help services online (Norfolk County Council, n.d.). Its website integrates multi-agency information, practical guidance, and clear navigation.</w:t>
      </w:r>
    </w:p>
    <w:p w14:paraId="386B338F"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03A5D3E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Recommendations:</w:t>
      </w:r>
    </w:p>
    <w:p w14:paraId="0BBE6444"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22192C0B" w14:textId="77777777" w:rsidR="00A652DB" w:rsidRPr="00A652DB" w:rsidRDefault="00A652DB" w:rsidP="00905C09">
      <w:pPr>
        <w:numPr>
          <w:ilvl w:val="0"/>
          <w:numId w:val="25"/>
        </w:numPr>
        <w:spacing w:after="0" w:line="360" w:lineRule="auto"/>
        <w:rPr>
          <w:rFonts w:ascii="Arial" w:hAnsi="Arial" w:cs="Arial"/>
          <w:sz w:val="22"/>
          <w:szCs w:val="22"/>
        </w:rPr>
      </w:pPr>
      <w:r w:rsidRPr="00A652DB">
        <w:rPr>
          <w:rFonts w:ascii="Arial" w:hAnsi="Arial" w:cs="Arial"/>
          <w:sz w:val="22"/>
          <w:szCs w:val="22"/>
        </w:rPr>
        <w:t>Simplify language to improve accessibility (GOV.UK, n.d., pp.12–13).</w:t>
      </w:r>
    </w:p>
    <w:p w14:paraId="3ABB6356" w14:textId="77777777" w:rsidR="00A652DB" w:rsidRPr="00A652DB" w:rsidRDefault="00A652DB" w:rsidP="00905C09">
      <w:pPr>
        <w:numPr>
          <w:ilvl w:val="0"/>
          <w:numId w:val="25"/>
        </w:numPr>
        <w:spacing w:after="0" w:line="360" w:lineRule="auto"/>
        <w:rPr>
          <w:rFonts w:ascii="Arial" w:hAnsi="Arial" w:cs="Arial"/>
          <w:sz w:val="22"/>
          <w:szCs w:val="22"/>
        </w:rPr>
      </w:pPr>
      <w:r w:rsidRPr="00A652DB">
        <w:rPr>
          <w:rFonts w:ascii="Arial" w:hAnsi="Arial" w:cs="Arial"/>
          <w:sz w:val="22"/>
          <w:szCs w:val="22"/>
        </w:rPr>
        <w:t>Incorporate visual aids, infographics, and flowcharts (GOV.UK, n.d., pp.16–17).</w:t>
      </w:r>
    </w:p>
    <w:p w14:paraId="41DE9CB4" w14:textId="77777777" w:rsidR="00A652DB" w:rsidRPr="00A652DB" w:rsidRDefault="00A652DB" w:rsidP="00905C09">
      <w:pPr>
        <w:numPr>
          <w:ilvl w:val="0"/>
          <w:numId w:val="25"/>
        </w:numPr>
        <w:spacing w:after="0" w:line="360" w:lineRule="auto"/>
        <w:rPr>
          <w:rFonts w:ascii="Arial" w:hAnsi="Arial" w:cs="Arial"/>
          <w:sz w:val="22"/>
          <w:szCs w:val="22"/>
        </w:rPr>
      </w:pPr>
      <w:r w:rsidRPr="00A652DB">
        <w:rPr>
          <w:rFonts w:ascii="Arial" w:hAnsi="Arial" w:cs="Arial"/>
          <w:sz w:val="22"/>
          <w:szCs w:val="22"/>
        </w:rPr>
        <w:t>Provide multilingual resources to support diverse communities (DHSC et al., 2023, para.31).</w:t>
      </w:r>
    </w:p>
    <w:p w14:paraId="142E83A7" w14:textId="77777777" w:rsidR="00A652DB" w:rsidRPr="00A652DB" w:rsidRDefault="00A652DB" w:rsidP="00905C09">
      <w:pPr>
        <w:numPr>
          <w:ilvl w:val="0"/>
          <w:numId w:val="25"/>
        </w:numPr>
        <w:spacing w:after="0" w:line="360" w:lineRule="auto"/>
        <w:rPr>
          <w:rFonts w:ascii="Arial" w:hAnsi="Arial" w:cs="Arial"/>
          <w:sz w:val="22"/>
          <w:szCs w:val="22"/>
        </w:rPr>
      </w:pPr>
      <w:r w:rsidRPr="00A652DB">
        <w:rPr>
          <w:rFonts w:ascii="Arial" w:hAnsi="Arial" w:cs="Arial"/>
          <w:sz w:val="22"/>
          <w:szCs w:val="22"/>
        </w:rPr>
        <w:t>Improve website navigation and consolidate scattered content (Leicestershire County Council, n.d.; Staffordshire County Council, n.d.).</w:t>
      </w:r>
    </w:p>
    <w:p w14:paraId="577D6479" w14:textId="77777777" w:rsidR="00A652DB" w:rsidRPr="00A652DB" w:rsidRDefault="00A652DB" w:rsidP="00905C09">
      <w:pPr>
        <w:numPr>
          <w:ilvl w:val="0"/>
          <w:numId w:val="25"/>
        </w:numPr>
        <w:spacing w:after="0" w:line="360" w:lineRule="auto"/>
        <w:rPr>
          <w:rFonts w:ascii="Arial" w:hAnsi="Arial" w:cs="Arial"/>
          <w:sz w:val="22"/>
          <w:szCs w:val="22"/>
        </w:rPr>
      </w:pPr>
      <w:r w:rsidRPr="00A652DB">
        <w:rPr>
          <w:rFonts w:ascii="Arial" w:hAnsi="Arial" w:cs="Arial"/>
          <w:sz w:val="22"/>
          <w:szCs w:val="22"/>
        </w:rPr>
        <w:t>Introduce feedback mechanisms to evaluate usability and adjust content accordingly (DHSC et al., 2023, para.32).</w:t>
      </w:r>
    </w:p>
    <w:p w14:paraId="008468C0"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72B34BB7"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br/>
      </w:r>
    </w:p>
    <w:p w14:paraId="636C8DA3" w14:textId="77777777" w:rsidR="00A652DB" w:rsidRPr="00A652DB" w:rsidRDefault="00A652DB" w:rsidP="00905C09">
      <w:pPr>
        <w:spacing w:after="0" w:line="360" w:lineRule="auto"/>
        <w:rPr>
          <w:rFonts w:ascii="Arial" w:hAnsi="Arial" w:cs="Arial"/>
          <w:sz w:val="22"/>
          <w:szCs w:val="22"/>
        </w:rPr>
      </w:pPr>
      <w:r w:rsidRPr="00A652DB">
        <w:rPr>
          <w:rFonts w:ascii="Arial" w:hAnsi="Arial" w:cs="Arial"/>
          <w:sz w:val="22"/>
          <w:szCs w:val="22"/>
        </w:rPr>
        <w:t>Implementing these recommendations would enhance family engagement, improve access to Early Help services, and strengthen multi-agency safeguarding practices.</w:t>
      </w:r>
    </w:p>
    <w:p w14:paraId="568289A5" w14:textId="77777777" w:rsidR="00A652DB" w:rsidRPr="00A652DB" w:rsidRDefault="00A652DB" w:rsidP="00905C09">
      <w:pPr>
        <w:spacing w:after="0" w:line="360" w:lineRule="auto"/>
        <w:rPr>
          <w:rFonts w:ascii="Arial" w:hAnsi="Arial" w:cs="Arial"/>
          <w:sz w:val="22"/>
          <w:szCs w:val="22"/>
        </w:rPr>
      </w:pPr>
    </w:p>
    <w:p w14:paraId="68E75A34" w14:textId="77777777" w:rsidR="00A652DB" w:rsidRPr="00A652DB" w:rsidRDefault="00A652DB" w:rsidP="00905C09">
      <w:pPr>
        <w:spacing w:after="0" w:line="360" w:lineRule="auto"/>
        <w:rPr>
          <w:rFonts w:ascii="Arial" w:hAnsi="Arial" w:cs="Arial"/>
          <w:sz w:val="22"/>
          <w:szCs w:val="22"/>
        </w:rPr>
      </w:pPr>
    </w:p>
    <w:p w14:paraId="7F59887C" w14:textId="0E7C5FE0" w:rsidR="00A652DB" w:rsidRPr="00C07A9A" w:rsidRDefault="00A652DB" w:rsidP="00C47BE9">
      <w:pPr>
        <w:spacing w:after="0" w:line="360" w:lineRule="auto"/>
        <w:rPr>
          <w:rFonts w:ascii="Arial" w:hAnsi="Arial" w:cs="Arial"/>
          <w:sz w:val="22"/>
          <w:szCs w:val="22"/>
        </w:rPr>
      </w:pPr>
    </w:p>
    <w:p w14:paraId="5018741E" w14:textId="6C35DC73" w:rsidR="009F0EA2" w:rsidRPr="00C07A9A" w:rsidRDefault="009F0EA2" w:rsidP="00C47BE9">
      <w:pPr>
        <w:spacing w:after="0" w:line="360" w:lineRule="auto"/>
        <w:rPr>
          <w:rFonts w:ascii="Arial" w:hAnsi="Arial" w:cs="Arial"/>
          <w:sz w:val="22"/>
          <w:szCs w:val="22"/>
        </w:rPr>
      </w:pPr>
    </w:p>
    <w:p w14:paraId="699E1C34" w14:textId="77777777" w:rsidR="00A652DB" w:rsidRPr="00C07A9A" w:rsidRDefault="00093AD1" w:rsidP="00C47BE9">
      <w:pPr>
        <w:spacing w:after="0" w:line="360" w:lineRule="auto"/>
        <w:rPr>
          <w:rFonts w:ascii="Arial" w:hAnsi="Arial" w:cs="Arial"/>
          <w:sz w:val="22"/>
          <w:szCs w:val="22"/>
        </w:rPr>
      </w:pPr>
      <w:r w:rsidRPr="00C07A9A">
        <w:rPr>
          <w:rFonts w:ascii="Arial" w:hAnsi="Arial" w:cs="Arial"/>
          <w:sz w:val="22"/>
          <w:szCs w:val="22"/>
        </w:rPr>
        <w:t xml:space="preserve"> </w:t>
      </w:r>
    </w:p>
    <w:p w14:paraId="0E885F55" w14:textId="77777777" w:rsidR="00A652DB" w:rsidRPr="00C07A9A" w:rsidRDefault="00A652DB" w:rsidP="00C47BE9">
      <w:pPr>
        <w:spacing w:after="0" w:line="360" w:lineRule="auto"/>
        <w:rPr>
          <w:rFonts w:ascii="Arial" w:hAnsi="Arial" w:cs="Arial"/>
          <w:sz w:val="22"/>
          <w:szCs w:val="22"/>
        </w:rPr>
      </w:pPr>
    </w:p>
    <w:p w14:paraId="32D4743B" w14:textId="77777777" w:rsidR="00A652DB" w:rsidRPr="00C07A9A" w:rsidRDefault="00A652DB" w:rsidP="00C47BE9">
      <w:pPr>
        <w:spacing w:after="0" w:line="360" w:lineRule="auto"/>
        <w:rPr>
          <w:rFonts w:ascii="Arial" w:hAnsi="Arial" w:cs="Arial"/>
          <w:sz w:val="22"/>
          <w:szCs w:val="22"/>
        </w:rPr>
      </w:pPr>
    </w:p>
    <w:p w14:paraId="774D4023" w14:textId="77777777" w:rsidR="00A652DB" w:rsidRPr="00C07A9A" w:rsidRDefault="00A652DB" w:rsidP="00C47BE9">
      <w:pPr>
        <w:spacing w:after="0" w:line="360" w:lineRule="auto"/>
        <w:rPr>
          <w:rFonts w:ascii="Arial" w:hAnsi="Arial" w:cs="Arial"/>
          <w:sz w:val="22"/>
          <w:szCs w:val="22"/>
        </w:rPr>
      </w:pPr>
    </w:p>
    <w:p w14:paraId="15F23CE7" w14:textId="77777777" w:rsidR="00A652DB" w:rsidRPr="00C07A9A" w:rsidRDefault="00A652DB" w:rsidP="00C47BE9">
      <w:pPr>
        <w:spacing w:after="0" w:line="360" w:lineRule="auto"/>
        <w:rPr>
          <w:rFonts w:ascii="Arial" w:hAnsi="Arial" w:cs="Arial"/>
          <w:sz w:val="22"/>
          <w:szCs w:val="22"/>
        </w:rPr>
      </w:pPr>
    </w:p>
    <w:p w14:paraId="57F1D04D" w14:textId="77777777" w:rsidR="00A652DB" w:rsidRPr="00C07A9A" w:rsidRDefault="00A652DB" w:rsidP="00C47BE9">
      <w:pPr>
        <w:spacing w:after="0" w:line="360" w:lineRule="auto"/>
        <w:rPr>
          <w:rFonts w:ascii="Arial" w:hAnsi="Arial" w:cs="Arial"/>
          <w:sz w:val="22"/>
          <w:szCs w:val="22"/>
        </w:rPr>
      </w:pPr>
    </w:p>
    <w:p w14:paraId="55F25B0D" w14:textId="77777777" w:rsidR="00A652DB" w:rsidRPr="00C07A9A" w:rsidRDefault="00A652DB" w:rsidP="00C47BE9">
      <w:pPr>
        <w:spacing w:after="0" w:line="360" w:lineRule="auto"/>
        <w:rPr>
          <w:rFonts w:ascii="Arial" w:hAnsi="Arial" w:cs="Arial"/>
          <w:sz w:val="22"/>
          <w:szCs w:val="22"/>
        </w:rPr>
      </w:pPr>
    </w:p>
    <w:p w14:paraId="71599CED" w14:textId="77777777" w:rsidR="00A652DB" w:rsidRPr="00C07A9A" w:rsidRDefault="00A652DB" w:rsidP="00C47BE9">
      <w:pPr>
        <w:spacing w:after="0" w:line="360" w:lineRule="auto"/>
        <w:rPr>
          <w:rFonts w:ascii="Arial" w:hAnsi="Arial" w:cs="Arial"/>
          <w:sz w:val="22"/>
          <w:szCs w:val="22"/>
        </w:rPr>
      </w:pPr>
    </w:p>
    <w:p w14:paraId="3AE34B34" w14:textId="77777777" w:rsidR="00A652DB" w:rsidRPr="00C07A9A" w:rsidRDefault="00A652DB" w:rsidP="00C47BE9">
      <w:pPr>
        <w:spacing w:after="0" w:line="360" w:lineRule="auto"/>
        <w:rPr>
          <w:rFonts w:ascii="Arial" w:hAnsi="Arial" w:cs="Arial"/>
          <w:sz w:val="22"/>
          <w:szCs w:val="22"/>
        </w:rPr>
      </w:pPr>
    </w:p>
    <w:p w14:paraId="0056FFCF" w14:textId="77777777" w:rsidR="00A652DB" w:rsidRPr="00C07A9A" w:rsidRDefault="00A652DB" w:rsidP="00C47BE9">
      <w:pPr>
        <w:spacing w:after="0" w:line="360" w:lineRule="auto"/>
        <w:rPr>
          <w:rFonts w:ascii="Arial" w:hAnsi="Arial" w:cs="Arial"/>
          <w:sz w:val="22"/>
          <w:szCs w:val="22"/>
        </w:rPr>
      </w:pPr>
    </w:p>
    <w:p w14:paraId="387F1B49" w14:textId="77777777" w:rsidR="00A652DB" w:rsidRPr="00C07A9A" w:rsidRDefault="00A652DB" w:rsidP="00C47BE9">
      <w:pPr>
        <w:spacing w:after="0" w:line="360" w:lineRule="auto"/>
        <w:rPr>
          <w:rFonts w:ascii="Arial" w:hAnsi="Arial" w:cs="Arial"/>
          <w:sz w:val="22"/>
          <w:szCs w:val="22"/>
        </w:rPr>
      </w:pPr>
    </w:p>
    <w:p w14:paraId="53B541BD" w14:textId="77777777" w:rsidR="00A652DB" w:rsidRPr="00C07A9A" w:rsidRDefault="00A652DB" w:rsidP="00C47BE9">
      <w:pPr>
        <w:spacing w:after="0" w:line="360" w:lineRule="auto"/>
        <w:rPr>
          <w:rFonts w:ascii="Arial" w:hAnsi="Arial" w:cs="Arial"/>
          <w:sz w:val="22"/>
          <w:szCs w:val="22"/>
        </w:rPr>
      </w:pPr>
    </w:p>
    <w:p w14:paraId="1F4BC0C7" w14:textId="77777777" w:rsidR="00A652DB" w:rsidRPr="00C07A9A" w:rsidRDefault="00A652DB" w:rsidP="00C47BE9">
      <w:pPr>
        <w:spacing w:after="0" w:line="360" w:lineRule="auto"/>
        <w:rPr>
          <w:rFonts w:ascii="Arial" w:hAnsi="Arial" w:cs="Arial"/>
          <w:sz w:val="22"/>
          <w:szCs w:val="22"/>
        </w:rPr>
      </w:pPr>
    </w:p>
    <w:p w14:paraId="0A82D1FF" w14:textId="77777777" w:rsidR="00A652DB" w:rsidRPr="0004795D" w:rsidRDefault="00A652DB" w:rsidP="0004795D">
      <w:pPr>
        <w:spacing w:line="360" w:lineRule="auto"/>
        <w:rPr>
          <w:rFonts w:ascii="Arial" w:hAnsi="Arial" w:cs="Arial"/>
          <w:sz w:val="22"/>
          <w:szCs w:val="22"/>
        </w:rPr>
      </w:pPr>
    </w:p>
    <w:p w14:paraId="52406353" w14:textId="77777777" w:rsidR="00A652DB" w:rsidRPr="0004795D" w:rsidRDefault="00A652DB" w:rsidP="0004795D">
      <w:pPr>
        <w:spacing w:line="360" w:lineRule="auto"/>
        <w:rPr>
          <w:rFonts w:ascii="Arial" w:hAnsi="Arial" w:cs="Arial"/>
          <w:sz w:val="22"/>
          <w:szCs w:val="22"/>
        </w:rPr>
      </w:pPr>
    </w:p>
    <w:p w14:paraId="2DF72C4B" w14:textId="77777777" w:rsidR="00A652DB" w:rsidRPr="0004795D" w:rsidRDefault="00A652DB" w:rsidP="0004795D">
      <w:pPr>
        <w:spacing w:line="360" w:lineRule="auto"/>
        <w:rPr>
          <w:rFonts w:ascii="Arial" w:hAnsi="Arial" w:cs="Arial"/>
          <w:sz w:val="22"/>
          <w:szCs w:val="22"/>
        </w:rPr>
      </w:pPr>
    </w:p>
    <w:p w14:paraId="6A60E056" w14:textId="77777777" w:rsidR="00A652DB" w:rsidRPr="0004795D" w:rsidRDefault="00A652DB" w:rsidP="0004795D">
      <w:pPr>
        <w:spacing w:line="360" w:lineRule="auto"/>
        <w:rPr>
          <w:rFonts w:ascii="Arial" w:hAnsi="Arial" w:cs="Arial"/>
          <w:sz w:val="22"/>
          <w:szCs w:val="22"/>
        </w:rPr>
      </w:pPr>
    </w:p>
    <w:p w14:paraId="7684BFA3" w14:textId="77777777" w:rsidR="00A652DB" w:rsidRPr="0004795D" w:rsidRDefault="00A652DB" w:rsidP="0004795D">
      <w:pPr>
        <w:spacing w:line="360" w:lineRule="auto"/>
        <w:rPr>
          <w:rFonts w:ascii="Arial" w:hAnsi="Arial" w:cs="Arial"/>
          <w:sz w:val="22"/>
          <w:szCs w:val="22"/>
        </w:rPr>
      </w:pPr>
    </w:p>
    <w:p w14:paraId="11F8DA79" w14:textId="77777777" w:rsidR="00A652DB" w:rsidRPr="0004795D" w:rsidRDefault="00A652DB" w:rsidP="0004795D">
      <w:pPr>
        <w:spacing w:line="360" w:lineRule="auto"/>
        <w:rPr>
          <w:rFonts w:ascii="Arial" w:hAnsi="Arial" w:cs="Arial"/>
          <w:sz w:val="22"/>
          <w:szCs w:val="22"/>
        </w:rPr>
      </w:pPr>
    </w:p>
    <w:p w14:paraId="03C86490" w14:textId="77777777" w:rsidR="00A652DB" w:rsidRPr="0004795D" w:rsidRDefault="00A652DB" w:rsidP="0004795D">
      <w:pPr>
        <w:spacing w:line="360" w:lineRule="auto"/>
        <w:rPr>
          <w:rFonts w:ascii="Arial" w:hAnsi="Arial" w:cs="Arial"/>
          <w:sz w:val="22"/>
          <w:szCs w:val="22"/>
        </w:rPr>
      </w:pPr>
    </w:p>
    <w:p w14:paraId="6DB49118" w14:textId="7A08E8B6" w:rsidR="00093AD1" w:rsidRPr="0004795D" w:rsidRDefault="0004795D" w:rsidP="0004795D">
      <w:pPr>
        <w:spacing w:line="360" w:lineRule="auto"/>
        <w:rPr>
          <w:rFonts w:ascii="Arial" w:hAnsi="Arial" w:cs="Arial"/>
          <w:b/>
          <w:bCs/>
          <w:sz w:val="22"/>
          <w:szCs w:val="22"/>
        </w:rPr>
      </w:pPr>
      <w:r>
        <w:rPr>
          <w:rFonts w:ascii="Arial" w:hAnsi="Arial" w:cs="Arial"/>
          <w:sz w:val="22"/>
          <w:szCs w:val="22"/>
        </w:rPr>
        <w:t xml:space="preserve">                                                      </w:t>
      </w:r>
      <w:r w:rsidR="00093AD1" w:rsidRPr="0004795D">
        <w:rPr>
          <w:rFonts w:ascii="Arial" w:hAnsi="Arial" w:cs="Arial"/>
          <w:sz w:val="22"/>
          <w:szCs w:val="22"/>
        </w:rPr>
        <w:t xml:space="preserve"> </w:t>
      </w:r>
      <w:r w:rsidR="00093AD1" w:rsidRPr="0004795D">
        <w:rPr>
          <w:rFonts w:ascii="Arial" w:hAnsi="Arial" w:cs="Arial"/>
          <w:b/>
          <w:bCs/>
          <w:sz w:val="22"/>
          <w:szCs w:val="22"/>
        </w:rPr>
        <w:t>References</w:t>
      </w:r>
    </w:p>
    <w:p w14:paraId="3D3EF26E" w14:textId="77777777" w:rsidR="00093AD1" w:rsidRPr="0004795D" w:rsidRDefault="00093AD1" w:rsidP="0004795D">
      <w:pPr>
        <w:spacing w:line="360" w:lineRule="auto"/>
        <w:rPr>
          <w:rFonts w:ascii="Arial" w:hAnsi="Arial" w:cs="Arial"/>
          <w:b/>
          <w:bCs/>
          <w:sz w:val="22"/>
          <w:szCs w:val="22"/>
        </w:rPr>
      </w:pPr>
    </w:p>
    <w:p w14:paraId="79153977" w14:textId="07254F08" w:rsidR="00093AD1" w:rsidRPr="00093AD1" w:rsidRDefault="00093AD1" w:rsidP="0004795D">
      <w:pPr>
        <w:spacing w:line="360" w:lineRule="auto"/>
        <w:rPr>
          <w:rFonts w:ascii="Arial" w:hAnsi="Arial" w:cs="Arial"/>
          <w:sz w:val="22"/>
          <w:szCs w:val="22"/>
        </w:rPr>
      </w:pPr>
      <w:r w:rsidRPr="00093AD1">
        <w:rPr>
          <w:rFonts w:ascii="Arial" w:hAnsi="Arial" w:cs="Arial"/>
          <w:sz w:val="22"/>
          <w:szCs w:val="22"/>
        </w:rPr>
        <w:t xml:space="preserve">Department for Health and Social Care (DHSC), Home Office, Department for Education. (2023) </w:t>
      </w:r>
      <w:r w:rsidRPr="00093AD1">
        <w:rPr>
          <w:rFonts w:ascii="Arial" w:hAnsi="Arial" w:cs="Arial"/>
          <w:i/>
          <w:iCs/>
          <w:sz w:val="22"/>
          <w:szCs w:val="22"/>
        </w:rPr>
        <w:t>Working Together to Safeguard Children 2023: statutory guidance</w:t>
      </w:r>
      <w:r w:rsidRPr="00093AD1">
        <w:rPr>
          <w:rFonts w:ascii="Arial" w:hAnsi="Arial" w:cs="Arial"/>
          <w:sz w:val="22"/>
          <w:szCs w:val="22"/>
        </w:rPr>
        <w:t>. London: GOV.UK. Available</w:t>
      </w:r>
      <w:r w:rsidR="00CE36B7">
        <w:rPr>
          <w:rFonts w:ascii="Arial" w:hAnsi="Arial" w:cs="Arial"/>
          <w:sz w:val="22"/>
          <w:szCs w:val="22"/>
        </w:rPr>
        <w:t xml:space="preserve"> </w:t>
      </w:r>
      <w:r w:rsidRPr="00093AD1">
        <w:rPr>
          <w:rFonts w:ascii="Arial" w:hAnsi="Arial" w:cs="Arial"/>
          <w:sz w:val="22"/>
          <w:szCs w:val="22"/>
        </w:rPr>
        <w:t>at:https://assets.publishing.service.gov.uk/media/65803fe31c0c2a000d18cf40/Working_together_to_safeguard_children_2023_-_statutory_guidance.pdf (Accessed: 18 November 2025).</w:t>
      </w:r>
    </w:p>
    <w:p w14:paraId="4B042936" w14:textId="7EDC4881" w:rsidR="00093AD1" w:rsidRPr="00093AD1" w:rsidRDefault="00093AD1" w:rsidP="0004795D">
      <w:pPr>
        <w:spacing w:line="360" w:lineRule="auto"/>
        <w:rPr>
          <w:rFonts w:ascii="Arial" w:hAnsi="Arial" w:cs="Arial"/>
          <w:sz w:val="22"/>
          <w:szCs w:val="22"/>
        </w:rPr>
      </w:pPr>
      <w:r w:rsidRPr="00093AD1">
        <w:rPr>
          <w:rFonts w:ascii="Arial" w:hAnsi="Arial" w:cs="Arial"/>
          <w:sz w:val="22"/>
          <w:szCs w:val="22"/>
        </w:rPr>
        <w:br/>
        <w:t xml:space="preserve">GOV.UK. (n.d.) </w:t>
      </w:r>
      <w:r w:rsidRPr="00093AD1">
        <w:rPr>
          <w:rFonts w:ascii="Arial" w:hAnsi="Arial" w:cs="Arial"/>
          <w:i/>
          <w:iCs/>
          <w:sz w:val="22"/>
          <w:szCs w:val="22"/>
        </w:rPr>
        <w:t>Early Help System Guide</w:t>
      </w:r>
      <w:r w:rsidRPr="00093AD1">
        <w:rPr>
          <w:rFonts w:ascii="Arial" w:hAnsi="Arial" w:cs="Arial"/>
          <w:sz w:val="22"/>
          <w:szCs w:val="22"/>
        </w:rPr>
        <w:t>. London: GOV.UK. Available at: https://assets.publishing.service.gov.uk/media/628de13be90e071f5f7e1bd2/Early_Help_System_Guide.pdf (Accessed: 18 November 2025).</w:t>
      </w:r>
    </w:p>
    <w:p w14:paraId="1D6DB3A7" w14:textId="5E4F9FFD" w:rsidR="00093AD1" w:rsidRDefault="00093AD1" w:rsidP="0004795D">
      <w:pPr>
        <w:spacing w:line="360" w:lineRule="auto"/>
        <w:rPr>
          <w:rFonts w:ascii="Arial" w:hAnsi="Arial" w:cs="Arial"/>
          <w:sz w:val="22"/>
          <w:szCs w:val="22"/>
        </w:rPr>
      </w:pPr>
      <w:r w:rsidRPr="00093AD1">
        <w:rPr>
          <w:rFonts w:ascii="Arial" w:hAnsi="Arial" w:cs="Arial"/>
          <w:sz w:val="22"/>
          <w:szCs w:val="22"/>
        </w:rPr>
        <w:br/>
        <w:t xml:space="preserve">Leicestershire County Council. (n.d.) </w:t>
      </w:r>
      <w:r w:rsidRPr="00093AD1">
        <w:rPr>
          <w:rFonts w:ascii="Arial" w:hAnsi="Arial" w:cs="Arial"/>
          <w:i/>
          <w:iCs/>
          <w:sz w:val="22"/>
          <w:szCs w:val="22"/>
        </w:rPr>
        <w:t>Early Help</w:t>
      </w:r>
      <w:r w:rsidRPr="00093AD1">
        <w:rPr>
          <w:rFonts w:ascii="Arial" w:hAnsi="Arial" w:cs="Arial"/>
          <w:sz w:val="22"/>
          <w:szCs w:val="22"/>
        </w:rPr>
        <w:t xml:space="preserve"> for </w:t>
      </w:r>
      <w:r w:rsidRPr="00093AD1">
        <w:rPr>
          <w:rFonts w:ascii="Arial" w:hAnsi="Arial" w:cs="Arial"/>
          <w:i/>
          <w:iCs/>
          <w:sz w:val="22"/>
          <w:szCs w:val="22"/>
        </w:rPr>
        <w:t>Children and Families</w:t>
      </w:r>
      <w:r w:rsidRPr="00093AD1">
        <w:rPr>
          <w:rFonts w:ascii="Arial" w:hAnsi="Arial" w:cs="Arial"/>
          <w:sz w:val="22"/>
          <w:szCs w:val="22"/>
        </w:rPr>
        <w:t xml:space="preserve">. Available at: </w:t>
      </w:r>
      <w:proofErr w:type="gramStart"/>
      <w:r w:rsidR="00A71C60" w:rsidRPr="00093AD1">
        <w:rPr>
          <w:rFonts w:ascii="Arial" w:hAnsi="Arial" w:cs="Arial"/>
          <w:sz w:val="22"/>
          <w:szCs w:val="22"/>
        </w:rPr>
        <w:t>https:www.leicestershire.gov.uk</w:t>
      </w:r>
      <w:proofErr w:type="gramEnd"/>
      <w:r w:rsidRPr="00093AD1">
        <w:rPr>
          <w:rFonts w:ascii="Arial" w:hAnsi="Arial" w:cs="Arial"/>
          <w:sz w:val="22"/>
          <w:szCs w:val="22"/>
        </w:rPr>
        <w:t xml:space="preserve"> (Accessed:</w:t>
      </w:r>
      <w:r w:rsidR="00215FC0">
        <w:rPr>
          <w:rFonts w:ascii="Arial" w:hAnsi="Arial" w:cs="Arial"/>
          <w:sz w:val="22"/>
          <w:szCs w:val="22"/>
        </w:rPr>
        <w:t xml:space="preserve"> </w:t>
      </w:r>
      <w:r w:rsidRPr="00093AD1">
        <w:rPr>
          <w:rFonts w:ascii="Arial" w:hAnsi="Arial" w:cs="Arial"/>
          <w:sz w:val="22"/>
          <w:szCs w:val="22"/>
        </w:rPr>
        <w:t>1</w:t>
      </w:r>
      <w:r w:rsidRPr="0004795D">
        <w:rPr>
          <w:rFonts w:ascii="Arial" w:hAnsi="Arial" w:cs="Arial"/>
          <w:sz w:val="22"/>
          <w:szCs w:val="22"/>
        </w:rPr>
        <w:t>5</w:t>
      </w:r>
      <w:r w:rsidRPr="00093AD1">
        <w:rPr>
          <w:rFonts w:ascii="Arial" w:hAnsi="Arial" w:cs="Arial"/>
          <w:sz w:val="22"/>
          <w:szCs w:val="22"/>
        </w:rPr>
        <w:t xml:space="preserve"> November 2025).</w:t>
      </w:r>
    </w:p>
    <w:p w14:paraId="7CEEB459" w14:textId="77777777" w:rsidR="005C4338" w:rsidRDefault="005C4338" w:rsidP="0004795D">
      <w:pPr>
        <w:spacing w:line="360" w:lineRule="auto"/>
        <w:rPr>
          <w:rFonts w:ascii="Arial" w:hAnsi="Arial" w:cs="Arial"/>
          <w:sz w:val="22"/>
          <w:szCs w:val="22"/>
        </w:rPr>
      </w:pPr>
    </w:p>
    <w:p w14:paraId="01490E52" w14:textId="77777777" w:rsidR="00A71C60" w:rsidRPr="0004795D" w:rsidRDefault="00A71C60" w:rsidP="0004795D">
      <w:pPr>
        <w:spacing w:line="360" w:lineRule="auto"/>
        <w:rPr>
          <w:rFonts w:ascii="Arial" w:hAnsi="Arial" w:cs="Arial"/>
          <w:sz w:val="22"/>
          <w:szCs w:val="22"/>
        </w:rPr>
      </w:pPr>
    </w:p>
    <w:p w14:paraId="37FEAADB" w14:textId="25D3213E" w:rsidR="00093AD1" w:rsidRDefault="00093AD1" w:rsidP="0004795D">
      <w:pPr>
        <w:spacing w:line="360" w:lineRule="auto"/>
        <w:rPr>
          <w:rFonts w:ascii="Arial" w:hAnsi="Arial" w:cs="Arial"/>
          <w:sz w:val="22"/>
          <w:szCs w:val="22"/>
        </w:rPr>
      </w:pPr>
      <w:r w:rsidRPr="00093AD1">
        <w:rPr>
          <w:rFonts w:ascii="Arial" w:hAnsi="Arial" w:cs="Arial"/>
          <w:sz w:val="22"/>
          <w:szCs w:val="22"/>
        </w:rPr>
        <w:t xml:space="preserve">Norfolk County Council. (n.d.) </w:t>
      </w:r>
      <w:r w:rsidRPr="00093AD1">
        <w:rPr>
          <w:rFonts w:ascii="Arial" w:hAnsi="Arial" w:cs="Arial"/>
          <w:i/>
          <w:iCs/>
          <w:sz w:val="22"/>
          <w:szCs w:val="22"/>
        </w:rPr>
        <w:t>Early Help Services</w:t>
      </w:r>
      <w:r w:rsidRPr="00093AD1">
        <w:rPr>
          <w:rFonts w:ascii="Arial" w:hAnsi="Arial" w:cs="Arial"/>
          <w:sz w:val="22"/>
          <w:szCs w:val="22"/>
        </w:rPr>
        <w:t xml:space="preserve">. Available at: </w:t>
      </w:r>
      <w:proofErr w:type="gramStart"/>
      <w:r w:rsidRPr="00093AD1">
        <w:rPr>
          <w:rFonts w:ascii="Arial" w:hAnsi="Arial" w:cs="Arial"/>
          <w:sz w:val="22"/>
          <w:szCs w:val="22"/>
        </w:rPr>
        <w:t>https:www.norfolk.gov.uk</w:t>
      </w:r>
      <w:proofErr w:type="gramEnd"/>
      <w:r w:rsidRPr="00093AD1">
        <w:rPr>
          <w:rFonts w:ascii="Arial" w:hAnsi="Arial" w:cs="Arial"/>
          <w:sz w:val="22"/>
          <w:szCs w:val="22"/>
        </w:rPr>
        <w:t xml:space="preserve"> (Accessed: 18</w:t>
      </w:r>
      <w:r w:rsidRPr="0004795D">
        <w:rPr>
          <w:rFonts w:ascii="Arial" w:hAnsi="Arial" w:cs="Arial"/>
          <w:sz w:val="22"/>
          <w:szCs w:val="22"/>
        </w:rPr>
        <w:t xml:space="preserve"> </w:t>
      </w:r>
      <w:r w:rsidRPr="00093AD1">
        <w:rPr>
          <w:rFonts w:ascii="Arial" w:hAnsi="Arial" w:cs="Arial"/>
          <w:sz w:val="22"/>
          <w:szCs w:val="22"/>
        </w:rPr>
        <w:t>November 2025).</w:t>
      </w:r>
    </w:p>
    <w:p w14:paraId="6C8E7F3B" w14:textId="77777777" w:rsidR="007831A0" w:rsidRDefault="007831A0" w:rsidP="0004795D">
      <w:pPr>
        <w:spacing w:line="360" w:lineRule="auto"/>
        <w:rPr>
          <w:rFonts w:ascii="Arial" w:hAnsi="Arial" w:cs="Arial"/>
          <w:sz w:val="22"/>
          <w:szCs w:val="22"/>
        </w:rPr>
      </w:pPr>
    </w:p>
    <w:p w14:paraId="3758CDC9" w14:textId="77777777" w:rsidR="00A71C60" w:rsidRPr="0004795D" w:rsidRDefault="00A71C60" w:rsidP="0004795D">
      <w:pPr>
        <w:spacing w:line="360" w:lineRule="auto"/>
        <w:rPr>
          <w:rFonts w:ascii="Arial" w:hAnsi="Arial" w:cs="Arial"/>
          <w:sz w:val="22"/>
          <w:szCs w:val="22"/>
        </w:rPr>
      </w:pPr>
    </w:p>
    <w:p w14:paraId="0E96E141" w14:textId="2936EB8F" w:rsidR="00093AD1" w:rsidRPr="0004795D" w:rsidRDefault="00093AD1" w:rsidP="0004795D">
      <w:pPr>
        <w:spacing w:line="360" w:lineRule="auto"/>
        <w:rPr>
          <w:rFonts w:ascii="Arial" w:hAnsi="Arial" w:cs="Arial"/>
          <w:sz w:val="22"/>
          <w:szCs w:val="22"/>
        </w:rPr>
      </w:pPr>
      <w:r w:rsidRPr="00093AD1">
        <w:rPr>
          <w:rFonts w:ascii="Arial" w:hAnsi="Arial" w:cs="Arial"/>
          <w:sz w:val="22"/>
          <w:szCs w:val="22"/>
        </w:rPr>
        <w:t xml:space="preserve">Staffordshire County Council. (n.d.) </w:t>
      </w:r>
      <w:r w:rsidRPr="00093AD1">
        <w:rPr>
          <w:rFonts w:ascii="Arial" w:hAnsi="Arial" w:cs="Arial"/>
          <w:i/>
          <w:iCs/>
          <w:sz w:val="22"/>
          <w:szCs w:val="22"/>
        </w:rPr>
        <w:t>Early Help and Family Support</w:t>
      </w:r>
      <w:r w:rsidRPr="00093AD1">
        <w:rPr>
          <w:rFonts w:ascii="Arial" w:hAnsi="Arial" w:cs="Arial"/>
          <w:sz w:val="22"/>
          <w:szCs w:val="22"/>
        </w:rPr>
        <w:t>. Available at: https:www.staffordshire.gov.uk/Homepage.aspx (Accessed: 1</w:t>
      </w:r>
      <w:r w:rsidRPr="0004795D">
        <w:rPr>
          <w:rFonts w:ascii="Arial" w:hAnsi="Arial" w:cs="Arial"/>
          <w:sz w:val="22"/>
          <w:szCs w:val="22"/>
        </w:rPr>
        <w:t>6</w:t>
      </w:r>
      <w:r w:rsidRPr="00093AD1">
        <w:rPr>
          <w:rFonts w:ascii="Arial" w:hAnsi="Arial" w:cs="Arial"/>
          <w:sz w:val="22"/>
          <w:szCs w:val="22"/>
        </w:rPr>
        <w:t xml:space="preserve"> November 2025).</w:t>
      </w:r>
    </w:p>
    <w:p w14:paraId="2FFB3C8B" w14:textId="77777777" w:rsidR="00093AD1" w:rsidRPr="00093AD1" w:rsidRDefault="00093AD1" w:rsidP="0004795D">
      <w:pPr>
        <w:spacing w:line="360" w:lineRule="auto"/>
        <w:rPr>
          <w:rFonts w:ascii="Arial" w:hAnsi="Arial" w:cs="Arial"/>
          <w:sz w:val="22"/>
          <w:szCs w:val="22"/>
        </w:rPr>
      </w:pPr>
    </w:p>
    <w:p w14:paraId="7093CBC2" w14:textId="77777777" w:rsidR="00777E63" w:rsidRPr="0004795D" w:rsidRDefault="00777E63" w:rsidP="0004795D">
      <w:pPr>
        <w:spacing w:line="360" w:lineRule="auto"/>
        <w:rPr>
          <w:rFonts w:ascii="Arial" w:hAnsi="Arial" w:cs="Arial"/>
          <w:sz w:val="22"/>
          <w:szCs w:val="22"/>
        </w:rPr>
      </w:pPr>
    </w:p>
    <w:sectPr w:rsidR="00777E63" w:rsidRPr="0004795D">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B2056" w14:textId="77777777" w:rsidR="008D353B" w:rsidRDefault="008D353B" w:rsidP="00777E63">
      <w:pPr>
        <w:spacing w:after="0" w:line="240" w:lineRule="auto"/>
      </w:pPr>
      <w:r>
        <w:separator/>
      </w:r>
    </w:p>
  </w:endnote>
  <w:endnote w:type="continuationSeparator" w:id="0">
    <w:p w14:paraId="33961DA4" w14:textId="77777777" w:rsidR="008D353B" w:rsidRDefault="008D353B" w:rsidP="00777E63">
      <w:pPr>
        <w:spacing w:after="0" w:line="240" w:lineRule="auto"/>
      </w:pPr>
      <w:r>
        <w:continuationSeparator/>
      </w:r>
    </w:p>
  </w:endnote>
  <w:endnote w:type="continuationNotice" w:id="1">
    <w:p w14:paraId="7E4E6B59" w14:textId="77777777" w:rsidR="008D353B" w:rsidRDefault="008D35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334080"/>
      <w:docPartObj>
        <w:docPartGallery w:val="Page Numbers (Bottom of Page)"/>
        <w:docPartUnique/>
      </w:docPartObj>
    </w:sdtPr>
    <w:sdtContent>
      <w:p w14:paraId="5BD21C13" w14:textId="60FDD8E6" w:rsidR="00777E63" w:rsidRDefault="00777E63" w:rsidP="004550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B2F0F1" w14:textId="77777777" w:rsidR="00777E63" w:rsidRDefault="00777E63" w:rsidP="00777E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6745448"/>
      <w:docPartObj>
        <w:docPartGallery w:val="Page Numbers (Bottom of Page)"/>
        <w:docPartUnique/>
      </w:docPartObj>
    </w:sdtPr>
    <w:sdtContent>
      <w:p w14:paraId="2C164539" w14:textId="5FC2A9DE" w:rsidR="00777E63" w:rsidRDefault="00777E63" w:rsidP="004550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10C9AF" w14:textId="77777777" w:rsidR="00777E63" w:rsidRDefault="00777E63" w:rsidP="00777E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D00D3" w14:textId="77777777" w:rsidR="008D353B" w:rsidRDefault="008D353B" w:rsidP="00777E63">
      <w:pPr>
        <w:spacing w:after="0" w:line="240" w:lineRule="auto"/>
      </w:pPr>
      <w:r>
        <w:separator/>
      </w:r>
    </w:p>
  </w:footnote>
  <w:footnote w:type="continuationSeparator" w:id="0">
    <w:p w14:paraId="4AFD9512" w14:textId="77777777" w:rsidR="008D353B" w:rsidRDefault="008D353B" w:rsidP="00777E63">
      <w:pPr>
        <w:spacing w:after="0" w:line="240" w:lineRule="auto"/>
      </w:pPr>
      <w:r>
        <w:continuationSeparator/>
      </w:r>
    </w:p>
  </w:footnote>
  <w:footnote w:type="continuationNotice" w:id="1">
    <w:p w14:paraId="03F73925" w14:textId="77777777" w:rsidR="008D353B" w:rsidRDefault="008D35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A5C2A"/>
    <w:multiLevelType w:val="multilevel"/>
    <w:tmpl w:val="F7BC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921D20"/>
    <w:multiLevelType w:val="multilevel"/>
    <w:tmpl w:val="3A5C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A7A65"/>
    <w:multiLevelType w:val="multilevel"/>
    <w:tmpl w:val="69F44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7438F3"/>
    <w:multiLevelType w:val="multilevel"/>
    <w:tmpl w:val="E0B8B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E0670D"/>
    <w:multiLevelType w:val="multilevel"/>
    <w:tmpl w:val="4DB22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6F50D2"/>
    <w:multiLevelType w:val="multilevel"/>
    <w:tmpl w:val="AFDC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FE3B13"/>
    <w:multiLevelType w:val="multilevel"/>
    <w:tmpl w:val="F0D4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AA3198"/>
    <w:multiLevelType w:val="multilevel"/>
    <w:tmpl w:val="9D5C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F80D2F"/>
    <w:multiLevelType w:val="multilevel"/>
    <w:tmpl w:val="113E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3F7E99"/>
    <w:multiLevelType w:val="multilevel"/>
    <w:tmpl w:val="0EBEE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7576BA"/>
    <w:multiLevelType w:val="multilevel"/>
    <w:tmpl w:val="006A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1A271C"/>
    <w:multiLevelType w:val="multilevel"/>
    <w:tmpl w:val="277E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EE2E45"/>
    <w:multiLevelType w:val="multilevel"/>
    <w:tmpl w:val="9324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C2170F"/>
    <w:multiLevelType w:val="multilevel"/>
    <w:tmpl w:val="A22C1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6C3F5A"/>
    <w:multiLevelType w:val="multilevel"/>
    <w:tmpl w:val="59A0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3E582D"/>
    <w:multiLevelType w:val="multilevel"/>
    <w:tmpl w:val="EC447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650390"/>
    <w:multiLevelType w:val="multilevel"/>
    <w:tmpl w:val="B9DC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474359"/>
    <w:multiLevelType w:val="multilevel"/>
    <w:tmpl w:val="BBDC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2A84446"/>
    <w:multiLevelType w:val="multilevel"/>
    <w:tmpl w:val="F1C84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DC3073"/>
    <w:multiLevelType w:val="multilevel"/>
    <w:tmpl w:val="CF22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9E62155"/>
    <w:multiLevelType w:val="multilevel"/>
    <w:tmpl w:val="D61C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57399B"/>
    <w:multiLevelType w:val="multilevel"/>
    <w:tmpl w:val="7B7A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3B262A"/>
    <w:multiLevelType w:val="multilevel"/>
    <w:tmpl w:val="B7D2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211FB1"/>
    <w:multiLevelType w:val="multilevel"/>
    <w:tmpl w:val="F624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CA75A7"/>
    <w:multiLevelType w:val="multilevel"/>
    <w:tmpl w:val="C034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48800775">
    <w:abstractNumId w:val="24"/>
  </w:num>
  <w:num w:numId="2" w16cid:durableId="1116758333">
    <w:abstractNumId w:val="11"/>
  </w:num>
  <w:num w:numId="3" w16cid:durableId="272253375">
    <w:abstractNumId w:val="8"/>
  </w:num>
  <w:num w:numId="4" w16cid:durableId="858616853">
    <w:abstractNumId w:val="2"/>
  </w:num>
  <w:num w:numId="5" w16cid:durableId="996769095">
    <w:abstractNumId w:val="7"/>
  </w:num>
  <w:num w:numId="6" w16cid:durableId="2128044105">
    <w:abstractNumId w:val="23"/>
  </w:num>
  <w:num w:numId="7" w16cid:durableId="437260800">
    <w:abstractNumId w:val="3"/>
  </w:num>
  <w:num w:numId="8" w16cid:durableId="1294408810">
    <w:abstractNumId w:val="20"/>
  </w:num>
  <w:num w:numId="9" w16cid:durableId="969282519">
    <w:abstractNumId w:val="18"/>
  </w:num>
  <w:num w:numId="10" w16cid:durableId="1398284183">
    <w:abstractNumId w:val="19"/>
  </w:num>
  <w:num w:numId="11" w16cid:durableId="1149860927">
    <w:abstractNumId w:val="12"/>
  </w:num>
  <w:num w:numId="12" w16cid:durableId="579100981">
    <w:abstractNumId w:val="22"/>
  </w:num>
  <w:num w:numId="13" w16cid:durableId="302657452">
    <w:abstractNumId w:val="0"/>
  </w:num>
  <w:num w:numId="14" w16cid:durableId="1094669444">
    <w:abstractNumId w:val="6"/>
  </w:num>
  <w:num w:numId="15" w16cid:durableId="295188496">
    <w:abstractNumId w:val="4"/>
  </w:num>
  <w:num w:numId="16" w16cid:durableId="1510563600">
    <w:abstractNumId w:val="1"/>
  </w:num>
  <w:num w:numId="17" w16cid:durableId="1345017795">
    <w:abstractNumId w:val="14"/>
  </w:num>
  <w:num w:numId="18" w16cid:durableId="1100373263">
    <w:abstractNumId w:val="9"/>
  </w:num>
  <w:num w:numId="19" w16cid:durableId="1181243361">
    <w:abstractNumId w:val="17"/>
  </w:num>
  <w:num w:numId="20" w16cid:durableId="1456025699">
    <w:abstractNumId w:val="10"/>
  </w:num>
  <w:num w:numId="21" w16cid:durableId="536623049">
    <w:abstractNumId w:val="5"/>
  </w:num>
  <w:num w:numId="22" w16cid:durableId="1834952127">
    <w:abstractNumId w:val="21"/>
  </w:num>
  <w:num w:numId="23" w16cid:durableId="600533187">
    <w:abstractNumId w:val="15"/>
  </w:num>
  <w:num w:numId="24" w16cid:durableId="1746754460">
    <w:abstractNumId w:val="16"/>
  </w:num>
  <w:num w:numId="25" w16cid:durableId="11707545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E63"/>
    <w:rsid w:val="00010362"/>
    <w:rsid w:val="0004795D"/>
    <w:rsid w:val="00071A18"/>
    <w:rsid w:val="00077DE4"/>
    <w:rsid w:val="00093AD1"/>
    <w:rsid w:val="000A131A"/>
    <w:rsid w:val="000E5A05"/>
    <w:rsid w:val="001275DB"/>
    <w:rsid w:val="001A634B"/>
    <w:rsid w:val="001C2603"/>
    <w:rsid w:val="001D629B"/>
    <w:rsid w:val="002003DA"/>
    <w:rsid w:val="00215FC0"/>
    <w:rsid w:val="002D163C"/>
    <w:rsid w:val="002E400E"/>
    <w:rsid w:val="00455064"/>
    <w:rsid w:val="0047783D"/>
    <w:rsid w:val="00494CE5"/>
    <w:rsid w:val="004C2F83"/>
    <w:rsid w:val="004E3D58"/>
    <w:rsid w:val="005B157E"/>
    <w:rsid w:val="005C3D16"/>
    <w:rsid w:val="005C4338"/>
    <w:rsid w:val="005D46CE"/>
    <w:rsid w:val="005E32E5"/>
    <w:rsid w:val="006D0C4E"/>
    <w:rsid w:val="00777E63"/>
    <w:rsid w:val="007831A0"/>
    <w:rsid w:val="007A2C88"/>
    <w:rsid w:val="00800C11"/>
    <w:rsid w:val="008D353B"/>
    <w:rsid w:val="008E58CD"/>
    <w:rsid w:val="00905C09"/>
    <w:rsid w:val="00950360"/>
    <w:rsid w:val="00956F2E"/>
    <w:rsid w:val="00956F86"/>
    <w:rsid w:val="009B555D"/>
    <w:rsid w:val="009F0EA2"/>
    <w:rsid w:val="009F249A"/>
    <w:rsid w:val="00A03AC8"/>
    <w:rsid w:val="00A652DB"/>
    <w:rsid w:val="00A71C60"/>
    <w:rsid w:val="00AA0707"/>
    <w:rsid w:val="00AA6C25"/>
    <w:rsid w:val="00AB5EEA"/>
    <w:rsid w:val="00B04663"/>
    <w:rsid w:val="00B04FE0"/>
    <w:rsid w:val="00B4791E"/>
    <w:rsid w:val="00BC62C8"/>
    <w:rsid w:val="00C07A9A"/>
    <w:rsid w:val="00C22E0F"/>
    <w:rsid w:val="00C47BE9"/>
    <w:rsid w:val="00C66D85"/>
    <w:rsid w:val="00CD6499"/>
    <w:rsid w:val="00CE36B7"/>
    <w:rsid w:val="00DB00E2"/>
    <w:rsid w:val="00E24B47"/>
    <w:rsid w:val="00E34A71"/>
    <w:rsid w:val="00E3610F"/>
    <w:rsid w:val="00EB05CC"/>
    <w:rsid w:val="00F01D7B"/>
    <w:rsid w:val="00F5505E"/>
    <w:rsid w:val="00F55514"/>
    <w:rsid w:val="00FA5029"/>
    <w:rsid w:val="02E531E8"/>
    <w:rsid w:val="250C2E45"/>
    <w:rsid w:val="3C4FFE8D"/>
    <w:rsid w:val="44FA02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56DD07E"/>
  <w15:chartTrackingRefBased/>
  <w15:docId w15:val="{28BAA8BC-D3B1-4180-9B7A-9202193D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E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7E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7E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7E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7E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7E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E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E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E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E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7E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7E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7E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E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E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E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E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E63"/>
    <w:rPr>
      <w:rFonts w:eastAsiaTheme="majorEastAsia" w:cstheme="majorBidi"/>
      <w:color w:val="272727" w:themeColor="text1" w:themeTint="D8"/>
    </w:rPr>
  </w:style>
  <w:style w:type="paragraph" w:styleId="Title">
    <w:name w:val="Title"/>
    <w:basedOn w:val="Normal"/>
    <w:next w:val="Normal"/>
    <w:link w:val="TitleChar"/>
    <w:uiPriority w:val="10"/>
    <w:qFormat/>
    <w:rsid w:val="00777E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7E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7E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7E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7E63"/>
    <w:pPr>
      <w:spacing w:before="160"/>
      <w:jc w:val="center"/>
    </w:pPr>
    <w:rPr>
      <w:i/>
      <w:iCs/>
      <w:color w:val="404040" w:themeColor="text1" w:themeTint="BF"/>
    </w:rPr>
  </w:style>
  <w:style w:type="character" w:customStyle="1" w:styleId="QuoteChar">
    <w:name w:val="Quote Char"/>
    <w:basedOn w:val="DefaultParagraphFont"/>
    <w:link w:val="Quote"/>
    <w:uiPriority w:val="29"/>
    <w:rsid w:val="00777E63"/>
    <w:rPr>
      <w:i/>
      <w:iCs/>
      <w:color w:val="404040" w:themeColor="text1" w:themeTint="BF"/>
    </w:rPr>
  </w:style>
  <w:style w:type="paragraph" w:styleId="ListParagraph">
    <w:name w:val="List Paragraph"/>
    <w:basedOn w:val="Normal"/>
    <w:uiPriority w:val="34"/>
    <w:qFormat/>
    <w:rsid w:val="00777E63"/>
    <w:pPr>
      <w:ind w:left="720"/>
      <w:contextualSpacing/>
    </w:pPr>
  </w:style>
  <w:style w:type="character" w:styleId="IntenseEmphasis">
    <w:name w:val="Intense Emphasis"/>
    <w:basedOn w:val="DefaultParagraphFont"/>
    <w:uiPriority w:val="21"/>
    <w:qFormat/>
    <w:rsid w:val="00777E63"/>
    <w:rPr>
      <w:i/>
      <w:iCs/>
      <w:color w:val="0F4761" w:themeColor="accent1" w:themeShade="BF"/>
    </w:rPr>
  </w:style>
  <w:style w:type="paragraph" w:styleId="IntenseQuote">
    <w:name w:val="Intense Quote"/>
    <w:basedOn w:val="Normal"/>
    <w:next w:val="Normal"/>
    <w:link w:val="IntenseQuoteChar"/>
    <w:uiPriority w:val="30"/>
    <w:qFormat/>
    <w:rsid w:val="00777E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E63"/>
    <w:rPr>
      <w:i/>
      <w:iCs/>
      <w:color w:val="0F4761" w:themeColor="accent1" w:themeShade="BF"/>
    </w:rPr>
  </w:style>
  <w:style w:type="character" w:styleId="IntenseReference">
    <w:name w:val="Intense Reference"/>
    <w:basedOn w:val="DefaultParagraphFont"/>
    <w:uiPriority w:val="32"/>
    <w:qFormat/>
    <w:rsid w:val="00777E63"/>
    <w:rPr>
      <w:b/>
      <w:bCs/>
      <w:smallCaps/>
      <w:color w:val="0F4761" w:themeColor="accent1" w:themeShade="BF"/>
      <w:spacing w:val="5"/>
    </w:rPr>
  </w:style>
  <w:style w:type="paragraph" w:styleId="Footer">
    <w:name w:val="footer"/>
    <w:basedOn w:val="Normal"/>
    <w:link w:val="FooterChar"/>
    <w:uiPriority w:val="99"/>
    <w:unhideWhenUsed/>
    <w:rsid w:val="00777E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E63"/>
  </w:style>
  <w:style w:type="character" w:styleId="PageNumber">
    <w:name w:val="page number"/>
    <w:basedOn w:val="DefaultParagraphFont"/>
    <w:uiPriority w:val="99"/>
    <w:semiHidden/>
    <w:unhideWhenUsed/>
    <w:rsid w:val="00777E63"/>
  </w:style>
  <w:style w:type="paragraph" w:styleId="NormalWeb">
    <w:name w:val="Normal (Web)"/>
    <w:basedOn w:val="Normal"/>
    <w:uiPriority w:val="99"/>
    <w:semiHidden/>
    <w:unhideWhenUsed/>
    <w:rsid w:val="005E32E5"/>
    <w:rPr>
      <w:rFonts w:ascii="Times New Roman" w:hAnsi="Times New Roman" w:cs="Times New Roman"/>
    </w:rPr>
  </w:style>
  <w:style w:type="paragraph" w:styleId="Header">
    <w:name w:val="header"/>
    <w:basedOn w:val="Normal"/>
    <w:link w:val="HeaderChar"/>
    <w:uiPriority w:val="99"/>
    <w:semiHidden/>
    <w:unhideWhenUsed/>
    <w:rsid w:val="00F01D7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56F2E"/>
  </w:style>
  <w:style w:type="paragraph" w:styleId="NoSpacing">
    <w:name w:val="No Spacing"/>
    <w:uiPriority w:val="1"/>
    <w:qFormat/>
    <w:rsid w:val="00B0466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722980">
      <w:bodyDiv w:val="1"/>
      <w:marLeft w:val="0"/>
      <w:marRight w:val="0"/>
      <w:marTop w:val="0"/>
      <w:marBottom w:val="0"/>
      <w:divBdr>
        <w:top w:val="none" w:sz="0" w:space="0" w:color="auto"/>
        <w:left w:val="none" w:sz="0" w:space="0" w:color="auto"/>
        <w:bottom w:val="none" w:sz="0" w:space="0" w:color="auto"/>
        <w:right w:val="none" w:sz="0" w:space="0" w:color="auto"/>
      </w:divBdr>
    </w:div>
    <w:div w:id="422604912">
      <w:bodyDiv w:val="1"/>
      <w:marLeft w:val="0"/>
      <w:marRight w:val="0"/>
      <w:marTop w:val="0"/>
      <w:marBottom w:val="0"/>
      <w:divBdr>
        <w:top w:val="none" w:sz="0" w:space="0" w:color="auto"/>
        <w:left w:val="none" w:sz="0" w:space="0" w:color="auto"/>
        <w:bottom w:val="none" w:sz="0" w:space="0" w:color="auto"/>
        <w:right w:val="none" w:sz="0" w:space="0" w:color="auto"/>
      </w:divBdr>
    </w:div>
    <w:div w:id="443693372">
      <w:bodyDiv w:val="1"/>
      <w:marLeft w:val="0"/>
      <w:marRight w:val="0"/>
      <w:marTop w:val="0"/>
      <w:marBottom w:val="0"/>
      <w:divBdr>
        <w:top w:val="none" w:sz="0" w:space="0" w:color="auto"/>
        <w:left w:val="none" w:sz="0" w:space="0" w:color="auto"/>
        <w:bottom w:val="none" w:sz="0" w:space="0" w:color="auto"/>
        <w:right w:val="none" w:sz="0" w:space="0" w:color="auto"/>
      </w:divBdr>
    </w:div>
    <w:div w:id="699359924">
      <w:bodyDiv w:val="1"/>
      <w:marLeft w:val="0"/>
      <w:marRight w:val="0"/>
      <w:marTop w:val="0"/>
      <w:marBottom w:val="0"/>
      <w:divBdr>
        <w:top w:val="none" w:sz="0" w:space="0" w:color="auto"/>
        <w:left w:val="none" w:sz="0" w:space="0" w:color="auto"/>
        <w:bottom w:val="none" w:sz="0" w:space="0" w:color="auto"/>
        <w:right w:val="none" w:sz="0" w:space="0" w:color="auto"/>
      </w:divBdr>
    </w:div>
    <w:div w:id="819200401">
      <w:bodyDiv w:val="1"/>
      <w:marLeft w:val="0"/>
      <w:marRight w:val="0"/>
      <w:marTop w:val="0"/>
      <w:marBottom w:val="0"/>
      <w:divBdr>
        <w:top w:val="none" w:sz="0" w:space="0" w:color="auto"/>
        <w:left w:val="none" w:sz="0" w:space="0" w:color="auto"/>
        <w:bottom w:val="none" w:sz="0" w:space="0" w:color="auto"/>
        <w:right w:val="none" w:sz="0" w:space="0" w:color="auto"/>
      </w:divBdr>
    </w:div>
    <w:div w:id="876311861">
      <w:bodyDiv w:val="1"/>
      <w:marLeft w:val="0"/>
      <w:marRight w:val="0"/>
      <w:marTop w:val="0"/>
      <w:marBottom w:val="0"/>
      <w:divBdr>
        <w:top w:val="none" w:sz="0" w:space="0" w:color="auto"/>
        <w:left w:val="none" w:sz="0" w:space="0" w:color="auto"/>
        <w:bottom w:val="none" w:sz="0" w:space="0" w:color="auto"/>
        <w:right w:val="none" w:sz="0" w:space="0" w:color="auto"/>
      </w:divBdr>
      <w:divsChild>
        <w:div w:id="1509363404">
          <w:marLeft w:val="0"/>
          <w:marRight w:val="0"/>
          <w:marTop w:val="0"/>
          <w:marBottom w:val="0"/>
          <w:divBdr>
            <w:top w:val="none" w:sz="0" w:space="0" w:color="auto"/>
            <w:left w:val="none" w:sz="0" w:space="0" w:color="auto"/>
            <w:bottom w:val="none" w:sz="0" w:space="0" w:color="auto"/>
            <w:right w:val="none" w:sz="0" w:space="0" w:color="auto"/>
          </w:divBdr>
        </w:div>
      </w:divsChild>
    </w:div>
    <w:div w:id="1008018851">
      <w:bodyDiv w:val="1"/>
      <w:marLeft w:val="0"/>
      <w:marRight w:val="0"/>
      <w:marTop w:val="0"/>
      <w:marBottom w:val="0"/>
      <w:divBdr>
        <w:top w:val="none" w:sz="0" w:space="0" w:color="auto"/>
        <w:left w:val="none" w:sz="0" w:space="0" w:color="auto"/>
        <w:bottom w:val="none" w:sz="0" w:space="0" w:color="auto"/>
        <w:right w:val="none" w:sz="0" w:space="0" w:color="auto"/>
      </w:divBdr>
    </w:div>
    <w:div w:id="1008560010">
      <w:bodyDiv w:val="1"/>
      <w:marLeft w:val="0"/>
      <w:marRight w:val="0"/>
      <w:marTop w:val="0"/>
      <w:marBottom w:val="0"/>
      <w:divBdr>
        <w:top w:val="none" w:sz="0" w:space="0" w:color="auto"/>
        <w:left w:val="none" w:sz="0" w:space="0" w:color="auto"/>
        <w:bottom w:val="none" w:sz="0" w:space="0" w:color="auto"/>
        <w:right w:val="none" w:sz="0" w:space="0" w:color="auto"/>
      </w:divBdr>
    </w:div>
    <w:div w:id="1211071310">
      <w:bodyDiv w:val="1"/>
      <w:marLeft w:val="0"/>
      <w:marRight w:val="0"/>
      <w:marTop w:val="0"/>
      <w:marBottom w:val="0"/>
      <w:divBdr>
        <w:top w:val="none" w:sz="0" w:space="0" w:color="auto"/>
        <w:left w:val="none" w:sz="0" w:space="0" w:color="auto"/>
        <w:bottom w:val="none" w:sz="0" w:space="0" w:color="auto"/>
        <w:right w:val="none" w:sz="0" w:space="0" w:color="auto"/>
      </w:divBdr>
    </w:div>
    <w:div w:id="1236822443">
      <w:bodyDiv w:val="1"/>
      <w:marLeft w:val="0"/>
      <w:marRight w:val="0"/>
      <w:marTop w:val="0"/>
      <w:marBottom w:val="0"/>
      <w:divBdr>
        <w:top w:val="none" w:sz="0" w:space="0" w:color="auto"/>
        <w:left w:val="none" w:sz="0" w:space="0" w:color="auto"/>
        <w:bottom w:val="none" w:sz="0" w:space="0" w:color="auto"/>
        <w:right w:val="none" w:sz="0" w:space="0" w:color="auto"/>
      </w:divBdr>
    </w:div>
    <w:div w:id="1383868425">
      <w:bodyDiv w:val="1"/>
      <w:marLeft w:val="0"/>
      <w:marRight w:val="0"/>
      <w:marTop w:val="0"/>
      <w:marBottom w:val="0"/>
      <w:divBdr>
        <w:top w:val="none" w:sz="0" w:space="0" w:color="auto"/>
        <w:left w:val="none" w:sz="0" w:space="0" w:color="auto"/>
        <w:bottom w:val="none" w:sz="0" w:space="0" w:color="auto"/>
        <w:right w:val="none" w:sz="0" w:space="0" w:color="auto"/>
      </w:divBdr>
    </w:div>
    <w:div w:id="1626766560">
      <w:bodyDiv w:val="1"/>
      <w:marLeft w:val="0"/>
      <w:marRight w:val="0"/>
      <w:marTop w:val="0"/>
      <w:marBottom w:val="0"/>
      <w:divBdr>
        <w:top w:val="none" w:sz="0" w:space="0" w:color="auto"/>
        <w:left w:val="none" w:sz="0" w:space="0" w:color="auto"/>
        <w:bottom w:val="none" w:sz="0" w:space="0" w:color="auto"/>
        <w:right w:val="none" w:sz="0" w:space="0" w:color="auto"/>
      </w:divBdr>
      <w:divsChild>
        <w:div w:id="1807581119">
          <w:marLeft w:val="0"/>
          <w:marRight w:val="0"/>
          <w:marTop w:val="0"/>
          <w:marBottom w:val="0"/>
          <w:divBdr>
            <w:top w:val="none" w:sz="0" w:space="0" w:color="auto"/>
            <w:left w:val="none" w:sz="0" w:space="0" w:color="auto"/>
            <w:bottom w:val="none" w:sz="0" w:space="0" w:color="auto"/>
            <w:right w:val="none" w:sz="0" w:space="0" w:color="auto"/>
          </w:divBdr>
        </w:div>
      </w:divsChild>
    </w:div>
    <w:div w:id="166069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2640</Words>
  <Characters>15052</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Naheeda Akhtar (2240548)</dc:creator>
  <cp:keywords/>
  <dc:description/>
  <cp:lastModifiedBy>Naheeda Akhtar (2240548)</cp:lastModifiedBy>
  <cp:revision>36</cp:revision>
  <dcterms:created xsi:type="dcterms:W3CDTF">2025-11-18T20:03:00Z</dcterms:created>
  <dcterms:modified xsi:type="dcterms:W3CDTF">2025-11-18T22:07:00Z</dcterms:modified>
</cp:coreProperties>
</file>