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AC0197" w14:textId="77777777" w:rsidR="000D585E" w:rsidRDefault="000D585E" w:rsidP="000D585E">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2C6396F9" w14:textId="31C5AEC9" w:rsidR="000D585E" w:rsidRPr="000D585E" w:rsidRDefault="000D585E" w:rsidP="000D585E">
      <w:pPr>
        <w:spacing w:before="100" w:beforeAutospacing="1" w:after="100" w:afterAutospacing="1" w:line="240" w:lineRule="auto"/>
        <w:outlineLvl w:val="0"/>
        <w:rPr>
          <w:rFonts w:ascii="Arial" w:eastAsia="Times New Roman" w:hAnsi="Arial" w:cs="Arial"/>
          <w:b/>
          <w:bCs/>
          <w:color w:val="000000"/>
          <w:kern w:val="36"/>
          <w:u w:val="single"/>
          <w:lang w:eastAsia="en-GB"/>
          <w14:ligatures w14:val="none"/>
        </w:rPr>
      </w:pPr>
      <w:r w:rsidRPr="000D585E">
        <w:rPr>
          <w:rFonts w:ascii="Arial" w:eastAsia="Times New Roman" w:hAnsi="Arial" w:cs="Arial"/>
          <w:b/>
          <w:bCs/>
          <w:color w:val="000000"/>
          <w:kern w:val="36"/>
          <w:u w:val="single"/>
          <w:lang w:eastAsia="en-GB"/>
          <w14:ligatures w14:val="none"/>
        </w:rPr>
        <w:t>How the Equality Act 2010 Helps Youth Workers Create Safe and Inclusive Practice for Young People with Disabilities, with a Focus on ASD and PDA</w:t>
      </w:r>
    </w:p>
    <w:p w14:paraId="03A3A23B"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The Equality Act 2010 is one of the most important pieces of legislation in the United Kingdom for protecting individuals from discrimination and promoting fairness, dignity, and inclusion. In youth work, this legislation plays a central role in helping practitioners create safe, inclusive, and accessible environments for all young people, including those with disabilities. Youth workers regularly support individuals from a wide range of backgrounds, with different needs, identities, abilities, and life experiences. Because of this, they must understand the law and apply it in a way that ensures all young people are treated fairly and are able to participate fully in youth provision.</w:t>
      </w:r>
    </w:p>
    <w:p w14:paraId="379367C2"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This essay will explore how the Equality Act 2010 helps youth workers create safe and inclusive practice, particularly within settings such as youth clubs, community groups, and support services. It will explain the importance of the Act in protecting disabled young people from discrimination, harassment, and exclusion. The essay will also examine how youth workers professionally adhere to the National Occupational Standards (NOS) and how this supports inclusive and rights-based practice.</w:t>
      </w:r>
    </w:p>
    <w:p w14:paraId="2D004B67"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 xml:space="preserve">In addition, the essay will discuss different types of disabilities, including learning, intellectual, mental health, physical, sensory, hidden, and neurodivergent disabilities, </w:t>
      </w:r>
      <w:proofErr w:type="gramStart"/>
      <w:r w:rsidRPr="000D585E">
        <w:rPr>
          <w:rFonts w:ascii="Arial" w:eastAsia="Times New Roman" w:hAnsi="Arial" w:cs="Arial"/>
          <w:color w:val="000000"/>
          <w:kern w:val="0"/>
          <w:lang w:eastAsia="en-GB"/>
          <w14:ligatures w14:val="none"/>
        </w:rPr>
        <w:t>in order to</w:t>
      </w:r>
      <w:proofErr w:type="gramEnd"/>
      <w:r w:rsidRPr="000D585E">
        <w:rPr>
          <w:rFonts w:ascii="Arial" w:eastAsia="Times New Roman" w:hAnsi="Arial" w:cs="Arial"/>
          <w:color w:val="000000"/>
          <w:kern w:val="0"/>
          <w:lang w:eastAsia="en-GB"/>
          <w14:ligatures w14:val="none"/>
        </w:rPr>
        <w:t xml:space="preserve"> show the wide range of needs that may be present in youth work settings. However, the </w:t>
      </w:r>
      <w:proofErr w:type="gramStart"/>
      <w:r w:rsidRPr="000D585E">
        <w:rPr>
          <w:rFonts w:ascii="Arial" w:eastAsia="Times New Roman" w:hAnsi="Arial" w:cs="Arial"/>
          <w:color w:val="000000"/>
          <w:kern w:val="0"/>
          <w:lang w:eastAsia="en-GB"/>
          <w14:ligatures w14:val="none"/>
        </w:rPr>
        <w:t>main focus</w:t>
      </w:r>
      <w:proofErr w:type="gramEnd"/>
      <w:r w:rsidRPr="000D585E">
        <w:rPr>
          <w:rFonts w:ascii="Arial" w:eastAsia="Times New Roman" w:hAnsi="Arial" w:cs="Arial"/>
          <w:color w:val="000000"/>
          <w:kern w:val="0"/>
          <w:lang w:eastAsia="en-GB"/>
          <w14:ligatures w14:val="none"/>
        </w:rPr>
        <w:t xml:space="preserve"> will be on </w:t>
      </w:r>
      <w:proofErr w:type="gramStart"/>
      <w:r w:rsidRPr="000D585E">
        <w:rPr>
          <w:rFonts w:ascii="Arial" w:eastAsia="Times New Roman" w:hAnsi="Arial" w:cs="Arial"/>
          <w:color w:val="000000"/>
          <w:kern w:val="0"/>
          <w:lang w:eastAsia="en-GB"/>
          <w14:ligatures w14:val="none"/>
        </w:rPr>
        <w:t>Autism Spectrum Disorder</w:t>
      </w:r>
      <w:proofErr w:type="gramEnd"/>
      <w:r w:rsidRPr="000D585E">
        <w:rPr>
          <w:rFonts w:ascii="Arial" w:eastAsia="Times New Roman" w:hAnsi="Arial" w:cs="Arial"/>
          <w:color w:val="000000"/>
          <w:kern w:val="0"/>
          <w:lang w:eastAsia="en-GB"/>
          <w14:ligatures w14:val="none"/>
        </w:rPr>
        <w:t xml:space="preserve"> (ASD) and Pathological Demand Avoidance (PDA), as these are areas where youth workers may need to adapt their communication, expectations, and support approaches significantly. The essay will also include a case study based on professional experience to demonstrate how inclusive practice can be applied in real-life situations while maintaining confidentiality and respecting data protection principles.</w:t>
      </w:r>
    </w:p>
    <w:p w14:paraId="7F5984A8"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Overall, this essay will show that the Equality Act 2010 is not simply a legal requirement. It is also a practical and ethical framework that helps youth workers promote inclusion, challenge discrimination, make reasonable adjustments, and ensure that all young people, including those with ASD and PDA, are valued, respected, and supported to reach their potential.</w:t>
      </w:r>
    </w:p>
    <w:p w14:paraId="284323DC" w14:textId="77777777" w:rsidR="000D585E" w:rsidRPr="000D585E" w:rsidRDefault="000D585E" w:rsidP="000D585E">
      <w:pPr>
        <w:spacing w:before="100" w:beforeAutospacing="1" w:after="100" w:afterAutospacing="1" w:line="240" w:lineRule="auto"/>
        <w:outlineLvl w:val="1"/>
        <w:rPr>
          <w:rFonts w:ascii="Arial" w:eastAsia="Times New Roman" w:hAnsi="Arial" w:cs="Arial"/>
          <w:b/>
          <w:bCs/>
          <w:color w:val="000000"/>
          <w:kern w:val="0"/>
          <w:u w:val="single"/>
          <w:lang w:eastAsia="en-GB"/>
          <w14:ligatures w14:val="none"/>
        </w:rPr>
      </w:pPr>
      <w:r w:rsidRPr="000D585E">
        <w:rPr>
          <w:rFonts w:ascii="Arial" w:eastAsia="Times New Roman" w:hAnsi="Arial" w:cs="Arial"/>
          <w:b/>
          <w:bCs/>
          <w:color w:val="000000"/>
          <w:kern w:val="0"/>
          <w:u w:val="single"/>
          <w:lang w:eastAsia="en-GB"/>
          <w14:ligatures w14:val="none"/>
        </w:rPr>
        <w:t>The Equality Act 2010 and Its Importance in Youth Work</w:t>
      </w:r>
    </w:p>
    <w:p w14:paraId="32C367F2"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 xml:space="preserve">The Equality Act 2010 brought together </w:t>
      </w:r>
      <w:proofErr w:type="gramStart"/>
      <w:r w:rsidRPr="000D585E">
        <w:rPr>
          <w:rFonts w:ascii="Arial" w:eastAsia="Times New Roman" w:hAnsi="Arial" w:cs="Arial"/>
          <w:color w:val="000000"/>
          <w:kern w:val="0"/>
          <w:lang w:eastAsia="en-GB"/>
          <w14:ligatures w14:val="none"/>
        </w:rPr>
        <w:t>a number of</w:t>
      </w:r>
      <w:proofErr w:type="gramEnd"/>
      <w:r w:rsidRPr="000D585E">
        <w:rPr>
          <w:rFonts w:ascii="Arial" w:eastAsia="Times New Roman" w:hAnsi="Arial" w:cs="Arial"/>
          <w:color w:val="000000"/>
          <w:kern w:val="0"/>
          <w:lang w:eastAsia="en-GB"/>
          <w14:ligatures w14:val="none"/>
        </w:rPr>
        <w:t xml:space="preserve"> previous anti-discrimination laws into one single legal framework. Its purpose is to protect individuals from unfair treatment and to promote a more equal society. Before this Act, discrimination law was spread across several separate pieces of legislation, which could be confusing and inconsistent. By combining these laws, the Equality Act created a clearer and stronger framework for protecting people’s rights.</w:t>
      </w:r>
    </w:p>
    <w:p w14:paraId="0D776B29"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lastRenderedPageBreak/>
        <w:t xml:space="preserve">The Act protects individuals from direct discrimination, indirect discrimination, harassment, and victimisation. Direct discrimination happens when someone is treated less favourably because of a protected characteristic. Indirect discrimination occurs when a policy or practice appears to apply to everyone equally but in </w:t>
      </w:r>
      <w:proofErr w:type="gramStart"/>
      <w:r w:rsidRPr="000D585E">
        <w:rPr>
          <w:rFonts w:ascii="Arial" w:eastAsia="Times New Roman" w:hAnsi="Arial" w:cs="Arial"/>
          <w:color w:val="000000"/>
          <w:kern w:val="0"/>
          <w:lang w:eastAsia="en-GB"/>
          <w14:ligatures w14:val="none"/>
        </w:rPr>
        <w:t>reality</w:t>
      </w:r>
      <w:proofErr w:type="gramEnd"/>
      <w:r w:rsidRPr="000D585E">
        <w:rPr>
          <w:rFonts w:ascii="Arial" w:eastAsia="Times New Roman" w:hAnsi="Arial" w:cs="Arial"/>
          <w:color w:val="000000"/>
          <w:kern w:val="0"/>
          <w:lang w:eastAsia="en-GB"/>
          <w14:ligatures w14:val="none"/>
        </w:rPr>
        <w:t xml:space="preserve"> disadvantages a particular group. Harassment involves unwanted behaviour related to a protected characteristic that violates a person’s dignity or creates a hostile, degrading, humiliating, or offensive environment. Victimisation occurs when someone is treated badly because they have made, or supported, a complaint under the Act.</w:t>
      </w:r>
    </w:p>
    <w:p w14:paraId="3956B8DF"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The Equality Act 2010 protects nine protected characteristics. These are:</w:t>
      </w:r>
    </w:p>
    <w:p w14:paraId="4EFF0699" w14:textId="77777777" w:rsidR="000D585E" w:rsidRPr="000D585E" w:rsidRDefault="000D585E" w:rsidP="000D585E">
      <w:pPr>
        <w:numPr>
          <w:ilvl w:val="0"/>
          <w:numId w:val="1"/>
        </w:numPr>
        <w:spacing w:after="0"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Age</w:t>
      </w:r>
    </w:p>
    <w:p w14:paraId="28ACEF47" w14:textId="77777777" w:rsidR="000D585E" w:rsidRPr="000D585E" w:rsidRDefault="000D585E" w:rsidP="000D585E">
      <w:pPr>
        <w:numPr>
          <w:ilvl w:val="0"/>
          <w:numId w:val="1"/>
        </w:numPr>
        <w:spacing w:after="0"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Disability</w:t>
      </w:r>
    </w:p>
    <w:p w14:paraId="0D644C84" w14:textId="77777777" w:rsidR="000D585E" w:rsidRPr="000D585E" w:rsidRDefault="000D585E" w:rsidP="000D585E">
      <w:pPr>
        <w:numPr>
          <w:ilvl w:val="0"/>
          <w:numId w:val="1"/>
        </w:numPr>
        <w:spacing w:after="0"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Gender reassignment</w:t>
      </w:r>
    </w:p>
    <w:p w14:paraId="5BD80FA3" w14:textId="77777777" w:rsidR="000D585E" w:rsidRPr="000D585E" w:rsidRDefault="000D585E" w:rsidP="000D585E">
      <w:pPr>
        <w:numPr>
          <w:ilvl w:val="0"/>
          <w:numId w:val="1"/>
        </w:numPr>
        <w:spacing w:after="0"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Marriage and civil partnership</w:t>
      </w:r>
    </w:p>
    <w:p w14:paraId="0ADCB616" w14:textId="77777777" w:rsidR="000D585E" w:rsidRPr="000D585E" w:rsidRDefault="000D585E" w:rsidP="000D585E">
      <w:pPr>
        <w:numPr>
          <w:ilvl w:val="0"/>
          <w:numId w:val="1"/>
        </w:numPr>
        <w:spacing w:after="0"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Pregnancy and maternity</w:t>
      </w:r>
    </w:p>
    <w:p w14:paraId="5042239D" w14:textId="77777777" w:rsidR="000D585E" w:rsidRPr="000D585E" w:rsidRDefault="000D585E" w:rsidP="000D585E">
      <w:pPr>
        <w:numPr>
          <w:ilvl w:val="0"/>
          <w:numId w:val="1"/>
        </w:numPr>
        <w:spacing w:after="0"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Race</w:t>
      </w:r>
    </w:p>
    <w:p w14:paraId="145D0BAA" w14:textId="77777777" w:rsidR="000D585E" w:rsidRPr="000D585E" w:rsidRDefault="000D585E" w:rsidP="000D585E">
      <w:pPr>
        <w:numPr>
          <w:ilvl w:val="0"/>
          <w:numId w:val="1"/>
        </w:numPr>
        <w:spacing w:after="0"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Religion or belief</w:t>
      </w:r>
    </w:p>
    <w:p w14:paraId="50953320" w14:textId="77777777" w:rsidR="000D585E" w:rsidRPr="000D585E" w:rsidRDefault="000D585E" w:rsidP="000D585E">
      <w:pPr>
        <w:numPr>
          <w:ilvl w:val="0"/>
          <w:numId w:val="1"/>
        </w:numPr>
        <w:spacing w:after="0"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Sex</w:t>
      </w:r>
    </w:p>
    <w:p w14:paraId="06D73F93" w14:textId="77777777" w:rsidR="000D585E" w:rsidRPr="000D585E" w:rsidRDefault="000D585E" w:rsidP="000D585E">
      <w:pPr>
        <w:numPr>
          <w:ilvl w:val="0"/>
          <w:numId w:val="1"/>
        </w:numPr>
        <w:spacing w:after="0"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Sexual orientation</w:t>
      </w:r>
    </w:p>
    <w:p w14:paraId="0AAEA1EE"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In youth work, the protected characteristic most relevant to this essay is disability, although youth workers must remain aware of all protected characteristics because young people may experience multiple forms of discrimination at the same time. For example, a disabled young person may also experience discrimination linked to race, gender, or religion. This is why inclusive practice must always be holistic and person-centred.</w:t>
      </w:r>
    </w:p>
    <w:p w14:paraId="6886CB6D"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 xml:space="preserve">The Equality Act is highly important in youth work because it ensures that young people cannot lawfully be excluded, ignored, or treated unfairly due to their disabilities or other protected characteristics. Youth clubs and services must not simply allow young people to attend; they must actively consider what </w:t>
      </w:r>
      <w:proofErr w:type="gramStart"/>
      <w:r w:rsidRPr="000D585E">
        <w:rPr>
          <w:rFonts w:ascii="Arial" w:eastAsia="Times New Roman" w:hAnsi="Arial" w:cs="Arial"/>
          <w:color w:val="000000"/>
          <w:kern w:val="0"/>
          <w:lang w:eastAsia="en-GB"/>
          <w14:ligatures w14:val="none"/>
        </w:rPr>
        <w:t>support</w:t>
      </w:r>
      <w:proofErr w:type="gramEnd"/>
      <w:r w:rsidRPr="000D585E">
        <w:rPr>
          <w:rFonts w:ascii="Arial" w:eastAsia="Times New Roman" w:hAnsi="Arial" w:cs="Arial"/>
          <w:color w:val="000000"/>
          <w:kern w:val="0"/>
          <w:lang w:eastAsia="en-GB"/>
          <w14:ligatures w14:val="none"/>
        </w:rPr>
        <w:t xml:space="preserve"> or adjustments may be needed to make that attendance meaningful, safe, and inclusive. This is especially relevant for disabled young people who may face barriers to participation if services are not planned properly.</w:t>
      </w:r>
    </w:p>
    <w:p w14:paraId="1636F5A2"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The Act also supports the idea that every young person has the right to feel safe, respected, and valued. In practice, this means youth workers must challenge stereotypes, promote inclusion, and prevent bullying, stigma, and exclusion. Walter Lippmann introduced the term stereotype in 1922, referring to fixed and oversimplified ideas about groups of people. Stereotyping can be very harmful in youth work because it can lead to young people being judged on assumptions rather than understood as individuals. This is particularly relevant for disabled young people, who are often misunderstood, underestimated, or unfairly labelled.</w:t>
      </w:r>
    </w:p>
    <w:p w14:paraId="557A03F1"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 xml:space="preserve">For youth workers, the Equality Act does more than tell them what not to do. It provides a framework for good practice by encouraging inclusion, equality of opportunity, and positive relationships. This is essential in youth settings, where the </w:t>
      </w:r>
      <w:r w:rsidRPr="000D585E">
        <w:rPr>
          <w:rFonts w:ascii="Arial" w:eastAsia="Times New Roman" w:hAnsi="Arial" w:cs="Arial"/>
          <w:color w:val="000000"/>
          <w:kern w:val="0"/>
          <w:lang w:eastAsia="en-GB"/>
          <w14:ligatures w14:val="none"/>
        </w:rPr>
        <w:lastRenderedPageBreak/>
        <w:t>aim is often to support personal development, wellbeing, confidence, social connection, and participation.</w:t>
      </w:r>
    </w:p>
    <w:p w14:paraId="44F62851" w14:textId="77777777" w:rsidR="000D585E" w:rsidRPr="000D585E" w:rsidRDefault="000D585E" w:rsidP="000D585E">
      <w:pPr>
        <w:spacing w:before="100" w:beforeAutospacing="1" w:after="100" w:afterAutospacing="1" w:line="240" w:lineRule="auto"/>
        <w:outlineLvl w:val="1"/>
        <w:rPr>
          <w:rFonts w:ascii="Arial" w:eastAsia="Times New Roman" w:hAnsi="Arial" w:cs="Arial"/>
          <w:b/>
          <w:bCs/>
          <w:color w:val="000000"/>
          <w:kern w:val="0"/>
          <w:u w:val="single"/>
          <w:lang w:eastAsia="en-GB"/>
          <w14:ligatures w14:val="none"/>
        </w:rPr>
      </w:pPr>
      <w:r w:rsidRPr="000D585E">
        <w:rPr>
          <w:rFonts w:ascii="Arial" w:eastAsia="Times New Roman" w:hAnsi="Arial" w:cs="Arial"/>
          <w:b/>
          <w:bCs/>
          <w:color w:val="000000"/>
          <w:kern w:val="0"/>
          <w:u w:val="single"/>
          <w:lang w:eastAsia="en-GB"/>
          <w14:ligatures w14:val="none"/>
        </w:rPr>
        <w:t>Adhering Professionally to National Occupational Standards</w:t>
      </w:r>
    </w:p>
    <w:p w14:paraId="32757741"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Youth workers are also expected to work in line with the National Occupational Standards (NOS). These standards outline the skills, knowledge, and understanding required to carry out a role competently and professionally. They support consistency across practice and help ensure that workers understand both their legal responsibilities and their professional values.</w:t>
      </w:r>
    </w:p>
    <w:p w14:paraId="5F6CCB8F"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In youth work, adhering to the NOS means more than completing tasks. It means working in a way that is ethical, reflective, youth-centred, and inclusive. One key principle is the importance of building positive, respectful relationships with young people. Youth workers must listen actively, build trust, and create environments in which young people feel heard and respected. This is especially important for young people with disabilities, who may have had past experiences of exclusion or misunderstanding in education, social settings, or public spaces.</w:t>
      </w:r>
    </w:p>
    <w:p w14:paraId="6BCA09B5"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Youth-centred practice is closely linked to participation and empowerment. Rather than making decisions for young people without their input, youth workers should involve them in choices about activities, support, and goals. This connects with a rights-based approach, where young people are made aware that they have rights and should be included in decisions that affect them. For disabled young people, this is particularly important because others may sometimes make assumptions about what they can or cannot do without involving them in the discussion.</w:t>
      </w:r>
    </w:p>
    <w:p w14:paraId="40E36003"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Safeguarding is another major area of professional responsibility. Youth workers must ensure that all young people are safe not only within youth settings, but also by responding appropriately to concerns relating to abuse, neglect, exploitation, or harm. Inclusive practice and safeguarding are closely connected. A young person who feels excluded or misunderstood may be more vulnerable, less likely to disclose concerns, or more likely to be placed in unsafe situations. Therefore, promoting equality and inclusion is part of protecting young people’s welfare.</w:t>
      </w:r>
    </w:p>
    <w:p w14:paraId="6DE72549"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 xml:space="preserve">Youth workers also adhere to NOS by promoting equality, diversity, and inclusion in all areas of provision. This includes planning accessible activities, removing barriers to participation, and making reasonable adjustments based on individual needs. It also involves ensuring that participation is voluntary, which is a key value in youth work. Young people should be encouraged and </w:t>
      </w:r>
      <w:proofErr w:type="gramStart"/>
      <w:r w:rsidRPr="000D585E">
        <w:rPr>
          <w:rFonts w:ascii="Arial" w:eastAsia="Times New Roman" w:hAnsi="Arial" w:cs="Arial"/>
          <w:color w:val="000000"/>
          <w:kern w:val="0"/>
          <w:lang w:eastAsia="en-GB"/>
          <w14:ligatures w14:val="none"/>
        </w:rPr>
        <w:t>supported, but</w:t>
      </w:r>
      <w:proofErr w:type="gramEnd"/>
      <w:r w:rsidRPr="000D585E">
        <w:rPr>
          <w:rFonts w:ascii="Arial" w:eastAsia="Times New Roman" w:hAnsi="Arial" w:cs="Arial"/>
          <w:color w:val="000000"/>
          <w:kern w:val="0"/>
          <w:lang w:eastAsia="en-GB"/>
          <w14:ligatures w14:val="none"/>
        </w:rPr>
        <w:t xml:space="preserve"> not forced. This is particularly important when working with young people who may find social situations overwhelming or who experience anxiety in response to demands, as can be the case with PDA.</w:t>
      </w:r>
    </w:p>
    <w:p w14:paraId="578E4553"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Overall, professional adherence to NOS supports high-quality youth work because it combines legal knowledge with values-based practice. It encourages youth workers to work respectfully, safely, inclusively, and in partnership with young people.</w:t>
      </w:r>
    </w:p>
    <w:p w14:paraId="080658E6" w14:textId="77777777" w:rsidR="000D585E" w:rsidRPr="000D585E" w:rsidRDefault="000D585E" w:rsidP="000D585E">
      <w:pPr>
        <w:spacing w:before="100" w:beforeAutospacing="1" w:after="100" w:afterAutospacing="1" w:line="240" w:lineRule="auto"/>
        <w:outlineLvl w:val="1"/>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Different Types of Disabilities and the Need for Inclusive Practice</w:t>
      </w:r>
    </w:p>
    <w:p w14:paraId="768D1790"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lastRenderedPageBreak/>
        <w:t>There are many different types of disabilities, and youth workers may support young people with a wide range of needs. Disabilities may be visible or non-visible, permanent or fluctuating, physical, cognitive, sensory, emotional, or social in impact. Understanding this variety is important because inclusion cannot be based on assumptions. What works well for one young person may not work for another, even if they appear to have similar diagnoses.</w:t>
      </w:r>
    </w:p>
    <w:p w14:paraId="1DCDEF5E"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One example is a learning difficulty, such as dyslexia. Dyslexia can affect reading, writing, spelling, processing information, and organisation. In youth work, a young person with dyslexia may need extra time to complete written tasks, information presented in a clearer format, or less reliance on written instructions. Inclusive practice means recognising these barriers and adjusting support accordingly rather than seeing the young person as less capable.</w:t>
      </w:r>
    </w:p>
    <w:p w14:paraId="0064ACF6"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An example of an intellectual disability is Down syndrome. Young people with Down syndrome may need support with communication, learning, social understanding, or daily living skills, but they should still be respected as individuals with strengths, preferences, and aspirations. The Equality Act protects them from discrimination in education, services, and employment, and youth workers should ensure their inclusion in activities rather than assuming they cannot participate.</w:t>
      </w:r>
    </w:p>
    <w:p w14:paraId="314C1B9B"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Mental health conditions can also fall under the protection of the Equality Act where they have a substantial and long-term effect on day-to-day activities. For example, a young person experiencing depression or severe anxiety may need emotional support, flexibility, and a psychologically safe environment. Youth workers should not dismiss mental health needs simply because they are not visible. They should recognise that emotional wellbeing can affect confidence, attendance, participation, and relationships.</w:t>
      </w:r>
    </w:p>
    <w:p w14:paraId="4FCBD2AA"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A physical disability, such as cerebral palsy, may affect mobility, posture, muscle coordination, or speech. Inclusive youth work means thinking carefully about accessibility, including building access, seating arrangements, pace of activities, and available equipment. It also means avoiding patronising attitudes and understanding that physical disability does not define a person’s intelligence, personality, or potential.</w:t>
      </w:r>
    </w:p>
    <w:p w14:paraId="595DA550"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 xml:space="preserve">A sensory disability, such as deafness, may require practical adjustments such as visual cues, accessible communication, quieter environments, written information, or adapted emergency procedures such as flashing fire alarms. These adjustments are examples of the reasonable </w:t>
      </w:r>
      <w:proofErr w:type="gramStart"/>
      <w:r w:rsidRPr="000D585E">
        <w:rPr>
          <w:rFonts w:ascii="Arial" w:eastAsia="Times New Roman" w:hAnsi="Arial" w:cs="Arial"/>
          <w:color w:val="000000"/>
          <w:kern w:val="0"/>
          <w:lang w:eastAsia="en-GB"/>
          <w14:ligatures w14:val="none"/>
        </w:rPr>
        <w:t>changes</w:t>
      </w:r>
      <w:proofErr w:type="gramEnd"/>
      <w:r w:rsidRPr="000D585E">
        <w:rPr>
          <w:rFonts w:ascii="Arial" w:eastAsia="Times New Roman" w:hAnsi="Arial" w:cs="Arial"/>
          <w:color w:val="000000"/>
          <w:kern w:val="0"/>
          <w:lang w:eastAsia="en-GB"/>
          <w14:ligatures w14:val="none"/>
        </w:rPr>
        <w:t xml:space="preserve"> organisations may need to make to ensure equal access.</w:t>
      </w:r>
    </w:p>
    <w:p w14:paraId="789BDAEE"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Some disabilities are hidden or non-visible, meaning they may not be immediately obvious to others. Diabetes is one example. A young person with diabetes may need regular breaks, access to food or medication, and staff who understand signs of hypo- or hyperglycaemia. Hidden disabilities are often misunderstood because people may wrongly assume that if they cannot see a disability, it does not exist. This can lead to judgement, disbelief, or a lack of support.</w:t>
      </w:r>
    </w:p>
    <w:p w14:paraId="0E2AD9BF"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lastRenderedPageBreak/>
        <w:t xml:space="preserve">These examples show why youth workers need knowledge, empathy, and flexibility. Inclusive practice is not about treating everyone </w:t>
      </w:r>
      <w:proofErr w:type="gramStart"/>
      <w:r w:rsidRPr="000D585E">
        <w:rPr>
          <w:rFonts w:ascii="Arial" w:eastAsia="Times New Roman" w:hAnsi="Arial" w:cs="Arial"/>
          <w:color w:val="000000"/>
          <w:kern w:val="0"/>
          <w:lang w:eastAsia="en-GB"/>
          <w14:ligatures w14:val="none"/>
        </w:rPr>
        <w:t>exactly the same</w:t>
      </w:r>
      <w:proofErr w:type="gramEnd"/>
      <w:r w:rsidRPr="000D585E">
        <w:rPr>
          <w:rFonts w:ascii="Arial" w:eastAsia="Times New Roman" w:hAnsi="Arial" w:cs="Arial"/>
          <w:color w:val="000000"/>
          <w:kern w:val="0"/>
          <w:lang w:eastAsia="en-GB"/>
          <w14:ligatures w14:val="none"/>
        </w:rPr>
        <w:t>. It is about ensuring everyone has equitable access, support, and respect. This often requires different approaches for different individuals.</w:t>
      </w:r>
    </w:p>
    <w:p w14:paraId="1CF01C7A" w14:textId="77777777" w:rsidR="000D585E" w:rsidRPr="000D585E" w:rsidRDefault="000D585E" w:rsidP="000D585E">
      <w:pPr>
        <w:spacing w:before="100" w:beforeAutospacing="1" w:after="100" w:afterAutospacing="1" w:line="240" w:lineRule="auto"/>
        <w:outlineLvl w:val="1"/>
        <w:rPr>
          <w:rFonts w:ascii="Arial" w:eastAsia="Times New Roman" w:hAnsi="Arial" w:cs="Arial"/>
          <w:b/>
          <w:bCs/>
          <w:color w:val="000000"/>
          <w:kern w:val="0"/>
          <w:u w:val="single"/>
          <w:lang w:eastAsia="en-GB"/>
          <w14:ligatures w14:val="none"/>
        </w:rPr>
      </w:pPr>
      <w:r w:rsidRPr="000D585E">
        <w:rPr>
          <w:rFonts w:ascii="Arial" w:eastAsia="Times New Roman" w:hAnsi="Arial" w:cs="Arial"/>
          <w:b/>
          <w:bCs/>
          <w:color w:val="000000"/>
          <w:kern w:val="0"/>
          <w:u w:val="single"/>
          <w:lang w:eastAsia="en-GB"/>
          <w14:ligatures w14:val="none"/>
        </w:rPr>
        <w:t>Neurodivergence, Autism Spectrum Disorder, and Inclusion</w:t>
      </w:r>
    </w:p>
    <w:p w14:paraId="42812E9D"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A particularly important area in youth work is neurodivergence, which includes differences in the way people think, process information, communicate, and experience the world. One example is </w:t>
      </w:r>
      <w:proofErr w:type="gramStart"/>
      <w:r w:rsidRPr="000D585E">
        <w:rPr>
          <w:rFonts w:ascii="Arial" w:eastAsia="Times New Roman" w:hAnsi="Arial" w:cs="Arial"/>
          <w:color w:val="000000"/>
          <w:kern w:val="0"/>
          <w:lang w:eastAsia="en-GB"/>
          <w14:ligatures w14:val="none"/>
        </w:rPr>
        <w:t>Autism Spectrum Disorder</w:t>
      </w:r>
      <w:proofErr w:type="gramEnd"/>
      <w:r w:rsidRPr="000D585E">
        <w:rPr>
          <w:rFonts w:ascii="Arial" w:eastAsia="Times New Roman" w:hAnsi="Arial" w:cs="Arial"/>
          <w:color w:val="000000"/>
          <w:kern w:val="0"/>
          <w:lang w:eastAsia="en-GB"/>
          <w14:ligatures w14:val="none"/>
        </w:rPr>
        <w:t xml:space="preserve"> (ASD). Autism is a developmental condition that affects people in different ways. It may influence communication, social interaction, sensory processing, flexibility of thought, and responses to change or uncertainty. Some autistic young people may need substantial support, while others may need only certain adjustments in specific situations.</w:t>
      </w:r>
    </w:p>
    <w:p w14:paraId="70E62303"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Unfortunately, autistic young people are often affected by stereotypes. They may be unfairly labelled as rude, strange, difficult, aggressive, or incapable. These assumptions are harmful and can lead to exclusion, bullying, or unmet needs. The Equality Act 2010 helps protect autistic individuals from such discrimination by recognising disability as a protected characteristic. This means youth settings have a legal responsibility to avoid discrimination and to make reasonable adjustments where needed.</w:t>
      </w:r>
    </w:p>
    <w:p w14:paraId="47DA0C19"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For youth workers, supporting autistic young people begins with understanding that autism is not the same for everyone. Some young people may find group settings enjoyable, while others may find them overwhelming. Some may communicate verbally, while others may rely on visual supports or alternative communication methods. Some may struggle with eye contact, changes in routine, noise, or unstructured social expectations. Inclusive practice means taking time to understand the individual rather than making assumptions based on diagnosis alone.</w:t>
      </w:r>
    </w:p>
    <w:p w14:paraId="130EE50A"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Youth workers can support autistic young people in many ways. They can provide clear and consistent communication, avoid vague instructions, give advance warning of changes, and create predictable routines where possible. Visual timetables, social stories, quiet spaces, and sensory-aware environments can all help. Structured activities may be easier for some autistic young people than open-ended social situations, as they can reduce uncertainty and anxiety.</w:t>
      </w:r>
    </w:p>
    <w:p w14:paraId="3D756ED3"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 xml:space="preserve">There are also </w:t>
      </w:r>
      <w:proofErr w:type="gramStart"/>
      <w:r w:rsidRPr="000D585E">
        <w:rPr>
          <w:rFonts w:ascii="Arial" w:eastAsia="Times New Roman" w:hAnsi="Arial" w:cs="Arial"/>
          <w:color w:val="000000"/>
          <w:kern w:val="0"/>
          <w:lang w:eastAsia="en-GB"/>
          <w14:ligatures w14:val="none"/>
        </w:rPr>
        <w:t>a number of</w:t>
      </w:r>
      <w:proofErr w:type="gramEnd"/>
      <w:r w:rsidRPr="000D585E">
        <w:rPr>
          <w:rFonts w:ascii="Arial" w:eastAsia="Times New Roman" w:hAnsi="Arial" w:cs="Arial"/>
          <w:color w:val="000000"/>
          <w:kern w:val="0"/>
          <w:lang w:eastAsia="en-GB"/>
          <w14:ligatures w14:val="none"/>
        </w:rPr>
        <w:t xml:space="preserve"> interventions and approaches that can support young people with autism in educational or developmental contexts. These include joint attention activities, peer-mediated interventions, prompting and reinforcement, structured play groups, behaviour support approaches, self-management strategies, visual supports, technology-aided instruction, picture exchange communication systems, video modelling, language interventions, direct instruction, comprehension support, and multi-sensory approaches. In youth work, however, these should be used thoughtfully, ethically, and in a person-centred way. The aim should not be to make autistic young people appear “normal,” but to support communication, participation, emotional regulation, and wellbeing.</w:t>
      </w:r>
    </w:p>
    <w:p w14:paraId="5D296559"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lastRenderedPageBreak/>
        <w:t>A safe and inclusive youth setting for autistic young people is one in which they are not judged for being different. It is a space where they are respected, their rights are upheld, and adjustments are made so they can engage meaningfully. This reflects both the spirit and the requirements of the Equality Act 2010.</w:t>
      </w:r>
    </w:p>
    <w:p w14:paraId="1821F93A" w14:textId="77777777" w:rsidR="000D585E" w:rsidRPr="000D585E" w:rsidRDefault="000D585E" w:rsidP="000D585E">
      <w:pPr>
        <w:spacing w:before="100" w:beforeAutospacing="1" w:after="100" w:afterAutospacing="1" w:line="240" w:lineRule="auto"/>
        <w:outlineLvl w:val="1"/>
        <w:rPr>
          <w:rFonts w:ascii="Arial" w:eastAsia="Times New Roman" w:hAnsi="Arial" w:cs="Arial"/>
          <w:b/>
          <w:bCs/>
          <w:color w:val="000000"/>
          <w:kern w:val="0"/>
          <w:u w:val="single"/>
          <w:lang w:eastAsia="en-GB"/>
          <w14:ligatures w14:val="none"/>
        </w:rPr>
      </w:pPr>
      <w:r w:rsidRPr="000D585E">
        <w:rPr>
          <w:rFonts w:ascii="Arial" w:eastAsia="Times New Roman" w:hAnsi="Arial" w:cs="Arial"/>
          <w:b/>
          <w:bCs/>
          <w:color w:val="000000"/>
          <w:kern w:val="0"/>
          <w:u w:val="single"/>
          <w:lang w:eastAsia="en-GB"/>
          <w14:ligatures w14:val="none"/>
        </w:rPr>
        <w:t>Understanding Pathological Demand Avoidance</w:t>
      </w:r>
    </w:p>
    <w:p w14:paraId="6A62DD24"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Pathological Demand Avoidance (PDA) is a profile that is widely understood as being associated with autism, although there is ongoing debate in some professional fields about classification and terminology. PDA is commonly used to describe individuals who experience an extreme avoidance of everyday demands and expectations due to high levels of anxiety and a strong need to feel in control.</w:t>
      </w:r>
    </w:p>
    <w:p w14:paraId="6DCA9B52"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For young people with PDA, demands that may seem ordinary to others can feel overwhelming. These demands can include everyday tasks such as getting dressed, attending activities, eating meals, following instructions, or moving from one task to another. Importantly, avoidance is not simply oppositional behaviour or deliberate defiance. It is often driven by anxiety, distress, or a fear of losing autonomy.</w:t>
      </w:r>
    </w:p>
    <w:p w14:paraId="10B5928D"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Young people with PDA may use a range of strategies to avoid demands. These can include distraction, negotiation, humour, excuses, changing the subject, withdrawing, becoming quiet, or, in some situations, showing distress, aggression, or shutdown. Their responses may appear unpredictable if adults do not understand what is triggering them. Because of this, PDA is often misunderstood, and young people may be wrongly seen as manipulative, naughty, or attention-seeking.</w:t>
      </w:r>
    </w:p>
    <w:p w14:paraId="20C3E525"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Youth workers need to understand that traditional behaviour management approaches may not be effective for young people with PDA. Highly directive communication, strict expectations, pressure, or consequences may increase anxiety and lead to escalation. Instead, supportive practice often involves reducing the sense of demand, offering choices, using collaborative language, building trust, and responding flexibly.</w:t>
      </w:r>
    </w:p>
    <w:p w14:paraId="163A7F94"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Young people with PDA may also experience difficulties with friendships and social relationships. They may be sociable in some ways but struggle with deeper, more consistent peer relationships. They may use social strategies such as humour or role play to manage interactions. Some may also develop strong attachments or intense interests in particular people, characters, or topics. Their emotional responses can be intense, and their need for control may become more pronounced when they feel unsafe, overwhelmed, or misunderstood.</w:t>
      </w:r>
    </w:p>
    <w:p w14:paraId="5D3D2103"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Within the context of the Equality Act 2010, young people with PDA should be supported through reasonable adjustments and inclusive practice. Youth workers should recognise that equality is not achieved by expecting everyone to cope in the same way. Instead, it is achieved by understanding barriers and adapting support to reduce those barriers.</w:t>
      </w:r>
    </w:p>
    <w:p w14:paraId="0D285E8A" w14:textId="77777777" w:rsidR="000D585E" w:rsidRPr="000D585E" w:rsidRDefault="000D585E" w:rsidP="000D585E">
      <w:pPr>
        <w:spacing w:before="100" w:beforeAutospacing="1" w:after="100" w:afterAutospacing="1" w:line="240" w:lineRule="auto"/>
        <w:outlineLvl w:val="1"/>
        <w:rPr>
          <w:rFonts w:ascii="Arial" w:eastAsia="Times New Roman" w:hAnsi="Arial" w:cs="Arial"/>
          <w:b/>
          <w:bCs/>
          <w:color w:val="000000"/>
          <w:kern w:val="0"/>
          <w:u w:val="single"/>
          <w:lang w:eastAsia="en-GB"/>
          <w14:ligatures w14:val="none"/>
        </w:rPr>
      </w:pPr>
      <w:r w:rsidRPr="000D585E">
        <w:rPr>
          <w:rFonts w:ascii="Arial" w:eastAsia="Times New Roman" w:hAnsi="Arial" w:cs="Arial"/>
          <w:b/>
          <w:bCs/>
          <w:color w:val="000000"/>
          <w:kern w:val="0"/>
          <w:u w:val="single"/>
          <w:lang w:eastAsia="en-GB"/>
          <w14:ligatures w14:val="none"/>
        </w:rPr>
        <w:t>Case Study: Supporting a Young Person with ASD, PDA, ADHD, and Epilepsy</w:t>
      </w:r>
    </w:p>
    <w:p w14:paraId="60BF7D91"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lastRenderedPageBreak/>
        <w:t xml:space="preserve">A useful way to understand inclusive practice is through real-life experience. In this case study, the individual will be referred to as Individual </w:t>
      </w:r>
      <w:proofErr w:type="gramStart"/>
      <w:r w:rsidRPr="000D585E">
        <w:rPr>
          <w:rFonts w:ascii="Arial" w:eastAsia="Times New Roman" w:hAnsi="Arial" w:cs="Arial"/>
          <w:color w:val="000000"/>
          <w:kern w:val="0"/>
          <w:lang w:eastAsia="en-GB"/>
          <w14:ligatures w14:val="none"/>
        </w:rPr>
        <w:t>A in order to</w:t>
      </w:r>
      <w:proofErr w:type="gramEnd"/>
      <w:r w:rsidRPr="000D585E">
        <w:rPr>
          <w:rFonts w:ascii="Arial" w:eastAsia="Times New Roman" w:hAnsi="Arial" w:cs="Arial"/>
          <w:color w:val="000000"/>
          <w:kern w:val="0"/>
          <w:lang w:eastAsia="en-GB"/>
          <w14:ligatures w14:val="none"/>
        </w:rPr>
        <w:t xml:space="preserve"> protect confidentiality and comply with data protection principles, including the requirements of the UK General Data Protection Regulation (GDPR). Confidentiality is a core professional responsibility in care and youth work, and personal information should only be shared lawfully, fairly, and for appropriate reasons.</w:t>
      </w:r>
    </w:p>
    <w:p w14:paraId="2D410EAD"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While working in care, I supported Individual A, a young person with Autism Spectrum Disorder, Pathological Demand Avoidance, ADHD, and epilepsy. Supporting him required patience, flexibility, awareness of his needs, and a commitment to person-centred and rights-based practice. His presentation varied from day to day, which meant that support always had to be responsive rather than rigid.</w:t>
      </w:r>
    </w:p>
    <w:p w14:paraId="33DCC503"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A typical day with Individual A involved supporting him with daily living activities such as tidying his room, eating breakfast, showering, and getting dressed. Once these tasks were completed, staff would support him to engage in activities he enjoyed. He was also supported to make choices about meals, snacks, and drinks throughout the day. These routines were important because they gave structure, but they also had to be handled carefully because direct expectations could create stress for him.</w:t>
      </w:r>
    </w:p>
    <w:p w14:paraId="377EC67A"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On more difficult days, Individual A might refuse support from certain staff members, decline food, reject activities, or become distressed. At times, this distress could lead to behaviours that challenged others, including hitting or kicking staff, damaging property, or urinating in his room. There were also occasions where he would try to keep preferred staff with him and became upset if they attempted to leave. These behaviours needed to be understood in context, not simply punished or judged. They were linked to anxiety, autism, PDA, communication needs, and emotional regulation difficulties.</w:t>
      </w:r>
    </w:p>
    <w:p w14:paraId="15910D9D"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Supporting Individual A effectively meant adapting communication and reducing the pressure of demands. For example, instead of telling him directly to clean his area, I would offer choices such as whether he wanted to wipe surfaces or mop the floor. This helped him feel more in control and reduced the likelihood that the task would trigger anxiety. Giving choices also promoted independence and a sense of achievement. When he completed the task, I offered praise and encouragement in a way that recognised his effort.</w:t>
      </w:r>
    </w:p>
    <w:p w14:paraId="78C40AF6"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This approach reflected the principles of the Equality Act 2010 because it involved making adjustments that enabled him to participate more successfully in daily life. It also reflected inclusive and person-centred practice because the support was based on his individual needs rather than on rigid routines. As a support worker, I made sure I remained informed about his care plans, risk assessments, communication preferences, epilepsy needs, and behavioural support strategies. Keeping up to date with documentation was important for ensuring consistent, safe, and appropriate support.</w:t>
      </w:r>
    </w:p>
    <w:p w14:paraId="13E571C9"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 xml:space="preserve">Treating Individual A </w:t>
      </w:r>
      <w:proofErr w:type="gramStart"/>
      <w:r w:rsidRPr="000D585E">
        <w:rPr>
          <w:rFonts w:ascii="Arial" w:eastAsia="Times New Roman" w:hAnsi="Arial" w:cs="Arial"/>
          <w:color w:val="000000"/>
          <w:kern w:val="0"/>
          <w:lang w:eastAsia="en-GB"/>
          <w14:ligatures w14:val="none"/>
        </w:rPr>
        <w:t>fairly also</w:t>
      </w:r>
      <w:proofErr w:type="gramEnd"/>
      <w:r w:rsidRPr="000D585E">
        <w:rPr>
          <w:rFonts w:ascii="Arial" w:eastAsia="Times New Roman" w:hAnsi="Arial" w:cs="Arial"/>
          <w:color w:val="000000"/>
          <w:kern w:val="0"/>
          <w:lang w:eastAsia="en-GB"/>
          <w14:ligatures w14:val="none"/>
        </w:rPr>
        <w:t xml:space="preserve"> meant treating him with dignity and respect. I spoke to him in an age-appropriate way and avoided unnecessary simplification or </w:t>
      </w:r>
      <w:r w:rsidRPr="000D585E">
        <w:rPr>
          <w:rFonts w:ascii="Arial" w:eastAsia="Times New Roman" w:hAnsi="Arial" w:cs="Arial"/>
          <w:color w:val="000000"/>
          <w:kern w:val="0"/>
          <w:lang w:eastAsia="en-GB"/>
          <w14:ligatures w14:val="none"/>
        </w:rPr>
        <w:lastRenderedPageBreak/>
        <w:t>patronising language. Having multiple diagnoses did not reduce his right to be treated as an individual with preferences, intelligence, and emotional awareness. This is an important part of anti-discriminatory practice: not only avoiding unfair treatment but actively challenging attitudes that devalue disabled individuals.</w:t>
      </w:r>
    </w:p>
    <w:p w14:paraId="644AED94"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This case study demonstrates that the Equality Act 2010 is highly relevant in day-to-day practice. It is not limited to formal policies or complaints procedures. It shapes how workers communicate, how they plan support, how they manage behaviour, and how they uphold the dignity and rights of disabled young people.</w:t>
      </w:r>
    </w:p>
    <w:p w14:paraId="2989447F" w14:textId="77777777" w:rsidR="000D585E" w:rsidRPr="000D585E" w:rsidRDefault="000D585E" w:rsidP="000D585E">
      <w:pPr>
        <w:spacing w:before="100" w:beforeAutospacing="1" w:after="100" w:afterAutospacing="1" w:line="240" w:lineRule="auto"/>
        <w:outlineLvl w:val="1"/>
        <w:rPr>
          <w:rFonts w:ascii="Arial" w:eastAsia="Times New Roman" w:hAnsi="Arial" w:cs="Arial"/>
          <w:b/>
          <w:bCs/>
          <w:color w:val="000000"/>
          <w:kern w:val="0"/>
          <w:u w:val="single"/>
          <w:lang w:eastAsia="en-GB"/>
          <w14:ligatures w14:val="none"/>
        </w:rPr>
      </w:pPr>
      <w:r w:rsidRPr="000D585E">
        <w:rPr>
          <w:rFonts w:ascii="Arial" w:eastAsia="Times New Roman" w:hAnsi="Arial" w:cs="Arial"/>
          <w:b/>
          <w:bCs/>
          <w:color w:val="000000"/>
          <w:kern w:val="0"/>
          <w:u w:val="single"/>
          <w:lang w:eastAsia="en-GB"/>
          <w14:ligatures w14:val="none"/>
        </w:rPr>
        <w:t>How Youth Workers Can Support Young People with PDA</w:t>
      </w:r>
    </w:p>
    <w:p w14:paraId="12158E09"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Supporting young people with PDA requires a thoughtful, flexible, and highly individualised approach. Youth workers should begin by recognising that the young person is not simply refusing to cooperate. Their behaviour is often a response to anxiety and a need to protect themselves from feeling overwhelmed or controlled. This understanding is essential if workers are to respond effectively and compassionately.</w:t>
      </w:r>
    </w:p>
    <w:p w14:paraId="5FF6B733"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One key strategy is to reduce direct demands where possible. Instead of giving firm instructions, workers can use indirect, collaborative language. For example, rather than saying, “You need to join this activity now,” a youth worker might say, “I wonder whether this part might be interesting,” or “There are a couple of options here.” This reduces pressure and can make participation feel safer.</w:t>
      </w:r>
    </w:p>
    <w:p w14:paraId="16DF07C1"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Another helpful strategy is to offer meaningful choices. Choice increases a sense of control, which is particularly important for individuals with PDA. However, choices must be genuine and manageable. Too many options may become overwhelming, while false choices may damage trust. Small choices, such as where to sit, which activity to start with, or how to complete a task, can make a significant difference.</w:t>
      </w:r>
    </w:p>
    <w:p w14:paraId="053943FE"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 xml:space="preserve">Building strong relationships is also central. Young people with PDA often respond better when they feel safe, respected, and understood. A trusting relationship allows the worker to recognise early signs of distress, adapt their approach, and support the young person without escalating the situation. Humour, creativity, and a calm tone can be useful when appropriate, </w:t>
      </w:r>
      <w:proofErr w:type="gramStart"/>
      <w:r w:rsidRPr="000D585E">
        <w:rPr>
          <w:rFonts w:ascii="Arial" w:eastAsia="Times New Roman" w:hAnsi="Arial" w:cs="Arial"/>
          <w:color w:val="000000"/>
          <w:kern w:val="0"/>
          <w:lang w:eastAsia="en-GB"/>
          <w14:ligatures w14:val="none"/>
        </w:rPr>
        <w:t>as long as</w:t>
      </w:r>
      <w:proofErr w:type="gramEnd"/>
      <w:r w:rsidRPr="000D585E">
        <w:rPr>
          <w:rFonts w:ascii="Arial" w:eastAsia="Times New Roman" w:hAnsi="Arial" w:cs="Arial"/>
          <w:color w:val="000000"/>
          <w:kern w:val="0"/>
          <w:lang w:eastAsia="en-GB"/>
          <w14:ligatures w14:val="none"/>
        </w:rPr>
        <w:t xml:space="preserve"> they are not used dismissively.</w:t>
      </w:r>
    </w:p>
    <w:p w14:paraId="00F228B1"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Youth workers should also pay attention to environmental factors. Busy, noisy, unpredictable, or highly structured environments may increase anxiety for some young people with PDA. Providing a quieter space, flexible transitions, and time to regulate can support better engagement. It is also important to recognise that a young person may not be able to participate in the same way every day. Inclusion does not always mean full participation in every activity; sometimes it means adapting expectations to what is manageable at that time.</w:t>
      </w:r>
    </w:p>
    <w:p w14:paraId="650FB15E"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 xml:space="preserve">Collaboration with families, carers, schools, and other professionals may also be helpful, </w:t>
      </w:r>
      <w:proofErr w:type="gramStart"/>
      <w:r w:rsidRPr="000D585E">
        <w:rPr>
          <w:rFonts w:ascii="Arial" w:eastAsia="Times New Roman" w:hAnsi="Arial" w:cs="Arial"/>
          <w:color w:val="000000"/>
          <w:kern w:val="0"/>
          <w:lang w:eastAsia="en-GB"/>
          <w14:ligatures w14:val="none"/>
        </w:rPr>
        <w:t>as long as</w:t>
      </w:r>
      <w:proofErr w:type="gramEnd"/>
      <w:r w:rsidRPr="000D585E">
        <w:rPr>
          <w:rFonts w:ascii="Arial" w:eastAsia="Times New Roman" w:hAnsi="Arial" w:cs="Arial"/>
          <w:color w:val="000000"/>
          <w:kern w:val="0"/>
          <w:lang w:eastAsia="en-GB"/>
          <w14:ligatures w14:val="none"/>
        </w:rPr>
        <w:t xml:space="preserve"> confidentiality and information-sharing procedures are followed appropriately. Consistency across settings can make support more effective, </w:t>
      </w:r>
      <w:r w:rsidRPr="000D585E">
        <w:rPr>
          <w:rFonts w:ascii="Arial" w:eastAsia="Times New Roman" w:hAnsi="Arial" w:cs="Arial"/>
          <w:color w:val="000000"/>
          <w:kern w:val="0"/>
          <w:lang w:eastAsia="en-GB"/>
          <w14:ligatures w14:val="none"/>
        </w:rPr>
        <w:lastRenderedPageBreak/>
        <w:t>especially when there is shared understanding about triggers, successful strategies, and communication preferences.</w:t>
      </w:r>
    </w:p>
    <w:p w14:paraId="26143D4A"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Most importantly, youth workers should avoid seeing the young person as the problem. The challenge often lies in the mismatch between the environment, adult expectations, and the young person’s way of processing demands. Inclusive practice means changing the approach, not trying to force the young person to fit a system that is not meeting their needs.</w:t>
      </w:r>
    </w:p>
    <w:p w14:paraId="71801287" w14:textId="77777777" w:rsidR="000D585E" w:rsidRPr="000D585E" w:rsidRDefault="000D585E" w:rsidP="000D585E">
      <w:pPr>
        <w:spacing w:before="100" w:beforeAutospacing="1" w:after="100" w:afterAutospacing="1" w:line="240" w:lineRule="auto"/>
        <w:outlineLvl w:val="1"/>
        <w:rPr>
          <w:rFonts w:ascii="Arial" w:eastAsia="Times New Roman" w:hAnsi="Arial" w:cs="Arial"/>
          <w:b/>
          <w:bCs/>
          <w:color w:val="000000"/>
          <w:kern w:val="0"/>
          <w:u w:val="single"/>
          <w:lang w:eastAsia="en-GB"/>
          <w14:ligatures w14:val="none"/>
        </w:rPr>
      </w:pPr>
      <w:r w:rsidRPr="000D585E">
        <w:rPr>
          <w:rFonts w:ascii="Arial" w:eastAsia="Times New Roman" w:hAnsi="Arial" w:cs="Arial"/>
          <w:b/>
          <w:bCs/>
          <w:color w:val="000000"/>
          <w:kern w:val="0"/>
          <w:u w:val="single"/>
          <w:lang w:eastAsia="en-GB"/>
          <w14:ligatures w14:val="none"/>
        </w:rPr>
        <w:t>Conclusion</w:t>
      </w:r>
    </w:p>
    <w:p w14:paraId="5953AC4B" w14:textId="52CC9B43"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 xml:space="preserve">The Equality Act 2010 is essential in helping youth workers create safe and inclusive practice for young people with disabilities. By protecting individuals from discrimination, harassment, and victimisation, the Act provides a legal framework that promotes fairness, dignity, and equal opportunity. In youth work settings, this is especially important because young people need to feel safe, respected, and included </w:t>
      </w:r>
      <w:r w:rsidR="00812BC6" w:rsidRPr="000D585E">
        <w:rPr>
          <w:rFonts w:ascii="Arial" w:eastAsia="Times New Roman" w:hAnsi="Arial" w:cs="Arial"/>
          <w:color w:val="000000"/>
          <w:kern w:val="0"/>
          <w:lang w:eastAsia="en-GB"/>
          <w14:ligatures w14:val="none"/>
        </w:rPr>
        <w:t>to</w:t>
      </w:r>
      <w:r w:rsidRPr="000D585E">
        <w:rPr>
          <w:rFonts w:ascii="Arial" w:eastAsia="Times New Roman" w:hAnsi="Arial" w:cs="Arial"/>
          <w:color w:val="000000"/>
          <w:kern w:val="0"/>
          <w:lang w:eastAsia="en-GB"/>
          <w14:ligatures w14:val="none"/>
        </w:rPr>
        <w:t xml:space="preserve"> develop confidence, wellbeing, and a sense of belonging.</w:t>
      </w:r>
    </w:p>
    <w:p w14:paraId="7A059E9F"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This essay has shown that the role of the youth worker is not only to understand the law but to apply it meaningfully in practice. Adhering to the National Occupational Standards supports this by encouraging youth-centred, rights-based, and inclusive approaches. Youth workers must build trusting relationships, safeguard young people, promote voluntary participation, and make reasonable adjustments so that disabled young people can engage fully.</w:t>
      </w:r>
    </w:p>
    <w:p w14:paraId="44A330BF"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The discussion of different disabilities has highlighted that disability is not one single experience. It includes learning difficulties, intellectual disabilities, mental health conditions, physical disabilities, sensory disabilities, hidden disabilities, and neurodivergent profiles. Because of this diversity, inclusive practice must always be flexible and individualised.</w:t>
      </w:r>
    </w:p>
    <w:p w14:paraId="4391FA4F" w14:textId="748F5EDD"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 xml:space="preserve">The </w:t>
      </w:r>
      <w:r w:rsidR="00812BC6" w:rsidRPr="000D585E">
        <w:rPr>
          <w:rFonts w:ascii="Arial" w:eastAsia="Times New Roman" w:hAnsi="Arial" w:cs="Arial"/>
          <w:color w:val="000000"/>
          <w:kern w:val="0"/>
          <w:lang w:eastAsia="en-GB"/>
          <w14:ligatures w14:val="none"/>
        </w:rPr>
        <w:t>focus</w:t>
      </w:r>
      <w:r w:rsidRPr="000D585E">
        <w:rPr>
          <w:rFonts w:ascii="Arial" w:eastAsia="Times New Roman" w:hAnsi="Arial" w:cs="Arial"/>
          <w:color w:val="000000"/>
          <w:kern w:val="0"/>
          <w:lang w:eastAsia="en-GB"/>
          <w14:ligatures w14:val="none"/>
        </w:rPr>
        <w:t xml:space="preserve"> of the essay, however, has been on ASD and PDA. Young people with autism and PDA may face misunderstanding, stereotyping, and exclusion if staff do not understand their needs. The Equality Act 2010 helps protect them by requiring fair treatment and reasonable adjustments. For youth workers, this means using clear communication, reducing barriers, adapting demands, offering choice, and creating safe environments that support emotional regulation and participation.</w:t>
      </w:r>
    </w:p>
    <w:p w14:paraId="523C8A41" w14:textId="77777777" w:rsidR="000D585E" w:rsidRP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The case study of Individual A demonstrated how this can be done in practice. By using person-centred strategies, adapting communication, maintaining dignity, and understanding behaviour in context, it was possible to support a young person with complex needs in a way that upheld both his rights and his wellbeing.</w:t>
      </w:r>
    </w:p>
    <w:p w14:paraId="7790CC7B" w14:textId="77777777" w:rsidR="000D585E" w:rsidRDefault="000D585E" w:rsidP="000D585E">
      <w:pPr>
        <w:spacing w:before="100" w:beforeAutospacing="1" w:after="100" w:afterAutospacing="1" w:line="240" w:lineRule="auto"/>
        <w:rPr>
          <w:rFonts w:ascii="Arial" w:eastAsia="Times New Roman" w:hAnsi="Arial" w:cs="Arial"/>
          <w:color w:val="000000"/>
          <w:kern w:val="0"/>
          <w:lang w:eastAsia="en-GB"/>
          <w14:ligatures w14:val="none"/>
        </w:rPr>
      </w:pPr>
      <w:r w:rsidRPr="000D585E">
        <w:rPr>
          <w:rFonts w:ascii="Arial" w:eastAsia="Times New Roman" w:hAnsi="Arial" w:cs="Arial"/>
          <w:color w:val="000000"/>
          <w:kern w:val="0"/>
          <w:lang w:eastAsia="en-GB"/>
          <w14:ligatures w14:val="none"/>
        </w:rPr>
        <w:t>In conclusion, the Equality Act 2010 is a vital tool for inclusive youth work. It supports not only compliance with the law but also the wider values of respect, empowerment, diversity, and social justice. For young people with disabilities, including those with ASD and PDA, inclusive youth work can make a significant difference to their confidence, opportunities, and quality of life.</w:t>
      </w:r>
    </w:p>
    <w:p w14:paraId="6D37A940" w14:textId="6FBD8A48" w:rsidR="003E45AA" w:rsidRPr="003E45AA" w:rsidRDefault="003E45AA" w:rsidP="002D6969">
      <w:pPr>
        <w:rPr>
          <w:b/>
          <w:bCs/>
          <w:u w:val="single"/>
        </w:rPr>
      </w:pPr>
      <w:r w:rsidRPr="003E45AA">
        <w:rPr>
          <w:b/>
          <w:bCs/>
          <w:u w:val="single"/>
        </w:rPr>
        <w:lastRenderedPageBreak/>
        <w:t xml:space="preserve">References </w:t>
      </w:r>
    </w:p>
    <w:p w14:paraId="08BC800D" w14:textId="77F5F615" w:rsidR="002D6969" w:rsidRDefault="003E45AA" w:rsidP="002D6969">
      <w:hyperlink r:id="rId7" w:history="1">
        <w:r w:rsidRPr="00471C17">
          <w:rPr>
            <w:rStyle w:val="Hyperlink"/>
          </w:rPr>
          <w:t>https://www.gov.uk/government/publications/national-occupational-standards</w:t>
        </w:r>
      </w:hyperlink>
      <w:r w:rsidR="002D6969">
        <w:t xml:space="preserve">  24/04/2014</w:t>
      </w:r>
    </w:p>
    <w:p w14:paraId="1456E427" w14:textId="77777777" w:rsidR="00B07139" w:rsidRDefault="00B07139" w:rsidP="00B07139">
      <w:hyperlink r:id="rId8" w:history="1">
        <w:r w:rsidRPr="00471C17">
          <w:rPr>
            <w:rStyle w:val="Hyperlink"/>
          </w:rPr>
          <w:t>https://ww</w:t>
        </w:r>
        <w:r w:rsidRPr="00471C17">
          <w:rPr>
            <w:rStyle w:val="Hyperlink"/>
          </w:rPr>
          <w:t>w</w:t>
        </w:r>
        <w:r w:rsidRPr="00471C17">
          <w:rPr>
            <w:rStyle w:val="Hyperlink"/>
          </w:rPr>
          <w:t>.gov.wales/sites/default/files/publications/2024-10/youth-work-strategy-for-wales.pdf</w:t>
        </w:r>
      </w:hyperlink>
      <w:r>
        <w:t xml:space="preserve"> </w:t>
      </w:r>
    </w:p>
    <w:p w14:paraId="4DC08412" w14:textId="77777777" w:rsidR="00E625E0" w:rsidRDefault="00E625E0" w:rsidP="00E625E0">
      <w:hyperlink r:id="rId9" w:history="1">
        <w:r w:rsidRPr="00471C17">
          <w:rPr>
            <w:rStyle w:val="Hyperlink"/>
          </w:rPr>
          <w:t>https://www.gov.uk/government/consultations/down-syndrome-act-2022-draft-statutory-guidance/down-syndrome-act-2022-draft-statutory-guidance#:~:text=Under%20section%206%20of%20the,carry%20out%20normal%20daily%20activities</w:t>
        </w:r>
      </w:hyperlink>
      <w:r w:rsidRPr="000908FA">
        <w:t>.</w:t>
      </w:r>
      <w:r>
        <w:t xml:space="preserve"> 24.12.25</w:t>
      </w:r>
    </w:p>
    <w:p w14:paraId="5F26A9C7" w14:textId="77777777" w:rsidR="001A5513" w:rsidRDefault="001A5513" w:rsidP="001A5513">
      <w:hyperlink r:id="rId10" w:history="1">
        <w:r w:rsidRPr="00471C17">
          <w:rPr>
            <w:rStyle w:val="Hyperlink"/>
          </w:rPr>
          <w:t>https://www.gov.uk/reasonable-adjustments-for-disabled-workers</w:t>
        </w:r>
      </w:hyperlink>
      <w:r>
        <w:t xml:space="preserve"> </w:t>
      </w:r>
      <w:proofErr w:type="spellStart"/>
      <w:r>
        <w:t>nd</w:t>
      </w:r>
      <w:proofErr w:type="spellEnd"/>
    </w:p>
    <w:p w14:paraId="1F4B4751" w14:textId="77777777" w:rsidR="00773735" w:rsidRDefault="00773735" w:rsidP="00773735">
      <w:pPr>
        <w:pStyle w:val="Heading1"/>
        <w:spacing w:before="0" w:after="120"/>
        <w:rPr>
          <w:color w:val="000000" w:themeColor="text1"/>
          <w:sz w:val="24"/>
          <w:szCs w:val="24"/>
        </w:rPr>
      </w:pPr>
      <w:hyperlink r:id="rId11" w:history="1">
        <w:r w:rsidRPr="00243683">
          <w:rPr>
            <w:rStyle w:val="Hyperlink"/>
            <w:color w:val="000000" w:themeColor="text1"/>
            <w:sz w:val="24"/>
            <w:szCs w:val="24"/>
          </w:rPr>
          <w:t>https://www.medigold-health.com/supporting-employees-with-cerebral-palsy-in-the-workplace/#:~:text=Many%20people%20with%20cerebral%20palsy,ensure%20equity%20in%20the%20workplace</w:t>
        </w:r>
      </w:hyperlink>
      <w:r w:rsidRPr="00243683">
        <w:rPr>
          <w:color w:val="000000" w:themeColor="text1"/>
          <w:sz w:val="24"/>
          <w:szCs w:val="24"/>
        </w:rPr>
        <w:t xml:space="preserve">. </w:t>
      </w:r>
    </w:p>
    <w:p w14:paraId="25FBA487" w14:textId="77777777" w:rsidR="00773735" w:rsidRPr="00243683" w:rsidRDefault="00773735" w:rsidP="00773735">
      <w:pPr>
        <w:pStyle w:val="Heading1"/>
        <w:spacing w:before="0" w:after="120"/>
        <w:rPr>
          <w:rFonts w:ascii="Lato" w:eastAsia="Times New Roman" w:hAnsi="Lato" w:cs="Times New Roman"/>
          <w:color w:val="000000" w:themeColor="text1"/>
          <w:kern w:val="36"/>
          <w:sz w:val="24"/>
          <w:szCs w:val="24"/>
          <w:lang w:eastAsia="en-GB"/>
          <w14:ligatures w14:val="none"/>
        </w:rPr>
      </w:pPr>
      <w:r w:rsidRPr="00243683">
        <w:rPr>
          <w:rFonts w:ascii="Lato" w:eastAsia="Times New Roman" w:hAnsi="Lato" w:cs="Times New Roman"/>
          <w:color w:val="000000" w:themeColor="text1"/>
          <w:kern w:val="36"/>
          <w:sz w:val="24"/>
          <w:szCs w:val="24"/>
          <w:lang w:eastAsia="en-GB"/>
          <w14:ligatures w14:val="none"/>
        </w:rPr>
        <w:t>Supporting employees with cerebral palsy in the workplace</w:t>
      </w:r>
    </w:p>
    <w:p w14:paraId="41E38810" w14:textId="77777777" w:rsidR="00773735" w:rsidRPr="00243683" w:rsidRDefault="00773735" w:rsidP="00773735">
      <w:pPr>
        <w:spacing w:before="100" w:beforeAutospacing="1" w:after="100" w:afterAutospacing="1" w:line="240" w:lineRule="auto"/>
        <w:rPr>
          <w:rFonts w:ascii="Lato" w:eastAsia="Times New Roman" w:hAnsi="Lato" w:cs="Times New Roman"/>
          <w:color w:val="000000" w:themeColor="text1"/>
          <w:kern w:val="0"/>
          <w:lang w:eastAsia="en-GB"/>
          <w14:ligatures w14:val="none"/>
        </w:rPr>
      </w:pPr>
      <w:r w:rsidRPr="00243683">
        <w:rPr>
          <w:rFonts w:ascii="Lato" w:eastAsia="Times New Roman" w:hAnsi="Lato" w:cs="Times New Roman"/>
          <w:color w:val="000000" w:themeColor="text1"/>
          <w:kern w:val="0"/>
          <w:lang w:eastAsia="en-GB"/>
          <w14:ligatures w14:val="none"/>
        </w:rPr>
        <w:t>28/01/26 – Blog, Occupational Health, Wellbeing, Workplace Health &amp; Safety</w:t>
      </w:r>
    </w:p>
    <w:p w14:paraId="44D55824" w14:textId="77777777" w:rsidR="005148E4" w:rsidRDefault="005148E4" w:rsidP="005148E4">
      <w:r>
        <w:t>Type 1:</w:t>
      </w:r>
      <w:r w:rsidRPr="00EB73A9">
        <w:t xml:space="preserve"> </w:t>
      </w:r>
      <w:hyperlink r:id="rId12" w:history="1">
        <w:r w:rsidRPr="00471C17">
          <w:rPr>
            <w:rStyle w:val="Hyperlink"/>
          </w:rPr>
          <w:t>https://www.nhs.uk/conditions/type-1-diabetes/what-is-type-1-diabetes/</w:t>
        </w:r>
      </w:hyperlink>
      <w:r>
        <w:t xml:space="preserve">  31/10/2024</w:t>
      </w:r>
    </w:p>
    <w:p w14:paraId="47A324B6" w14:textId="77777777" w:rsidR="005148E4" w:rsidRDefault="005148E4" w:rsidP="005148E4">
      <w:r>
        <w:t>Type 2:</w:t>
      </w:r>
      <w:r w:rsidRPr="00FE7343">
        <w:t xml:space="preserve"> </w:t>
      </w:r>
      <w:hyperlink r:id="rId13" w:history="1">
        <w:r w:rsidRPr="00471C17">
          <w:rPr>
            <w:rStyle w:val="Hyperlink"/>
          </w:rPr>
          <w:t>https://www.nhs.uk/conditions/type-2-diabetes/what-is-type-2-diabetes/</w:t>
        </w:r>
      </w:hyperlink>
      <w:r>
        <w:t xml:space="preserve">  10/02/2025</w:t>
      </w:r>
    </w:p>
    <w:p w14:paraId="58C42678" w14:textId="41CD54B9" w:rsidR="005148E4" w:rsidRDefault="005148E4" w:rsidP="005148E4">
      <w:hyperlink r:id="rId14" w:history="1">
        <w:r w:rsidRPr="00471C17">
          <w:rPr>
            <w:rStyle w:val="Hyperlink"/>
          </w:rPr>
          <w:t>https://www.diabetes.org.uk/living-with-diabetes/life-with-diabetes/your-legal-rights</w:t>
        </w:r>
      </w:hyperlink>
      <w:r>
        <w:t xml:space="preserve"> </w:t>
      </w:r>
      <w:proofErr w:type="spellStart"/>
      <w:r w:rsidR="003C05F0">
        <w:t>n</w:t>
      </w:r>
      <w:r w:rsidR="003E45AA">
        <w:t>d</w:t>
      </w:r>
      <w:proofErr w:type="spellEnd"/>
    </w:p>
    <w:p w14:paraId="5D4C9649" w14:textId="77777777" w:rsidR="005D1CD8" w:rsidRDefault="005D1CD8" w:rsidP="005D1CD8">
      <w:pPr>
        <w:rPr>
          <w:rFonts w:ascii="Arial" w:hAnsi="Arial" w:cs="Arial"/>
          <w:color w:val="1F1F1F"/>
        </w:rPr>
      </w:pPr>
      <w:hyperlink r:id="rId15" w:history="1">
        <w:r w:rsidRPr="00471C17">
          <w:rPr>
            <w:rStyle w:val="Hyperlink"/>
            <w:rFonts w:ascii="Arial" w:hAnsi="Arial" w:cs="Arial"/>
          </w:rPr>
          <w:t>https://www.gov.wales/support-children-and-young-people-autistic-spectrum-disorder-asd-educational-settings-html#146658</w:t>
        </w:r>
      </w:hyperlink>
      <w:r w:rsidRPr="00ED47BB">
        <w:rPr>
          <w:rFonts w:ascii="Arial" w:hAnsi="Arial" w:cs="Arial"/>
          <w:color w:val="1F1F1F"/>
        </w:rPr>
        <w:t xml:space="preserve"> </w:t>
      </w:r>
    </w:p>
    <w:p w14:paraId="777376BD" w14:textId="77777777" w:rsidR="00510DDC" w:rsidRDefault="00510DDC" w:rsidP="00510DDC">
      <w:pPr>
        <w:rPr>
          <w:rFonts w:ascii="Arial" w:hAnsi="Arial" w:cs="Arial"/>
          <w:color w:val="1F1F1F"/>
        </w:rPr>
      </w:pPr>
      <w:hyperlink r:id="rId16" w:history="1">
        <w:r w:rsidRPr="00471C17">
          <w:rPr>
            <w:rStyle w:val="Hyperlink"/>
            <w:rFonts w:ascii="Arial" w:hAnsi="Arial" w:cs="Arial"/>
          </w:rPr>
          <w:t>https://www.pdasociety.org.uk/what-is-pda/</w:t>
        </w:r>
      </w:hyperlink>
      <w:r>
        <w:rPr>
          <w:rFonts w:ascii="Arial" w:hAnsi="Arial" w:cs="Arial"/>
          <w:color w:val="1F1F1F"/>
        </w:rPr>
        <w:t xml:space="preserve"> </w:t>
      </w:r>
    </w:p>
    <w:p w14:paraId="1591C77E" w14:textId="77777777" w:rsidR="004C7CDA" w:rsidRDefault="004C7CDA" w:rsidP="004C7CDA">
      <w:pPr>
        <w:rPr>
          <w:rFonts w:ascii="Arial" w:hAnsi="Arial" w:cs="Arial"/>
          <w:color w:val="1F1F1F"/>
        </w:rPr>
      </w:pPr>
      <w:hyperlink r:id="rId17" w:history="1">
        <w:r w:rsidRPr="00471C17">
          <w:rPr>
            <w:rStyle w:val="Hyperlink"/>
            <w:rFonts w:ascii="Arial" w:hAnsi="Arial" w:cs="Arial"/>
          </w:rPr>
          <w:t>https://111.wales.nhs.uk/privacypolicy/defaultNew.aspx#:~:text=The%20UK%20General%20Data%20Protection,personal%20information%20by%20the%20NHS</w:t>
        </w:r>
      </w:hyperlink>
      <w:r w:rsidRPr="000F5B7E">
        <w:rPr>
          <w:rFonts w:ascii="Arial" w:hAnsi="Arial" w:cs="Arial"/>
          <w:color w:val="1F1F1F"/>
        </w:rPr>
        <w:t>.</w:t>
      </w:r>
      <w:r>
        <w:rPr>
          <w:rFonts w:ascii="Arial" w:hAnsi="Arial" w:cs="Arial"/>
          <w:color w:val="1F1F1F"/>
        </w:rPr>
        <w:t xml:space="preserve"> </w:t>
      </w:r>
    </w:p>
    <w:p w14:paraId="4AAC93FC" w14:textId="77777777" w:rsidR="00793B39" w:rsidRPr="000D585E" w:rsidRDefault="00793B39">
      <w:pPr>
        <w:rPr>
          <w:rFonts w:ascii="Arial" w:hAnsi="Arial" w:cs="Arial"/>
        </w:rPr>
      </w:pPr>
    </w:p>
    <w:sectPr w:rsidR="00793B39" w:rsidRPr="000D585E">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16A668" w14:textId="77777777" w:rsidR="00A37B53" w:rsidRDefault="00A37B53" w:rsidP="00514729">
      <w:pPr>
        <w:spacing w:after="0" w:line="240" w:lineRule="auto"/>
      </w:pPr>
      <w:r>
        <w:separator/>
      </w:r>
    </w:p>
  </w:endnote>
  <w:endnote w:type="continuationSeparator" w:id="0">
    <w:p w14:paraId="6FDEC7B5" w14:textId="77777777" w:rsidR="00A37B53" w:rsidRDefault="00A37B53" w:rsidP="005147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Lato">
    <w:panose1 w:val="020F0502020204030203"/>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2589785"/>
      <w:docPartObj>
        <w:docPartGallery w:val="Page Numbers (Bottom of Page)"/>
        <w:docPartUnique/>
      </w:docPartObj>
    </w:sdtPr>
    <w:sdtContent>
      <w:p w14:paraId="144FC788" w14:textId="317F89DA" w:rsidR="004D486D" w:rsidRDefault="004D486D" w:rsidP="00471C1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C4D464C" w14:textId="77777777" w:rsidR="004D486D" w:rsidRDefault="004D48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57760673"/>
      <w:docPartObj>
        <w:docPartGallery w:val="Page Numbers (Bottom of Page)"/>
        <w:docPartUnique/>
      </w:docPartObj>
    </w:sdtPr>
    <w:sdtContent>
      <w:p w14:paraId="425690AB" w14:textId="53BD72D4" w:rsidR="004D486D" w:rsidRDefault="004D486D" w:rsidP="00471C1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D8E907" w14:textId="77777777" w:rsidR="004D486D" w:rsidRDefault="004D48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9B752E" w14:textId="77777777" w:rsidR="00A37B53" w:rsidRDefault="00A37B53" w:rsidP="00514729">
      <w:pPr>
        <w:spacing w:after="0" w:line="240" w:lineRule="auto"/>
      </w:pPr>
      <w:r>
        <w:separator/>
      </w:r>
    </w:p>
  </w:footnote>
  <w:footnote w:type="continuationSeparator" w:id="0">
    <w:p w14:paraId="7389557D" w14:textId="77777777" w:rsidR="00A37B53" w:rsidRDefault="00A37B53" w:rsidP="005147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A6743B" w14:textId="606F1D19" w:rsidR="00514729" w:rsidRDefault="00514729" w:rsidP="004D486D">
    <w:pPr>
      <w:pStyle w:val="Header"/>
      <w:ind w:left="7200"/>
    </w:pPr>
    <w:r>
      <w:t>ECYW4011</w:t>
    </w:r>
  </w:p>
  <w:p w14:paraId="4BC131A3" w14:textId="742509FE" w:rsidR="00514729" w:rsidRDefault="00514729" w:rsidP="004D486D">
    <w:pPr>
      <w:pStyle w:val="Header"/>
      <w:ind w:left="7200"/>
    </w:pPr>
    <w:r>
      <w:t>2518127</w:t>
    </w:r>
  </w:p>
  <w:p w14:paraId="51A530FB" w14:textId="30D9EFA6" w:rsidR="00514729" w:rsidRDefault="00534EB1" w:rsidP="004D486D">
    <w:pPr>
      <w:pStyle w:val="Header"/>
      <w:ind w:left="7200"/>
    </w:pPr>
    <w:r>
      <w:t>Word count</w:t>
    </w:r>
    <w:r w:rsidR="004D486D">
      <w:t>:3993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2F4760"/>
    <w:multiLevelType w:val="multilevel"/>
    <w:tmpl w:val="DAB840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F130994"/>
    <w:multiLevelType w:val="multilevel"/>
    <w:tmpl w:val="59A21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02056653">
    <w:abstractNumId w:val="1"/>
  </w:num>
  <w:num w:numId="2" w16cid:durableId="1210341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85E"/>
    <w:rsid w:val="000D585E"/>
    <w:rsid w:val="00155B51"/>
    <w:rsid w:val="001A5513"/>
    <w:rsid w:val="00211F8D"/>
    <w:rsid w:val="00296F37"/>
    <w:rsid w:val="002D6969"/>
    <w:rsid w:val="00302CF9"/>
    <w:rsid w:val="003260F9"/>
    <w:rsid w:val="003C05F0"/>
    <w:rsid w:val="003E45AA"/>
    <w:rsid w:val="00436FBA"/>
    <w:rsid w:val="004C7CDA"/>
    <w:rsid w:val="004D3D3E"/>
    <w:rsid w:val="004D486D"/>
    <w:rsid w:val="004F4A84"/>
    <w:rsid w:val="00510DDC"/>
    <w:rsid w:val="00514729"/>
    <w:rsid w:val="005148E4"/>
    <w:rsid w:val="00534EB1"/>
    <w:rsid w:val="005350FE"/>
    <w:rsid w:val="00566458"/>
    <w:rsid w:val="005D1CD8"/>
    <w:rsid w:val="00620FAD"/>
    <w:rsid w:val="00773735"/>
    <w:rsid w:val="00793B39"/>
    <w:rsid w:val="00812BC6"/>
    <w:rsid w:val="008B6A7F"/>
    <w:rsid w:val="0090584C"/>
    <w:rsid w:val="009C2ED9"/>
    <w:rsid w:val="00A37B53"/>
    <w:rsid w:val="00B07139"/>
    <w:rsid w:val="00B97925"/>
    <w:rsid w:val="00BD72D7"/>
    <w:rsid w:val="00C07592"/>
    <w:rsid w:val="00CA7176"/>
    <w:rsid w:val="00E07986"/>
    <w:rsid w:val="00E263B0"/>
    <w:rsid w:val="00E625E0"/>
    <w:rsid w:val="00F60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CC8FA7"/>
  <w15:chartTrackingRefBased/>
  <w15:docId w15:val="{31B37235-47CC-9940-A1E6-7A4CB12A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585E"/>
  </w:style>
  <w:style w:type="paragraph" w:styleId="Heading1">
    <w:name w:val="heading 1"/>
    <w:basedOn w:val="Normal"/>
    <w:next w:val="Normal"/>
    <w:link w:val="Heading1Char"/>
    <w:uiPriority w:val="9"/>
    <w:qFormat/>
    <w:rsid w:val="000D58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58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58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58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58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58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8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8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8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8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58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58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58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58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58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8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8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85E"/>
    <w:rPr>
      <w:rFonts w:eastAsiaTheme="majorEastAsia" w:cstheme="majorBidi"/>
      <w:color w:val="272727" w:themeColor="text1" w:themeTint="D8"/>
    </w:rPr>
  </w:style>
  <w:style w:type="paragraph" w:styleId="Title">
    <w:name w:val="Title"/>
    <w:basedOn w:val="Normal"/>
    <w:next w:val="Normal"/>
    <w:link w:val="TitleChar"/>
    <w:uiPriority w:val="10"/>
    <w:qFormat/>
    <w:rsid w:val="000D58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8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8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8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85E"/>
    <w:pPr>
      <w:spacing w:before="160"/>
      <w:jc w:val="center"/>
    </w:pPr>
    <w:rPr>
      <w:i/>
      <w:iCs/>
      <w:color w:val="404040" w:themeColor="text1" w:themeTint="BF"/>
    </w:rPr>
  </w:style>
  <w:style w:type="character" w:customStyle="1" w:styleId="QuoteChar">
    <w:name w:val="Quote Char"/>
    <w:basedOn w:val="DefaultParagraphFont"/>
    <w:link w:val="Quote"/>
    <w:uiPriority w:val="29"/>
    <w:rsid w:val="000D585E"/>
    <w:rPr>
      <w:i/>
      <w:iCs/>
      <w:color w:val="404040" w:themeColor="text1" w:themeTint="BF"/>
    </w:rPr>
  </w:style>
  <w:style w:type="paragraph" w:styleId="ListParagraph">
    <w:name w:val="List Paragraph"/>
    <w:basedOn w:val="Normal"/>
    <w:uiPriority w:val="34"/>
    <w:qFormat/>
    <w:rsid w:val="000D585E"/>
    <w:pPr>
      <w:ind w:left="720"/>
      <w:contextualSpacing/>
    </w:pPr>
  </w:style>
  <w:style w:type="character" w:styleId="IntenseEmphasis">
    <w:name w:val="Intense Emphasis"/>
    <w:basedOn w:val="DefaultParagraphFont"/>
    <w:uiPriority w:val="21"/>
    <w:qFormat/>
    <w:rsid w:val="000D585E"/>
    <w:rPr>
      <w:i/>
      <w:iCs/>
      <w:color w:val="0F4761" w:themeColor="accent1" w:themeShade="BF"/>
    </w:rPr>
  </w:style>
  <w:style w:type="paragraph" w:styleId="IntenseQuote">
    <w:name w:val="Intense Quote"/>
    <w:basedOn w:val="Normal"/>
    <w:next w:val="Normal"/>
    <w:link w:val="IntenseQuoteChar"/>
    <w:uiPriority w:val="30"/>
    <w:qFormat/>
    <w:rsid w:val="000D58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585E"/>
    <w:rPr>
      <w:i/>
      <w:iCs/>
      <w:color w:val="0F4761" w:themeColor="accent1" w:themeShade="BF"/>
    </w:rPr>
  </w:style>
  <w:style w:type="character" w:styleId="IntenseReference">
    <w:name w:val="Intense Reference"/>
    <w:basedOn w:val="DefaultParagraphFont"/>
    <w:uiPriority w:val="32"/>
    <w:qFormat/>
    <w:rsid w:val="000D585E"/>
    <w:rPr>
      <w:b/>
      <w:bCs/>
      <w:smallCaps/>
      <w:color w:val="0F4761" w:themeColor="accent1" w:themeShade="BF"/>
      <w:spacing w:val="5"/>
    </w:rPr>
  </w:style>
  <w:style w:type="character" w:styleId="Hyperlink">
    <w:name w:val="Hyperlink"/>
    <w:basedOn w:val="DefaultParagraphFont"/>
    <w:uiPriority w:val="99"/>
    <w:unhideWhenUsed/>
    <w:rsid w:val="000D585E"/>
    <w:rPr>
      <w:color w:val="467886" w:themeColor="hyperlink"/>
      <w:u w:val="single"/>
    </w:rPr>
  </w:style>
  <w:style w:type="character" w:styleId="FollowedHyperlink">
    <w:name w:val="FollowedHyperlink"/>
    <w:basedOn w:val="DefaultParagraphFont"/>
    <w:uiPriority w:val="99"/>
    <w:semiHidden/>
    <w:unhideWhenUsed/>
    <w:rsid w:val="000D585E"/>
    <w:rPr>
      <w:color w:val="96607D" w:themeColor="followedHyperlink"/>
      <w:u w:val="single"/>
    </w:rPr>
  </w:style>
  <w:style w:type="paragraph" w:styleId="NormalWeb">
    <w:name w:val="Normal (Web)"/>
    <w:basedOn w:val="Normal"/>
    <w:uiPriority w:val="99"/>
    <w:semiHidden/>
    <w:unhideWhenUsed/>
    <w:rsid w:val="000D585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D585E"/>
    <w:rPr>
      <w:b/>
      <w:bCs/>
    </w:rPr>
  </w:style>
  <w:style w:type="character" w:customStyle="1" w:styleId="apple-converted-space">
    <w:name w:val="apple-converted-space"/>
    <w:basedOn w:val="DefaultParagraphFont"/>
    <w:rsid w:val="000D585E"/>
  </w:style>
  <w:style w:type="character" w:styleId="UnresolvedMention">
    <w:name w:val="Unresolved Mention"/>
    <w:basedOn w:val="DefaultParagraphFont"/>
    <w:uiPriority w:val="99"/>
    <w:semiHidden/>
    <w:unhideWhenUsed/>
    <w:rsid w:val="00E07986"/>
    <w:rPr>
      <w:color w:val="605E5C"/>
      <w:shd w:val="clear" w:color="auto" w:fill="E1DFDD"/>
    </w:rPr>
  </w:style>
  <w:style w:type="paragraph" w:styleId="Header">
    <w:name w:val="header"/>
    <w:basedOn w:val="Normal"/>
    <w:link w:val="HeaderChar"/>
    <w:uiPriority w:val="99"/>
    <w:unhideWhenUsed/>
    <w:rsid w:val="005147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4729"/>
  </w:style>
  <w:style w:type="paragraph" w:styleId="Footer">
    <w:name w:val="footer"/>
    <w:basedOn w:val="Normal"/>
    <w:link w:val="FooterChar"/>
    <w:uiPriority w:val="99"/>
    <w:unhideWhenUsed/>
    <w:rsid w:val="005147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4729"/>
  </w:style>
  <w:style w:type="character" w:styleId="PageNumber">
    <w:name w:val="page number"/>
    <w:basedOn w:val="DefaultParagraphFont"/>
    <w:uiPriority w:val="99"/>
    <w:semiHidden/>
    <w:unhideWhenUsed/>
    <w:rsid w:val="004D48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24-10/youth-work-strategy-for-wales.pdf" TargetMode="External"/><Relationship Id="rId13" Type="http://schemas.openxmlformats.org/officeDocument/2006/relationships/hyperlink" Target="https://www.nhs.uk/conditions/type-2-diabetes/what-is-type-2-diabete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gov.uk/government/publications/national-occupational-standards" TargetMode="External"/><Relationship Id="rId12" Type="http://schemas.openxmlformats.org/officeDocument/2006/relationships/hyperlink" Target="https://www.nhs.uk/conditions/type-1-diabetes/what-is-type-1-diabetes/" TargetMode="External"/><Relationship Id="rId17" Type="http://schemas.openxmlformats.org/officeDocument/2006/relationships/hyperlink" Target="https://111.wales.nhs.uk/privacypolicy/defaultNew.aspx#:~:text=The%20UK%20General%20Data%20Protection,personal%20information%20by%20the%20NHS" TargetMode="External"/><Relationship Id="rId2" Type="http://schemas.openxmlformats.org/officeDocument/2006/relationships/styles" Target="styles.xml"/><Relationship Id="rId16" Type="http://schemas.openxmlformats.org/officeDocument/2006/relationships/hyperlink" Target="https://www.pdasociety.org.uk/what-is-pda/"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digold-health.com/supporting-employees-with-cerebral-palsy-in-the-workplace/#:~:text=Many%20people%20with%20cerebral%20palsy,ensure%20equity%20in%20the%20workplace" TargetMode="External"/><Relationship Id="rId5" Type="http://schemas.openxmlformats.org/officeDocument/2006/relationships/footnotes" Target="footnotes.xml"/><Relationship Id="rId15" Type="http://schemas.openxmlformats.org/officeDocument/2006/relationships/hyperlink" Target="https://www.gov.wales/support-children-and-young-people-autistic-spectrum-disorder-asd-educational-settings-html#146658" TargetMode="External"/><Relationship Id="rId10" Type="http://schemas.openxmlformats.org/officeDocument/2006/relationships/hyperlink" Target="https://www.gov.uk/reasonable-adjustments-for-disabled-worker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uk/government/consultations/down-syndrome-act-2022-draft-statutory-guidance/down-syndrome-act-2022-draft-statutory-guidance#:~:text=Under%20section%206%20of%20the,carry%20out%20normal%20daily%20activities" TargetMode="External"/><Relationship Id="rId14" Type="http://schemas.openxmlformats.org/officeDocument/2006/relationships/hyperlink" Target="https://www.diabetes.org.uk/living-with-diabetes/life-with-diabetes/your-legal-righ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26</TotalTime>
  <Pages>10</Pages>
  <Words>4502</Words>
  <Characters>25668</Characters>
  <Application>Microsoft Office Word</Application>
  <DocSecurity>0</DocSecurity>
  <Lines>213</Lines>
  <Paragraphs>60</Paragraphs>
  <ScaleCrop>false</ScaleCrop>
  <Company/>
  <LinksUpToDate>false</LinksUpToDate>
  <CharactersWithSpaces>30110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Greenslade (2518127)</dc:creator>
  <cp:keywords/>
  <dc:description/>
  <cp:lastModifiedBy>Chloe Greenslade (2518127)</cp:lastModifiedBy>
  <cp:revision>33</cp:revision>
  <dcterms:created xsi:type="dcterms:W3CDTF">2026-04-21T13:35:00Z</dcterms:created>
  <dcterms:modified xsi:type="dcterms:W3CDTF">2026-04-21T18:36:00Z</dcterms:modified>
</cp:coreProperties>
</file>