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A2EAB2" w14:textId="706AB4EE" w:rsidR="00376019" w:rsidRPr="00376019" w:rsidRDefault="00376019" w:rsidP="00631C2B">
      <w:pPr>
        <w:shd w:val="clear" w:color="auto" w:fill="FFFFFF"/>
        <w:spacing w:after="0" w:line="240" w:lineRule="auto"/>
        <w:rPr>
          <w:rFonts w:ascii="Quire Sans" w:eastAsia="Times New Roman" w:hAnsi="Quire Sans" w:cs="Quire Sans"/>
          <w:b/>
          <w:bCs/>
          <w:color w:val="000000"/>
          <w:sz w:val="24"/>
          <w:szCs w:val="24"/>
          <w:u w:val="single"/>
          <w:lang w:eastAsia="en-GB"/>
        </w:rPr>
      </w:pPr>
      <w:r w:rsidRPr="00376019">
        <w:rPr>
          <w:rFonts w:ascii="Quire Sans" w:eastAsia="Times New Roman" w:hAnsi="Quire Sans" w:cs="Quire Sans"/>
          <w:b/>
          <w:bCs/>
          <w:color w:val="000000"/>
          <w:sz w:val="24"/>
          <w:szCs w:val="24"/>
          <w:u w:val="single"/>
          <w:lang w:eastAsia="en-GB"/>
        </w:rPr>
        <w:t xml:space="preserve">Reform </w:t>
      </w:r>
      <w:proofErr w:type="gramStart"/>
      <w:r w:rsidRPr="00376019">
        <w:rPr>
          <w:rFonts w:ascii="Quire Sans" w:eastAsia="Times New Roman" w:hAnsi="Quire Sans" w:cs="Quire Sans"/>
          <w:b/>
          <w:bCs/>
          <w:color w:val="000000"/>
          <w:sz w:val="24"/>
          <w:szCs w:val="24"/>
          <w:u w:val="single"/>
          <w:lang w:eastAsia="en-GB"/>
        </w:rPr>
        <w:t>Of</w:t>
      </w:r>
      <w:proofErr w:type="gramEnd"/>
      <w:r w:rsidRPr="00376019">
        <w:rPr>
          <w:rFonts w:ascii="Quire Sans" w:eastAsia="Times New Roman" w:hAnsi="Quire Sans" w:cs="Quire Sans"/>
          <w:b/>
          <w:bCs/>
          <w:color w:val="000000"/>
          <w:sz w:val="24"/>
          <w:szCs w:val="24"/>
          <w:u w:val="single"/>
          <w:lang w:eastAsia="en-GB"/>
        </w:rPr>
        <w:t xml:space="preserve"> Non-Fatal Offences Against The Person by Nagina Bibi 1806584</w:t>
      </w:r>
    </w:p>
    <w:p w14:paraId="5EA4C13B" w14:textId="77777777" w:rsidR="00376019" w:rsidRDefault="00376019" w:rsidP="00631C2B">
      <w:pPr>
        <w:shd w:val="clear" w:color="auto" w:fill="FFFFFF"/>
        <w:spacing w:after="0" w:line="240" w:lineRule="auto"/>
        <w:rPr>
          <w:rFonts w:ascii="Quire Sans" w:eastAsia="Times New Roman" w:hAnsi="Quire Sans" w:cs="Quire Sans"/>
          <w:color w:val="000000"/>
          <w:sz w:val="24"/>
          <w:szCs w:val="24"/>
          <w:lang w:eastAsia="en-GB"/>
        </w:rPr>
      </w:pPr>
    </w:p>
    <w:p w14:paraId="42C87BD0" w14:textId="75126B21"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It is a crime to cause any kind of bodily harm to any individual as some attacks can lead to serious injuries and be life threatening. However, none-fatal offences are crimes committed that did not result in any serious death. However, to be convicted of a nonfatal offence you must prove the following, type of nonfatal offence, chain of causation, does the offence fall under mens rea or actual reus.</w:t>
      </w:r>
    </w:p>
    <w:p w14:paraId="2042A472"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37AB60A3"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This is established by the chain of causation, the actus reus and men’s reus. The actus reus means any “action or conduct which is a constituent element of a crime, as opposed to the mental state of the accused” this “refers to the act or omission that comprise the physical elements of a crime as required by statute”.  Furthermore, Actus reus: “an act which is more than merely preparatory to the commission of the offence” – S. 1(1) Criminal Attempts Act 19813. The second being Mens Rea, means it means to have a “guilty mind” (literal translation in Latin) and the mental element.  Mens rea meaning according to law is “the intention or knowledge of wrongdoing that constitutes part of a crime, as opposed to the action or conduct of the accused.”</w:t>
      </w:r>
    </w:p>
    <w:p w14:paraId="44A72209"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5AD17E6C" w14:textId="55427E24"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The different kinds of nonfatal attacks are battery, wounding, grievous bodily harm with intent (GBH), administrating poison and acid. If person A </w:t>
      </w:r>
      <w:r w:rsidR="001F6E4E" w:rsidRPr="00631C2B">
        <w:rPr>
          <w:rFonts w:ascii="Quire Sans" w:eastAsia="Times New Roman" w:hAnsi="Quire Sans" w:cs="Quire Sans"/>
          <w:color w:val="000000"/>
          <w:sz w:val="24"/>
          <w:szCs w:val="24"/>
          <w:lang w:eastAsia="en-GB"/>
        </w:rPr>
        <w:t>were</w:t>
      </w:r>
      <w:r w:rsidRPr="00631C2B">
        <w:rPr>
          <w:rFonts w:ascii="Quire Sans" w:eastAsia="Times New Roman" w:hAnsi="Quire Sans" w:cs="Quire Sans"/>
          <w:color w:val="000000"/>
          <w:sz w:val="24"/>
          <w:szCs w:val="24"/>
          <w:lang w:eastAsia="en-GB"/>
        </w:rPr>
        <w:t xml:space="preserve"> to commit assault any of the assaults listed above, person A must show intent of harming person B, their knowledge, actions, intention and recklessness shows their true intent in harming an innocent, person B. These are key factors when understanding the state of mind that B was under during the time of the attack. </w:t>
      </w:r>
    </w:p>
    <w:p w14:paraId="3F84F14A" w14:textId="6B33B576"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3C66B6A7" w14:textId="77BCF04F" w:rsidR="00576703" w:rsidRDefault="00631C2B" w:rsidP="0057670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To commit a nonfatal defence, it does not need to be an assault that is physical or verbal, but any form of threat that can affect any individual mentally too.  A threat by aggression with or without physical touch, can sufficiently Can prompt a conviction in the eyes of English law and the courts. An attempt or fully demonstrate battery such as a punch, expresses force and assault. Furthermore, any physical touch that is not consent is also an assault, these kinds of cases are typically seen in sexual harassment or rape cases.</w:t>
      </w:r>
      <w:r w:rsidR="00576703">
        <w:rPr>
          <w:rFonts w:ascii="Quire Sans" w:eastAsia="Times New Roman" w:hAnsi="Quire Sans" w:cs="Quire Sans"/>
          <w:color w:val="000000"/>
          <w:sz w:val="24"/>
          <w:szCs w:val="24"/>
          <w:lang w:eastAsia="en-GB"/>
        </w:rPr>
        <w:t xml:space="preserve"> The following three cases will demonstrate this</w:t>
      </w:r>
      <w:r w:rsidR="00336D63">
        <w:rPr>
          <w:rFonts w:ascii="Quire Sans" w:eastAsia="Times New Roman" w:hAnsi="Quire Sans" w:cs="Quire Sans"/>
          <w:color w:val="000000"/>
          <w:sz w:val="24"/>
          <w:szCs w:val="24"/>
          <w:lang w:eastAsia="en-GB"/>
        </w:rPr>
        <w:t xml:space="preserve"> in act. </w:t>
      </w:r>
    </w:p>
    <w:p w14:paraId="5389E23C" w14:textId="64F944D6" w:rsid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5C85C71F" w14:textId="692D5103" w:rsidR="00CA4AE3" w:rsidRPr="00631C2B"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In the case of </w:t>
      </w:r>
      <w:r w:rsidR="00376019">
        <w:rPr>
          <w:rFonts w:ascii="Quire Sans" w:eastAsia="Times New Roman" w:hAnsi="Quire Sans" w:cs="Quire Sans"/>
          <w:color w:val="000000"/>
          <w:sz w:val="24"/>
          <w:szCs w:val="24"/>
          <w:lang w:eastAsia="en-GB"/>
        </w:rPr>
        <w:t>R</w:t>
      </w:r>
      <w:r w:rsidRPr="00631C2B">
        <w:rPr>
          <w:rFonts w:ascii="Quire Sans" w:eastAsia="Times New Roman" w:hAnsi="Quire Sans" w:cs="Quire Sans"/>
          <w:color w:val="000000"/>
          <w:sz w:val="24"/>
          <w:szCs w:val="24"/>
          <w:lang w:eastAsia="en-GB"/>
        </w:rPr>
        <w:t xml:space="preserve"> v </w:t>
      </w:r>
      <w:r w:rsidR="00376019">
        <w:rPr>
          <w:rFonts w:ascii="Quire Sans" w:eastAsia="Times New Roman" w:hAnsi="Quire Sans" w:cs="Quire Sans"/>
          <w:color w:val="000000"/>
          <w:sz w:val="24"/>
          <w:szCs w:val="24"/>
          <w:lang w:eastAsia="en-GB"/>
        </w:rPr>
        <w:t>C</w:t>
      </w:r>
      <w:r w:rsidRPr="00631C2B">
        <w:rPr>
          <w:rFonts w:ascii="Quire Sans" w:eastAsia="Times New Roman" w:hAnsi="Quire Sans" w:cs="Quire Sans"/>
          <w:color w:val="000000"/>
          <w:sz w:val="24"/>
          <w:szCs w:val="24"/>
          <w:lang w:eastAsia="en-GB"/>
        </w:rPr>
        <w:t xml:space="preserve">onstanza 1997, the defendant sends </w:t>
      </w:r>
      <w:r>
        <w:rPr>
          <w:rFonts w:ascii="Quire Sans" w:eastAsia="Times New Roman" w:hAnsi="Quire Sans" w:cs="Quire Sans"/>
          <w:color w:val="000000"/>
          <w:sz w:val="24"/>
          <w:szCs w:val="24"/>
          <w:lang w:eastAsia="en-GB"/>
        </w:rPr>
        <w:t>800</w:t>
      </w:r>
      <w:r w:rsidRPr="00631C2B">
        <w:rPr>
          <w:rFonts w:ascii="Quire Sans" w:eastAsia="Times New Roman" w:hAnsi="Quire Sans" w:cs="Quire Sans"/>
          <w:color w:val="000000"/>
          <w:sz w:val="24"/>
          <w:szCs w:val="24"/>
          <w:lang w:eastAsia="en-GB"/>
        </w:rPr>
        <w:t xml:space="preserve"> letters to an ex female co-worker, drove past her residence, stole some of her clothing’s, wrote verbally offensive words on her house door, followed her home, and sent her two threatening letters. Her fear of the defendant became too severe that she was diagnosed with clinical depression and anxiety due to his aggressive and progressive behaviour. The issue arose with this case as it was needed to be proved if the man’s behaviour was enough for him to be convicted of assault without physically touching the victim. Was the fear alone enough, as unlawful </w:t>
      </w:r>
      <w:r w:rsidRPr="00631C2B">
        <w:rPr>
          <w:rFonts w:ascii="Quire Sans" w:eastAsia="Times New Roman" w:hAnsi="Quire Sans" w:cs="Quire Sans"/>
          <w:color w:val="212529"/>
          <w:sz w:val="24"/>
          <w:szCs w:val="24"/>
          <w:lang w:eastAsia="en-GB"/>
        </w:rPr>
        <w:t>violence to constitute an assault under </w:t>
      </w:r>
      <w:r w:rsidRPr="00631C2B">
        <w:rPr>
          <w:rFonts w:ascii="Quire Sans" w:eastAsia="Times New Roman" w:hAnsi="Quire Sans" w:cs="Quire Sans"/>
          <w:b/>
          <w:bCs/>
          <w:color w:val="212529"/>
          <w:sz w:val="24"/>
          <w:szCs w:val="24"/>
          <w:lang w:eastAsia="en-GB"/>
        </w:rPr>
        <w:t>Offences Against a Person Act 1861 s. 47 for the defendant to be charged. </w:t>
      </w:r>
    </w:p>
    <w:p w14:paraId="1334E767" w14:textId="77777777" w:rsidR="00CA4AE3" w:rsidRPr="00631C2B"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b/>
          <w:bCs/>
          <w:color w:val="212529"/>
          <w:sz w:val="24"/>
          <w:szCs w:val="24"/>
          <w:lang w:eastAsia="en-GB"/>
        </w:rPr>
        <w:t> </w:t>
      </w:r>
    </w:p>
    <w:p w14:paraId="6F9E068C" w14:textId="77777777" w:rsidR="00CA4AE3" w:rsidRPr="00631C2B"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212529"/>
          <w:sz w:val="24"/>
          <w:szCs w:val="24"/>
          <w:lang w:eastAsia="en-GB"/>
        </w:rPr>
        <w:t xml:space="preserve">The Court held, the defendant’s actions and threatening words alone are to be seek sufficient and can be constitute an assault, despite there being no direct physical contact. This was allowed as the customs fear was seen immediate and sincere with the </w:t>
      </w:r>
      <w:r w:rsidRPr="00631C2B">
        <w:rPr>
          <w:rFonts w:ascii="Quire Sans" w:eastAsia="Times New Roman" w:hAnsi="Quire Sans" w:cs="Quire Sans"/>
          <w:color w:val="212529"/>
          <w:sz w:val="24"/>
          <w:szCs w:val="24"/>
          <w:lang w:eastAsia="en-GB"/>
        </w:rPr>
        <w:lastRenderedPageBreak/>
        <w:t>actions of the defendant being so severe. The victim was in constant fear that his behaviour could get aggressive enough for him to Permanently cause serious and severe damage to her or her property as his obsession kept progressing. Despite the defendant’s plea that his action was nowhere near to be assault. The defendants appeal was overruled, his actions were seen to be</w:t>
      </w:r>
      <w:r>
        <w:rPr>
          <w:rFonts w:ascii="Quire Sans" w:eastAsia="Times New Roman" w:hAnsi="Quire Sans" w:cs="Quire Sans"/>
          <w:color w:val="212529"/>
          <w:sz w:val="24"/>
          <w:szCs w:val="24"/>
          <w:lang w:eastAsia="en-GB"/>
        </w:rPr>
        <w:t xml:space="preserve"> </w:t>
      </w:r>
      <w:r w:rsidRPr="00631C2B">
        <w:rPr>
          <w:rFonts w:ascii="Quire Sans" w:eastAsia="Times New Roman" w:hAnsi="Quire Sans" w:cs="Quire Sans"/>
          <w:color w:val="000000"/>
          <w:sz w:val="24"/>
          <w:szCs w:val="24"/>
          <w:lang w:eastAsia="en-GB"/>
        </w:rPr>
        <w:t>so severe that there was no need of physical contact for him to be charged.</w:t>
      </w:r>
      <w:r w:rsidRPr="00631C2B">
        <w:rPr>
          <w:rFonts w:ascii="Quire Sans" w:eastAsia="Times New Roman" w:hAnsi="Quire Sans" w:cs="Quire Sans"/>
          <w:color w:val="212529"/>
          <w:sz w:val="24"/>
          <w:szCs w:val="24"/>
          <w:lang w:eastAsia="en-GB"/>
        </w:rPr>
        <w:t> The court states “at some time not excluding the immediate future.” As the victim silently suffered the threats for two years. The actions fulfilled the elements of assault, the defendant was convicted of assault on occasioning BH by words. </w:t>
      </w:r>
    </w:p>
    <w:p w14:paraId="1C6E288A" w14:textId="77777777" w:rsidR="00CA4AE3" w:rsidRPr="00631C2B"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4915FD64" w14:textId="1AA4368C" w:rsidR="00CA4AE3" w:rsidRPr="00631C2B"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Similarly, corresponding with the two previous cases R v Miller 1954, and in the case of </w:t>
      </w:r>
      <w:r w:rsidR="00376019">
        <w:rPr>
          <w:rFonts w:ascii="Quire Sans" w:eastAsia="Times New Roman" w:hAnsi="Quire Sans" w:cs="Quire Sans"/>
          <w:color w:val="000000"/>
          <w:sz w:val="24"/>
          <w:szCs w:val="24"/>
          <w:lang w:eastAsia="en-GB"/>
        </w:rPr>
        <w:t>C</w:t>
      </w:r>
      <w:r w:rsidRPr="00631C2B">
        <w:rPr>
          <w:rFonts w:ascii="Quire Sans" w:eastAsia="Times New Roman" w:hAnsi="Quire Sans" w:cs="Quire Sans"/>
          <w:color w:val="000000"/>
          <w:sz w:val="24"/>
          <w:szCs w:val="24"/>
          <w:lang w:eastAsia="en-GB"/>
        </w:rPr>
        <w:t xml:space="preserve">onstanza 1997, the following case demonstrates similar actions being </w:t>
      </w:r>
      <w:r w:rsidR="00376019">
        <w:rPr>
          <w:rFonts w:ascii="Quire Sans" w:eastAsia="Times New Roman" w:hAnsi="Quire Sans" w:cs="Quire Sans"/>
          <w:color w:val="000000"/>
          <w:sz w:val="24"/>
          <w:szCs w:val="24"/>
          <w:lang w:eastAsia="en-GB"/>
        </w:rPr>
        <w:t>betrayed</w:t>
      </w:r>
      <w:r w:rsidRPr="00631C2B">
        <w:rPr>
          <w:rFonts w:ascii="Quire Sans" w:eastAsia="Times New Roman" w:hAnsi="Quire Sans" w:cs="Quire Sans"/>
          <w:color w:val="000000"/>
          <w:sz w:val="24"/>
          <w:szCs w:val="24"/>
          <w:lang w:eastAsia="en-GB"/>
        </w:rPr>
        <w:t xml:space="preserve"> by the defendant. In the case of R v Burstow 1997, following the same year as the R v Constanza case, both parties were in a romantic relationship, the victim chose to end the relationship as she did not see the relationship progressing. The opposing party, the defendant was not pleased with the victim’s sudden change of heart and proceeded to harass her. The defendant’s behaviour started to progress aggressively keeping her in his loop for 8 long months. The defendant: would rep</w:t>
      </w:r>
      <w:r>
        <w:rPr>
          <w:rFonts w:ascii="Quire Sans" w:eastAsia="Times New Roman" w:hAnsi="Quire Sans" w:cs="Quire Sans"/>
          <w:color w:val="000000"/>
          <w:sz w:val="24"/>
          <w:szCs w:val="24"/>
          <w:lang w:eastAsia="en-GB"/>
        </w:rPr>
        <w:t>eatedly</w:t>
      </w:r>
      <w:r w:rsidRPr="00631C2B">
        <w:rPr>
          <w:rFonts w:ascii="Quire Sans" w:eastAsia="Times New Roman" w:hAnsi="Quire Sans" w:cs="Quire Sans"/>
          <w:color w:val="000000"/>
          <w:sz w:val="24"/>
          <w:szCs w:val="24"/>
          <w:lang w:eastAsia="en-GB"/>
        </w:rPr>
        <w:t xml:space="preserve"> call the claimant without speaking, later this progressed into verbal abuse, show up to her house uninvited and if that </w:t>
      </w:r>
      <w:r w:rsidR="00376019" w:rsidRPr="00631C2B">
        <w:rPr>
          <w:rFonts w:ascii="Quire Sans" w:eastAsia="Times New Roman" w:hAnsi="Quire Sans" w:cs="Quire Sans"/>
          <w:color w:val="000000"/>
          <w:sz w:val="24"/>
          <w:szCs w:val="24"/>
          <w:lang w:eastAsia="en-GB"/>
        </w:rPr>
        <w:t>were</w:t>
      </w:r>
      <w:r w:rsidRPr="00631C2B">
        <w:rPr>
          <w:rFonts w:ascii="Quire Sans" w:eastAsia="Times New Roman" w:hAnsi="Quire Sans" w:cs="Quire Sans"/>
          <w:color w:val="000000"/>
          <w:sz w:val="24"/>
          <w:szCs w:val="24"/>
          <w:lang w:eastAsia="en-GB"/>
        </w:rPr>
        <w:t xml:space="preserve"> not enough the defendant saw fit that he started to send out threatening notes to the claimant’s neighbours alongside taking pictures of her without her knowledge or consent. The claimant in fear started developed depression and numerous of other illnesses due to the defendant’s aggressive behaviour. </w:t>
      </w:r>
    </w:p>
    <w:p w14:paraId="6BA6B533" w14:textId="77777777" w:rsidR="00CA4AE3"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7582577E" w14:textId="3B4E8912" w:rsidR="00CA4AE3" w:rsidRDefault="00CA4AE3" w:rsidP="00CA4AE3">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The court, the House of Lords, highlighted if the situation of harassment brought was subsequent for the courtroom: whether the psychiatric damage suffered via the victim changed into enough to-amount to bodily harm (BH) underneath the OAPA 1861 alongside of the defendant was to be held accountable for their actions under s.20. This case R v Chan </w:t>
      </w:r>
      <w:proofErr w:type="spellStart"/>
      <w:r w:rsidRPr="00631C2B">
        <w:rPr>
          <w:rFonts w:ascii="Quire Sans" w:eastAsia="Times New Roman" w:hAnsi="Quire Sans" w:cs="Quire Sans"/>
          <w:color w:val="000000"/>
          <w:sz w:val="24"/>
          <w:szCs w:val="24"/>
          <w:lang w:eastAsia="en-GB"/>
        </w:rPr>
        <w:t>Fook</w:t>
      </w:r>
      <w:proofErr w:type="spellEnd"/>
      <w:r w:rsidRPr="00631C2B">
        <w:rPr>
          <w:rFonts w:ascii="Quire Sans" w:eastAsia="Times New Roman" w:hAnsi="Quire Sans" w:cs="Quire Sans"/>
          <w:color w:val="000000"/>
          <w:sz w:val="24"/>
          <w:szCs w:val="24"/>
          <w:lang w:eastAsia="en-GB"/>
        </w:rPr>
        <w:t xml:space="preserve"> [1994] 1 WLR 68 was used in court and applied, it was seen that the harassments scale was so high that it was in fact implemented and the defendant was charged of BH, s. 18, s. 20 and s. forty-seven of the OAPA. </w:t>
      </w:r>
    </w:p>
    <w:p w14:paraId="000EA6C2" w14:textId="77777777" w:rsidR="00211E30" w:rsidRPr="00631C2B" w:rsidRDefault="00211E30" w:rsidP="00211E30">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4D20227D" w14:textId="77777777" w:rsidR="00211E30" w:rsidRPr="00631C2B" w:rsidRDefault="00211E30" w:rsidP="00211E30">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In the case of R v Thomas 1985, a caretaker at a school was found guilty in two accounts of indecent assault on female students at the school. On the first count, the allegations arose of his touching and rubbing and lifting a student’s skirt on two separate occasions, with no witness. The second count the same thing happened but in a different location, the library. It was found that the juries previously involved acquired the caretaker’s behaviour before on ten other same alligators. </w:t>
      </w:r>
    </w:p>
    <w:p w14:paraId="64D7F039" w14:textId="77777777" w:rsidR="00211E30" w:rsidRPr="00631C2B" w:rsidRDefault="00211E30" w:rsidP="00211E30">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The issue in this case was whether the testimony of the ten other victims can be evidence to </w:t>
      </w:r>
      <w:r>
        <w:rPr>
          <w:rFonts w:ascii="Quire Sans" w:eastAsia="Times New Roman" w:hAnsi="Quire Sans" w:cs="Quire Sans"/>
          <w:color w:val="000000"/>
          <w:sz w:val="24"/>
          <w:szCs w:val="24"/>
          <w:lang w:eastAsia="en-GB"/>
        </w:rPr>
        <w:t>b</w:t>
      </w:r>
      <w:r w:rsidRPr="00631C2B">
        <w:rPr>
          <w:rFonts w:ascii="Quire Sans" w:eastAsia="Times New Roman" w:hAnsi="Quire Sans" w:cs="Quire Sans"/>
          <w:color w:val="000000"/>
          <w:sz w:val="24"/>
          <w:szCs w:val="24"/>
          <w:lang w:eastAsia="en-GB"/>
        </w:rPr>
        <w:t>e presented in court, second issue being if the indecent act be assault under the Sexual</w:t>
      </w:r>
      <w:r w:rsidRPr="00631C2B">
        <w:rPr>
          <w:rFonts w:ascii="Quire Sans" w:eastAsia="Times New Roman" w:hAnsi="Quire Sans" w:cs="Quire Sans"/>
          <w:b/>
          <w:bCs/>
          <w:color w:val="000000"/>
          <w:sz w:val="24"/>
          <w:szCs w:val="24"/>
          <w:lang w:eastAsia="en-GB"/>
        </w:rPr>
        <w:t xml:space="preserve"> Offences Act 1956.</w:t>
      </w:r>
    </w:p>
    <w:p w14:paraId="4B27A7E1" w14:textId="77777777" w:rsidR="00211E30" w:rsidRPr="00631C2B" w:rsidRDefault="00211E30" w:rsidP="00211E30">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b/>
          <w:bCs/>
          <w:color w:val="000000"/>
          <w:sz w:val="24"/>
          <w:szCs w:val="24"/>
          <w:lang w:eastAsia="en-GB"/>
        </w:rPr>
        <w:t> </w:t>
      </w:r>
    </w:p>
    <w:p w14:paraId="4B602F2A" w14:textId="77777777" w:rsidR="00211E30" w:rsidRDefault="00211E30" w:rsidP="00211E30">
      <w:pPr>
        <w:shd w:val="clear" w:color="auto" w:fill="FFFFFF"/>
        <w:spacing w:after="0" w:line="324" w:lineRule="atLeast"/>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It was held, the other victim’s testimony cannot be presented as corroborative evidence. Regarding the decline issue, the court held, that the assault must be ‘inherently indecent’, however the court found that the act was not.   Touching of the limb and in </w:t>
      </w:r>
      <w:r w:rsidRPr="00631C2B">
        <w:rPr>
          <w:rFonts w:ascii="Quire Sans" w:eastAsia="Times New Roman" w:hAnsi="Quire Sans" w:cs="Quire Sans"/>
          <w:color w:val="000000"/>
          <w:sz w:val="24"/>
          <w:szCs w:val="24"/>
          <w:lang w:eastAsia="en-GB"/>
        </w:rPr>
        <w:lastRenderedPageBreak/>
        <w:t>non-consensual Hands up the skirt is indecent assault; the court did not confirm if the same rule applies to touch over clothes</w:t>
      </w:r>
      <w:r>
        <w:rPr>
          <w:rFonts w:ascii="Quire Sans" w:eastAsia="Times New Roman" w:hAnsi="Quire Sans" w:cs="Quire Sans"/>
          <w:color w:val="000000"/>
          <w:sz w:val="24"/>
          <w:szCs w:val="24"/>
          <w:lang w:eastAsia="en-GB"/>
        </w:rPr>
        <w:t xml:space="preserve">. </w:t>
      </w:r>
    </w:p>
    <w:p w14:paraId="0536F38E" w14:textId="2FAA144B" w:rsidR="00CA4AE3" w:rsidRDefault="00CA4AE3" w:rsidP="00631C2B">
      <w:pPr>
        <w:shd w:val="clear" w:color="auto" w:fill="FFFFFF"/>
        <w:spacing w:after="0" w:line="240" w:lineRule="auto"/>
        <w:rPr>
          <w:rFonts w:ascii="Quire Sans" w:eastAsia="Times New Roman" w:hAnsi="Quire Sans" w:cs="Quire Sans"/>
          <w:color w:val="000000"/>
          <w:sz w:val="24"/>
          <w:szCs w:val="24"/>
          <w:lang w:eastAsia="en-GB"/>
        </w:rPr>
      </w:pPr>
    </w:p>
    <w:p w14:paraId="2AD9516C" w14:textId="1609E902" w:rsidR="002B626E" w:rsidRDefault="002B626E" w:rsidP="00631C2B">
      <w:pPr>
        <w:shd w:val="clear" w:color="auto" w:fill="FFFFFF"/>
        <w:spacing w:after="0" w:line="240" w:lineRule="auto"/>
        <w:rPr>
          <w:rFonts w:ascii="Quire Sans" w:eastAsia="Times New Roman" w:hAnsi="Quire Sans" w:cs="Quire Sans"/>
          <w:color w:val="000000"/>
          <w:sz w:val="24"/>
          <w:szCs w:val="24"/>
          <w:lang w:eastAsia="en-GB"/>
        </w:rPr>
      </w:pPr>
      <w:r>
        <w:rPr>
          <w:rFonts w:ascii="Quire Sans" w:eastAsia="Times New Roman" w:hAnsi="Quire Sans" w:cs="Quire Sans"/>
          <w:color w:val="000000"/>
          <w:sz w:val="24"/>
          <w:szCs w:val="24"/>
          <w:lang w:eastAsia="en-GB"/>
        </w:rPr>
        <w:t xml:space="preserve">The following cases will demonstrate the non-fatal element, though the assault did not cause death it still caused sufficient and visible damages to be presented into court. </w:t>
      </w:r>
    </w:p>
    <w:p w14:paraId="769845F1" w14:textId="77777777" w:rsidR="002B626E" w:rsidRDefault="002B626E" w:rsidP="00631C2B">
      <w:pPr>
        <w:shd w:val="clear" w:color="auto" w:fill="FFFFFF"/>
        <w:spacing w:after="0" w:line="240" w:lineRule="auto"/>
        <w:rPr>
          <w:rFonts w:ascii="Quire Sans" w:eastAsia="Times New Roman" w:hAnsi="Quire Sans" w:cs="Quire Sans"/>
          <w:color w:val="000000"/>
          <w:sz w:val="24"/>
          <w:szCs w:val="24"/>
          <w:lang w:eastAsia="en-GB"/>
        </w:rPr>
      </w:pPr>
    </w:p>
    <w:p w14:paraId="45D22A25" w14:textId="749B69B2"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In the case of R v Saunders 1573, Defendant X wanted to kill Y, the defendant poisoned an apple with arsenic and gave it to Y to eat. However, Y unknowingly gave it to their child Z, and this resulted into a sudden death. It was investigated that the Apple was tempered with, it was indeed poisoned. Defendant Y was held liable in court for the murder of his little girl, the wife (y) was not part of the murder charges and her life was in fact threatened initially, she would have not given the poisoned apple to her own daughter had she known. The defendant X instead of seeking divorce after his unfaithful relationship outside his marriage, he sought it would be a much better fit if the wife were to be killed and remain with the daughter and his mistress. The actions of defendant X are clear to see that the intention was there, though not for the daughter but the wife, a murder was committed, and X was to be blamed. The Men’s Rea applied to this case shows how X was fully aware and still wanted to proceed. This is a clear example of guilty mind and the mental element was involved to begin with.  The intention to kill the wife can and was transferred to the death (murder) of his daughter. </w:t>
      </w:r>
    </w:p>
    <w:p w14:paraId="2AA79F31"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7B92D4CB" w14:textId="5BAE765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In the following case of R v Miller (1983), this case applies in showing how actus reus can be deciphered to be a demonstration, however an inability to act. The defendant had illegally squatting in a house not of his own. The carelessness of the defendant leads the house to be caught fire as he was sleeping from the defendant’s cigarette that he did not put out. Though the defendant was aware of the fire once he awoke, he chose to overlook the fire and move himself into another room without taking care of the fire that he has started. His actions led to the fire spreading and causing tragic distraction, the question here is, was it his duty to douse the fire? The court, the House of Lords, held the defendant was in duty to take care of the fire and was responsible. Not only was he illegally squatting inside the house, but his smoking habits had caused damages to the property. The court could not understand why the defendant didn’t do something about the fire once he was fully aware and awake when the event was taking place, his duty to take care of the property was breached. The court held the defendant responsible, and he was to be charged with criminal damage. The court was not pleased with the actions displayed by the defendant, applying Actus reus, the defendant could have easily caused serious and non-fatal damages to other individuals other than himself, harming innocent people from something that could have easily been dealt with did not sit right with the court. The physical and mental elements of the event that took place in this case was clear and the criminal charges were to be placed. </w:t>
      </w:r>
    </w:p>
    <w:p w14:paraId="4AFA6037"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63E910BB" w14:textId="4A761145" w:rsidR="00644115" w:rsidRPr="00631C2B" w:rsidRDefault="00631C2B" w:rsidP="00644115">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r w:rsidR="00644115">
        <w:rPr>
          <w:rFonts w:ascii="Quire Sans" w:eastAsia="Times New Roman" w:hAnsi="Quire Sans" w:cs="Quire Sans"/>
          <w:color w:val="000000"/>
          <w:sz w:val="24"/>
          <w:szCs w:val="24"/>
          <w:lang w:eastAsia="en-GB"/>
        </w:rPr>
        <w:t>Additionally</w:t>
      </w:r>
      <w:r w:rsidR="00644115" w:rsidRPr="00631C2B">
        <w:rPr>
          <w:rFonts w:ascii="Quire Sans" w:eastAsia="Times New Roman" w:hAnsi="Quire Sans" w:cs="Quire Sans"/>
          <w:color w:val="000000"/>
          <w:sz w:val="24"/>
          <w:szCs w:val="24"/>
          <w:lang w:eastAsia="en-GB"/>
        </w:rPr>
        <w:t>,</w:t>
      </w:r>
      <w:r w:rsidR="00644115">
        <w:rPr>
          <w:rFonts w:ascii="Quire Sans" w:eastAsia="Times New Roman" w:hAnsi="Quire Sans" w:cs="Quire Sans"/>
          <w:color w:val="000000"/>
          <w:sz w:val="24"/>
          <w:szCs w:val="24"/>
          <w:lang w:eastAsia="en-GB"/>
        </w:rPr>
        <w:t xml:space="preserve"> in the case of</w:t>
      </w:r>
      <w:r w:rsidR="00644115" w:rsidRPr="00631C2B">
        <w:rPr>
          <w:rFonts w:ascii="Quire Sans" w:eastAsia="Times New Roman" w:hAnsi="Quire Sans" w:cs="Quire Sans"/>
          <w:color w:val="000000"/>
          <w:sz w:val="24"/>
          <w:szCs w:val="24"/>
          <w:lang w:eastAsia="en-GB"/>
        </w:rPr>
        <w:t xml:space="preserve"> R v Bollom 2004, the litigant, had cause physical assault to a 17-month-old-young girl, the girl was found harmed with various wounds such as, bruises and grazes. After the litigant was found guilty, the court seemed fit he was to be sentenced for under actual bodily harm (ABH) </w:t>
      </w:r>
      <w:r w:rsidR="00644115" w:rsidRPr="00631C2B">
        <w:rPr>
          <w:rFonts w:ascii="Quire Sans" w:eastAsia="Times New Roman" w:hAnsi="Quire Sans" w:cs="Quire Sans"/>
          <w:color w:val="202124"/>
          <w:sz w:val="24"/>
          <w:szCs w:val="24"/>
          <w:shd w:val="clear" w:color="auto" w:fill="FFFFFF"/>
          <w:lang w:eastAsia="en-GB"/>
        </w:rPr>
        <w:t>under the Offences Against the Person Act 1861</w:t>
      </w:r>
      <w:r w:rsidR="00644115" w:rsidRPr="00631C2B">
        <w:rPr>
          <w:rFonts w:ascii="Quire Sans" w:eastAsia="Times New Roman" w:hAnsi="Quire Sans" w:cs="Quire Sans"/>
          <w:color w:val="000000"/>
          <w:sz w:val="24"/>
          <w:szCs w:val="24"/>
          <w:lang w:eastAsia="en-GB"/>
        </w:rPr>
        <w:t xml:space="preserve">.  However, unhappy with the conviction the litigant contends that the casualties </w:t>
      </w:r>
      <w:r w:rsidR="00644115" w:rsidRPr="00631C2B">
        <w:rPr>
          <w:rFonts w:ascii="Quire Sans" w:eastAsia="Times New Roman" w:hAnsi="Quire Sans" w:cs="Quire Sans"/>
          <w:color w:val="000000"/>
          <w:sz w:val="24"/>
          <w:szCs w:val="24"/>
          <w:lang w:eastAsia="en-GB"/>
        </w:rPr>
        <w:lastRenderedPageBreak/>
        <w:t>age ought not be thought about and his conviction be eliminated, and she should be considered as an adult and a requested a retrial. </w:t>
      </w:r>
    </w:p>
    <w:p w14:paraId="7F33C6D9" w14:textId="77777777" w:rsidR="00644115" w:rsidRPr="00631C2B" w:rsidRDefault="00644115" w:rsidP="00644115">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006068C6" w14:textId="77777777" w:rsidR="00644115" w:rsidRPr="00631C2B" w:rsidRDefault="00644115" w:rsidP="00644115">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The request was accepted, and the case conviction was changed into jury held, they must come up and finalise if it was appropriate to take the girls age into consideration as her age and fragile body is vulnerable. Nonetheless, the clinical health test examination, conducted by professionals, came back, and stated that the attack on the on the girl could not have been from a single event but rather numerous attacks that could not be accounted for as the conviction of the case could only be seen from the one event, this added report changed the jury’s decision and the GBH conviction was in favour to be eliminated. The judge present, Judge, Fulford J, stated: " He suggests the age, health or any other particular factors relating to the person harmed should be ignored when deciding whether the injuries amounted to really serious harm. We are unable to accept that proposition. To use this case as an example, these injuries on a 6-foot adult in the fullness of health would be less serious than on, for instance, an elderly or unwell person, on someone who was physically or psychiatrically vulnerable or, as here, on a very young child. In deciding whether injuries are grievous, an</w:t>
      </w:r>
      <w:r>
        <w:rPr>
          <w:rFonts w:ascii="Quire Sans" w:eastAsia="Times New Roman" w:hAnsi="Quire Sans" w:cs="Quire Sans"/>
          <w:color w:val="000000"/>
          <w:sz w:val="24"/>
          <w:szCs w:val="24"/>
          <w:lang w:eastAsia="en-GB"/>
        </w:rPr>
        <w:t xml:space="preserve"> </w:t>
      </w:r>
      <w:r w:rsidRPr="00631C2B">
        <w:rPr>
          <w:rFonts w:ascii="Quire Sans" w:eastAsia="Times New Roman" w:hAnsi="Quire Sans" w:cs="Quire Sans"/>
          <w:color w:val="000000"/>
          <w:sz w:val="24"/>
          <w:szCs w:val="24"/>
          <w:lang w:eastAsia="en-GB"/>
        </w:rPr>
        <w:t xml:space="preserve">assessment must be made of, amongst other things, the effect of the harm on the individual. We have no doubt that in determining the gravity of these injuries, it was necessary to consider them in their real context." From this it is easy to infer than though there was a change in the initial conviction there are some serious damages that were done to the victim, her injuries allowed, the litigant to still be convicted of actual bodily harm (ABH). This condition meant that he was to be due </w:t>
      </w:r>
      <w:r>
        <w:rPr>
          <w:rFonts w:ascii="Quire Sans" w:eastAsia="Times New Roman" w:hAnsi="Quire Sans" w:cs="Quire Sans"/>
          <w:color w:val="000000"/>
          <w:sz w:val="24"/>
          <w:szCs w:val="24"/>
          <w:lang w:eastAsia="en-GB"/>
        </w:rPr>
        <w:t>,</w:t>
      </w:r>
      <w:r w:rsidRPr="00631C2B">
        <w:rPr>
          <w:rFonts w:ascii="Quire Sans" w:eastAsia="Times New Roman" w:hAnsi="Quire Sans" w:cs="Quire Sans"/>
          <w:color w:val="000000"/>
          <w:sz w:val="24"/>
          <w:szCs w:val="24"/>
          <w:lang w:eastAsia="en-GB"/>
        </w:rPr>
        <w:t>5 years and a fine though not always the case was to be done. The defendant must still be left accountable for his actions as apply both the men’s rea and actus reus, the defendant had a guilty mind and his mental state seemed to be fit. Though the judgment was ruled to be a non-fatal the offence the following can still be applied into the case, OAPA 1861 Act is listed under the non-fatal offences. Under Section 47, the offence of committing ABH, and under Section 20 Inflicting bodily injury, with or without weapon. </w:t>
      </w:r>
    </w:p>
    <w:p w14:paraId="0DA023D0" w14:textId="77777777" w:rsidR="00644115" w:rsidRPr="00631C2B" w:rsidRDefault="00644115" w:rsidP="00644115">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0249EA30" w14:textId="538A98A9"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p>
    <w:p w14:paraId="5A83C88E" w14:textId="104AEE4A"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0CB1CF1F" w14:textId="6ADEA3E8" w:rsidR="00631C2B" w:rsidRPr="00631C2B" w:rsidRDefault="00644115" w:rsidP="00631C2B">
      <w:pPr>
        <w:shd w:val="clear" w:color="auto" w:fill="FFFFFF"/>
        <w:spacing w:after="0" w:line="240" w:lineRule="auto"/>
        <w:rPr>
          <w:rFonts w:ascii="Quire Sans" w:eastAsia="Times New Roman" w:hAnsi="Quire Sans" w:cs="Quire Sans"/>
          <w:color w:val="000000"/>
          <w:sz w:val="24"/>
          <w:szCs w:val="24"/>
          <w:lang w:eastAsia="en-GB"/>
        </w:rPr>
      </w:pPr>
      <w:r>
        <w:rPr>
          <w:rFonts w:ascii="Quire Sans" w:eastAsia="Times New Roman" w:hAnsi="Quire Sans" w:cs="Quire Sans"/>
          <w:color w:val="000000"/>
          <w:sz w:val="24"/>
          <w:szCs w:val="24"/>
          <w:lang w:eastAsia="en-GB"/>
        </w:rPr>
        <w:t>Lastly,</w:t>
      </w:r>
      <w:r w:rsidR="00631C2B" w:rsidRPr="00631C2B">
        <w:rPr>
          <w:rFonts w:ascii="Quire Sans" w:eastAsia="Times New Roman" w:hAnsi="Quire Sans" w:cs="Quire Sans"/>
          <w:color w:val="000000"/>
          <w:sz w:val="24"/>
          <w:szCs w:val="24"/>
          <w:lang w:eastAsia="en-GB"/>
        </w:rPr>
        <w:t> </w:t>
      </w:r>
      <w:r>
        <w:rPr>
          <w:rFonts w:ascii="Quire Sans" w:eastAsia="Times New Roman" w:hAnsi="Quire Sans" w:cs="Quire Sans"/>
          <w:color w:val="000000"/>
          <w:sz w:val="24"/>
          <w:szCs w:val="24"/>
          <w:lang w:eastAsia="en-GB"/>
        </w:rPr>
        <w:t>i</w:t>
      </w:r>
      <w:r w:rsidR="00631C2B" w:rsidRPr="00631C2B">
        <w:rPr>
          <w:rFonts w:ascii="Quire Sans" w:eastAsia="Times New Roman" w:hAnsi="Quire Sans" w:cs="Quire Sans"/>
          <w:color w:val="000000"/>
          <w:sz w:val="24"/>
          <w:szCs w:val="24"/>
          <w:lang w:eastAsia="en-GB"/>
        </w:rPr>
        <w:t>n the case of R v Chan </w:t>
      </w:r>
      <w:proofErr w:type="spellStart"/>
      <w:r w:rsidR="00631C2B" w:rsidRPr="00631C2B">
        <w:rPr>
          <w:rFonts w:ascii="Quire Sans" w:eastAsia="Times New Roman" w:hAnsi="Quire Sans" w:cs="Quire Sans"/>
          <w:color w:val="000000"/>
          <w:sz w:val="24"/>
          <w:szCs w:val="24"/>
          <w:lang w:eastAsia="en-GB"/>
        </w:rPr>
        <w:t>Fook</w:t>
      </w:r>
      <w:proofErr w:type="spellEnd"/>
      <w:r w:rsidR="00631C2B" w:rsidRPr="00631C2B">
        <w:rPr>
          <w:rFonts w:ascii="Quire Sans" w:eastAsia="Times New Roman" w:hAnsi="Quire Sans" w:cs="Quire Sans"/>
          <w:color w:val="000000"/>
          <w:sz w:val="24"/>
          <w:szCs w:val="24"/>
          <w:lang w:eastAsia="en-GB"/>
        </w:rPr>
        <w:t xml:space="preserve"> 1994, Mrs </w:t>
      </w:r>
      <w:r w:rsidR="00376019">
        <w:rPr>
          <w:rFonts w:ascii="Quire Sans" w:eastAsia="Times New Roman" w:hAnsi="Quire Sans" w:cs="Quire Sans"/>
          <w:color w:val="000000"/>
          <w:sz w:val="24"/>
          <w:szCs w:val="24"/>
          <w:lang w:eastAsia="en-GB"/>
        </w:rPr>
        <w:t>F</w:t>
      </w:r>
      <w:r w:rsidR="00631C2B" w:rsidRPr="00631C2B">
        <w:rPr>
          <w:rFonts w:ascii="Quire Sans" w:eastAsia="Times New Roman" w:hAnsi="Quire Sans" w:cs="Quire Sans"/>
          <w:color w:val="000000"/>
          <w:sz w:val="24"/>
          <w:szCs w:val="24"/>
          <w:lang w:eastAsia="en-GB"/>
        </w:rPr>
        <w:t>ox was engaged to </w:t>
      </w:r>
      <w:r w:rsidR="00631C2B" w:rsidRPr="00631C2B">
        <w:rPr>
          <w:rFonts w:ascii="Quire Sans" w:eastAsia="Times New Roman" w:hAnsi="Quire Sans" w:cs="Quire Sans"/>
          <w:color w:val="212529"/>
          <w:sz w:val="24"/>
          <w:szCs w:val="24"/>
          <w:shd w:val="clear" w:color="auto" w:fill="FFFFFF"/>
          <w:lang w:eastAsia="en-GB"/>
        </w:rPr>
        <w:t>the appellant, Mr Chan-</w:t>
      </w:r>
      <w:proofErr w:type="spellStart"/>
      <w:r w:rsidR="00631C2B" w:rsidRPr="00631C2B">
        <w:rPr>
          <w:rFonts w:ascii="Quire Sans" w:eastAsia="Times New Roman" w:hAnsi="Quire Sans" w:cs="Quire Sans"/>
          <w:color w:val="212529"/>
          <w:sz w:val="24"/>
          <w:szCs w:val="24"/>
          <w:shd w:val="clear" w:color="auto" w:fill="FFFFFF"/>
          <w:lang w:eastAsia="en-GB"/>
        </w:rPr>
        <w:t>Fook</w:t>
      </w:r>
      <w:proofErr w:type="spellEnd"/>
      <w:r w:rsidR="00631C2B" w:rsidRPr="00631C2B">
        <w:rPr>
          <w:rFonts w:ascii="Quire Sans" w:eastAsia="Times New Roman" w:hAnsi="Quire Sans" w:cs="Quire Sans"/>
          <w:color w:val="212529"/>
          <w:sz w:val="24"/>
          <w:szCs w:val="24"/>
          <w:shd w:val="clear" w:color="auto" w:fill="FFFFFF"/>
          <w:lang w:eastAsia="en-GB"/>
        </w:rPr>
        <w:t xml:space="preserve">. Mrs fox accused the lodger a student of theft when her engagement ring went missing. Mr Chan </w:t>
      </w:r>
      <w:proofErr w:type="spellStart"/>
      <w:r w:rsidR="00631C2B" w:rsidRPr="00631C2B">
        <w:rPr>
          <w:rFonts w:ascii="Quire Sans" w:eastAsia="Times New Roman" w:hAnsi="Quire Sans" w:cs="Quire Sans"/>
          <w:color w:val="212529"/>
          <w:sz w:val="24"/>
          <w:szCs w:val="24"/>
          <w:shd w:val="clear" w:color="auto" w:fill="FFFFFF"/>
          <w:lang w:eastAsia="en-GB"/>
        </w:rPr>
        <w:t>Fook</w:t>
      </w:r>
      <w:proofErr w:type="spellEnd"/>
      <w:r w:rsidR="00631C2B" w:rsidRPr="00631C2B">
        <w:rPr>
          <w:rFonts w:ascii="Quire Sans" w:eastAsia="Times New Roman" w:hAnsi="Quire Sans" w:cs="Quire Sans"/>
          <w:color w:val="212529"/>
          <w:sz w:val="24"/>
          <w:szCs w:val="24"/>
          <w:shd w:val="clear" w:color="auto" w:fill="FFFFFF"/>
          <w:lang w:eastAsia="en-GB"/>
        </w:rPr>
        <w:t xml:space="preserve"> assaulted the student by striking him several multiple times during his interrogation after the accusation from Mrs Fox. Mr Chan </w:t>
      </w:r>
      <w:proofErr w:type="spellStart"/>
      <w:r w:rsidR="00631C2B" w:rsidRPr="00631C2B">
        <w:rPr>
          <w:rFonts w:ascii="Quire Sans" w:eastAsia="Times New Roman" w:hAnsi="Quire Sans" w:cs="Quire Sans"/>
          <w:color w:val="212529"/>
          <w:sz w:val="24"/>
          <w:szCs w:val="24"/>
          <w:shd w:val="clear" w:color="auto" w:fill="FFFFFF"/>
          <w:lang w:eastAsia="en-GB"/>
        </w:rPr>
        <w:t>Fook</w:t>
      </w:r>
      <w:proofErr w:type="spellEnd"/>
      <w:r w:rsidR="00631C2B" w:rsidRPr="00631C2B">
        <w:rPr>
          <w:rFonts w:ascii="Quire Sans" w:eastAsia="Times New Roman" w:hAnsi="Quire Sans" w:cs="Quire Sans"/>
          <w:color w:val="212529"/>
          <w:sz w:val="24"/>
          <w:szCs w:val="24"/>
          <w:shd w:val="clear" w:color="auto" w:fill="FFFFFF"/>
          <w:lang w:eastAsia="en-GB"/>
        </w:rPr>
        <w:t xml:space="preserve"> then proceeded to take things further by locking the student in a bedroom on the second floor. Mr Chan </w:t>
      </w:r>
      <w:proofErr w:type="spellStart"/>
      <w:r w:rsidR="00631C2B" w:rsidRPr="00631C2B">
        <w:rPr>
          <w:rFonts w:ascii="Quire Sans" w:eastAsia="Times New Roman" w:hAnsi="Quire Sans" w:cs="Quire Sans"/>
          <w:color w:val="212529"/>
          <w:sz w:val="24"/>
          <w:szCs w:val="24"/>
          <w:shd w:val="clear" w:color="auto" w:fill="FFFFFF"/>
          <w:lang w:eastAsia="en-GB"/>
        </w:rPr>
        <w:t>Fook</w:t>
      </w:r>
      <w:proofErr w:type="spellEnd"/>
      <w:r w:rsidR="00631C2B" w:rsidRPr="00631C2B">
        <w:rPr>
          <w:rFonts w:ascii="Quire Sans" w:eastAsia="Times New Roman" w:hAnsi="Quire Sans" w:cs="Quire Sans"/>
          <w:color w:val="212529"/>
          <w:sz w:val="24"/>
          <w:szCs w:val="24"/>
          <w:shd w:val="clear" w:color="auto" w:fill="FFFFFF"/>
          <w:lang w:eastAsia="en-GB"/>
        </w:rPr>
        <w:t xml:space="preserve"> threatened the student that his violence towards him will proceed to get more aggressive if the ring </w:t>
      </w:r>
      <w:r w:rsidR="00376019" w:rsidRPr="00631C2B">
        <w:rPr>
          <w:rFonts w:ascii="Quire Sans" w:eastAsia="Times New Roman" w:hAnsi="Quire Sans" w:cs="Quire Sans"/>
          <w:color w:val="212529"/>
          <w:sz w:val="24"/>
          <w:szCs w:val="24"/>
          <w:shd w:val="clear" w:color="auto" w:fill="FFFFFF"/>
          <w:lang w:eastAsia="en-GB"/>
        </w:rPr>
        <w:t>were</w:t>
      </w:r>
      <w:r w:rsidR="00631C2B" w:rsidRPr="00631C2B">
        <w:rPr>
          <w:rFonts w:ascii="Quire Sans" w:eastAsia="Times New Roman" w:hAnsi="Quire Sans" w:cs="Quire Sans"/>
          <w:color w:val="212529"/>
          <w:sz w:val="24"/>
          <w:szCs w:val="24"/>
          <w:shd w:val="clear" w:color="auto" w:fill="FFFFFF"/>
          <w:lang w:eastAsia="en-GB"/>
        </w:rPr>
        <w:t xml:space="preserve"> not to given back to them. The student in attempt to escape fell from the second floor and suffered serious fractures to the wrist and suffered a dislocated his hip in attempt to flee. </w:t>
      </w:r>
    </w:p>
    <w:p w14:paraId="1C63A271" w14:textId="77777777"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212529"/>
          <w:sz w:val="24"/>
          <w:szCs w:val="24"/>
          <w:shd w:val="clear" w:color="auto" w:fill="FFFFFF"/>
          <w:lang w:eastAsia="en-GB"/>
        </w:rPr>
        <w:t> </w:t>
      </w:r>
    </w:p>
    <w:p w14:paraId="19648BBC" w14:textId="558DB53B" w:rsidR="00631C2B" w:rsidRPr="00631C2B" w:rsidRDefault="00631C2B" w:rsidP="00631C2B">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212529"/>
          <w:sz w:val="24"/>
          <w:szCs w:val="24"/>
          <w:shd w:val="clear" w:color="auto" w:fill="FFFFFF"/>
          <w:lang w:eastAsia="en-GB"/>
        </w:rPr>
        <w:t xml:space="preserve">Mr </w:t>
      </w:r>
      <w:r w:rsidR="00376019">
        <w:rPr>
          <w:rFonts w:ascii="Quire Sans" w:eastAsia="Times New Roman" w:hAnsi="Quire Sans" w:cs="Quire Sans"/>
          <w:color w:val="212529"/>
          <w:sz w:val="24"/>
          <w:szCs w:val="24"/>
          <w:shd w:val="clear" w:color="auto" w:fill="FFFFFF"/>
          <w:lang w:eastAsia="en-GB"/>
        </w:rPr>
        <w:t>C</w:t>
      </w:r>
      <w:r w:rsidRPr="00631C2B">
        <w:rPr>
          <w:rFonts w:ascii="Quire Sans" w:eastAsia="Times New Roman" w:hAnsi="Quire Sans" w:cs="Quire Sans"/>
          <w:color w:val="212529"/>
          <w:sz w:val="24"/>
          <w:szCs w:val="24"/>
          <w:shd w:val="clear" w:color="auto" w:fill="FFFFFF"/>
          <w:lang w:eastAsia="en-GB"/>
        </w:rPr>
        <w:t xml:space="preserve">han </w:t>
      </w:r>
      <w:proofErr w:type="spellStart"/>
      <w:r w:rsidRPr="00631C2B">
        <w:rPr>
          <w:rFonts w:ascii="Quire Sans" w:eastAsia="Times New Roman" w:hAnsi="Quire Sans" w:cs="Quire Sans"/>
          <w:color w:val="212529"/>
          <w:sz w:val="24"/>
          <w:szCs w:val="24"/>
          <w:shd w:val="clear" w:color="auto" w:fill="FFFFFF"/>
          <w:lang w:eastAsia="en-GB"/>
        </w:rPr>
        <w:t>Fook</w:t>
      </w:r>
      <w:proofErr w:type="spellEnd"/>
      <w:r w:rsidRPr="00631C2B">
        <w:rPr>
          <w:rFonts w:ascii="Quire Sans" w:eastAsia="Times New Roman" w:hAnsi="Quire Sans" w:cs="Quire Sans"/>
          <w:color w:val="212529"/>
          <w:sz w:val="24"/>
          <w:szCs w:val="24"/>
          <w:shd w:val="clear" w:color="auto" w:fill="FFFFFF"/>
          <w:lang w:eastAsia="en-GB"/>
        </w:rPr>
        <w:t>, was found to be convicted of his assault, he was charged with occasioning actual bodying harm Under </w:t>
      </w:r>
      <w:r w:rsidRPr="00631C2B">
        <w:rPr>
          <w:rFonts w:ascii="Quire Sans" w:eastAsia="Times New Roman" w:hAnsi="Quire Sans" w:cs="Quire Sans"/>
          <w:b/>
          <w:bCs/>
          <w:color w:val="212529"/>
          <w:sz w:val="24"/>
          <w:szCs w:val="24"/>
          <w:lang w:eastAsia="en-GB"/>
        </w:rPr>
        <w:t>s.47 OAPA</w:t>
      </w:r>
      <w:r w:rsidRPr="00631C2B">
        <w:rPr>
          <w:rFonts w:ascii="Quire Sans" w:eastAsia="Times New Roman" w:hAnsi="Quire Sans" w:cs="Quire Sans"/>
          <w:color w:val="212529"/>
          <w:sz w:val="24"/>
          <w:szCs w:val="24"/>
          <w:shd w:val="clear" w:color="auto" w:fill="FFFFFF"/>
          <w:lang w:eastAsia="en-GB"/>
        </w:rPr>
        <w:t xml:space="preserve">. However, the prosecution did not base the trial on the victim’s visible body damage from the jump but rather the physiological impact the student suffered from the couple. However, no medical </w:t>
      </w:r>
      <w:r w:rsidRPr="00631C2B">
        <w:rPr>
          <w:rFonts w:ascii="Quire Sans" w:eastAsia="Times New Roman" w:hAnsi="Quire Sans" w:cs="Quire Sans"/>
          <w:color w:val="212529"/>
          <w:sz w:val="24"/>
          <w:szCs w:val="24"/>
          <w:shd w:val="clear" w:color="auto" w:fill="FFFFFF"/>
          <w:lang w:eastAsia="en-GB"/>
        </w:rPr>
        <w:lastRenderedPageBreak/>
        <w:t xml:space="preserve">evidence was supporting if the student’s psychological trauma. Therefore, the judge in charge, influenced the jury’s final thoughts as the physiological assault caused a ‘nervous and hysterical’ response from the suffering can amount to BH, therefore Mr </w:t>
      </w:r>
      <w:r w:rsidR="00376019">
        <w:rPr>
          <w:rFonts w:ascii="Quire Sans" w:eastAsia="Times New Roman" w:hAnsi="Quire Sans" w:cs="Quire Sans"/>
          <w:color w:val="212529"/>
          <w:sz w:val="24"/>
          <w:szCs w:val="24"/>
          <w:shd w:val="clear" w:color="auto" w:fill="FFFFFF"/>
          <w:lang w:eastAsia="en-GB"/>
        </w:rPr>
        <w:t>C</w:t>
      </w:r>
      <w:r w:rsidRPr="00631C2B">
        <w:rPr>
          <w:rFonts w:ascii="Quire Sans" w:eastAsia="Times New Roman" w:hAnsi="Quire Sans" w:cs="Quire Sans"/>
          <w:color w:val="212529"/>
          <w:sz w:val="24"/>
          <w:szCs w:val="24"/>
          <w:shd w:val="clear" w:color="auto" w:fill="FFFFFF"/>
          <w:lang w:eastAsia="en-GB"/>
        </w:rPr>
        <w:t xml:space="preserve">han </w:t>
      </w:r>
      <w:proofErr w:type="spellStart"/>
      <w:r w:rsidRPr="00631C2B">
        <w:rPr>
          <w:rFonts w:ascii="Quire Sans" w:eastAsia="Times New Roman" w:hAnsi="Quire Sans" w:cs="Quire Sans"/>
          <w:color w:val="212529"/>
          <w:sz w:val="24"/>
          <w:szCs w:val="24"/>
          <w:shd w:val="clear" w:color="auto" w:fill="FFFFFF"/>
          <w:lang w:eastAsia="en-GB"/>
        </w:rPr>
        <w:t>Fook</w:t>
      </w:r>
      <w:proofErr w:type="spellEnd"/>
      <w:r w:rsidRPr="00631C2B">
        <w:rPr>
          <w:rFonts w:ascii="Quire Sans" w:eastAsia="Times New Roman" w:hAnsi="Quire Sans" w:cs="Quire Sans"/>
          <w:color w:val="212529"/>
          <w:sz w:val="24"/>
          <w:szCs w:val="24"/>
          <w:shd w:val="clear" w:color="auto" w:fill="FFFFFF"/>
          <w:lang w:eastAsia="en-GB"/>
        </w:rPr>
        <w:t xml:space="preserve"> was convicted.</w:t>
      </w:r>
      <w:r>
        <w:rPr>
          <w:rFonts w:ascii="Quire Sans" w:eastAsia="Times New Roman" w:hAnsi="Quire Sans" w:cs="Quire Sans"/>
          <w:color w:val="000000"/>
          <w:sz w:val="24"/>
          <w:szCs w:val="24"/>
          <w:lang w:eastAsia="en-GB"/>
        </w:rPr>
        <w:t xml:space="preserve"> t</w:t>
      </w:r>
      <w:r w:rsidRPr="00631C2B">
        <w:rPr>
          <w:rFonts w:ascii="Quire Sans" w:eastAsia="Times New Roman" w:hAnsi="Quire Sans" w:cs="Quire Sans"/>
          <w:color w:val="212529"/>
          <w:sz w:val="24"/>
          <w:szCs w:val="24"/>
          <w:shd w:val="clear" w:color="auto" w:fill="FFFFFF"/>
          <w:lang w:eastAsia="en-GB"/>
        </w:rPr>
        <w:t>he victim</w:t>
      </w:r>
      <w:r>
        <w:rPr>
          <w:rFonts w:ascii="Quire Sans" w:eastAsia="Times New Roman" w:hAnsi="Quire Sans" w:cs="Quire Sans"/>
          <w:color w:val="212529"/>
          <w:sz w:val="24"/>
          <w:szCs w:val="24"/>
          <w:shd w:val="clear" w:color="auto" w:fill="FFFFFF"/>
          <w:lang w:eastAsia="en-GB"/>
        </w:rPr>
        <w:t xml:space="preserve">s </w:t>
      </w:r>
      <w:r w:rsidR="003D33CC">
        <w:rPr>
          <w:rFonts w:ascii="Quire Sans" w:eastAsia="Times New Roman" w:hAnsi="Quire Sans" w:cs="Quire Sans"/>
          <w:color w:val="212529"/>
          <w:sz w:val="24"/>
          <w:szCs w:val="24"/>
          <w:shd w:val="clear" w:color="auto" w:fill="FFFFFF"/>
          <w:lang w:eastAsia="en-GB"/>
        </w:rPr>
        <w:t>suffering</w:t>
      </w:r>
      <w:r w:rsidRPr="00631C2B">
        <w:rPr>
          <w:rFonts w:ascii="Quire Sans" w:eastAsia="Times New Roman" w:hAnsi="Quire Sans" w:cs="Quire Sans"/>
          <w:color w:val="212529"/>
          <w:sz w:val="24"/>
          <w:szCs w:val="24"/>
          <w:shd w:val="clear" w:color="auto" w:fill="FFFFFF"/>
          <w:lang w:eastAsia="en-GB"/>
        </w:rPr>
        <w:t xml:space="preserve"> would amount to actual bodily harm. Mr Chan-</w:t>
      </w:r>
      <w:proofErr w:type="spellStart"/>
      <w:r w:rsidRPr="00631C2B">
        <w:rPr>
          <w:rFonts w:ascii="Quire Sans" w:eastAsia="Times New Roman" w:hAnsi="Quire Sans" w:cs="Quire Sans"/>
          <w:color w:val="212529"/>
          <w:sz w:val="24"/>
          <w:szCs w:val="24"/>
          <w:shd w:val="clear" w:color="auto" w:fill="FFFFFF"/>
          <w:lang w:eastAsia="en-GB"/>
        </w:rPr>
        <w:t>Fook</w:t>
      </w:r>
      <w:proofErr w:type="spellEnd"/>
      <w:r w:rsidRPr="00631C2B">
        <w:rPr>
          <w:rFonts w:ascii="Quire Sans" w:eastAsia="Times New Roman" w:hAnsi="Quire Sans" w:cs="Quire Sans"/>
          <w:color w:val="212529"/>
          <w:sz w:val="24"/>
          <w:szCs w:val="24"/>
          <w:shd w:val="clear" w:color="auto" w:fill="FFFFFF"/>
          <w:lang w:eastAsia="en-GB"/>
        </w:rPr>
        <w:t xml:space="preserve"> was not seen fit to be convicted on this basis of ABH as no seen or permanent trauma was found in the medical report presented into court. </w:t>
      </w:r>
    </w:p>
    <w:p w14:paraId="53F035D0" w14:textId="17451574" w:rsidR="00631C2B" w:rsidRPr="00631C2B" w:rsidRDefault="00631C2B" w:rsidP="00B9328F">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w:t>
      </w:r>
    </w:p>
    <w:p w14:paraId="300F64D0" w14:textId="1C20588A" w:rsidR="003326E0" w:rsidRDefault="00631C2B" w:rsidP="00AD7561">
      <w:pPr>
        <w:shd w:val="clear" w:color="auto" w:fill="FFFFFF"/>
        <w:spacing w:after="0" w:line="240" w:lineRule="auto"/>
        <w:rPr>
          <w:rFonts w:ascii="Quire Sans" w:eastAsia="Times New Roman" w:hAnsi="Quire Sans" w:cs="Quire Sans"/>
          <w:color w:val="000000"/>
          <w:sz w:val="24"/>
          <w:szCs w:val="24"/>
          <w:lang w:eastAsia="en-GB"/>
        </w:rPr>
      </w:pPr>
      <w:r w:rsidRPr="00631C2B">
        <w:rPr>
          <w:rFonts w:ascii="Quire Sans" w:eastAsia="Times New Roman" w:hAnsi="Quire Sans" w:cs="Quire Sans"/>
          <w:color w:val="000000"/>
          <w:sz w:val="24"/>
          <w:szCs w:val="24"/>
          <w:lang w:eastAsia="en-GB"/>
        </w:rPr>
        <w:t xml:space="preserve">In </w:t>
      </w:r>
      <w:r w:rsidR="00847950" w:rsidRPr="00631C2B">
        <w:rPr>
          <w:rFonts w:ascii="Quire Sans" w:eastAsia="Times New Roman" w:hAnsi="Quire Sans" w:cs="Quire Sans"/>
          <w:color w:val="000000"/>
          <w:sz w:val="24"/>
          <w:szCs w:val="24"/>
          <w:lang w:eastAsia="en-GB"/>
        </w:rPr>
        <w:t>conclusion, the</w:t>
      </w:r>
      <w:r w:rsidR="003326E0">
        <w:rPr>
          <w:rFonts w:ascii="Quire Sans" w:eastAsia="Times New Roman" w:hAnsi="Quire Sans" w:cs="Quire Sans"/>
          <w:color w:val="000000"/>
          <w:sz w:val="24"/>
          <w:szCs w:val="24"/>
          <w:lang w:eastAsia="en-GB"/>
        </w:rPr>
        <w:t xml:space="preserve"> document for </w:t>
      </w:r>
      <w:r w:rsidR="00082C39">
        <w:rPr>
          <w:rFonts w:ascii="Quire Sans" w:eastAsia="Times New Roman" w:hAnsi="Quire Sans" w:cs="Quire Sans"/>
          <w:color w:val="000000"/>
          <w:sz w:val="24"/>
          <w:szCs w:val="24"/>
          <w:lang w:eastAsia="en-GB"/>
        </w:rPr>
        <w:t>nonfatal</w:t>
      </w:r>
      <w:r w:rsidR="003326E0">
        <w:rPr>
          <w:rFonts w:ascii="Quire Sans" w:eastAsia="Times New Roman" w:hAnsi="Quire Sans" w:cs="Quire Sans"/>
          <w:color w:val="000000"/>
          <w:sz w:val="24"/>
          <w:szCs w:val="24"/>
          <w:lang w:eastAsia="en-GB"/>
        </w:rPr>
        <w:t xml:space="preserve"> offenses are old and out of date, the progressing </w:t>
      </w:r>
      <w:r w:rsidR="00847950">
        <w:rPr>
          <w:rFonts w:ascii="Quire Sans" w:eastAsia="Times New Roman" w:hAnsi="Quire Sans" w:cs="Quire Sans"/>
          <w:color w:val="000000"/>
          <w:sz w:val="24"/>
          <w:szCs w:val="24"/>
          <w:lang w:eastAsia="en-GB"/>
        </w:rPr>
        <w:t>21</w:t>
      </w:r>
      <w:r w:rsidR="00847950" w:rsidRPr="00847950">
        <w:rPr>
          <w:rFonts w:ascii="Quire Sans" w:eastAsia="Times New Roman" w:hAnsi="Quire Sans" w:cs="Quire Sans"/>
          <w:color w:val="000000"/>
          <w:sz w:val="24"/>
          <w:szCs w:val="24"/>
          <w:vertAlign w:val="superscript"/>
          <w:lang w:eastAsia="en-GB"/>
        </w:rPr>
        <w:t>st</w:t>
      </w:r>
      <w:r w:rsidR="00847950">
        <w:rPr>
          <w:rFonts w:ascii="Quire Sans" w:eastAsia="Times New Roman" w:hAnsi="Quire Sans" w:cs="Quire Sans"/>
          <w:color w:val="000000"/>
          <w:sz w:val="24"/>
          <w:szCs w:val="24"/>
          <w:lang w:eastAsia="en-GB"/>
        </w:rPr>
        <w:t xml:space="preserve"> century finds it difficult matching such out dating documents, </w:t>
      </w:r>
      <w:r w:rsidR="007570E7">
        <w:rPr>
          <w:rFonts w:ascii="Quire Sans" w:eastAsia="Times New Roman" w:hAnsi="Quire Sans" w:cs="Quire Sans"/>
          <w:color w:val="000000"/>
          <w:sz w:val="24"/>
          <w:szCs w:val="24"/>
          <w:lang w:eastAsia="en-GB"/>
        </w:rPr>
        <w:t xml:space="preserve">especially since the crime rates have increased since </w:t>
      </w:r>
      <w:r w:rsidR="00E07CBB">
        <w:rPr>
          <w:rFonts w:ascii="Quire Sans" w:eastAsia="Times New Roman" w:hAnsi="Quire Sans" w:cs="Quire Sans"/>
          <w:color w:val="000000"/>
          <w:sz w:val="24"/>
          <w:szCs w:val="24"/>
          <w:lang w:eastAsia="en-GB"/>
        </w:rPr>
        <w:t xml:space="preserve">the 1500 and 1900’s. having the out dated document translated can also cause an issue since the English legal system has its own procedure that it works by, the out dates cases and rules do not match the current century, as elements presented in them do not match the current time, this plays a hard factor in the judgment presented before courts. </w:t>
      </w:r>
      <w:r w:rsidR="00A16E87">
        <w:rPr>
          <w:rFonts w:ascii="Quire Sans" w:eastAsia="Times New Roman" w:hAnsi="Quire Sans" w:cs="Quire Sans"/>
          <w:color w:val="000000"/>
          <w:sz w:val="24"/>
          <w:szCs w:val="24"/>
          <w:lang w:eastAsia="en-GB"/>
        </w:rPr>
        <w:t xml:space="preserve">The law commission report of 2015 does permit the </w:t>
      </w:r>
      <w:r w:rsidR="00621B7D">
        <w:rPr>
          <w:rFonts w:ascii="Quire Sans" w:eastAsia="Times New Roman" w:hAnsi="Quire Sans" w:cs="Quire Sans"/>
          <w:color w:val="000000"/>
          <w:sz w:val="24"/>
          <w:szCs w:val="24"/>
          <w:lang w:eastAsia="en-GB"/>
        </w:rPr>
        <w:t xml:space="preserve">modification of </w:t>
      </w:r>
      <w:r w:rsidR="00082C39">
        <w:rPr>
          <w:rFonts w:ascii="Quire Sans" w:eastAsia="Times New Roman" w:hAnsi="Quire Sans" w:cs="Quire Sans"/>
          <w:color w:val="000000"/>
          <w:sz w:val="24"/>
          <w:szCs w:val="24"/>
          <w:lang w:eastAsia="en-GB"/>
        </w:rPr>
        <w:t>outdated</w:t>
      </w:r>
      <w:r w:rsidR="00621B7D">
        <w:rPr>
          <w:rFonts w:ascii="Quire Sans" w:eastAsia="Times New Roman" w:hAnsi="Quire Sans" w:cs="Quire Sans"/>
          <w:color w:val="000000"/>
          <w:sz w:val="24"/>
          <w:szCs w:val="24"/>
          <w:lang w:eastAsia="en-GB"/>
        </w:rPr>
        <w:t xml:space="preserve"> documents. The legal statues are still being used to date and therefore, if matched to the current century and the </w:t>
      </w:r>
      <w:r w:rsidR="00082C39">
        <w:rPr>
          <w:rFonts w:ascii="Quire Sans" w:eastAsia="Times New Roman" w:hAnsi="Quire Sans" w:cs="Quire Sans"/>
          <w:color w:val="000000"/>
          <w:sz w:val="24"/>
          <w:szCs w:val="24"/>
          <w:lang w:eastAsia="en-GB"/>
        </w:rPr>
        <w:t>highest</w:t>
      </w:r>
      <w:r w:rsidR="00621B7D">
        <w:rPr>
          <w:rFonts w:ascii="Quire Sans" w:eastAsia="Times New Roman" w:hAnsi="Quire Sans" w:cs="Quire Sans"/>
          <w:color w:val="000000"/>
          <w:sz w:val="24"/>
          <w:szCs w:val="24"/>
          <w:lang w:eastAsia="en-GB"/>
        </w:rPr>
        <w:t xml:space="preserve"> rated </w:t>
      </w:r>
      <w:r w:rsidR="00082C39">
        <w:rPr>
          <w:rFonts w:ascii="Quire Sans" w:eastAsia="Times New Roman" w:hAnsi="Quire Sans" w:cs="Quire Sans"/>
          <w:color w:val="000000"/>
          <w:sz w:val="24"/>
          <w:szCs w:val="24"/>
          <w:lang w:eastAsia="en-GB"/>
        </w:rPr>
        <w:t>crimes</w:t>
      </w:r>
      <w:r w:rsidR="00621B7D">
        <w:rPr>
          <w:rFonts w:ascii="Quire Sans" w:eastAsia="Times New Roman" w:hAnsi="Quire Sans" w:cs="Quire Sans"/>
          <w:color w:val="000000"/>
          <w:sz w:val="24"/>
          <w:szCs w:val="24"/>
          <w:lang w:eastAsia="en-GB"/>
        </w:rPr>
        <w:t xml:space="preserve"> the outcome should be </w:t>
      </w:r>
      <w:r w:rsidR="00082C39">
        <w:rPr>
          <w:rFonts w:ascii="Quire Sans" w:eastAsia="Times New Roman" w:hAnsi="Quire Sans" w:cs="Quire Sans"/>
          <w:color w:val="000000"/>
          <w:sz w:val="24"/>
          <w:szCs w:val="24"/>
          <w:lang w:eastAsia="en-GB"/>
        </w:rPr>
        <w:t>swifter and clearer</w:t>
      </w:r>
      <w:r w:rsidR="00621B7D">
        <w:rPr>
          <w:rFonts w:ascii="Quire Sans" w:eastAsia="Times New Roman" w:hAnsi="Quire Sans" w:cs="Quire Sans"/>
          <w:color w:val="000000"/>
          <w:sz w:val="24"/>
          <w:szCs w:val="24"/>
          <w:lang w:eastAsia="en-GB"/>
        </w:rPr>
        <w:t xml:space="preserve">. </w:t>
      </w:r>
      <w:r w:rsidR="00AD7561">
        <w:rPr>
          <w:rFonts w:ascii="Quire Sans" w:eastAsia="Times New Roman" w:hAnsi="Quire Sans" w:cs="Quire Sans"/>
          <w:color w:val="000000"/>
          <w:sz w:val="24"/>
          <w:szCs w:val="24"/>
          <w:lang w:eastAsia="en-GB"/>
        </w:rPr>
        <w:t xml:space="preserve">Modifying them under </w:t>
      </w:r>
      <w:r w:rsidR="00A16E87" w:rsidRPr="00631C2B">
        <w:rPr>
          <w:rFonts w:ascii="Quire Sans" w:eastAsia="Times New Roman" w:hAnsi="Quire Sans" w:cs="Quire Sans"/>
          <w:color w:val="000000"/>
          <w:sz w:val="24"/>
          <w:szCs w:val="24"/>
          <w:lang w:eastAsia="en-GB"/>
        </w:rPr>
        <w:t xml:space="preserve">the Home office 1998 draft </w:t>
      </w:r>
      <w:r w:rsidR="00082C39" w:rsidRPr="00631C2B">
        <w:rPr>
          <w:rFonts w:ascii="Quire Sans" w:eastAsia="Times New Roman" w:hAnsi="Quire Sans" w:cs="Quire Sans"/>
          <w:color w:val="000000"/>
          <w:sz w:val="24"/>
          <w:szCs w:val="24"/>
          <w:lang w:eastAsia="en-GB"/>
        </w:rPr>
        <w:t>bill and</w:t>
      </w:r>
      <w:r w:rsidR="00AD7561">
        <w:rPr>
          <w:rFonts w:ascii="Quire Sans" w:eastAsia="Times New Roman" w:hAnsi="Quire Sans" w:cs="Quire Sans"/>
          <w:color w:val="000000"/>
          <w:sz w:val="24"/>
          <w:szCs w:val="24"/>
          <w:lang w:eastAsia="en-GB"/>
        </w:rPr>
        <w:t xml:space="preserve"> dispose </w:t>
      </w:r>
      <w:r w:rsidR="00082C39">
        <w:rPr>
          <w:rFonts w:ascii="Quire Sans" w:eastAsia="Times New Roman" w:hAnsi="Quire Sans" w:cs="Quire Sans"/>
          <w:color w:val="000000"/>
          <w:sz w:val="24"/>
          <w:szCs w:val="24"/>
          <w:lang w:eastAsia="en-GB"/>
        </w:rPr>
        <w:t xml:space="preserve">of </w:t>
      </w:r>
      <w:r w:rsidR="00082C39" w:rsidRPr="00631C2B">
        <w:rPr>
          <w:rFonts w:ascii="Quire Sans" w:eastAsia="Times New Roman" w:hAnsi="Quire Sans" w:cs="Quire Sans"/>
          <w:color w:val="000000"/>
          <w:sz w:val="24"/>
          <w:szCs w:val="24"/>
          <w:lang w:eastAsia="en-GB"/>
        </w:rPr>
        <w:t>the</w:t>
      </w:r>
      <w:r w:rsidR="00AD7561">
        <w:rPr>
          <w:rFonts w:ascii="Quire Sans" w:eastAsia="Times New Roman" w:hAnsi="Quire Sans" w:cs="Quire Sans"/>
          <w:color w:val="000000"/>
          <w:sz w:val="24"/>
          <w:szCs w:val="24"/>
          <w:lang w:eastAsia="en-GB"/>
        </w:rPr>
        <w:t xml:space="preserve"> </w:t>
      </w:r>
      <w:r w:rsidR="00A16E87" w:rsidRPr="00631C2B">
        <w:rPr>
          <w:rFonts w:ascii="Quire Sans" w:eastAsia="Times New Roman" w:hAnsi="Quire Sans" w:cs="Quire Sans"/>
          <w:color w:val="000000"/>
          <w:sz w:val="24"/>
          <w:szCs w:val="24"/>
          <w:lang w:eastAsia="en-GB"/>
        </w:rPr>
        <w:t>OAPA 1861</w:t>
      </w:r>
      <w:r w:rsidR="00AD7561">
        <w:rPr>
          <w:rFonts w:ascii="Quire Sans" w:eastAsia="Times New Roman" w:hAnsi="Quire Sans" w:cs="Quire Sans"/>
          <w:color w:val="000000"/>
          <w:sz w:val="24"/>
          <w:szCs w:val="24"/>
          <w:lang w:eastAsia="en-GB"/>
        </w:rPr>
        <w:t xml:space="preserve"> would be a sufficient way to begin, as this would let us have a deeper and better understanding of ABH. </w:t>
      </w:r>
    </w:p>
    <w:p w14:paraId="338BE3C3" w14:textId="0316BB91" w:rsidR="00C964E5" w:rsidRDefault="00C964E5" w:rsidP="00631C2B">
      <w:pPr>
        <w:shd w:val="clear" w:color="auto" w:fill="FFFFFF"/>
        <w:spacing w:after="0" w:line="240" w:lineRule="auto"/>
        <w:rPr>
          <w:rFonts w:ascii="Quire Sans" w:hAnsi="Quire Sans" w:cs="Quire Sans"/>
          <w:sz w:val="24"/>
          <w:szCs w:val="24"/>
        </w:rPr>
      </w:pPr>
    </w:p>
    <w:p w14:paraId="49EE4ECB" w14:textId="45826269" w:rsidR="00695A14" w:rsidRDefault="00695A14" w:rsidP="00376019">
      <w:pPr>
        <w:tabs>
          <w:tab w:val="left" w:pos="5550"/>
        </w:tabs>
        <w:rPr>
          <w:rFonts w:ascii="Quire Sans" w:hAnsi="Quire Sans" w:cs="Quire Sans"/>
          <w:sz w:val="24"/>
          <w:szCs w:val="24"/>
        </w:rPr>
      </w:pPr>
    </w:p>
    <w:p w14:paraId="36061FCD" w14:textId="23FEC428" w:rsidR="00376019" w:rsidRDefault="00376019" w:rsidP="00376019">
      <w:pPr>
        <w:tabs>
          <w:tab w:val="left" w:pos="5550"/>
        </w:tabs>
        <w:rPr>
          <w:rFonts w:ascii="Quire Sans" w:hAnsi="Quire Sans" w:cs="Quire Sans"/>
          <w:sz w:val="24"/>
          <w:szCs w:val="24"/>
        </w:rPr>
      </w:pPr>
    </w:p>
    <w:p w14:paraId="7FB7ED59" w14:textId="4E195FB9" w:rsidR="00376019" w:rsidRDefault="00376019" w:rsidP="00376019">
      <w:pPr>
        <w:tabs>
          <w:tab w:val="left" w:pos="5550"/>
        </w:tabs>
        <w:rPr>
          <w:rFonts w:ascii="Quire Sans" w:hAnsi="Quire Sans" w:cs="Quire Sans"/>
          <w:sz w:val="24"/>
          <w:szCs w:val="24"/>
        </w:rPr>
      </w:pPr>
    </w:p>
    <w:p w14:paraId="3E7A27BB" w14:textId="6F52FD82" w:rsidR="00376019" w:rsidRDefault="00376019" w:rsidP="00376019">
      <w:pPr>
        <w:tabs>
          <w:tab w:val="left" w:pos="5550"/>
        </w:tabs>
        <w:rPr>
          <w:rFonts w:ascii="Quire Sans" w:hAnsi="Quire Sans" w:cs="Quire Sans"/>
          <w:sz w:val="24"/>
          <w:szCs w:val="24"/>
        </w:rPr>
      </w:pPr>
    </w:p>
    <w:p w14:paraId="5DD4567E" w14:textId="3606F9C3" w:rsidR="00376019" w:rsidRDefault="00376019" w:rsidP="00376019">
      <w:pPr>
        <w:tabs>
          <w:tab w:val="left" w:pos="5550"/>
        </w:tabs>
        <w:rPr>
          <w:rFonts w:ascii="Quire Sans" w:hAnsi="Quire Sans" w:cs="Quire Sans"/>
          <w:sz w:val="24"/>
          <w:szCs w:val="24"/>
        </w:rPr>
      </w:pPr>
    </w:p>
    <w:p w14:paraId="44A88D73" w14:textId="114745EE" w:rsidR="00376019" w:rsidRDefault="00376019" w:rsidP="00376019">
      <w:pPr>
        <w:tabs>
          <w:tab w:val="left" w:pos="5550"/>
        </w:tabs>
        <w:rPr>
          <w:rFonts w:ascii="Quire Sans" w:hAnsi="Quire Sans" w:cs="Quire Sans"/>
          <w:sz w:val="24"/>
          <w:szCs w:val="24"/>
        </w:rPr>
      </w:pPr>
    </w:p>
    <w:p w14:paraId="76526412" w14:textId="51D5F19C" w:rsidR="00376019" w:rsidRDefault="00376019" w:rsidP="00376019">
      <w:pPr>
        <w:tabs>
          <w:tab w:val="left" w:pos="5550"/>
        </w:tabs>
        <w:rPr>
          <w:rFonts w:ascii="Quire Sans" w:hAnsi="Quire Sans" w:cs="Quire Sans"/>
          <w:sz w:val="24"/>
          <w:szCs w:val="24"/>
        </w:rPr>
      </w:pPr>
    </w:p>
    <w:p w14:paraId="17A2DD3E" w14:textId="5E0E58C1" w:rsidR="00376019" w:rsidRDefault="00376019" w:rsidP="00376019">
      <w:pPr>
        <w:tabs>
          <w:tab w:val="left" w:pos="5550"/>
        </w:tabs>
        <w:rPr>
          <w:rFonts w:ascii="Quire Sans" w:hAnsi="Quire Sans" w:cs="Quire Sans"/>
          <w:sz w:val="24"/>
          <w:szCs w:val="24"/>
        </w:rPr>
      </w:pPr>
    </w:p>
    <w:p w14:paraId="676FDE05" w14:textId="49A553F6" w:rsidR="00376019" w:rsidRDefault="00376019" w:rsidP="00376019">
      <w:pPr>
        <w:tabs>
          <w:tab w:val="left" w:pos="5550"/>
        </w:tabs>
        <w:rPr>
          <w:rFonts w:ascii="Quire Sans" w:hAnsi="Quire Sans" w:cs="Quire Sans"/>
          <w:sz w:val="24"/>
          <w:szCs w:val="24"/>
        </w:rPr>
      </w:pPr>
    </w:p>
    <w:p w14:paraId="6692DEA7" w14:textId="2B74A827" w:rsidR="00376019" w:rsidRDefault="00376019" w:rsidP="00376019">
      <w:pPr>
        <w:tabs>
          <w:tab w:val="left" w:pos="5550"/>
        </w:tabs>
        <w:rPr>
          <w:rFonts w:ascii="Quire Sans" w:hAnsi="Quire Sans" w:cs="Quire Sans"/>
          <w:sz w:val="24"/>
          <w:szCs w:val="24"/>
        </w:rPr>
      </w:pPr>
    </w:p>
    <w:p w14:paraId="3563A0D5" w14:textId="4A1DDBDA" w:rsidR="00376019" w:rsidRDefault="00376019" w:rsidP="00376019">
      <w:pPr>
        <w:tabs>
          <w:tab w:val="left" w:pos="5550"/>
        </w:tabs>
        <w:rPr>
          <w:rFonts w:ascii="Quire Sans" w:hAnsi="Quire Sans" w:cs="Quire Sans"/>
          <w:sz w:val="24"/>
          <w:szCs w:val="24"/>
        </w:rPr>
      </w:pPr>
    </w:p>
    <w:p w14:paraId="7688172E" w14:textId="5DEE2982" w:rsidR="00376019" w:rsidRDefault="00376019" w:rsidP="00376019">
      <w:pPr>
        <w:tabs>
          <w:tab w:val="left" w:pos="5550"/>
        </w:tabs>
        <w:rPr>
          <w:rFonts w:ascii="Quire Sans" w:hAnsi="Quire Sans" w:cs="Quire Sans"/>
          <w:sz w:val="24"/>
          <w:szCs w:val="24"/>
        </w:rPr>
      </w:pPr>
    </w:p>
    <w:p w14:paraId="14BB4C5A" w14:textId="706CD04A" w:rsidR="00376019" w:rsidRDefault="00376019" w:rsidP="00376019">
      <w:pPr>
        <w:tabs>
          <w:tab w:val="left" w:pos="5550"/>
        </w:tabs>
        <w:rPr>
          <w:rFonts w:ascii="Quire Sans" w:hAnsi="Quire Sans" w:cs="Quire Sans"/>
          <w:sz w:val="24"/>
          <w:szCs w:val="24"/>
        </w:rPr>
      </w:pPr>
    </w:p>
    <w:p w14:paraId="197F9E8C" w14:textId="4FF2177B" w:rsidR="00376019" w:rsidRDefault="00376019" w:rsidP="00376019">
      <w:pPr>
        <w:tabs>
          <w:tab w:val="left" w:pos="5550"/>
        </w:tabs>
        <w:rPr>
          <w:rFonts w:ascii="Quire Sans" w:hAnsi="Quire Sans" w:cs="Quire Sans"/>
          <w:sz w:val="24"/>
          <w:szCs w:val="24"/>
        </w:rPr>
      </w:pPr>
    </w:p>
    <w:p w14:paraId="157BB37C" w14:textId="45A161CE" w:rsidR="00376019" w:rsidRDefault="00376019" w:rsidP="00376019">
      <w:pPr>
        <w:tabs>
          <w:tab w:val="left" w:pos="5550"/>
        </w:tabs>
        <w:rPr>
          <w:rFonts w:ascii="Quire Sans" w:hAnsi="Quire Sans" w:cs="Quire Sans"/>
          <w:sz w:val="24"/>
          <w:szCs w:val="24"/>
        </w:rPr>
      </w:pPr>
    </w:p>
    <w:p w14:paraId="5B31F9CB" w14:textId="77777777" w:rsidR="00376019" w:rsidRPr="00376019" w:rsidRDefault="00376019" w:rsidP="00376019">
      <w:pPr>
        <w:tabs>
          <w:tab w:val="left" w:pos="5550"/>
        </w:tabs>
        <w:rPr>
          <w:rFonts w:ascii="Quire Sans" w:hAnsi="Quire Sans" w:cs="Quire Sans"/>
          <w:sz w:val="24"/>
          <w:szCs w:val="24"/>
        </w:rPr>
      </w:pPr>
    </w:p>
    <w:p w14:paraId="56519C42" w14:textId="77777777" w:rsidR="00695A14" w:rsidRDefault="00695A14" w:rsidP="00695A14">
      <w:pPr>
        <w:spacing w:line="276" w:lineRule="auto"/>
        <w:rPr>
          <w:rFonts w:ascii="Arial" w:hAnsi="Arial" w:cs="Arial"/>
          <w:b/>
          <w:bCs/>
          <w:sz w:val="24"/>
          <w:szCs w:val="24"/>
          <w:u w:val="single"/>
        </w:rPr>
      </w:pPr>
      <w:r>
        <w:rPr>
          <w:rFonts w:ascii="Arial" w:hAnsi="Arial" w:cs="Arial"/>
          <w:b/>
          <w:bCs/>
          <w:sz w:val="24"/>
          <w:szCs w:val="24"/>
          <w:u w:val="single"/>
        </w:rPr>
        <w:lastRenderedPageBreak/>
        <w:t>Bibliography:</w:t>
      </w:r>
    </w:p>
    <w:p w14:paraId="13E47A01" w14:textId="77777777" w:rsidR="00695A14" w:rsidRDefault="00695A14" w:rsidP="00695A14">
      <w:pPr>
        <w:spacing w:line="276" w:lineRule="auto"/>
        <w:rPr>
          <w:rFonts w:ascii="Arial" w:hAnsi="Arial" w:cs="Arial"/>
          <w:sz w:val="24"/>
          <w:szCs w:val="24"/>
        </w:rPr>
      </w:pPr>
      <w:r>
        <w:rPr>
          <w:rFonts w:ascii="Arial" w:hAnsi="Arial" w:cs="Arial"/>
          <w:sz w:val="24"/>
          <w:szCs w:val="24"/>
        </w:rPr>
        <w:t>Homicide Act 1957</w:t>
      </w:r>
    </w:p>
    <w:p w14:paraId="3F292CAA" w14:textId="77777777" w:rsidR="00695A14" w:rsidRDefault="00695A14" w:rsidP="00695A14">
      <w:pPr>
        <w:spacing w:line="276" w:lineRule="auto"/>
        <w:rPr>
          <w:rFonts w:ascii="Arial" w:hAnsi="Arial" w:cs="Arial"/>
          <w:sz w:val="24"/>
          <w:szCs w:val="24"/>
        </w:rPr>
      </w:pPr>
      <w:r>
        <w:rPr>
          <w:rFonts w:ascii="Arial" w:hAnsi="Arial" w:cs="Arial"/>
          <w:sz w:val="24"/>
          <w:szCs w:val="24"/>
        </w:rPr>
        <w:t>Actus Reus</w:t>
      </w:r>
    </w:p>
    <w:p w14:paraId="29A3475B" w14:textId="77777777" w:rsidR="00695A14" w:rsidRDefault="00695A14" w:rsidP="00695A14">
      <w:pPr>
        <w:spacing w:line="276" w:lineRule="auto"/>
        <w:rPr>
          <w:rFonts w:ascii="Arial" w:hAnsi="Arial" w:cs="Arial"/>
          <w:sz w:val="24"/>
          <w:szCs w:val="24"/>
        </w:rPr>
      </w:pPr>
      <w:r>
        <w:rPr>
          <w:rFonts w:ascii="Arial" w:hAnsi="Arial" w:cs="Arial"/>
          <w:sz w:val="24"/>
          <w:szCs w:val="24"/>
        </w:rPr>
        <w:t>Criminal Attempts Act 1957</w:t>
      </w:r>
    </w:p>
    <w:p w14:paraId="77F5407A" w14:textId="77777777" w:rsidR="00695A14" w:rsidRDefault="00695A14" w:rsidP="00695A14">
      <w:pPr>
        <w:spacing w:line="276" w:lineRule="auto"/>
        <w:rPr>
          <w:rFonts w:ascii="Arial" w:hAnsi="Arial" w:cs="Arial"/>
          <w:sz w:val="24"/>
          <w:szCs w:val="24"/>
        </w:rPr>
      </w:pPr>
      <w:r>
        <w:rPr>
          <w:rFonts w:ascii="Arial" w:hAnsi="Arial" w:cs="Arial"/>
          <w:sz w:val="24"/>
          <w:szCs w:val="24"/>
        </w:rPr>
        <w:t>OAPA 1861</w:t>
      </w:r>
    </w:p>
    <w:p w14:paraId="16B78108" w14:textId="77777777" w:rsidR="00695A14" w:rsidRDefault="00695A14" w:rsidP="00695A14">
      <w:pPr>
        <w:spacing w:line="276" w:lineRule="auto"/>
        <w:rPr>
          <w:rFonts w:ascii="Arial" w:hAnsi="Arial" w:cs="Arial"/>
          <w:sz w:val="24"/>
          <w:szCs w:val="24"/>
        </w:rPr>
      </w:pPr>
      <w:r>
        <w:rPr>
          <w:rFonts w:ascii="Arial" w:hAnsi="Arial" w:cs="Arial"/>
          <w:sz w:val="24"/>
          <w:szCs w:val="24"/>
        </w:rPr>
        <w:t>s.47 ABH</w:t>
      </w:r>
    </w:p>
    <w:p w14:paraId="18DDDB5D" w14:textId="77777777" w:rsidR="00695A14" w:rsidRDefault="00695A14" w:rsidP="00695A14">
      <w:pPr>
        <w:spacing w:line="276" w:lineRule="auto"/>
        <w:rPr>
          <w:rFonts w:ascii="Arial" w:hAnsi="Arial" w:cs="Arial"/>
          <w:sz w:val="24"/>
          <w:szCs w:val="24"/>
        </w:rPr>
      </w:pPr>
      <w:r>
        <w:rPr>
          <w:rFonts w:ascii="Arial" w:hAnsi="Arial" w:cs="Arial"/>
          <w:sz w:val="24"/>
          <w:szCs w:val="24"/>
        </w:rPr>
        <w:t>s.20 ABH</w:t>
      </w:r>
    </w:p>
    <w:p w14:paraId="12352EE4" w14:textId="77777777" w:rsidR="00695A14" w:rsidRDefault="00695A14" w:rsidP="00695A14">
      <w:pPr>
        <w:spacing w:line="276" w:lineRule="auto"/>
        <w:rPr>
          <w:rFonts w:ascii="Arial" w:hAnsi="Arial" w:cs="Arial"/>
          <w:sz w:val="24"/>
          <w:szCs w:val="24"/>
        </w:rPr>
      </w:pPr>
    </w:p>
    <w:p w14:paraId="1D54ABD5" w14:textId="77777777" w:rsidR="00695A14" w:rsidRDefault="00695A14" w:rsidP="00695A14">
      <w:pPr>
        <w:spacing w:line="276" w:lineRule="auto"/>
        <w:rPr>
          <w:rFonts w:ascii="Arial" w:hAnsi="Arial" w:cs="Arial"/>
          <w:sz w:val="24"/>
          <w:szCs w:val="24"/>
        </w:rPr>
      </w:pPr>
      <w:r>
        <w:rPr>
          <w:rFonts w:ascii="Arial" w:hAnsi="Arial" w:cs="Arial"/>
          <w:i/>
          <w:iCs/>
          <w:sz w:val="24"/>
          <w:szCs w:val="24"/>
        </w:rPr>
        <w:t xml:space="preserve">R v Saunders </w:t>
      </w:r>
      <w:r>
        <w:rPr>
          <w:rFonts w:ascii="Arial" w:hAnsi="Arial" w:cs="Arial"/>
          <w:sz w:val="24"/>
          <w:szCs w:val="24"/>
        </w:rPr>
        <w:t xml:space="preserve">(1573) 2 </w:t>
      </w:r>
      <w:proofErr w:type="spellStart"/>
      <w:r>
        <w:rPr>
          <w:rFonts w:ascii="Arial" w:hAnsi="Arial" w:cs="Arial"/>
          <w:sz w:val="24"/>
          <w:szCs w:val="24"/>
        </w:rPr>
        <w:t>Plowd</w:t>
      </w:r>
      <w:proofErr w:type="spellEnd"/>
      <w:r>
        <w:rPr>
          <w:rFonts w:ascii="Arial" w:hAnsi="Arial" w:cs="Arial"/>
          <w:sz w:val="24"/>
          <w:szCs w:val="24"/>
        </w:rPr>
        <w:t xml:space="preserve"> 473</w:t>
      </w:r>
    </w:p>
    <w:p w14:paraId="5450DD66" w14:textId="77777777" w:rsidR="00695A14" w:rsidRDefault="00695A14" w:rsidP="00695A14">
      <w:pPr>
        <w:spacing w:line="276" w:lineRule="auto"/>
        <w:rPr>
          <w:rFonts w:ascii="Arial" w:hAnsi="Arial" w:cs="Arial"/>
          <w:sz w:val="24"/>
          <w:szCs w:val="24"/>
        </w:rPr>
      </w:pPr>
      <w:r>
        <w:rPr>
          <w:rFonts w:ascii="Arial" w:hAnsi="Arial" w:cs="Arial"/>
          <w:i/>
          <w:iCs/>
          <w:sz w:val="24"/>
          <w:szCs w:val="24"/>
        </w:rPr>
        <w:t xml:space="preserve">R v Miller </w:t>
      </w:r>
      <w:r>
        <w:rPr>
          <w:rFonts w:ascii="Arial" w:hAnsi="Arial" w:cs="Arial"/>
          <w:sz w:val="24"/>
          <w:szCs w:val="24"/>
        </w:rPr>
        <w:t>(1983) 2 AC 161 House of Lords</w:t>
      </w:r>
    </w:p>
    <w:p w14:paraId="3D4A75C9" w14:textId="77777777" w:rsidR="00695A14" w:rsidRDefault="00695A14" w:rsidP="00695A14">
      <w:pPr>
        <w:spacing w:line="276" w:lineRule="auto"/>
        <w:rPr>
          <w:rFonts w:ascii="Arial" w:hAnsi="Arial" w:cs="Arial"/>
          <w:sz w:val="24"/>
          <w:szCs w:val="24"/>
        </w:rPr>
      </w:pPr>
      <w:r>
        <w:rPr>
          <w:rFonts w:ascii="Arial" w:hAnsi="Arial" w:cs="Arial"/>
          <w:i/>
          <w:iCs/>
          <w:sz w:val="24"/>
          <w:szCs w:val="24"/>
        </w:rPr>
        <w:t xml:space="preserve">R v Bollom </w:t>
      </w:r>
      <w:r>
        <w:rPr>
          <w:rFonts w:ascii="Arial" w:hAnsi="Arial" w:cs="Arial"/>
          <w:sz w:val="24"/>
          <w:szCs w:val="24"/>
        </w:rPr>
        <w:t>(2004) 2 Cr App R 6</w:t>
      </w:r>
    </w:p>
    <w:p w14:paraId="6C9570CA" w14:textId="77777777" w:rsidR="00695A14" w:rsidRDefault="00695A14" w:rsidP="00695A14">
      <w:pPr>
        <w:spacing w:line="276" w:lineRule="auto"/>
        <w:rPr>
          <w:rFonts w:ascii="Arial" w:hAnsi="Arial" w:cs="Arial"/>
          <w:sz w:val="24"/>
          <w:szCs w:val="24"/>
        </w:rPr>
      </w:pPr>
      <w:r>
        <w:rPr>
          <w:rFonts w:ascii="Arial" w:hAnsi="Arial" w:cs="Arial"/>
          <w:i/>
          <w:iCs/>
          <w:sz w:val="24"/>
          <w:szCs w:val="24"/>
        </w:rPr>
        <w:t xml:space="preserve">R v Constanza </w:t>
      </w:r>
      <w:r>
        <w:rPr>
          <w:rFonts w:ascii="Arial" w:hAnsi="Arial" w:cs="Arial"/>
          <w:sz w:val="24"/>
          <w:szCs w:val="24"/>
        </w:rPr>
        <w:t>(1997) Crim LR 576.</w:t>
      </w:r>
    </w:p>
    <w:p w14:paraId="3C14EE3E" w14:textId="77777777" w:rsidR="00695A14" w:rsidRDefault="00695A14" w:rsidP="00695A14">
      <w:pPr>
        <w:spacing w:line="276" w:lineRule="auto"/>
        <w:rPr>
          <w:rFonts w:ascii="Arial" w:hAnsi="Arial" w:cs="Arial"/>
          <w:i/>
          <w:iCs/>
          <w:sz w:val="24"/>
          <w:szCs w:val="24"/>
        </w:rPr>
      </w:pPr>
      <w:r>
        <w:rPr>
          <w:rFonts w:ascii="Arial" w:hAnsi="Arial" w:cs="Arial"/>
          <w:i/>
          <w:iCs/>
          <w:sz w:val="24"/>
          <w:szCs w:val="24"/>
        </w:rPr>
        <w:t>R v Burstow</w:t>
      </w:r>
      <w:r>
        <w:rPr>
          <w:rFonts w:ascii="Arial" w:hAnsi="Arial" w:cs="Arial"/>
          <w:sz w:val="24"/>
          <w:szCs w:val="24"/>
        </w:rPr>
        <w:t xml:space="preserve"> (1997) UKHL House OF Lords (Considered at same time a R v Ireland)</w:t>
      </w:r>
      <w:r>
        <w:rPr>
          <w:rFonts w:ascii="Arial" w:hAnsi="Arial" w:cs="Arial"/>
          <w:i/>
          <w:iCs/>
          <w:sz w:val="24"/>
          <w:szCs w:val="24"/>
        </w:rPr>
        <w:t xml:space="preserve"> </w:t>
      </w:r>
    </w:p>
    <w:p w14:paraId="0A0499EB" w14:textId="77777777" w:rsidR="00695A14" w:rsidRDefault="00695A14" w:rsidP="00695A14">
      <w:pPr>
        <w:spacing w:line="276" w:lineRule="auto"/>
        <w:rPr>
          <w:rFonts w:ascii="Arial" w:hAnsi="Arial" w:cs="Arial"/>
          <w:sz w:val="24"/>
          <w:szCs w:val="24"/>
        </w:rPr>
      </w:pPr>
      <w:r>
        <w:rPr>
          <w:rFonts w:ascii="Arial" w:hAnsi="Arial" w:cs="Arial"/>
          <w:i/>
          <w:iCs/>
          <w:sz w:val="24"/>
          <w:szCs w:val="24"/>
        </w:rPr>
        <w:t xml:space="preserve">R V Chan </w:t>
      </w:r>
      <w:proofErr w:type="spellStart"/>
      <w:r>
        <w:rPr>
          <w:rFonts w:ascii="Arial" w:hAnsi="Arial" w:cs="Arial"/>
          <w:i/>
          <w:iCs/>
          <w:sz w:val="24"/>
          <w:szCs w:val="24"/>
        </w:rPr>
        <w:t>Fook</w:t>
      </w:r>
      <w:proofErr w:type="spellEnd"/>
      <w:r>
        <w:rPr>
          <w:rFonts w:ascii="Arial" w:hAnsi="Arial" w:cs="Arial"/>
          <w:i/>
          <w:iCs/>
          <w:sz w:val="24"/>
          <w:szCs w:val="24"/>
        </w:rPr>
        <w:t xml:space="preserve"> </w:t>
      </w:r>
      <w:r>
        <w:rPr>
          <w:rFonts w:ascii="Arial" w:hAnsi="Arial" w:cs="Arial"/>
          <w:sz w:val="24"/>
          <w:szCs w:val="24"/>
        </w:rPr>
        <w:t xml:space="preserve">(1994) 1 WLR 689 Court </w:t>
      </w:r>
      <w:proofErr w:type="gramStart"/>
      <w:r>
        <w:rPr>
          <w:rFonts w:ascii="Arial" w:hAnsi="Arial" w:cs="Arial"/>
          <w:sz w:val="24"/>
          <w:szCs w:val="24"/>
        </w:rPr>
        <w:t>Of</w:t>
      </w:r>
      <w:proofErr w:type="gramEnd"/>
      <w:r>
        <w:rPr>
          <w:rFonts w:ascii="Arial" w:hAnsi="Arial" w:cs="Arial"/>
          <w:sz w:val="24"/>
          <w:szCs w:val="24"/>
        </w:rPr>
        <w:t xml:space="preserve"> Appeal</w:t>
      </w:r>
    </w:p>
    <w:p w14:paraId="7228080A" w14:textId="77777777" w:rsidR="00695A14" w:rsidRPr="00695A14" w:rsidRDefault="00695A14" w:rsidP="00695A14">
      <w:pPr>
        <w:tabs>
          <w:tab w:val="left" w:pos="5550"/>
        </w:tabs>
        <w:rPr>
          <w:rFonts w:ascii="Quire Sans" w:hAnsi="Quire Sans" w:cs="Quire Sans"/>
          <w:sz w:val="24"/>
          <w:szCs w:val="24"/>
        </w:rPr>
      </w:pPr>
    </w:p>
    <w:sectPr w:rsidR="00695A14" w:rsidRPr="00695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ire Sans">
    <w:altName w:val="Sylfaen"/>
    <w:charset w:val="00"/>
    <w:family w:val="swiss"/>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6C75B5"/>
    <w:multiLevelType w:val="multilevel"/>
    <w:tmpl w:val="06487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4E0"/>
    <w:rsid w:val="00082C39"/>
    <w:rsid w:val="000F2C4B"/>
    <w:rsid w:val="00136DC7"/>
    <w:rsid w:val="001F6E4E"/>
    <w:rsid w:val="00211E30"/>
    <w:rsid w:val="002B626E"/>
    <w:rsid w:val="003326E0"/>
    <w:rsid w:val="00336D63"/>
    <w:rsid w:val="00376019"/>
    <w:rsid w:val="003D33CC"/>
    <w:rsid w:val="004627A5"/>
    <w:rsid w:val="005038DA"/>
    <w:rsid w:val="00576703"/>
    <w:rsid w:val="00621B7D"/>
    <w:rsid w:val="00631C2B"/>
    <w:rsid w:val="00635DD2"/>
    <w:rsid w:val="00644115"/>
    <w:rsid w:val="00695A14"/>
    <w:rsid w:val="006965C2"/>
    <w:rsid w:val="006C57F2"/>
    <w:rsid w:val="007535F5"/>
    <w:rsid w:val="007570E7"/>
    <w:rsid w:val="00847950"/>
    <w:rsid w:val="009B3FB6"/>
    <w:rsid w:val="00A16E87"/>
    <w:rsid w:val="00A350EA"/>
    <w:rsid w:val="00AD54E0"/>
    <w:rsid w:val="00AD7561"/>
    <w:rsid w:val="00B9328F"/>
    <w:rsid w:val="00C57946"/>
    <w:rsid w:val="00C964E5"/>
    <w:rsid w:val="00CA4AE3"/>
    <w:rsid w:val="00E07CBB"/>
    <w:rsid w:val="00F32039"/>
    <w:rsid w:val="00F93C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C3739"/>
  <w15:chartTrackingRefBased/>
  <w15:docId w15:val="{576776A5-F9B8-4F91-B10B-AC1BD2758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6D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1C2B"/>
    <w:rPr>
      <w:b/>
      <w:bCs/>
    </w:rPr>
  </w:style>
  <w:style w:type="character" w:customStyle="1" w:styleId="ams">
    <w:name w:val="ams"/>
    <w:basedOn w:val="DefaultParagraphFont"/>
    <w:rsid w:val="00631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854746">
      <w:bodyDiv w:val="1"/>
      <w:marLeft w:val="0"/>
      <w:marRight w:val="0"/>
      <w:marTop w:val="0"/>
      <w:marBottom w:val="0"/>
      <w:divBdr>
        <w:top w:val="none" w:sz="0" w:space="0" w:color="auto"/>
        <w:left w:val="none" w:sz="0" w:space="0" w:color="auto"/>
        <w:bottom w:val="none" w:sz="0" w:space="0" w:color="auto"/>
        <w:right w:val="none" w:sz="0" w:space="0" w:color="auto"/>
      </w:divBdr>
    </w:div>
    <w:div w:id="696809467">
      <w:bodyDiv w:val="1"/>
      <w:marLeft w:val="0"/>
      <w:marRight w:val="0"/>
      <w:marTop w:val="0"/>
      <w:marBottom w:val="0"/>
      <w:divBdr>
        <w:top w:val="none" w:sz="0" w:space="0" w:color="auto"/>
        <w:left w:val="none" w:sz="0" w:space="0" w:color="auto"/>
        <w:bottom w:val="none" w:sz="0" w:space="0" w:color="auto"/>
        <w:right w:val="none" w:sz="0" w:space="0" w:color="auto"/>
      </w:divBdr>
    </w:div>
    <w:div w:id="1539472222">
      <w:bodyDiv w:val="1"/>
      <w:marLeft w:val="0"/>
      <w:marRight w:val="0"/>
      <w:marTop w:val="0"/>
      <w:marBottom w:val="0"/>
      <w:divBdr>
        <w:top w:val="none" w:sz="0" w:space="0" w:color="auto"/>
        <w:left w:val="none" w:sz="0" w:space="0" w:color="auto"/>
        <w:bottom w:val="none" w:sz="0" w:space="0" w:color="auto"/>
        <w:right w:val="none" w:sz="0" w:space="0" w:color="auto"/>
      </w:divBdr>
      <w:divsChild>
        <w:div w:id="106504814">
          <w:marLeft w:val="0"/>
          <w:marRight w:val="0"/>
          <w:marTop w:val="0"/>
          <w:marBottom w:val="0"/>
          <w:divBdr>
            <w:top w:val="none" w:sz="0" w:space="0" w:color="auto"/>
            <w:left w:val="none" w:sz="0" w:space="0" w:color="auto"/>
            <w:bottom w:val="none" w:sz="0" w:space="0" w:color="auto"/>
            <w:right w:val="none" w:sz="0" w:space="0" w:color="auto"/>
          </w:divBdr>
          <w:divsChild>
            <w:div w:id="1200819791">
              <w:marLeft w:val="0"/>
              <w:marRight w:val="0"/>
              <w:marTop w:val="0"/>
              <w:marBottom w:val="0"/>
              <w:divBdr>
                <w:top w:val="none" w:sz="0" w:space="0" w:color="auto"/>
                <w:left w:val="none" w:sz="0" w:space="0" w:color="auto"/>
                <w:bottom w:val="none" w:sz="0" w:space="0" w:color="auto"/>
                <w:right w:val="none" w:sz="0" w:space="0" w:color="auto"/>
              </w:divBdr>
              <w:divsChild>
                <w:div w:id="1547598018">
                  <w:marLeft w:val="0"/>
                  <w:marRight w:val="0"/>
                  <w:marTop w:val="0"/>
                  <w:marBottom w:val="0"/>
                  <w:divBdr>
                    <w:top w:val="none" w:sz="0" w:space="0" w:color="auto"/>
                    <w:left w:val="none" w:sz="0" w:space="0" w:color="auto"/>
                    <w:bottom w:val="none" w:sz="0" w:space="0" w:color="auto"/>
                    <w:right w:val="none" w:sz="0" w:space="0" w:color="auto"/>
                  </w:divBdr>
                  <w:divsChild>
                    <w:div w:id="588513486">
                      <w:marLeft w:val="0"/>
                      <w:marRight w:val="0"/>
                      <w:marTop w:val="120"/>
                      <w:marBottom w:val="0"/>
                      <w:divBdr>
                        <w:top w:val="none" w:sz="0" w:space="0" w:color="auto"/>
                        <w:left w:val="none" w:sz="0" w:space="0" w:color="auto"/>
                        <w:bottom w:val="none" w:sz="0" w:space="0" w:color="auto"/>
                        <w:right w:val="none" w:sz="0" w:space="0" w:color="auto"/>
                      </w:divBdr>
                      <w:divsChild>
                        <w:div w:id="43039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066446">
          <w:marLeft w:val="0"/>
          <w:marRight w:val="0"/>
          <w:marTop w:val="0"/>
          <w:marBottom w:val="0"/>
          <w:divBdr>
            <w:top w:val="none" w:sz="0" w:space="0" w:color="auto"/>
            <w:left w:val="none" w:sz="0" w:space="0" w:color="auto"/>
            <w:bottom w:val="none" w:sz="0" w:space="0" w:color="auto"/>
            <w:right w:val="none" w:sz="0" w:space="0" w:color="auto"/>
          </w:divBdr>
          <w:divsChild>
            <w:div w:id="2100833646">
              <w:marLeft w:val="0"/>
              <w:marRight w:val="0"/>
              <w:marTop w:val="0"/>
              <w:marBottom w:val="0"/>
              <w:divBdr>
                <w:top w:val="none" w:sz="0" w:space="0" w:color="auto"/>
                <w:left w:val="none" w:sz="0" w:space="0" w:color="auto"/>
                <w:bottom w:val="none" w:sz="0" w:space="0" w:color="auto"/>
                <w:right w:val="none" w:sz="0" w:space="0" w:color="auto"/>
              </w:divBdr>
              <w:divsChild>
                <w:div w:id="1803616983">
                  <w:marLeft w:val="0"/>
                  <w:marRight w:val="0"/>
                  <w:marTop w:val="0"/>
                  <w:marBottom w:val="0"/>
                  <w:divBdr>
                    <w:top w:val="none" w:sz="0" w:space="0" w:color="auto"/>
                    <w:left w:val="none" w:sz="0" w:space="0" w:color="auto"/>
                    <w:bottom w:val="none" w:sz="0" w:space="0" w:color="auto"/>
                    <w:right w:val="none" w:sz="0" w:space="0" w:color="auto"/>
                  </w:divBdr>
                  <w:divsChild>
                    <w:div w:id="1762794958">
                      <w:marLeft w:val="0"/>
                      <w:marRight w:val="0"/>
                      <w:marTop w:val="0"/>
                      <w:marBottom w:val="0"/>
                      <w:divBdr>
                        <w:top w:val="none" w:sz="0" w:space="0" w:color="auto"/>
                        <w:left w:val="none" w:sz="0" w:space="0" w:color="auto"/>
                        <w:bottom w:val="none" w:sz="0" w:space="0" w:color="auto"/>
                        <w:right w:val="none" w:sz="0" w:space="0" w:color="auto"/>
                      </w:divBdr>
                      <w:divsChild>
                        <w:div w:id="1692142938">
                          <w:marLeft w:val="0"/>
                          <w:marRight w:val="0"/>
                          <w:marTop w:val="0"/>
                          <w:marBottom w:val="0"/>
                          <w:divBdr>
                            <w:top w:val="none" w:sz="0" w:space="0" w:color="auto"/>
                            <w:left w:val="none" w:sz="0" w:space="0" w:color="auto"/>
                            <w:bottom w:val="none" w:sz="0" w:space="0" w:color="auto"/>
                            <w:right w:val="none" w:sz="0" w:space="0" w:color="auto"/>
                          </w:divBdr>
                          <w:divsChild>
                            <w:div w:id="156336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BBD54196F5744F84260EAD3FEC2A3D" ma:contentTypeVersion="4" ma:contentTypeDescription="Create a new document." ma:contentTypeScope="" ma:versionID="5721088dfb9846cf2e3fed37f29a8492">
  <xsd:schema xmlns:xsd="http://www.w3.org/2001/XMLSchema" xmlns:xs="http://www.w3.org/2001/XMLSchema" xmlns:p="http://schemas.microsoft.com/office/2006/metadata/properties" xmlns:ns3="3d25cf5b-2f71-49c9-bc19-ef8049db0576" targetNamespace="http://schemas.microsoft.com/office/2006/metadata/properties" ma:root="true" ma:fieldsID="797d5b3baed01e64861a681f6add2bd6" ns3:_="">
    <xsd:import namespace="3d25cf5b-2f71-49c9-bc19-ef8049db057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25cf5b-2f71-49c9-bc19-ef8049db05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916496-426B-4D19-A05B-1A33AA461F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25cf5b-2f71-49c9-bc19-ef8049db05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ECE606-2B4A-48DF-847B-12E186BFB7C2}">
  <ds:schemaRefs>
    <ds:schemaRef ds:uri="http://schemas.microsoft.com/sharepoint/v3/contenttype/forms"/>
  </ds:schemaRefs>
</ds:datastoreItem>
</file>

<file path=customXml/itemProps3.xml><?xml version="1.0" encoding="utf-8"?>
<ds:datastoreItem xmlns:ds="http://schemas.openxmlformats.org/officeDocument/2006/customXml" ds:itemID="{60E8CEF2-9A03-4644-A809-DA7B2CC7395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Mei</dc:creator>
  <cp:keywords/>
  <dc:description/>
  <cp:lastModifiedBy>Nagina Bibi (1806584)</cp:lastModifiedBy>
  <cp:revision>2</cp:revision>
  <dcterms:created xsi:type="dcterms:W3CDTF">2021-04-07T10:15:00Z</dcterms:created>
  <dcterms:modified xsi:type="dcterms:W3CDTF">2021-04-07T10:15:00Z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0x010100B7BBD54196F5744F84260EAD3FEC2A3D</vt:lpwstr>
  </property>
</Properties>
</file>