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DD121" w14:textId="77777777" w:rsidR="00B93DA1" w:rsidRDefault="00B93DA1" w:rsidP="00332D23">
      <w:pPr>
        <w:pStyle w:val="Default"/>
      </w:pPr>
    </w:p>
    <w:p w14:paraId="4286887F" w14:textId="77777777" w:rsidR="00B93DA1" w:rsidRDefault="00B93DA1" w:rsidP="00332D23">
      <w:pPr>
        <w:pStyle w:val="Default"/>
      </w:pPr>
    </w:p>
    <w:p w14:paraId="373E6D1B" w14:textId="77777777" w:rsidR="00B93DA1" w:rsidRDefault="00B93DA1" w:rsidP="00332D23">
      <w:pPr>
        <w:pStyle w:val="Default"/>
      </w:pPr>
    </w:p>
    <w:p w14:paraId="39D7EE18" w14:textId="77777777" w:rsidR="00B93DA1" w:rsidRDefault="00B93DA1" w:rsidP="00332D23">
      <w:pPr>
        <w:pStyle w:val="Default"/>
      </w:pPr>
    </w:p>
    <w:p w14:paraId="4498B20A" w14:textId="77777777" w:rsidR="00B93DA1" w:rsidRDefault="00B93DA1" w:rsidP="00332D23">
      <w:pPr>
        <w:pStyle w:val="Default"/>
      </w:pPr>
    </w:p>
    <w:p w14:paraId="7D14C49B" w14:textId="2BD5CFFC" w:rsidR="00332D23" w:rsidRDefault="001D7CF6" w:rsidP="00332D23">
      <w:pPr>
        <w:pStyle w:val="Default"/>
      </w:pPr>
      <w:r w:rsidRPr="001D7CF6">
        <w:rPr>
          <w:noProof/>
        </w:rPr>
        <w:drawing>
          <wp:inline distT="0" distB="0" distL="0" distR="0" wp14:anchorId="1345AD70" wp14:editId="17A9D3DC">
            <wp:extent cx="1876425" cy="718093"/>
            <wp:effectExtent l="0" t="0" r="0" b="0"/>
            <wp:docPr id="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2790" cy="728183"/>
                    </a:xfrm>
                    <a:prstGeom prst="rect">
                      <a:avLst/>
                    </a:prstGeom>
                    <a:noFill/>
                    <a:ln>
                      <a:noFill/>
                    </a:ln>
                  </pic:spPr>
                </pic:pic>
              </a:graphicData>
            </a:graphic>
          </wp:inline>
        </w:drawing>
      </w:r>
    </w:p>
    <w:p w14:paraId="584E054B" w14:textId="77777777" w:rsidR="00260258" w:rsidRDefault="00260258" w:rsidP="00406D6E">
      <w:pPr>
        <w:autoSpaceDE w:val="0"/>
        <w:autoSpaceDN w:val="0"/>
        <w:adjustRightInd w:val="0"/>
        <w:spacing w:after="0" w:line="240" w:lineRule="auto"/>
        <w:jc w:val="left"/>
        <w:rPr>
          <w:rFonts w:ascii="Calibri" w:hAnsi="Calibri" w:cs="Calibri"/>
          <w:color w:val="000000"/>
          <w:szCs w:val="24"/>
          <w:lang w:val="en-GB"/>
        </w:rPr>
      </w:pPr>
    </w:p>
    <w:p w14:paraId="758471CB" w14:textId="1F609C04" w:rsidR="00406D6E" w:rsidRPr="00B93DA1" w:rsidRDefault="00387998" w:rsidP="00B93DA1">
      <w:pPr>
        <w:pStyle w:val="Verzeichnis1"/>
        <w:tabs>
          <w:tab w:val="right" w:leader="dot" w:pos="9350"/>
        </w:tabs>
        <w:rPr>
          <w:rStyle w:val="Hyperlink"/>
          <w:noProof/>
          <w:color w:val="auto"/>
          <w:u w:val="none"/>
        </w:rPr>
      </w:pPr>
      <w:r w:rsidRPr="00B93DA1">
        <w:rPr>
          <w:rStyle w:val="Hyperlink"/>
          <w:noProof/>
          <w:color w:val="auto"/>
          <w:u w:val="none"/>
        </w:rPr>
        <w:t>Assessment Schedule: June 2021 Term</w:t>
      </w:r>
    </w:p>
    <w:p w14:paraId="70A953EA" w14:textId="32213FC9" w:rsidR="00387998" w:rsidRPr="00B93DA1" w:rsidRDefault="00387998" w:rsidP="00B93DA1">
      <w:pPr>
        <w:pStyle w:val="Verzeichnis1"/>
        <w:tabs>
          <w:tab w:val="right" w:leader="dot" w:pos="9350"/>
        </w:tabs>
        <w:rPr>
          <w:rStyle w:val="Hyperlink"/>
          <w:noProof/>
          <w:color w:val="auto"/>
          <w:u w:val="none"/>
        </w:rPr>
      </w:pPr>
      <w:r w:rsidRPr="00B93DA1">
        <w:rPr>
          <w:rStyle w:val="Hyperlink"/>
          <w:noProof/>
          <w:color w:val="auto"/>
          <w:u w:val="none"/>
        </w:rPr>
        <w:t>Course: BA (Hons) Business</w:t>
      </w:r>
      <w:r w:rsidR="00497F90" w:rsidRPr="00B93DA1">
        <w:rPr>
          <w:rStyle w:val="Hyperlink"/>
          <w:noProof/>
          <w:color w:val="auto"/>
          <w:u w:val="none"/>
        </w:rPr>
        <w:t xml:space="preserve"> Management</w:t>
      </w:r>
    </w:p>
    <w:p w14:paraId="4098DA96" w14:textId="69D252EF" w:rsidR="00497F90" w:rsidRPr="00406D6E" w:rsidRDefault="00497F90" w:rsidP="00B93DA1">
      <w:pPr>
        <w:pStyle w:val="Verzeichnis1"/>
        <w:tabs>
          <w:tab w:val="right" w:leader="dot" w:pos="9350"/>
        </w:tabs>
        <w:rPr>
          <w:rStyle w:val="Hyperlink"/>
          <w:noProof/>
          <w:color w:val="auto"/>
          <w:u w:val="none"/>
        </w:rPr>
      </w:pPr>
      <w:r w:rsidRPr="00B93DA1">
        <w:rPr>
          <w:rStyle w:val="Hyperlink"/>
          <w:noProof/>
          <w:color w:val="auto"/>
          <w:u w:val="none"/>
        </w:rPr>
        <w:t>Level 4 – Term 1 - Weekend</w:t>
      </w:r>
    </w:p>
    <w:tbl>
      <w:tblPr>
        <w:tblW w:w="0" w:type="auto"/>
        <w:tblBorders>
          <w:top w:val="nil"/>
          <w:left w:val="nil"/>
          <w:bottom w:val="nil"/>
          <w:right w:val="nil"/>
        </w:tblBorders>
        <w:tblLayout w:type="fixed"/>
        <w:tblLook w:val="0000" w:firstRow="0" w:lastRow="0" w:firstColumn="0" w:lastColumn="0" w:noHBand="0" w:noVBand="0"/>
      </w:tblPr>
      <w:tblGrid>
        <w:gridCol w:w="4305"/>
      </w:tblGrid>
      <w:tr w:rsidR="00406D6E" w:rsidRPr="00406D6E" w14:paraId="46D598F0" w14:textId="77777777">
        <w:tblPrEx>
          <w:tblCellMar>
            <w:top w:w="0" w:type="dxa"/>
            <w:bottom w:w="0" w:type="dxa"/>
          </w:tblCellMar>
        </w:tblPrEx>
        <w:trPr>
          <w:trHeight w:val="126"/>
        </w:trPr>
        <w:tc>
          <w:tcPr>
            <w:tcW w:w="4305" w:type="dxa"/>
          </w:tcPr>
          <w:p w14:paraId="1229ED30" w14:textId="442DF5CC" w:rsidR="00387998" w:rsidRDefault="00387998" w:rsidP="00406D6E">
            <w:pPr>
              <w:autoSpaceDE w:val="0"/>
              <w:autoSpaceDN w:val="0"/>
              <w:adjustRightInd w:val="0"/>
              <w:spacing w:after="0" w:line="240" w:lineRule="auto"/>
              <w:jc w:val="left"/>
              <w:rPr>
                <w:rFonts w:ascii="Calibri" w:hAnsi="Calibri" w:cs="Calibri"/>
                <w:color w:val="000000"/>
                <w:szCs w:val="24"/>
                <w:lang w:val="en-GB"/>
              </w:rPr>
            </w:pPr>
          </w:p>
          <w:p w14:paraId="323B6E00" w14:textId="22FF3669" w:rsidR="00260258" w:rsidRPr="00B93DA1" w:rsidRDefault="00992AF0" w:rsidP="00B93DA1">
            <w:pPr>
              <w:pStyle w:val="Verzeichnis1"/>
              <w:tabs>
                <w:tab w:val="right" w:leader="dot" w:pos="9350"/>
              </w:tabs>
              <w:rPr>
                <w:rStyle w:val="Hyperlink"/>
                <w:noProof/>
                <w:color w:val="auto"/>
                <w:u w:val="none"/>
              </w:rPr>
            </w:pPr>
            <w:r w:rsidRPr="00B93DA1">
              <w:rPr>
                <w:rStyle w:val="Hyperlink"/>
                <w:noProof/>
                <w:color w:val="auto"/>
                <w:u w:val="none"/>
              </w:rPr>
              <w:t>Accounting Fundamentals LCBB4001</w:t>
            </w:r>
          </w:p>
          <w:p w14:paraId="33D7314A" w14:textId="2117D823" w:rsidR="00992AF0" w:rsidRPr="00B93DA1" w:rsidRDefault="00992AF0" w:rsidP="00B93DA1">
            <w:pPr>
              <w:pStyle w:val="Verzeichnis1"/>
              <w:tabs>
                <w:tab w:val="right" w:leader="dot" w:pos="9350"/>
              </w:tabs>
              <w:rPr>
                <w:rStyle w:val="Hyperlink"/>
                <w:noProof/>
                <w:color w:val="auto"/>
                <w:u w:val="none"/>
              </w:rPr>
            </w:pPr>
            <w:r w:rsidRPr="00B93DA1">
              <w:rPr>
                <w:rStyle w:val="Hyperlink"/>
                <w:noProof/>
                <w:color w:val="auto"/>
                <w:u w:val="none"/>
              </w:rPr>
              <w:t>Assignment – A1</w:t>
            </w:r>
          </w:p>
          <w:p w14:paraId="2ACB859E" w14:textId="5CD1BC23" w:rsidR="00992AF0" w:rsidRDefault="00992AF0" w:rsidP="00406D6E">
            <w:pPr>
              <w:autoSpaceDE w:val="0"/>
              <w:autoSpaceDN w:val="0"/>
              <w:adjustRightInd w:val="0"/>
              <w:spacing w:after="0" w:line="240" w:lineRule="auto"/>
              <w:jc w:val="left"/>
              <w:rPr>
                <w:rFonts w:ascii="Calibri" w:hAnsi="Calibri" w:cs="Calibri"/>
                <w:color w:val="000000"/>
                <w:szCs w:val="24"/>
                <w:lang w:val="en-GB"/>
              </w:rPr>
            </w:pPr>
          </w:p>
          <w:p w14:paraId="7720BBE2" w14:textId="77777777" w:rsidR="00B93DA1" w:rsidRDefault="00B93DA1" w:rsidP="00B93DA1">
            <w:pPr>
              <w:pStyle w:val="Verzeichnis1"/>
              <w:tabs>
                <w:tab w:val="right" w:leader="dot" w:pos="9350"/>
              </w:tabs>
              <w:rPr>
                <w:rStyle w:val="Hyperlink"/>
                <w:noProof/>
                <w:color w:val="auto"/>
                <w:u w:val="none"/>
              </w:rPr>
            </w:pPr>
          </w:p>
          <w:p w14:paraId="26598C28" w14:textId="77777777" w:rsidR="00B93DA1" w:rsidRDefault="00B93DA1" w:rsidP="00B93DA1">
            <w:pPr>
              <w:pStyle w:val="Verzeichnis1"/>
              <w:tabs>
                <w:tab w:val="right" w:leader="dot" w:pos="9350"/>
              </w:tabs>
              <w:rPr>
                <w:rStyle w:val="Hyperlink"/>
                <w:noProof/>
                <w:color w:val="auto"/>
                <w:u w:val="none"/>
              </w:rPr>
            </w:pPr>
          </w:p>
          <w:p w14:paraId="65F13D3F" w14:textId="77777777" w:rsidR="00B93DA1" w:rsidRDefault="00B93DA1" w:rsidP="00B93DA1">
            <w:pPr>
              <w:pStyle w:val="Verzeichnis1"/>
              <w:tabs>
                <w:tab w:val="right" w:leader="dot" w:pos="9350"/>
              </w:tabs>
              <w:rPr>
                <w:rStyle w:val="Hyperlink"/>
                <w:noProof/>
                <w:color w:val="auto"/>
                <w:u w:val="none"/>
              </w:rPr>
            </w:pPr>
          </w:p>
          <w:p w14:paraId="6D0DA5EF" w14:textId="77777777" w:rsidR="00B93DA1" w:rsidRDefault="00B93DA1" w:rsidP="00B93DA1">
            <w:pPr>
              <w:pStyle w:val="Verzeichnis1"/>
              <w:tabs>
                <w:tab w:val="right" w:leader="dot" w:pos="9350"/>
              </w:tabs>
              <w:rPr>
                <w:rStyle w:val="Hyperlink"/>
                <w:noProof/>
                <w:color w:val="auto"/>
                <w:u w:val="none"/>
              </w:rPr>
            </w:pPr>
          </w:p>
          <w:p w14:paraId="752B7E54" w14:textId="72C790DF" w:rsidR="00992AF0" w:rsidRPr="00B93DA1" w:rsidRDefault="00992AF0" w:rsidP="00B93DA1">
            <w:pPr>
              <w:pStyle w:val="Verzeichnis1"/>
              <w:tabs>
                <w:tab w:val="right" w:leader="dot" w:pos="9350"/>
              </w:tabs>
              <w:rPr>
                <w:rStyle w:val="Hyperlink"/>
                <w:noProof/>
                <w:color w:val="auto"/>
                <w:u w:val="none"/>
              </w:rPr>
            </w:pPr>
            <w:r w:rsidRPr="00B93DA1">
              <w:rPr>
                <w:rStyle w:val="Hyperlink"/>
                <w:noProof/>
                <w:color w:val="auto"/>
                <w:u w:val="none"/>
              </w:rPr>
              <w:t>Peter Gottschling</w:t>
            </w:r>
          </w:p>
          <w:p w14:paraId="653FEE88" w14:textId="2C13890B" w:rsidR="00992AF0" w:rsidRPr="00B93DA1" w:rsidRDefault="00992AF0" w:rsidP="00B93DA1">
            <w:pPr>
              <w:pStyle w:val="Verzeichnis1"/>
              <w:tabs>
                <w:tab w:val="right" w:leader="dot" w:pos="9350"/>
              </w:tabs>
              <w:rPr>
                <w:rStyle w:val="Hyperlink"/>
                <w:noProof/>
                <w:color w:val="auto"/>
                <w:u w:val="none"/>
              </w:rPr>
            </w:pPr>
            <w:r w:rsidRPr="00B93DA1">
              <w:rPr>
                <w:rStyle w:val="Hyperlink"/>
                <w:noProof/>
                <w:color w:val="auto"/>
                <w:u w:val="none"/>
              </w:rPr>
              <w:t>2030897</w:t>
            </w:r>
          </w:p>
          <w:p w14:paraId="7202CAB3" w14:textId="77777777" w:rsidR="00387998" w:rsidRPr="00387998" w:rsidRDefault="00387998" w:rsidP="00406D6E">
            <w:pPr>
              <w:autoSpaceDE w:val="0"/>
              <w:autoSpaceDN w:val="0"/>
              <w:adjustRightInd w:val="0"/>
              <w:spacing w:after="0" w:line="240" w:lineRule="auto"/>
              <w:jc w:val="left"/>
              <w:rPr>
                <w:rFonts w:ascii="Calibri" w:hAnsi="Calibri" w:cs="Calibri"/>
                <w:color w:val="000000"/>
                <w:szCs w:val="24"/>
                <w:lang w:val="en-GB"/>
              </w:rPr>
            </w:pPr>
          </w:p>
          <w:p w14:paraId="28E1C4D3" w14:textId="77777777" w:rsidR="00387998" w:rsidRPr="00387998" w:rsidRDefault="00387998" w:rsidP="00406D6E">
            <w:pPr>
              <w:autoSpaceDE w:val="0"/>
              <w:autoSpaceDN w:val="0"/>
              <w:adjustRightInd w:val="0"/>
              <w:spacing w:after="0" w:line="240" w:lineRule="auto"/>
              <w:jc w:val="left"/>
              <w:rPr>
                <w:rFonts w:ascii="Calibri" w:hAnsi="Calibri" w:cs="Calibri"/>
                <w:color w:val="000000"/>
                <w:szCs w:val="24"/>
                <w:lang w:val="en-GB"/>
              </w:rPr>
            </w:pPr>
          </w:p>
          <w:p w14:paraId="13091DBF" w14:textId="77777777" w:rsidR="00387998" w:rsidRPr="00387998" w:rsidRDefault="00387998" w:rsidP="00406D6E">
            <w:pPr>
              <w:autoSpaceDE w:val="0"/>
              <w:autoSpaceDN w:val="0"/>
              <w:adjustRightInd w:val="0"/>
              <w:spacing w:after="0" w:line="240" w:lineRule="auto"/>
              <w:jc w:val="left"/>
              <w:rPr>
                <w:rFonts w:ascii="Calibri" w:hAnsi="Calibri" w:cs="Calibri"/>
                <w:color w:val="000000"/>
                <w:szCs w:val="24"/>
                <w:lang w:val="en-GB"/>
              </w:rPr>
            </w:pPr>
          </w:p>
          <w:p w14:paraId="6D7CE178" w14:textId="77777777" w:rsidR="00387998" w:rsidRPr="00387998" w:rsidRDefault="00387998" w:rsidP="00406D6E">
            <w:pPr>
              <w:autoSpaceDE w:val="0"/>
              <w:autoSpaceDN w:val="0"/>
              <w:adjustRightInd w:val="0"/>
              <w:spacing w:after="0" w:line="240" w:lineRule="auto"/>
              <w:jc w:val="left"/>
              <w:rPr>
                <w:rFonts w:ascii="Calibri" w:hAnsi="Calibri" w:cs="Calibri"/>
                <w:color w:val="000000"/>
                <w:szCs w:val="24"/>
                <w:lang w:val="en-GB"/>
              </w:rPr>
            </w:pPr>
          </w:p>
          <w:p w14:paraId="13F29D3A" w14:textId="77777777" w:rsidR="00387998" w:rsidRPr="00387998" w:rsidRDefault="00387998" w:rsidP="00406D6E">
            <w:pPr>
              <w:autoSpaceDE w:val="0"/>
              <w:autoSpaceDN w:val="0"/>
              <w:adjustRightInd w:val="0"/>
              <w:spacing w:after="0" w:line="240" w:lineRule="auto"/>
              <w:jc w:val="left"/>
              <w:rPr>
                <w:rFonts w:ascii="Calibri" w:hAnsi="Calibri" w:cs="Calibri"/>
                <w:color w:val="000000"/>
                <w:szCs w:val="24"/>
                <w:lang w:val="en-GB"/>
              </w:rPr>
            </w:pPr>
          </w:p>
          <w:p w14:paraId="087EAD09" w14:textId="77777777" w:rsidR="00387998" w:rsidRPr="00387998" w:rsidRDefault="00387998" w:rsidP="00406D6E">
            <w:pPr>
              <w:autoSpaceDE w:val="0"/>
              <w:autoSpaceDN w:val="0"/>
              <w:adjustRightInd w:val="0"/>
              <w:spacing w:after="0" w:line="240" w:lineRule="auto"/>
              <w:jc w:val="left"/>
              <w:rPr>
                <w:rFonts w:ascii="Calibri" w:hAnsi="Calibri" w:cs="Calibri"/>
                <w:color w:val="000000"/>
                <w:szCs w:val="24"/>
                <w:lang w:val="en-GB"/>
              </w:rPr>
            </w:pPr>
          </w:p>
          <w:p w14:paraId="4A7C9393" w14:textId="77777777" w:rsidR="00387998" w:rsidRPr="00387998" w:rsidRDefault="00387998" w:rsidP="00406D6E">
            <w:pPr>
              <w:autoSpaceDE w:val="0"/>
              <w:autoSpaceDN w:val="0"/>
              <w:adjustRightInd w:val="0"/>
              <w:spacing w:after="0" w:line="240" w:lineRule="auto"/>
              <w:jc w:val="left"/>
              <w:rPr>
                <w:rFonts w:ascii="Calibri" w:hAnsi="Calibri" w:cs="Calibri"/>
                <w:color w:val="000000"/>
                <w:szCs w:val="24"/>
                <w:lang w:val="en-GB"/>
              </w:rPr>
            </w:pPr>
          </w:p>
          <w:p w14:paraId="34107A2E" w14:textId="77777777" w:rsidR="00406D6E" w:rsidRDefault="00406D6E" w:rsidP="00406D6E">
            <w:pPr>
              <w:autoSpaceDE w:val="0"/>
              <w:autoSpaceDN w:val="0"/>
              <w:adjustRightInd w:val="0"/>
              <w:spacing w:after="0" w:line="240" w:lineRule="auto"/>
              <w:jc w:val="left"/>
              <w:rPr>
                <w:rFonts w:ascii="Calibri" w:hAnsi="Calibri" w:cs="Calibri"/>
                <w:color w:val="000000"/>
                <w:szCs w:val="24"/>
                <w:lang w:val="en-GB"/>
              </w:rPr>
            </w:pPr>
          </w:p>
          <w:p w14:paraId="6D08AAFC" w14:textId="77777777" w:rsidR="009E3876" w:rsidRDefault="009E3876" w:rsidP="00406D6E">
            <w:pPr>
              <w:autoSpaceDE w:val="0"/>
              <w:autoSpaceDN w:val="0"/>
              <w:adjustRightInd w:val="0"/>
              <w:spacing w:after="0" w:line="240" w:lineRule="auto"/>
              <w:jc w:val="left"/>
              <w:rPr>
                <w:rFonts w:ascii="Calibri" w:hAnsi="Calibri" w:cs="Calibri"/>
                <w:color w:val="000000"/>
                <w:szCs w:val="24"/>
                <w:lang w:val="en-GB"/>
              </w:rPr>
            </w:pPr>
          </w:p>
          <w:p w14:paraId="58C59792" w14:textId="77777777" w:rsidR="009E3876" w:rsidRDefault="009E3876" w:rsidP="00406D6E">
            <w:pPr>
              <w:autoSpaceDE w:val="0"/>
              <w:autoSpaceDN w:val="0"/>
              <w:adjustRightInd w:val="0"/>
              <w:spacing w:after="0" w:line="240" w:lineRule="auto"/>
              <w:jc w:val="left"/>
              <w:rPr>
                <w:rFonts w:ascii="Calibri" w:hAnsi="Calibri" w:cs="Calibri"/>
                <w:color w:val="000000"/>
                <w:szCs w:val="24"/>
                <w:lang w:val="en-GB"/>
              </w:rPr>
            </w:pPr>
          </w:p>
          <w:p w14:paraId="5C9643E5" w14:textId="77777777" w:rsidR="009E3876" w:rsidRDefault="009E3876" w:rsidP="00406D6E">
            <w:pPr>
              <w:autoSpaceDE w:val="0"/>
              <w:autoSpaceDN w:val="0"/>
              <w:adjustRightInd w:val="0"/>
              <w:spacing w:after="0" w:line="240" w:lineRule="auto"/>
              <w:jc w:val="left"/>
              <w:rPr>
                <w:rFonts w:ascii="Calibri" w:hAnsi="Calibri" w:cs="Calibri"/>
                <w:color w:val="000000"/>
                <w:szCs w:val="24"/>
                <w:lang w:val="en-GB"/>
              </w:rPr>
            </w:pPr>
          </w:p>
          <w:p w14:paraId="1EE3C674" w14:textId="77777777" w:rsidR="009E3876" w:rsidRDefault="009E3876" w:rsidP="00406D6E">
            <w:pPr>
              <w:autoSpaceDE w:val="0"/>
              <w:autoSpaceDN w:val="0"/>
              <w:adjustRightInd w:val="0"/>
              <w:spacing w:after="0" w:line="240" w:lineRule="auto"/>
              <w:jc w:val="left"/>
              <w:rPr>
                <w:rFonts w:ascii="Calibri" w:hAnsi="Calibri" w:cs="Calibri"/>
                <w:color w:val="000000"/>
                <w:szCs w:val="24"/>
                <w:lang w:val="en-GB"/>
              </w:rPr>
            </w:pPr>
          </w:p>
          <w:p w14:paraId="750E7619" w14:textId="2225DDF4" w:rsidR="009E3876" w:rsidRPr="00406D6E" w:rsidRDefault="009E3876" w:rsidP="00406D6E">
            <w:pPr>
              <w:autoSpaceDE w:val="0"/>
              <w:autoSpaceDN w:val="0"/>
              <w:adjustRightInd w:val="0"/>
              <w:spacing w:after="0" w:line="240" w:lineRule="auto"/>
              <w:jc w:val="left"/>
              <w:rPr>
                <w:rFonts w:ascii="Calibri" w:hAnsi="Calibri" w:cs="Calibri"/>
                <w:color w:val="000000"/>
                <w:sz w:val="25"/>
                <w:szCs w:val="25"/>
                <w:lang w:val="en-GB"/>
              </w:rPr>
            </w:pPr>
          </w:p>
        </w:tc>
      </w:tr>
    </w:tbl>
    <w:sdt>
      <w:sdtPr>
        <w:rPr>
          <w:rFonts w:ascii="Arial" w:eastAsiaTheme="minorEastAsia" w:hAnsi="Arial" w:cstheme="minorBidi"/>
          <w:b w:val="0"/>
          <w:bCs w:val="0"/>
          <w:color w:val="auto"/>
          <w:sz w:val="24"/>
          <w:szCs w:val="22"/>
        </w:rPr>
        <w:id w:val="236437857"/>
        <w:docPartObj>
          <w:docPartGallery w:val="Table of Contents"/>
          <w:docPartUnique/>
        </w:docPartObj>
      </w:sdtPr>
      <w:sdtEndPr/>
      <w:sdtContent>
        <w:p w14:paraId="6B636023" w14:textId="77777777" w:rsidR="002502D9" w:rsidRDefault="002502D9">
          <w:pPr>
            <w:pStyle w:val="Inhaltsverzeichnisberschrift"/>
          </w:pPr>
          <w:r>
            <w:t>Table of Contents</w:t>
          </w:r>
        </w:p>
        <w:p w14:paraId="6B636024" w14:textId="68F188E0" w:rsidR="002502D9" w:rsidRDefault="002502D9">
          <w:pPr>
            <w:pStyle w:val="Verzeichnis1"/>
            <w:tabs>
              <w:tab w:val="right" w:leader="dot" w:pos="9350"/>
            </w:tabs>
            <w:rPr>
              <w:noProof/>
            </w:rPr>
          </w:pPr>
          <w:r>
            <w:fldChar w:fldCharType="begin"/>
          </w:r>
          <w:r>
            <w:instrText xml:space="preserve"> TOC \o "1-3" \h \z \u </w:instrText>
          </w:r>
          <w:r>
            <w:fldChar w:fldCharType="separate"/>
          </w:r>
          <w:hyperlink w:anchor="_Toc80932596" w:history="1">
            <w:r w:rsidRPr="00BF146A">
              <w:rPr>
                <w:rStyle w:val="Hyperlink"/>
                <w:noProof/>
              </w:rPr>
              <w:t>Question 1</w:t>
            </w:r>
            <w:r>
              <w:rPr>
                <w:noProof/>
                <w:webHidden/>
              </w:rPr>
              <w:tab/>
            </w:r>
            <w:r>
              <w:rPr>
                <w:noProof/>
                <w:webHidden/>
              </w:rPr>
              <w:fldChar w:fldCharType="begin"/>
            </w:r>
            <w:r>
              <w:rPr>
                <w:noProof/>
                <w:webHidden/>
              </w:rPr>
              <w:instrText xml:space="preserve"> PAGEREF _Toc80932596 \h </w:instrText>
            </w:r>
            <w:r>
              <w:rPr>
                <w:noProof/>
                <w:webHidden/>
              </w:rPr>
            </w:r>
            <w:r>
              <w:rPr>
                <w:noProof/>
                <w:webHidden/>
              </w:rPr>
              <w:fldChar w:fldCharType="separate"/>
            </w:r>
            <w:r w:rsidR="003F6B48">
              <w:rPr>
                <w:noProof/>
                <w:webHidden/>
              </w:rPr>
              <w:t>3</w:t>
            </w:r>
            <w:r>
              <w:rPr>
                <w:noProof/>
                <w:webHidden/>
              </w:rPr>
              <w:fldChar w:fldCharType="end"/>
            </w:r>
          </w:hyperlink>
        </w:p>
        <w:p w14:paraId="6B636025" w14:textId="68B3D621" w:rsidR="002502D9" w:rsidRDefault="003F6B48">
          <w:pPr>
            <w:pStyle w:val="Verzeichnis1"/>
            <w:tabs>
              <w:tab w:val="right" w:leader="dot" w:pos="9350"/>
            </w:tabs>
            <w:rPr>
              <w:noProof/>
            </w:rPr>
          </w:pPr>
          <w:hyperlink w:anchor="_Toc80932597" w:history="1">
            <w:r w:rsidR="002502D9" w:rsidRPr="00BF146A">
              <w:rPr>
                <w:rStyle w:val="Hyperlink"/>
                <w:noProof/>
              </w:rPr>
              <w:t>Question 2</w:t>
            </w:r>
            <w:r w:rsidR="002502D9">
              <w:rPr>
                <w:noProof/>
                <w:webHidden/>
              </w:rPr>
              <w:tab/>
            </w:r>
            <w:r w:rsidR="002502D9">
              <w:rPr>
                <w:noProof/>
                <w:webHidden/>
              </w:rPr>
              <w:fldChar w:fldCharType="begin"/>
            </w:r>
            <w:r w:rsidR="002502D9">
              <w:rPr>
                <w:noProof/>
                <w:webHidden/>
              </w:rPr>
              <w:instrText xml:space="preserve"> PAGEREF _Toc80932597 \h </w:instrText>
            </w:r>
            <w:r w:rsidR="002502D9">
              <w:rPr>
                <w:noProof/>
                <w:webHidden/>
              </w:rPr>
            </w:r>
            <w:r w:rsidR="002502D9">
              <w:rPr>
                <w:noProof/>
                <w:webHidden/>
              </w:rPr>
              <w:fldChar w:fldCharType="separate"/>
            </w:r>
            <w:r>
              <w:rPr>
                <w:noProof/>
                <w:webHidden/>
              </w:rPr>
              <w:t>5</w:t>
            </w:r>
            <w:r w:rsidR="002502D9">
              <w:rPr>
                <w:noProof/>
                <w:webHidden/>
              </w:rPr>
              <w:fldChar w:fldCharType="end"/>
            </w:r>
          </w:hyperlink>
        </w:p>
        <w:p w14:paraId="6B636026" w14:textId="3BADFC64" w:rsidR="002502D9" w:rsidRDefault="003F6B48">
          <w:pPr>
            <w:pStyle w:val="Verzeichnis1"/>
            <w:tabs>
              <w:tab w:val="right" w:leader="dot" w:pos="9350"/>
            </w:tabs>
            <w:rPr>
              <w:noProof/>
            </w:rPr>
          </w:pPr>
          <w:hyperlink w:anchor="_Toc80932598" w:history="1">
            <w:r w:rsidR="002502D9" w:rsidRPr="00BF146A">
              <w:rPr>
                <w:rStyle w:val="Hyperlink"/>
                <w:noProof/>
              </w:rPr>
              <w:t>Reference</w:t>
            </w:r>
            <w:r w:rsidR="002502D9">
              <w:rPr>
                <w:noProof/>
                <w:webHidden/>
              </w:rPr>
              <w:tab/>
            </w:r>
            <w:r w:rsidR="002502D9">
              <w:rPr>
                <w:noProof/>
                <w:webHidden/>
              </w:rPr>
              <w:fldChar w:fldCharType="begin"/>
            </w:r>
            <w:r w:rsidR="002502D9">
              <w:rPr>
                <w:noProof/>
                <w:webHidden/>
              </w:rPr>
              <w:instrText xml:space="preserve"> PAGEREF _Toc80932598 \h </w:instrText>
            </w:r>
            <w:r w:rsidR="002502D9">
              <w:rPr>
                <w:noProof/>
                <w:webHidden/>
              </w:rPr>
            </w:r>
            <w:r w:rsidR="002502D9">
              <w:rPr>
                <w:noProof/>
                <w:webHidden/>
              </w:rPr>
              <w:fldChar w:fldCharType="separate"/>
            </w:r>
            <w:r>
              <w:rPr>
                <w:noProof/>
                <w:webHidden/>
              </w:rPr>
              <w:t>12</w:t>
            </w:r>
            <w:r w:rsidR="002502D9">
              <w:rPr>
                <w:noProof/>
                <w:webHidden/>
              </w:rPr>
              <w:fldChar w:fldCharType="end"/>
            </w:r>
          </w:hyperlink>
        </w:p>
        <w:p w14:paraId="6B636027" w14:textId="77777777" w:rsidR="002502D9" w:rsidRDefault="002502D9">
          <w:r>
            <w:fldChar w:fldCharType="end"/>
          </w:r>
        </w:p>
      </w:sdtContent>
    </w:sdt>
    <w:p w14:paraId="6B636028" w14:textId="77777777" w:rsidR="000A4E82" w:rsidRDefault="000A4E82">
      <w:pPr>
        <w:spacing w:line="276" w:lineRule="auto"/>
        <w:jc w:val="left"/>
      </w:pPr>
      <w:r>
        <w:br w:type="page"/>
      </w:r>
    </w:p>
    <w:p w14:paraId="6B636029" w14:textId="77777777" w:rsidR="000A4E82" w:rsidRDefault="009466DA" w:rsidP="009466DA">
      <w:pPr>
        <w:pStyle w:val="berschrift1"/>
      </w:pPr>
      <w:bookmarkStart w:id="0" w:name="_Toc80932596"/>
      <w:r>
        <w:lastRenderedPageBreak/>
        <w:t>Question 1</w:t>
      </w:r>
      <w:bookmarkEnd w:id="0"/>
    </w:p>
    <w:p w14:paraId="6B63602A" w14:textId="77777777" w:rsidR="009466DA" w:rsidRDefault="00AF32E9" w:rsidP="009466DA">
      <w:r>
        <w:t xml:space="preserve">(a) Profit and Loss statement and Statement of Financial Position </w:t>
      </w:r>
      <w:r w:rsidR="00EC5E2B">
        <w:t xml:space="preserve">for </w:t>
      </w:r>
      <w:proofErr w:type="spellStart"/>
      <w:r w:rsidR="00EC5E2B">
        <w:t>Kedison</w:t>
      </w:r>
      <w:proofErr w:type="spellEnd"/>
      <w:r w:rsidR="00EC5E2B">
        <w:t xml:space="preserve"> Plc has been stated in the following section.</w:t>
      </w:r>
      <w:r w:rsidR="004C00B7">
        <w:t xml:space="preserve"> Income statement or profit and loss statement for an organization shows the profitability and operational cost during the year</w:t>
      </w:r>
      <w:r w:rsidR="00592393">
        <w:t xml:space="preserve"> (</w:t>
      </w:r>
      <w:proofErr w:type="spellStart"/>
      <w:r w:rsidR="00592393" w:rsidRPr="0053075D">
        <w:t>Oncioiu</w:t>
      </w:r>
      <w:proofErr w:type="spellEnd"/>
      <w:r w:rsidR="00592393">
        <w:t xml:space="preserve"> </w:t>
      </w:r>
      <w:r w:rsidR="00592393">
        <w:rPr>
          <w:i/>
        </w:rPr>
        <w:t>et al.</w:t>
      </w:r>
      <w:r w:rsidR="00592393">
        <w:t xml:space="preserve"> 2021)</w:t>
      </w:r>
      <w:r w:rsidR="004C00B7">
        <w:t xml:space="preserve">.  </w:t>
      </w:r>
    </w:p>
    <w:tbl>
      <w:tblPr>
        <w:tblW w:w="8709" w:type="dxa"/>
        <w:tblInd w:w="93" w:type="dxa"/>
        <w:tblLook w:val="04A0" w:firstRow="1" w:lastRow="0" w:firstColumn="1" w:lastColumn="0" w:noHBand="0" w:noVBand="1"/>
      </w:tblPr>
      <w:tblGrid>
        <w:gridCol w:w="5087"/>
        <w:gridCol w:w="1811"/>
        <w:gridCol w:w="1811"/>
      </w:tblGrid>
      <w:tr w:rsidR="00EC5E2B" w:rsidRPr="00EC5E2B" w14:paraId="6B63602C" w14:textId="77777777" w:rsidTr="00DD559A">
        <w:trPr>
          <w:trHeight w:val="305"/>
        </w:trPr>
        <w:tc>
          <w:tcPr>
            <w:tcW w:w="870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63602B" w14:textId="77777777" w:rsidR="00EC5E2B" w:rsidRPr="00EC5E2B" w:rsidRDefault="00EC5E2B" w:rsidP="00EC5E2B">
            <w:pPr>
              <w:spacing w:after="0" w:line="240" w:lineRule="auto"/>
              <w:jc w:val="center"/>
              <w:rPr>
                <w:rFonts w:eastAsia="Times New Roman" w:cs="Arial"/>
                <w:b/>
                <w:bCs/>
                <w:color w:val="000000"/>
                <w:szCs w:val="24"/>
              </w:rPr>
            </w:pPr>
            <w:r w:rsidRPr="00EC5E2B">
              <w:rPr>
                <w:rFonts w:eastAsia="Times New Roman" w:cs="Arial"/>
                <w:b/>
                <w:bCs/>
                <w:color w:val="000000"/>
                <w:szCs w:val="24"/>
              </w:rPr>
              <w:t xml:space="preserve">Profit and Loss Statement for </w:t>
            </w:r>
            <w:proofErr w:type="spellStart"/>
            <w:r w:rsidRPr="00EC5E2B">
              <w:rPr>
                <w:rFonts w:eastAsia="Times New Roman" w:cs="Arial"/>
                <w:b/>
                <w:bCs/>
                <w:color w:val="000000"/>
                <w:szCs w:val="24"/>
              </w:rPr>
              <w:t>Kedison</w:t>
            </w:r>
            <w:proofErr w:type="spellEnd"/>
            <w:r w:rsidRPr="00EC5E2B">
              <w:rPr>
                <w:rFonts w:eastAsia="Times New Roman" w:cs="Arial"/>
                <w:b/>
                <w:bCs/>
                <w:color w:val="000000"/>
                <w:szCs w:val="24"/>
              </w:rPr>
              <w:t xml:space="preserve"> Plc</w:t>
            </w:r>
          </w:p>
        </w:tc>
      </w:tr>
      <w:tr w:rsidR="00EC5E2B" w:rsidRPr="00EC5E2B" w14:paraId="6B63602E" w14:textId="77777777" w:rsidTr="00DD559A">
        <w:trPr>
          <w:trHeight w:val="305"/>
        </w:trPr>
        <w:tc>
          <w:tcPr>
            <w:tcW w:w="870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63602D" w14:textId="77777777" w:rsidR="00EC5E2B" w:rsidRPr="00EC5E2B" w:rsidRDefault="00EC5E2B" w:rsidP="00EC5E2B">
            <w:pPr>
              <w:spacing w:after="0" w:line="240" w:lineRule="auto"/>
              <w:jc w:val="center"/>
              <w:rPr>
                <w:rFonts w:eastAsia="Times New Roman" w:cs="Arial"/>
                <w:b/>
                <w:bCs/>
                <w:color w:val="000000"/>
                <w:szCs w:val="24"/>
              </w:rPr>
            </w:pPr>
            <w:r w:rsidRPr="00EC5E2B">
              <w:rPr>
                <w:rFonts w:eastAsia="Times New Roman" w:cs="Arial"/>
                <w:b/>
                <w:bCs/>
                <w:color w:val="000000"/>
                <w:szCs w:val="24"/>
              </w:rPr>
              <w:t>For the year ended 31st December 2020</w:t>
            </w:r>
          </w:p>
        </w:tc>
      </w:tr>
      <w:tr w:rsidR="00EC5E2B" w:rsidRPr="00EC5E2B" w14:paraId="6B636032" w14:textId="77777777" w:rsidTr="00DD559A">
        <w:trPr>
          <w:trHeight w:val="305"/>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2F"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Particulars</w:t>
            </w:r>
          </w:p>
        </w:tc>
        <w:tc>
          <w:tcPr>
            <w:tcW w:w="1811" w:type="dxa"/>
            <w:tcBorders>
              <w:top w:val="nil"/>
              <w:left w:val="nil"/>
              <w:bottom w:val="single" w:sz="4" w:space="0" w:color="auto"/>
              <w:right w:val="single" w:sz="4" w:space="0" w:color="auto"/>
            </w:tcBorders>
            <w:shd w:val="clear" w:color="auto" w:fill="auto"/>
            <w:noWrap/>
            <w:vAlign w:val="bottom"/>
            <w:hideMark/>
          </w:tcPr>
          <w:p w14:paraId="6B636030"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Amount</w:t>
            </w:r>
            <w:r w:rsidR="00442006">
              <w:rPr>
                <w:rFonts w:eastAsia="Times New Roman" w:cs="Arial"/>
                <w:b/>
                <w:bCs/>
                <w:color w:val="000000"/>
                <w:szCs w:val="24"/>
              </w:rPr>
              <w:t xml:space="preserve"> (</w:t>
            </w:r>
            <w:r w:rsidR="00442006">
              <w:rPr>
                <w:rFonts w:ascii="Sylfaen" w:eastAsia="Times New Roman" w:hAnsi="Sylfaen" w:cs="Arial"/>
                <w:b/>
                <w:bCs/>
                <w:color w:val="000000"/>
                <w:szCs w:val="24"/>
              </w:rPr>
              <w:t>£</w:t>
            </w:r>
            <w:r w:rsidR="00442006">
              <w:rPr>
                <w:rFonts w:eastAsia="Times New Roman" w:cs="Arial"/>
                <w:b/>
                <w:bCs/>
                <w:color w:val="000000"/>
                <w:szCs w:val="24"/>
              </w:rPr>
              <w:t>)</w:t>
            </w:r>
          </w:p>
        </w:tc>
        <w:tc>
          <w:tcPr>
            <w:tcW w:w="1811" w:type="dxa"/>
            <w:tcBorders>
              <w:top w:val="nil"/>
              <w:left w:val="nil"/>
              <w:bottom w:val="single" w:sz="4" w:space="0" w:color="auto"/>
              <w:right w:val="single" w:sz="4" w:space="0" w:color="auto"/>
            </w:tcBorders>
            <w:shd w:val="clear" w:color="auto" w:fill="auto"/>
            <w:noWrap/>
            <w:vAlign w:val="bottom"/>
            <w:hideMark/>
          </w:tcPr>
          <w:p w14:paraId="6B636031"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Amount</w:t>
            </w:r>
            <w:r w:rsidR="00442006">
              <w:rPr>
                <w:rFonts w:eastAsia="Times New Roman" w:cs="Arial"/>
                <w:b/>
                <w:bCs/>
                <w:color w:val="000000"/>
                <w:szCs w:val="24"/>
              </w:rPr>
              <w:t xml:space="preserve"> (</w:t>
            </w:r>
            <w:r w:rsidR="00442006">
              <w:rPr>
                <w:rFonts w:ascii="Sylfaen" w:eastAsia="Times New Roman" w:hAnsi="Sylfaen" w:cs="Arial"/>
                <w:b/>
                <w:bCs/>
                <w:color w:val="000000"/>
                <w:szCs w:val="24"/>
              </w:rPr>
              <w:t>£</w:t>
            </w:r>
            <w:r w:rsidR="00442006">
              <w:rPr>
                <w:rFonts w:eastAsia="Times New Roman" w:cs="Arial"/>
                <w:b/>
                <w:bCs/>
                <w:color w:val="000000"/>
                <w:szCs w:val="24"/>
              </w:rPr>
              <w:t>)</w:t>
            </w:r>
          </w:p>
        </w:tc>
      </w:tr>
      <w:tr w:rsidR="00EC5E2B" w:rsidRPr="00EC5E2B" w14:paraId="6B636036" w14:textId="77777777" w:rsidTr="00DD559A">
        <w:trPr>
          <w:trHeight w:val="291"/>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33"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Sales Revenue</w:t>
            </w:r>
          </w:p>
        </w:tc>
        <w:tc>
          <w:tcPr>
            <w:tcW w:w="1811" w:type="dxa"/>
            <w:tcBorders>
              <w:top w:val="nil"/>
              <w:left w:val="nil"/>
              <w:bottom w:val="single" w:sz="4" w:space="0" w:color="auto"/>
              <w:right w:val="single" w:sz="4" w:space="0" w:color="auto"/>
            </w:tcBorders>
            <w:shd w:val="clear" w:color="auto" w:fill="auto"/>
            <w:noWrap/>
            <w:vAlign w:val="bottom"/>
            <w:hideMark/>
          </w:tcPr>
          <w:p w14:paraId="6B636034"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 </w:t>
            </w:r>
          </w:p>
        </w:tc>
        <w:tc>
          <w:tcPr>
            <w:tcW w:w="1811" w:type="dxa"/>
            <w:tcBorders>
              <w:top w:val="nil"/>
              <w:left w:val="nil"/>
              <w:bottom w:val="single" w:sz="4" w:space="0" w:color="auto"/>
              <w:right w:val="single" w:sz="4" w:space="0" w:color="auto"/>
            </w:tcBorders>
            <w:shd w:val="clear" w:color="auto" w:fill="auto"/>
            <w:noWrap/>
            <w:vAlign w:val="bottom"/>
            <w:hideMark/>
          </w:tcPr>
          <w:p w14:paraId="6B636035" w14:textId="77777777" w:rsidR="00EC5E2B" w:rsidRPr="00EC5E2B" w:rsidRDefault="00EC5E2B" w:rsidP="00EC5E2B">
            <w:pPr>
              <w:spacing w:after="0" w:line="240" w:lineRule="auto"/>
              <w:jc w:val="right"/>
              <w:rPr>
                <w:rFonts w:eastAsia="Times New Roman" w:cs="Arial"/>
                <w:color w:val="000000"/>
                <w:szCs w:val="24"/>
              </w:rPr>
            </w:pPr>
            <w:r w:rsidRPr="00EC5E2B">
              <w:rPr>
                <w:rFonts w:eastAsia="Times New Roman" w:cs="Arial"/>
                <w:color w:val="000000"/>
                <w:szCs w:val="24"/>
              </w:rPr>
              <w:t>826650</w:t>
            </w:r>
          </w:p>
        </w:tc>
      </w:tr>
      <w:tr w:rsidR="00EC5E2B" w:rsidRPr="00EC5E2B" w14:paraId="6B63603A" w14:textId="77777777" w:rsidTr="00DD559A">
        <w:trPr>
          <w:trHeight w:val="291"/>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37"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Less: Cost of Sales</w:t>
            </w:r>
          </w:p>
        </w:tc>
        <w:tc>
          <w:tcPr>
            <w:tcW w:w="1811" w:type="dxa"/>
            <w:tcBorders>
              <w:top w:val="nil"/>
              <w:left w:val="nil"/>
              <w:bottom w:val="single" w:sz="4" w:space="0" w:color="auto"/>
              <w:right w:val="single" w:sz="4" w:space="0" w:color="auto"/>
            </w:tcBorders>
            <w:shd w:val="clear" w:color="auto" w:fill="auto"/>
            <w:noWrap/>
            <w:vAlign w:val="bottom"/>
            <w:hideMark/>
          </w:tcPr>
          <w:p w14:paraId="6B636038"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 </w:t>
            </w:r>
          </w:p>
        </w:tc>
        <w:tc>
          <w:tcPr>
            <w:tcW w:w="1811" w:type="dxa"/>
            <w:tcBorders>
              <w:top w:val="nil"/>
              <w:left w:val="nil"/>
              <w:bottom w:val="single" w:sz="4" w:space="0" w:color="auto"/>
              <w:right w:val="single" w:sz="4" w:space="0" w:color="auto"/>
            </w:tcBorders>
            <w:shd w:val="clear" w:color="auto" w:fill="auto"/>
            <w:noWrap/>
            <w:vAlign w:val="bottom"/>
            <w:hideMark/>
          </w:tcPr>
          <w:p w14:paraId="6B636039" w14:textId="77777777" w:rsidR="00EC5E2B" w:rsidRPr="00EC5E2B" w:rsidRDefault="00EC5E2B" w:rsidP="00EC5E2B">
            <w:pPr>
              <w:spacing w:after="0" w:line="240" w:lineRule="auto"/>
              <w:jc w:val="right"/>
              <w:rPr>
                <w:rFonts w:eastAsia="Times New Roman" w:cs="Arial"/>
                <w:color w:val="000000"/>
                <w:szCs w:val="24"/>
              </w:rPr>
            </w:pPr>
            <w:r w:rsidRPr="00EC5E2B">
              <w:rPr>
                <w:rFonts w:eastAsia="Times New Roman" w:cs="Arial"/>
                <w:color w:val="000000"/>
                <w:szCs w:val="24"/>
              </w:rPr>
              <w:t>578650</w:t>
            </w:r>
          </w:p>
        </w:tc>
      </w:tr>
      <w:tr w:rsidR="00EC5E2B" w:rsidRPr="00EC5E2B" w14:paraId="6B63603E" w14:textId="77777777" w:rsidTr="00DD559A">
        <w:trPr>
          <w:trHeight w:val="305"/>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3B"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Gross Profit</w:t>
            </w:r>
          </w:p>
        </w:tc>
        <w:tc>
          <w:tcPr>
            <w:tcW w:w="1811" w:type="dxa"/>
            <w:tcBorders>
              <w:top w:val="nil"/>
              <w:left w:val="nil"/>
              <w:bottom w:val="single" w:sz="4" w:space="0" w:color="auto"/>
              <w:right w:val="single" w:sz="4" w:space="0" w:color="auto"/>
            </w:tcBorders>
            <w:shd w:val="clear" w:color="auto" w:fill="auto"/>
            <w:noWrap/>
            <w:vAlign w:val="bottom"/>
            <w:hideMark/>
          </w:tcPr>
          <w:p w14:paraId="6B63603C"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 </w:t>
            </w:r>
          </w:p>
        </w:tc>
        <w:tc>
          <w:tcPr>
            <w:tcW w:w="1811" w:type="dxa"/>
            <w:tcBorders>
              <w:top w:val="nil"/>
              <w:left w:val="nil"/>
              <w:bottom w:val="single" w:sz="4" w:space="0" w:color="auto"/>
              <w:right w:val="single" w:sz="4" w:space="0" w:color="auto"/>
            </w:tcBorders>
            <w:shd w:val="clear" w:color="auto" w:fill="auto"/>
            <w:noWrap/>
            <w:vAlign w:val="bottom"/>
            <w:hideMark/>
          </w:tcPr>
          <w:p w14:paraId="6B63603D" w14:textId="77777777" w:rsidR="00EC5E2B" w:rsidRPr="00EC5E2B" w:rsidRDefault="00EC5E2B" w:rsidP="00EC5E2B">
            <w:pPr>
              <w:spacing w:after="0" w:line="240" w:lineRule="auto"/>
              <w:jc w:val="right"/>
              <w:rPr>
                <w:rFonts w:eastAsia="Times New Roman" w:cs="Arial"/>
                <w:b/>
                <w:bCs/>
                <w:color w:val="000000"/>
                <w:szCs w:val="24"/>
              </w:rPr>
            </w:pPr>
            <w:r w:rsidRPr="00EC5E2B">
              <w:rPr>
                <w:rFonts w:eastAsia="Times New Roman" w:cs="Arial"/>
                <w:b/>
                <w:bCs/>
                <w:color w:val="000000"/>
                <w:szCs w:val="24"/>
              </w:rPr>
              <w:t>248000</w:t>
            </w:r>
          </w:p>
        </w:tc>
      </w:tr>
      <w:tr w:rsidR="00EC5E2B" w:rsidRPr="00EC5E2B" w14:paraId="6B636042" w14:textId="77777777" w:rsidTr="00DD559A">
        <w:trPr>
          <w:trHeight w:val="291"/>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3F" w14:textId="77777777" w:rsidR="00EC5E2B" w:rsidRPr="00EC5E2B" w:rsidRDefault="00EC5E2B" w:rsidP="00EC5E2B">
            <w:pPr>
              <w:spacing w:after="0" w:line="240" w:lineRule="auto"/>
              <w:jc w:val="left"/>
              <w:rPr>
                <w:rFonts w:eastAsia="Times New Roman" w:cs="Arial"/>
                <w:i/>
                <w:iCs/>
                <w:color w:val="000000"/>
                <w:szCs w:val="24"/>
                <w:u w:val="single"/>
              </w:rPr>
            </w:pPr>
            <w:r w:rsidRPr="00EC5E2B">
              <w:rPr>
                <w:rFonts w:eastAsia="Times New Roman" w:cs="Arial"/>
                <w:i/>
                <w:iCs/>
                <w:color w:val="000000"/>
                <w:szCs w:val="24"/>
                <w:u w:val="single"/>
              </w:rPr>
              <w:t>Less: Expenses</w:t>
            </w:r>
          </w:p>
        </w:tc>
        <w:tc>
          <w:tcPr>
            <w:tcW w:w="1811" w:type="dxa"/>
            <w:tcBorders>
              <w:top w:val="nil"/>
              <w:left w:val="nil"/>
              <w:bottom w:val="single" w:sz="4" w:space="0" w:color="auto"/>
              <w:right w:val="single" w:sz="4" w:space="0" w:color="auto"/>
            </w:tcBorders>
            <w:shd w:val="clear" w:color="auto" w:fill="auto"/>
            <w:noWrap/>
            <w:vAlign w:val="bottom"/>
            <w:hideMark/>
          </w:tcPr>
          <w:p w14:paraId="6B636040"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 </w:t>
            </w:r>
          </w:p>
        </w:tc>
        <w:tc>
          <w:tcPr>
            <w:tcW w:w="1811" w:type="dxa"/>
            <w:tcBorders>
              <w:top w:val="nil"/>
              <w:left w:val="nil"/>
              <w:bottom w:val="single" w:sz="4" w:space="0" w:color="auto"/>
              <w:right w:val="single" w:sz="4" w:space="0" w:color="auto"/>
            </w:tcBorders>
            <w:shd w:val="clear" w:color="auto" w:fill="auto"/>
            <w:noWrap/>
            <w:vAlign w:val="bottom"/>
            <w:hideMark/>
          </w:tcPr>
          <w:p w14:paraId="6B636041"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 </w:t>
            </w:r>
          </w:p>
        </w:tc>
      </w:tr>
      <w:tr w:rsidR="00EC5E2B" w:rsidRPr="00EC5E2B" w14:paraId="6B636046" w14:textId="77777777" w:rsidTr="00DD559A">
        <w:trPr>
          <w:trHeight w:val="291"/>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43"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Administrative expenses</w:t>
            </w:r>
          </w:p>
        </w:tc>
        <w:tc>
          <w:tcPr>
            <w:tcW w:w="1811" w:type="dxa"/>
            <w:tcBorders>
              <w:top w:val="nil"/>
              <w:left w:val="nil"/>
              <w:bottom w:val="single" w:sz="4" w:space="0" w:color="auto"/>
              <w:right w:val="single" w:sz="4" w:space="0" w:color="auto"/>
            </w:tcBorders>
            <w:shd w:val="clear" w:color="auto" w:fill="auto"/>
            <w:noWrap/>
            <w:vAlign w:val="bottom"/>
            <w:hideMark/>
          </w:tcPr>
          <w:p w14:paraId="6B636044" w14:textId="77777777" w:rsidR="00EC5E2B" w:rsidRPr="00EC5E2B" w:rsidRDefault="00EC5E2B" w:rsidP="00EC5E2B">
            <w:pPr>
              <w:spacing w:after="0" w:line="240" w:lineRule="auto"/>
              <w:jc w:val="right"/>
              <w:rPr>
                <w:rFonts w:eastAsia="Times New Roman" w:cs="Arial"/>
                <w:color w:val="000000"/>
                <w:szCs w:val="24"/>
              </w:rPr>
            </w:pPr>
            <w:r w:rsidRPr="00EC5E2B">
              <w:rPr>
                <w:rFonts w:eastAsia="Times New Roman" w:cs="Arial"/>
                <w:color w:val="000000"/>
                <w:szCs w:val="24"/>
              </w:rPr>
              <w:t>30000</w:t>
            </w:r>
          </w:p>
        </w:tc>
        <w:tc>
          <w:tcPr>
            <w:tcW w:w="1811" w:type="dxa"/>
            <w:tcBorders>
              <w:top w:val="nil"/>
              <w:left w:val="nil"/>
              <w:bottom w:val="single" w:sz="4" w:space="0" w:color="auto"/>
              <w:right w:val="single" w:sz="4" w:space="0" w:color="auto"/>
            </w:tcBorders>
            <w:shd w:val="clear" w:color="auto" w:fill="auto"/>
            <w:noWrap/>
            <w:vAlign w:val="bottom"/>
            <w:hideMark/>
          </w:tcPr>
          <w:p w14:paraId="6B636045"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 </w:t>
            </w:r>
          </w:p>
        </w:tc>
      </w:tr>
      <w:tr w:rsidR="00EC5E2B" w:rsidRPr="00EC5E2B" w14:paraId="6B63604A" w14:textId="77777777" w:rsidTr="00DD559A">
        <w:trPr>
          <w:trHeight w:val="291"/>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47"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Interest paid</w:t>
            </w:r>
          </w:p>
        </w:tc>
        <w:tc>
          <w:tcPr>
            <w:tcW w:w="1811" w:type="dxa"/>
            <w:tcBorders>
              <w:top w:val="nil"/>
              <w:left w:val="nil"/>
              <w:bottom w:val="single" w:sz="4" w:space="0" w:color="auto"/>
              <w:right w:val="single" w:sz="4" w:space="0" w:color="auto"/>
            </w:tcBorders>
            <w:shd w:val="clear" w:color="auto" w:fill="auto"/>
            <w:noWrap/>
            <w:vAlign w:val="bottom"/>
            <w:hideMark/>
          </w:tcPr>
          <w:p w14:paraId="6B636048" w14:textId="77777777" w:rsidR="00EC5E2B" w:rsidRPr="00EC5E2B" w:rsidRDefault="00EC5E2B" w:rsidP="00EC5E2B">
            <w:pPr>
              <w:spacing w:after="0" w:line="240" w:lineRule="auto"/>
              <w:jc w:val="right"/>
              <w:rPr>
                <w:rFonts w:eastAsia="Times New Roman" w:cs="Arial"/>
                <w:color w:val="000000"/>
                <w:szCs w:val="24"/>
              </w:rPr>
            </w:pPr>
            <w:r w:rsidRPr="00EC5E2B">
              <w:rPr>
                <w:rFonts w:eastAsia="Times New Roman" w:cs="Arial"/>
                <w:color w:val="000000"/>
                <w:szCs w:val="24"/>
              </w:rPr>
              <w:t>2000</w:t>
            </w:r>
          </w:p>
        </w:tc>
        <w:tc>
          <w:tcPr>
            <w:tcW w:w="1811" w:type="dxa"/>
            <w:tcBorders>
              <w:top w:val="nil"/>
              <w:left w:val="nil"/>
              <w:bottom w:val="single" w:sz="4" w:space="0" w:color="auto"/>
              <w:right w:val="single" w:sz="4" w:space="0" w:color="auto"/>
            </w:tcBorders>
            <w:shd w:val="clear" w:color="auto" w:fill="auto"/>
            <w:noWrap/>
            <w:vAlign w:val="bottom"/>
            <w:hideMark/>
          </w:tcPr>
          <w:p w14:paraId="6B636049"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 </w:t>
            </w:r>
          </w:p>
        </w:tc>
      </w:tr>
      <w:tr w:rsidR="00EC5E2B" w:rsidRPr="00EC5E2B" w14:paraId="6B63604E" w14:textId="77777777" w:rsidTr="00DD559A">
        <w:trPr>
          <w:trHeight w:val="291"/>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4B"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Distribution cost</w:t>
            </w:r>
          </w:p>
        </w:tc>
        <w:tc>
          <w:tcPr>
            <w:tcW w:w="1811" w:type="dxa"/>
            <w:tcBorders>
              <w:top w:val="nil"/>
              <w:left w:val="nil"/>
              <w:bottom w:val="single" w:sz="4" w:space="0" w:color="auto"/>
              <w:right w:val="single" w:sz="4" w:space="0" w:color="auto"/>
            </w:tcBorders>
            <w:shd w:val="clear" w:color="auto" w:fill="auto"/>
            <w:noWrap/>
            <w:vAlign w:val="bottom"/>
            <w:hideMark/>
          </w:tcPr>
          <w:p w14:paraId="6B63604C" w14:textId="77777777" w:rsidR="00EC5E2B" w:rsidRPr="00EC5E2B" w:rsidRDefault="00EC5E2B" w:rsidP="00EC5E2B">
            <w:pPr>
              <w:spacing w:after="0" w:line="240" w:lineRule="auto"/>
              <w:jc w:val="right"/>
              <w:rPr>
                <w:rFonts w:eastAsia="Times New Roman" w:cs="Arial"/>
                <w:color w:val="000000"/>
                <w:szCs w:val="24"/>
              </w:rPr>
            </w:pPr>
            <w:r w:rsidRPr="00EC5E2B">
              <w:rPr>
                <w:rFonts w:eastAsia="Times New Roman" w:cs="Arial"/>
                <w:color w:val="000000"/>
                <w:szCs w:val="24"/>
              </w:rPr>
              <w:t>28000</w:t>
            </w:r>
          </w:p>
        </w:tc>
        <w:tc>
          <w:tcPr>
            <w:tcW w:w="1811" w:type="dxa"/>
            <w:tcBorders>
              <w:top w:val="nil"/>
              <w:left w:val="nil"/>
              <w:bottom w:val="single" w:sz="4" w:space="0" w:color="auto"/>
              <w:right w:val="single" w:sz="4" w:space="0" w:color="auto"/>
            </w:tcBorders>
            <w:shd w:val="clear" w:color="auto" w:fill="auto"/>
            <w:noWrap/>
            <w:vAlign w:val="bottom"/>
            <w:hideMark/>
          </w:tcPr>
          <w:p w14:paraId="6B63604D"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 </w:t>
            </w:r>
          </w:p>
        </w:tc>
      </w:tr>
      <w:tr w:rsidR="00EC5E2B" w:rsidRPr="00EC5E2B" w14:paraId="6B636052" w14:textId="77777777" w:rsidTr="00DD559A">
        <w:trPr>
          <w:trHeight w:val="291"/>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4F" w14:textId="77777777" w:rsidR="00EC5E2B" w:rsidRPr="00EC5E2B" w:rsidRDefault="00EC5E2B" w:rsidP="00EC5E2B">
            <w:pPr>
              <w:spacing w:after="0" w:line="240" w:lineRule="auto"/>
              <w:jc w:val="left"/>
              <w:rPr>
                <w:rFonts w:eastAsia="Times New Roman" w:cs="Arial"/>
                <w:color w:val="000000"/>
                <w:szCs w:val="24"/>
              </w:rPr>
            </w:pPr>
            <w:proofErr w:type="gramStart"/>
            <w:r w:rsidRPr="00EC5E2B">
              <w:rPr>
                <w:rFonts w:eastAsia="Times New Roman" w:cs="Arial"/>
                <w:color w:val="000000"/>
                <w:szCs w:val="24"/>
              </w:rPr>
              <w:t>Directors</w:t>
            </w:r>
            <w:proofErr w:type="gramEnd"/>
            <w:r w:rsidRPr="00EC5E2B">
              <w:rPr>
                <w:rFonts w:eastAsia="Times New Roman" w:cs="Arial"/>
                <w:color w:val="000000"/>
                <w:szCs w:val="24"/>
              </w:rPr>
              <w:t xml:space="preserve"> remunerations</w:t>
            </w:r>
          </w:p>
        </w:tc>
        <w:tc>
          <w:tcPr>
            <w:tcW w:w="1811" w:type="dxa"/>
            <w:tcBorders>
              <w:top w:val="nil"/>
              <w:left w:val="nil"/>
              <w:bottom w:val="single" w:sz="4" w:space="0" w:color="auto"/>
              <w:right w:val="single" w:sz="4" w:space="0" w:color="auto"/>
            </w:tcBorders>
            <w:shd w:val="clear" w:color="auto" w:fill="auto"/>
            <w:noWrap/>
            <w:vAlign w:val="bottom"/>
            <w:hideMark/>
          </w:tcPr>
          <w:p w14:paraId="6B636050" w14:textId="77777777" w:rsidR="00EC5E2B" w:rsidRPr="00EC5E2B" w:rsidRDefault="00EC5E2B" w:rsidP="00EC5E2B">
            <w:pPr>
              <w:spacing w:after="0" w:line="240" w:lineRule="auto"/>
              <w:jc w:val="right"/>
              <w:rPr>
                <w:rFonts w:eastAsia="Times New Roman" w:cs="Arial"/>
                <w:color w:val="000000"/>
                <w:szCs w:val="24"/>
              </w:rPr>
            </w:pPr>
            <w:r w:rsidRPr="00EC5E2B">
              <w:rPr>
                <w:rFonts w:eastAsia="Times New Roman" w:cs="Arial"/>
                <w:color w:val="000000"/>
                <w:szCs w:val="24"/>
              </w:rPr>
              <w:t>5000</w:t>
            </w:r>
          </w:p>
        </w:tc>
        <w:tc>
          <w:tcPr>
            <w:tcW w:w="1811" w:type="dxa"/>
            <w:tcBorders>
              <w:top w:val="nil"/>
              <w:left w:val="nil"/>
              <w:bottom w:val="single" w:sz="4" w:space="0" w:color="auto"/>
              <w:right w:val="single" w:sz="4" w:space="0" w:color="auto"/>
            </w:tcBorders>
            <w:shd w:val="clear" w:color="auto" w:fill="auto"/>
            <w:noWrap/>
            <w:vAlign w:val="bottom"/>
            <w:hideMark/>
          </w:tcPr>
          <w:p w14:paraId="6B636051" w14:textId="77777777" w:rsidR="00EC5E2B" w:rsidRPr="00EC5E2B" w:rsidRDefault="00EC5E2B" w:rsidP="00EC5E2B">
            <w:pPr>
              <w:spacing w:after="0" w:line="240" w:lineRule="auto"/>
              <w:jc w:val="right"/>
              <w:rPr>
                <w:rFonts w:eastAsia="Times New Roman" w:cs="Arial"/>
                <w:color w:val="000000"/>
                <w:szCs w:val="24"/>
              </w:rPr>
            </w:pPr>
            <w:r w:rsidRPr="00EC5E2B">
              <w:rPr>
                <w:rFonts w:eastAsia="Times New Roman" w:cs="Arial"/>
                <w:color w:val="000000"/>
                <w:szCs w:val="24"/>
              </w:rPr>
              <w:t>65000</w:t>
            </w:r>
          </w:p>
        </w:tc>
      </w:tr>
      <w:tr w:rsidR="00EC5E2B" w:rsidRPr="00EC5E2B" w14:paraId="6B636056" w14:textId="77777777" w:rsidTr="00DD559A">
        <w:trPr>
          <w:trHeight w:val="305"/>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53"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Operating Profit</w:t>
            </w:r>
          </w:p>
        </w:tc>
        <w:tc>
          <w:tcPr>
            <w:tcW w:w="1811" w:type="dxa"/>
            <w:tcBorders>
              <w:top w:val="nil"/>
              <w:left w:val="nil"/>
              <w:bottom w:val="single" w:sz="4" w:space="0" w:color="auto"/>
              <w:right w:val="single" w:sz="4" w:space="0" w:color="auto"/>
            </w:tcBorders>
            <w:shd w:val="clear" w:color="auto" w:fill="auto"/>
            <w:noWrap/>
            <w:vAlign w:val="bottom"/>
            <w:hideMark/>
          </w:tcPr>
          <w:p w14:paraId="6B636054"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 </w:t>
            </w:r>
          </w:p>
        </w:tc>
        <w:tc>
          <w:tcPr>
            <w:tcW w:w="1811" w:type="dxa"/>
            <w:tcBorders>
              <w:top w:val="nil"/>
              <w:left w:val="nil"/>
              <w:bottom w:val="single" w:sz="4" w:space="0" w:color="auto"/>
              <w:right w:val="single" w:sz="4" w:space="0" w:color="auto"/>
            </w:tcBorders>
            <w:shd w:val="clear" w:color="auto" w:fill="auto"/>
            <w:noWrap/>
            <w:vAlign w:val="bottom"/>
            <w:hideMark/>
          </w:tcPr>
          <w:p w14:paraId="6B636055" w14:textId="77777777" w:rsidR="00EC5E2B" w:rsidRPr="00EC5E2B" w:rsidRDefault="00EC5E2B" w:rsidP="00EC5E2B">
            <w:pPr>
              <w:spacing w:after="0" w:line="240" w:lineRule="auto"/>
              <w:jc w:val="right"/>
              <w:rPr>
                <w:rFonts w:eastAsia="Times New Roman" w:cs="Arial"/>
                <w:b/>
                <w:bCs/>
                <w:color w:val="000000"/>
                <w:szCs w:val="24"/>
              </w:rPr>
            </w:pPr>
            <w:r w:rsidRPr="00EC5E2B">
              <w:rPr>
                <w:rFonts w:eastAsia="Times New Roman" w:cs="Arial"/>
                <w:b/>
                <w:bCs/>
                <w:color w:val="000000"/>
                <w:szCs w:val="24"/>
              </w:rPr>
              <w:t>183000</w:t>
            </w:r>
          </w:p>
        </w:tc>
      </w:tr>
      <w:tr w:rsidR="00EC5E2B" w:rsidRPr="00EC5E2B" w14:paraId="6B63605A" w14:textId="77777777" w:rsidTr="00DD559A">
        <w:trPr>
          <w:trHeight w:val="291"/>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57"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Less: Corporation Tax</w:t>
            </w:r>
          </w:p>
        </w:tc>
        <w:tc>
          <w:tcPr>
            <w:tcW w:w="1811" w:type="dxa"/>
            <w:tcBorders>
              <w:top w:val="nil"/>
              <w:left w:val="nil"/>
              <w:bottom w:val="single" w:sz="4" w:space="0" w:color="auto"/>
              <w:right w:val="single" w:sz="4" w:space="0" w:color="auto"/>
            </w:tcBorders>
            <w:shd w:val="clear" w:color="auto" w:fill="auto"/>
            <w:noWrap/>
            <w:vAlign w:val="bottom"/>
            <w:hideMark/>
          </w:tcPr>
          <w:p w14:paraId="6B636058" w14:textId="77777777" w:rsidR="00EC5E2B" w:rsidRPr="00EC5E2B" w:rsidRDefault="00EC5E2B" w:rsidP="00EC5E2B">
            <w:pPr>
              <w:spacing w:after="0" w:line="240" w:lineRule="auto"/>
              <w:jc w:val="left"/>
              <w:rPr>
                <w:rFonts w:eastAsia="Times New Roman" w:cs="Arial"/>
                <w:color w:val="000000"/>
                <w:szCs w:val="24"/>
              </w:rPr>
            </w:pPr>
            <w:r w:rsidRPr="00EC5E2B">
              <w:rPr>
                <w:rFonts w:eastAsia="Times New Roman" w:cs="Arial"/>
                <w:color w:val="000000"/>
                <w:szCs w:val="24"/>
              </w:rPr>
              <w:t> </w:t>
            </w:r>
          </w:p>
        </w:tc>
        <w:tc>
          <w:tcPr>
            <w:tcW w:w="1811" w:type="dxa"/>
            <w:tcBorders>
              <w:top w:val="nil"/>
              <w:left w:val="nil"/>
              <w:bottom w:val="single" w:sz="4" w:space="0" w:color="auto"/>
              <w:right w:val="single" w:sz="4" w:space="0" w:color="auto"/>
            </w:tcBorders>
            <w:shd w:val="clear" w:color="auto" w:fill="auto"/>
            <w:noWrap/>
            <w:vAlign w:val="bottom"/>
            <w:hideMark/>
          </w:tcPr>
          <w:p w14:paraId="6B636059" w14:textId="77777777" w:rsidR="00EC5E2B" w:rsidRPr="00EC5E2B" w:rsidRDefault="00EC5E2B" w:rsidP="00EC5E2B">
            <w:pPr>
              <w:spacing w:after="0" w:line="240" w:lineRule="auto"/>
              <w:jc w:val="right"/>
              <w:rPr>
                <w:rFonts w:eastAsia="Times New Roman" w:cs="Arial"/>
                <w:color w:val="000000"/>
                <w:szCs w:val="24"/>
              </w:rPr>
            </w:pPr>
            <w:r w:rsidRPr="00EC5E2B">
              <w:rPr>
                <w:rFonts w:eastAsia="Times New Roman" w:cs="Arial"/>
                <w:color w:val="000000"/>
                <w:szCs w:val="24"/>
              </w:rPr>
              <w:t>68000</w:t>
            </w:r>
          </w:p>
        </w:tc>
      </w:tr>
      <w:tr w:rsidR="00EC5E2B" w:rsidRPr="00EC5E2B" w14:paraId="6B63605E" w14:textId="77777777" w:rsidTr="00DD559A">
        <w:trPr>
          <w:trHeight w:val="305"/>
        </w:trPr>
        <w:tc>
          <w:tcPr>
            <w:tcW w:w="5087" w:type="dxa"/>
            <w:tcBorders>
              <w:top w:val="nil"/>
              <w:left w:val="single" w:sz="4" w:space="0" w:color="auto"/>
              <w:bottom w:val="single" w:sz="4" w:space="0" w:color="auto"/>
              <w:right w:val="single" w:sz="4" w:space="0" w:color="auto"/>
            </w:tcBorders>
            <w:shd w:val="clear" w:color="auto" w:fill="auto"/>
            <w:noWrap/>
            <w:vAlign w:val="bottom"/>
            <w:hideMark/>
          </w:tcPr>
          <w:p w14:paraId="6B63605B"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Net Profit</w:t>
            </w:r>
          </w:p>
        </w:tc>
        <w:tc>
          <w:tcPr>
            <w:tcW w:w="1811" w:type="dxa"/>
            <w:tcBorders>
              <w:top w:val="nil"/>
              <w:left w:val="nil"/>
              <w:bottom w:val="single" w:sz="4" w:space="0" w:color="auto"/>
              <w:right w:val="single" w:sz="4" w:space="0" w:color="auto"/>
            </w:tcBorders>
            <w:shd w:val="clear" w:color="auto" w:fill="auto"/>
            <w:noWrap/>
            <w:vAlign w:val="bottom"/>
            <w:hideMark/>
          </w:tcPr>
          <w:p w14:paraId="6B63605C" w14:textId="77777777" w:rsidR="00EC5E2B" w:rsidRPr="00EC5E2B" w:rsidRDefault="00EC5E2B" w:rsidP="00EC5E2B">
            <w:pPr>
              <w:spacing w:after="0" w:line="240" w:lineRule="auto"/>
              <w:jc w:val="left"/>
              <w:rPr>
                <w:rFonts w:eastAsia="Times New Roman" w:cs="Arial"/>
                <w:b/>
                <w:bCs/>
                <w:color w:val="000000"/>
                <w:szCs w:val="24"/>
              </w:rPr>
            </w:pPr>
            <w:r w:rsidRPr="00EC5E2B">
              <w:rPr>
                <w:rFonts w:eastAsia="Times New Roman" w:cs="Arial"/>
                <w:b/>
                <w:bCs/>
                <w:color w:val="000000"/>
                <w:szCs w:val="24"/>
              </w:rPr>
              <w:t> </w:t>
            </w:r>
          </w:p>
        </w:tc>
        <w:tc>
          <w:tcPr>
            <w:tcW w:w="1811" w:type="dxa"/>
            <w:tcBorders>
              <w:top w:val="nil"/>
              <w:left w:val="nil"/>
              <w:bottom w:val="single" w:sz="4" w:space="0" w:color="auto"/>
              <w:right w:val="single" w:sz="4" w:space="0" w:color="auto"/>
            </w:tcBorders>
            <w:shd w:val="clear" w:color="auto" w:fill="auto"/>
            <w:noWrap/>
            <w:vAlign w:val="bottom"/>
            <w:hideMark/>
          </w:tcPr>
          <w:p w14:paraId="6B63605D" w14:textId="77777777" w:rsidR="00EC5E2B" w:rsidRPr="00EC5E2B" w:rsidRDefault="00EC5E2B" w:rsidP="00EC5E2B">
            <w:pPr>
              <w:spacing w:after="0" w:line="240" w:lineRule="auto"/>
              <w:jc w:val="right"/>
              <w:rPr>
                <w:rFonts w:eastAsia="Times New Roman" w:cs="Arial"/>
                <w:b/>
                <w:bCs/>
                <w:color w:val="000000"/>
                <w:szCs w:val="24"/>
              </w:rPr>
            </w:pPr>
            <w:r w:rsidRPr="00EC5E2B">
              <w:rPr>
                <w:rFonts w:eastAsia="Times New Roman" w:cs="Arial"/>
                <w:b/>
                <w:bCs/>
                <w:color w:val="000000"/>
                <w:szCs w:val="24"/>
              </w:rPr>
              <w:t>115000</w:t>
            </w:r>
          </w:p>
        </w:tc>
      </w:tr>
    </w:tbl>
    <w:p w14:paraId="6B63605F" w14:textId="77777777" w:rsidR="00EC5E2B" w:rsidRDefault="00EC5E2B" w:rsidP="009466DA"/>
    <w:p w14:paraId="6B636060" w14:textId="77777777" w:rsidR="00442006" w:rsidRDefault="00442006" w:rsidP="009466DA">
      <w:r>
        <w:t xml:space="preserve">Based on the above profit and loss statement of </w:t>
      </w:r>
      <w:proofErr w:type="spellStart"/>
      <w:r>
        <w:t>Kedison</w:t>
      </w:r>
      <w:proofErr w:type="spellEnd"/>
      <w:r>
        <w:t xml:space="preserve"> Plc, it has been seen that net profit from the operation is </w:t>
      </w:r>
      <w:r>
        <w:rPr>
          <w:rFonts w:ascii="Sylfaen" w:hAnsi="Sylfaen"/>
        </w:rPr>
        <w:t>£</w:t>
      </w:r>
      <w:r>
        <w:t xml:space="preserve">115000 where operating profit is </w:t>
      </w:r>
      <w:r>
        <w:rPr>
          <w:rFonts w:ascii="Sylfaen" w:hAnsi="Sylfaen"/>
        </w:rPr>
        <w:t>£</w:t>
      </w:r>
      <w:r>
        <w:t xml:space="preserve">183000. Profit and Loss statement of </w:t>
      </w:r>
      <w:proofErr w:type="spellStart"/>
      <w:r>
        <w:t>Kedison</w:t>
      </w:r>
      <w:proofErr w:type="spellEnd"/>
      <w:r>
        <w:t xml:space="preserve"> Plc has also reflected the gross profit and cost of sales of the business along with revenue. Actual financial performance and current financial position of </w:t>
      </w:r>
      <w:proofErr w:type="spellStart"/>
      <w:r>
        <w:t>Kedison</w:t>
      </w:r>
      <w:proofErr w:type="spellEnd"/>
      <w:r>
        <w:t xml:space="preserve"> Plc can be recognized through using Profit and Loss Statement for the period ended 31</w:t>
      </w:r>
      <w:r w:rsidRPr="00442006">
        <w:rPr>
          <w:vertAlign w:val="superscript"/>
        </w:rPr>
        <w:t>st</w:t>
      </w:r>
      <w:r>
        <w:t xml:space="preserve"> </w:t>
      </w:r>
      <w:proofErr w:type="gramStart"/>
      <w:r>
        <w:t>December,</w:t>
      </w:r>
      <w:proofErr w:type="gramEnd"/>
      <w:r>
        <w:t xml:space="preserve"> 2020. Based on the Profit and Loss Statement of the company it can be recognize that the financial position of the company is effective in the current environment that a good sales revenue and net profitability has been seen for the business. </w:t>
      </w:r>
    </w:p>
    <w:p w14:paraId="6B636061" w14:textId="77777777" w:rsidR="00442006" w:rsidRDefault="00442006" w:rsidP="009466DA">
      <w:r>
        <w:t>Financial statement analyses are one of the significant calculations which used to determine the current financial capabilities of the firm</w:t>
      </w:r>
      <w:r w:rsidR="00592393">
        <w:t xml:space="preserve"> (</w:t>
      </w:r>
      <w:r w:rsidR="00592393" w:rsidRPr="0053075D">
        <w:t>Ahmed</w:t>
      </w:r>
      <w:r w:rsidR="00592393">
        <w:t xml:space="preserve"> </w:t>
      </w:r>
      <w:r w:rsidR="00592393" w:rsidRPr="0053075D">
        <w:t>and Safdar</w:t>
      </w:r>
      <w:r w:rsidR="00592393">
        <w:t>, 2018)</w:t>
      </w:r>
      <w:r>
        <w:t xml:space="preserve">. Total assets, debt, equity and liability of the organization can be identified through using financial statement of the business. Performance parameter of the business can be </w:t>
      </w:r>
      <w:r>
        <w:lastRenderedPageBreak/>
        <w:t xml:space="preserve">measured through using financial statement during the financial year. Statement of financial position for </w:t>
      </w:r>
      <w:proofErr w:type="spellStart"/>
      <w:r>
        <w:t>Kedison</w:t>
      </w:r>
      <w:proofErr w:type="spellEnd"/>
      <w:r>
        <w:t xml:space="preserve"> Plc has been reflected in the following section. </w:t>
      </w:r>
    </w:p>
    <w:tbl>
      <w:tblPr>
        <w:tblW w:w="8870" w:type="dxa"/>
        <w:tblInd w:w="93" w:type="dxa"/>
        <w:tblLook w:val="04A0" w:firstRow="1" w:lastRow="0" w:firstColumn="1" w:lastColumn="0" w:noHBand="0" w:noVBand="1"/>
      </w:tblPr>
      <w:tblGrid>
        <w:gridCol w:w="6644"/>
        <w:gridCol w:w="2226"/>
      </w:tblGrid>
      <w:tr w:rsidR="00DD559A" w:rsidRPr="00DD559A" w14:paraId="6B636063" w14:textId="77777777" w:rsidTr="00DD559A">
        <w:trPr>
          <w:trHeight w:val="294"/>
        </w:trPr>
        <w:tc>
          <w:tcPr>
            <w:tcW w:w="887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636062" w14:textId="77777777" w:rsidR="00DD559A" w:rsidRPr="00DD559A" w:rsidRDefault="00DD559A" w:rsidP="00DD559A">
            <w:pPr>
              <w:spacing w:after="0" w:line="240" w:lineRule="auto"/>
              <w:jc w:val="center"/>
              <w:rPr>
                <w:rFonts w:eastAsia="Times New Roman" w:cs="Arial"/>
                <w:b/>
                <w:bCs/>
                <w:color w:val="000000"/>
                <w:szCs w:val="24"/>
              </w:rPr>
            </w:pPr>
            <w:r w:rsidRPr="00DD559A">
              <w:rPr>
                <w:rFonts w:eastAsia="Times New Roman" w:cs="Arial"/>
                <w:b/>
                <w:bCs/>
                <w:color w:val="000000"/>
                <w:szCs w:val="24"/>
              </w:rPr>
              <w:t xml:space="preserve">Statement of Financial Position for </w:t>
            </w:r>
            <w:proofErr w:type="spellStart"/>
            <w:r w:rsidRPr="00DD559A">
              <w:rPr>
                <w:rFonts w:eastAsia="Times New Roman" w:cs="Arial"/>
                <w:b/>
                <w:bCs/>
                <w:color w:val="000000"/>
                <w:szCs w:val="24"/>
              </w:rPr>
              <w:t>Kedison</w:t>
            </w:r>
            <w:proofErr w:type="spellEnd"/>
            <w:r w:rsidRPr="00DD559A">
              <w:rPr>
                <w:rFonts w:eastAsia="Times New Roman" w:cs="Arial"/>
                <w:b/>
                <w:bCs/>
                <w:color w:val="000000"/>
                <w:szCs w:val="24"/>
              </w:rPr>
              <w:t xml:space="preserve"> Plc</w:t>
            </w:r>
          </w:p>
        </w:tc>
      </w:tr>
      <w:tr w:rsidR="00DD559A" w:rsidRPr="00DD559A" w14:paraId="6B636065" w14:textId="77777777" w:rsidTr="00DD559A">
        <w:trPr>
          <w:trHeight w:val="294"/>
        </w:trPr>
        <w:tc>
          <w:tcPr>
            <w:tcW w:w="887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636064" w14:textId="77777777" w:rsidR="00DD559A" w:rsidRPr="00DD559A" w:rsidRDefault="00DD559A" w:rsidP="00DD559A">
            <w:pPr>
              <w:spacing w:after="0" w:line="240" w:lineRule="auto"/>
              <w:jc w:val="center"/>
              <w:rPr>
                <w:rFonts w:eastAsia="Times New Roman" w:cs="Arial"/>
                <w:b/>
                <w:bCs/>
                <w:color w:val="000000"/>
                <w:szCs w:val="24"/>
              </w:rPr>
            </w:pPr>
            <w:r w:rsidRPr="00DD559A">
              <w:rPr>
                <w:rFonts w:eastAsia="Times New Roman" w:cs="Arial"/>
                <w:b/>
                <w:bCs/>
                <w:color w:val="000000"/>
                <w:szCs w:val="24"/>
              </w:rPr>
              <w:t>For the year ended 31st December 2020</w:t>
            </w:r>
          </w:p>
        </w:tc>
      </w:tr>
      <w:tr w:rsidR="00DD559A" w:rsidRPr="00DD559A" w14:paraId="6B636068" w14:textId="77777777" w:rsidTr="00DD559A">
        <w:trPr>
          <w:trHeight w:val="294"/>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66" w14:textId="77777777" w:rsidR="00DD559A" w:rsidRPr="00DD559A" w:rsidRDefault="00DD559A" w:rsidP="00DD559A">
            <w:pPr>
              <w:spacing w:after="0" w:line="240" w:lineRule="auto"/>
              <w:jc w:val="left"/>
              <w:rPr>
                <w:rFonts w:eastAsia="Times New Roman" w:cs="Arial"/>
                <w:b/>
                <w:bCs/>
                <w:color w:val="000000"/>
                <w:szCs w:val="24"/>
              </w:rPr>
            </w:pPr>
            <w:r w:rsidRPr="00DD559A">
              <w:rPr>
                <w:rFonts w:eastAsia="Times New Roman" w:cs="Arial"/>
                <w:b/>
                <w:bCs/>
                <w:color w:val="000000"/>
                <w:szCs w:val="24"/>
              </w:rPr>
              <w:t>Particulars</w:t>
            </w:r>
          </w:p>
        </w:tc>
        <w:tc>
          <w:tcPr>
            <w:tcW w:w="2226" w:type="dxa"/>
            <w:tcBorders>
              <w:top w:val="nil"/>
              <w:left w:val="nil"/>
              <w:bottom w:val="single" w:sz="4" w:space="0" w:color="auto"/>
              <w:right w:val="single" w:sz="4" w:space="0" w:color="auto"/>
            </w:tcBorders>
            <w:shd w:val="clear" w:color="auto" w:fill="auto"/>
            <w:noWrap/>
            <w:vAlign w:val="bottom"/>
            <w:hideMark/>
          </w:tcPr>
          <w:p w14:paraId="6B636067" w14:textId="77777777" w:rsidR="00DD559A" w:rsidRPr="00DD559A" w:rsidRDefault="00DD559A" w:rsidP="00DD559A">
            <w:pPr>
              <w:spacing w:after="0" w:line="240" w:lineRule="auto"/>
              <w:jc w:val="left"/>
              <w:rPr>
                <w:rFonts w:eastAsia="Times New Roman" w:cs="Arial"/>
                <w:b/>
                <w:bCs/>
                <w:color w:val="000000"/>
                <w:szCs w:val="24"/>
              </w:rPr>
            </w:pPr>
            <w:r w:rsidRPr="00DD559A">
              <w:rPr>
                <w:rFonts w:eastAsia="Times New Roman" w:cs="Arial"/>
                <w:b/>
                <w:bCs/>
                <w:color w:val="000000"/>
                <w:szCs w:val="24"/>
              </w:rPr>
              <w:t>Amount</w:t>
            </w:r>
            <w:r w:rsidR="00442006">
              <w:rPr>
                <w:rFonts w:eastAsia="Times New Roman" w:cs="Arial"/>
                <w:b/>
                <w:bCs/>
                <w:color w:val="000000"/>
                <w:szCs w:val="24"/>
              </w:rPr>
              <w:t xml:space="preserve"> (</w:t>
            </w:r>
            <w:r w:rsidR="00442006">
              <w:rPr>
                <w:rFonts w:ascii="Sylfaen" w:eastAsia="Times New Roman" w:hAnsi="Sylfaen" w:cs="Arial"/>
                <w:b/>
                <w:bCs/>
                <w:color w:val="000000"/>
                <w:szCs w:val="24"/>
              </w:rPr>
              <w:t>£</w:t>
            </w:r>
            <w:r w:rsidR="00442006">
              <w:rPr>
                <w:rFonts w:eastAsia="Times New Roman" w:cs="Arial"/>
                <w:b/>
                <w:bCs/>
                <w:color w:val="000000"/>
                <w:szCs w:val="24"/>
              </w:rPr>
              <w:t>)</w:t>
            </w:r>
          </w:p>
        </w:tc>
      </w:tr>
      <w:tr w:rsidR="00DD559A" w:rsidRPr="00DD559A" w14:paraId="6B63606B"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69" w14:textId="77777777" w:rsidR="00DD559A" w:rsidRPr="00DD559A" w:rsidRDefault="00DD559A" w:rsidP="00DD559A">
            <w:pPr>
              <w:spacing w:after="0" w:line="240" w:lineRule="auto"/>
              <w:jc w:val="left"/>
              <w:rPr>
                <w:rFonts w:eastAsia="Times New Roman" w:cs="Arial"/>
                <w:b/>
                <w:color w:val="000000"/>
                <w:szCs w:val="24"/>
              </w:rPr>
            </w:pPr>
            <w:r w:rsidRPr="00DD559A">
              <w:rPr>
                <w:rFonts w:eastAsia="Times New Roman" w:cs="Arial"/>
                <w:b/>
                <w:color w:val="000000"/>
                <w:szCs w:val="24"/>
              </w:rPr>
              <w:t>ASSETS</w:t>
            </w:r>
          </w:p>
        </w:tc>
        <w:tc>
          <w:tcPr>
            <w:tcW w:w="2226" w:type="dxa"/>
            <w:tcBorders>
              <w:top w:val="nil"/>
              <w:left w:val="nil"/>
              <w:bottom w:val="single" w:sz="4" w:space="0" w:color="auto"/>
              <w:right w:val="single" w:sz="4" w:space="0" w:color="auto"/>
            </w:tcBorders>
            <w:shd w:val="clear" w:color="auto" w:fill="auto"/>
            <w:noWrap/>
            <w:vAlign w:val="bottom"/>
            <w:hideMark/>
          </w:tcPr>
          <w:p w14:paraId="6B63606A"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6E"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6C"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Non-current Assets</w:t>
            </w:r>
          </w:p>
        </w:tc>
        <w:tc>
          <w:tcPr>
            <w:tcW w:w="2226" w:type="dxa"/>
            <w:tcBorders>
              <w:top w:val="nil"/>
              <w:left w:val="nil"/>
              <w:bottom w:val="single" w:sz="4" w:space="0" w:color="auto"/>
              <w:right w:val="single" w:sz="4" w:space="0" w:color="auto"/>
            </w:tcBorders>
            <w:shd w:val="clear" w:color="auto" w:fill="auto"/>
            <w:noWrap/>
            <w:vAlign w:val="bottom"/>
            <w:hideMark/>
          </w:tcPr>
          <w:p w14:paraId="6B63606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71"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6F"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Plant and Equipment</w:t>
            </w:r>
          </w:p>
        </w:tc>
        <w:tc>
          <w:tcPr>
            <w:tcW w:w="2226" w:type="dxa"/>
            <w:tcBorders>
              <w:top w:val="nil"/>
              <w:left w:val="nil"/>
              <w:bottom w:val="single" w:sz="4" w:space="0" w:color="auto"/>
              <w:right w:val="single" w:sz="4" w:space="0" w:color="auto"/>
            </w:tcBorders>
            <w:shd w:val="clear" w:color="auto" w:fill="auto"/>
            <w:noWrap/>
            <w:vAlign w:val="bottom"/>
            <w:hideMark/>
          </w:tcPr>
          <w:p w14:paraId="6B636070"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632730</w:t>
            </w:r>
          </w:p>
        </w:tc>
      </w:tr>
      <w:tr w:rsidR="00DD559A" w:rsidRPr="00DD559A" w14:paraId="6B636074"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7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226" w:type="dxa"/>
            <w:tcBorders>
              <w:top w:val="nil"/>
              <w:left w:val="nil"/>
              <w:bottom w:val="single" w:sz="4" w:space="0" w:color="auto"/>
              <w:right w:val="single" w:sz="4" w:space="0" w:color="auto"/>
            </w:tcBorders>
            <w:shd w:val="clear" w:color="auto" w:fill="auto"/>
            <w:noWrap/>
            <w:vAlign w:val="bottom"/>
            <w:hideMark/>
          </w:tcPr>
          <w:p w14:paraId="6B636073"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77"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75"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Current Assets</w:t>
            </w:r>
          </w:p>
        </w:tc>
        <w:tc>
          <w:tcPr>
            <w:tcW w:w="2226" w:type="dxa"/>
            <w:tcBorders>
              <w:top w:val="nil"/>
              <w:left w:val="nil"/>
              <w:bottom w:val="single" w:sz="4" w:space="0" w:color="auto"/>
              <w:right w:val="single" w:sz="4" w:space="0" w:color="auto"/>
            </w:tcBorders>
            <w:shd w:val="clear" w:color="auto" w:fill="auto"/>
            <w:noWrap/>
            <w:vAlign w:val="bottom"/>
            <w:hideMark/>
          </w:tcPr>
          <w:p w14:paraId="6B636076"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7A"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7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Stock</w:t>
            </w:r>
          </w:p>
        </w:tc>
        <w:tc>
          <w:tcPr>
            <w:tcW w:w="2226" w:type="dxa"/>
            <w:tcBorders>
              <w:top w:val="nil"/>
              <w:left w:val="nil"/>
              <w:bottom w:val="single" w:sz="4" w:space="0" w:color="auto"/>
              <w:right w:val="single" w:sz="4" w:space="0" w:color="auto"/>
            </w:tcBorders>
            <w:shd w:val="clear" w:color="auto" w:fill="auto"/>
            <w:noWrap/>
            <w:vAlign w:val="bottom"/>
            <w:hideMark/>
          </w:tcPr>
          <w:p w14:paraId="6B636079"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330600</w:t>
            </w:r>
          </w:p>
        </w:tc>
      </w:tr>
      <w:tr w:rsidR="00DD559A" w:rsidRPr="00DD559A" w14:paraId="6B63607D"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7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Debtors (170125 + 980)</w:t>
            </w:r>
          </w:p>
        </w:tc>
        <w:tc>
          <w:tcPr>
            <w:tcW w:w="2226" w:type="dxa"/>
            <w:tcBorders>
              <w:top w:val="nil"/>
              <w:left w:val="nil"/>
              <w:bottom w:val="single" w:sz="4" w:space="0" w:color="auto"/>
              <w:right w:val="single" w:sz="4" w:space="0" w:color="auto"/>
            </w:tcBorders>
            <w:shd w:val="clear" w:color="auto" w:fill="auto"/>
            <w:noWrap/>
            <w:vAlign w:val="bottom"/>
            <w:hideMark/>
          </w:tcPr>
          <w:p w14:paraId="6B63607C"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171105</w:t>
            </w:r>
          </w:p>
        </w:tc>
      </w:tr>
      <w:tr w:rsidR="00DD559A" w:rsidRPr="00DD559A" w14:paraId="6B636080"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7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Cash and bank</w:t>
            </w:r>
          </w:p>
        </w:tc>
        <w:tc>
          <w:tcPr>
            <w:tcW w:w="2226" w:type="dxa"/>
            <w:tcBorders>
              <w:top w:val="nil"/>
              <w:left w:val="nil"/>
              <w:bottom w:val="single" w:sz="4" w:space="0" w:color="auto"/>
              <w:right w:val="single" w:sz="4" w:space="0" w:color="auto"/>
            </w:tcBorders>
            <w:shd w:val="clear" w:color="auto" w:fill="auto"/>
            <w:noWrap/>
            <w:vAlign w:val="bottom"/>
            <w:hideMark/>
          </w:tcPr>
          <w:p w14:paraId="6B63607F"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12900</w:t>
            </w:r>
          </w:p>
        </w:tc>
      </w:tr>
      <w:tr w:rsidR="00DD559A" w:rsidRPr="00DD559A" w14:paraId="6B636083"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81"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226" w:type="dxa"/>
            <w:tcBorders>
              <w:top w:val="nil"/>
              <w:left w:val="nil"/>
              <w:bottom w:val="single" w:sz="4" w:space="0" w:color="auto"/>
              <w:right w:val="single" w:sz="4" w:space="0" w:color="auto"/>
            </w:tcBorders>
            <w:shd w:val="clear" w:color="auto" w:fill="auto"/>
            <w:noWrap/>
            <w:vAlign w:val="bottom"/>
            <w:hideMark/>
          </w:tcPr>
          <w:p w14:paraId="6B63608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86" w14:textId="77777777" w:rsidTr="00DD559A">
        <w:trPr>
          <w:trHeight w:val="294"/>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84"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Total Assets</w:t>
            </w:r>
          </w:p>
        </w:tc>
        <w:tc>
          <w:tcPr>
            <w:tcW w:w="2226" w:type="dxa"/>
            <w:tcBorders>
              <w:top w:val="nil"/>
              <w:left w:val="nil"/>
              <w:bottom w:val="single" w:sz="4" w:space="0" w:color="auto"/>
              <w:right w:val="single" w:sz="4" w:space="0" w:color="auto"/>
            </w:tcBorders>
            <w:shd w:val="clear" w:color="auto" w:fill="auto"/>
            <w:noWrap/>
            <w:vAlign w:val="bottom"/>
            <w:hideMark/>
          </w:tcPr>
          <w:p w14:paraId="6B636085" w14:textId="77777777" w:rsidR="00DD559A" w:rsidRPr="00DD559A" w:rsidRDefault="00DD559A" w:rsidP="00DD559A">
            <w:pPr>
              <w:spacing w:after="0" w:line="240" w:lineRule="auto"/>
              <w:jc w:val="right"/>
              <w:rPr>
                <w:rFonts w:eastAsia="Times New Roman" w:cs="Arial"/>
                <w:b/>
                <w:bCs/>
                <w:color w:val="000000"/>
                <w:szCs w:val="24"/>
              </w:rPr>
            </w:pPr>
            <w:r w:rsidRPr="00DD559A">
              <w:rPr>
                <w:rFonts w:eastAsia="Times New Roman" w:cs="Arial"/>
                <w:b/>
                <w:bCs/>
                <w:color w:val="000000"/>
                <w:szCs w:val="24"/>
              </w:rPr>
              <w:t>1147335</w:t>
            </w:r>
          </w:p>
        </w:tc>
      </w:tr>
      <w:tr w:rsidR="00DD559A" w:rsidRPr="00DD559A" w14:paraId="6B636089"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87"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226" w:type="dxa"/>
            <w:tcBorders>
              <w:top w:val="nil"/>
              <w:left w:val="nil"/>
              <w:bottom w:val="single" w:sz="4" w:space="0" w:color="auto"/>
              <w:right w:val="single" w:sz="4" w:space="0" w:color="auto"/>
            </w:tcBorders>
            <w:shd w:val="clear" w:color="auto" w:fill="auto"/>
            <w:noWrap/>
            <w:vAlign w:val="bottom"/>
            <w:hideMark/>
          </w:tcPr>
          <w:p w14:paraId="6B63608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8C"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8A" w14:textId="77777777" w:rsidR="00DD559A" w:rsidRPr="00DD559A" w:rsidRDefault="00DD559A" w:rsidP="00DD559A">
            <w:pPr>
              <w:spacing w:after="0" w:line="240" w:lineRule="auto"/>
              <w:jc w:val="left"/>
              <w:rPr>
                <w:rFonts w:eastAsia="Times New Roman" w:cs="Arial"/>
                <w:b/>
                <w:color w:val="000000"/>
                <w:szCs w:val="24"/>
              </w:rPr>
            </w:pPr>
            <w:r w:rsidRPr="00DD559A">
              <w:rPr>
                <w:rFonts w:eastAsia="Times New Roman" w:cs="Arial"/>
                <w:b/>
                <w:color w:val="000000"/>
                <w:szCs w:val="24"/>
              </w:rPr>
              <w:t>LIABILITIES</w:t>
            </w:r>
          </w:p>
        </w:tc>
        <w:tc>
          <w:tcPr>
            <w:tcW w:w="2226" w:type="dxa"/>
            <w:tcBorders>
              <w:top w:val="nil"/>
              <w:left w:val="nil"/>
              <w:bottom w:val="single" w:sz="4" w:space="0" w:color="auto"/>
              <w:right w:val="single" w:sz="4" w:space="0" w:color="auto"/>
            </w:tcBorders>
            <w:shd w:val="clear" w:color="auto" w:fill="auto"/>
            <w:noWrap/>
            <w:vAlign w:val="bottom"/>
            <w:hideMark/>
          </w:tcPr>
          <w:p w14:paraId="6B63608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8F"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8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Non-current liabilities</w:t>
            </w:r>
          </w:p>
        </w:tc>
        <w:tc>
          <w:tcPr>
            <w:tcW w:w="2226" w:type="dxa"/>
            <w:tcBorders>
              <w:top w:val="nil"/>
              <w:left w:val="nil"/>
              <w:bottom w:val="single" w:sz="4" w:space="0" w:color="auto"/>
              <w:right w:val="single" w:sz="4" w:space="0" w:color="auto"/>
            </w:tcBorders>
            <w:shd w:val="clear" w:color="auto" w:fill="auto"/>
            <w:noWrap/>
            <w:vAlign w:val="bottom"/>
            <w:hideMark/>
          </w:tcPr>
          <w:p w14:paraId="6B63608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92"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90"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226" w:type="dxa"/>
            <w:tcBorders>
              <w:top w:val="nil"/>
              <w:left w:val="nil"/>
              <w:bottom w:val="single" w:sz="4" w:space="0" w:color="auto"/>
              <w:right w:val="single" w:sz="4" w:space="0" w:color="auto"/>
            </w:tcBorders>
            <w:shd w:val="clear" w:color="auto" w:fill="auto"/>
            <w:noWrap/>
            <w:vAlign w:val="bottom"/>
            <w:hideMark/>
          </w:tcPr>
          <w:p w14:paraId="6B636091"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95"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93"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Current Liabilities</w:t>
            </w:r>
          </w:p>
        </w:tc>
        <w:tc>
          <w:tcPr>
            <w:tcW w:w="2226" w:type="dxa"/>
            <w:tcBorders>
              <w:top w:val="nil"/>
              <w:left w:val="nil"/>
              <w:bottom w:val="single" w:sz="4" w:space="0" w:color="auto"/>
              <w:right w:val="single" w:sz="4" w:space="0" w:color="auto"/>
            </w:tcBorders>
            <w:shd w:val="clear" w:color="auto" w:fill="auto"/>
            <w:noWrap/>
            <w:vAlign w:val="bottom"/>
            <w:hideMark/>
          </w:tcPr>
          <w:p w14:paraId="6B636094"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98"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96"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Trade Creditor</w:t>
            </w:r>
          </w:p>
        </w:tc>
        <w:tc>
          <w:tcPr>
            <w:tcW w:w="2226" w:type="dxa"/>
            <w:tcBorders>
              <w:top w:val="nil"/>
              <w:left w:val="nil"/>
              <w:bottom w:val="single" w:sz="4" w:space="0" w:color="auto"/>
              <w:right w:val="single" w:sz="4" w:space="0" w:color="auto"/>
            </w:tcBorders>
            <w:shd w:val="clear" w:color="auto" w:fill="auto"/>
            <w:noWrap/>
            <w:vAlign w:val="bottom"/>
            <w:hideMark/>
          </w:tcPr>
          <w:p w14:paraId="6B636097"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171355</w:t>
            </w:r>
          </w:p>
        </w:tc>
      </w:tr>
      <w:tr w:rsidR="00DD559A" w:rsidRPr="00DD559A" w14:paraId="6B63609B"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99"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Accrual expenses - Sales commission</w:t>
            </w:r>
          </w:p>
        </w:tc>
        <w:tc>
          <w:tcPr>
            <w:tcW w:w="2226" w:type="dxa"/>
            <w:tcBorders>
              <w:top w:val="nil"/>
              <w:left w:val="nil"/>
              <w:bottom w:val="single" w:sz="4" w:space="0" w:color="auto"/>
              <w:right w:val="single" w:sz="4" w:space="0" w:color="auto"/>
            </w:tcBorders>
            <w:shd w:val="clear" w:color="auto" w:fill="auto"/>
            <w:noWrap/>
            <w:vAlign w:val="bottom"/>
            <w:hideMark/>
          </w:tcPr>
          <w:p w14:paraId="6B63609A"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3000</w:t>
            </w:r>
          </w:p>
        </w:tc>
      </w:tr>
      <w:tr w:rsidR="00DD559A" w:rsidRPr="00DD559A" w14:paraId="6B63609E"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9C"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226" w:type="dxa"/>
            <w:tcBorders>
              <w:top w:val="nil"/>
              <w:left w:val="nil"/>
              <w:bottom w:val="single" w:sz="4" w:space="0" w:color="auto"/>
              <w:right w:val="single" w:sz="4" w:space="0" w:color="auto"/>
            </w:tcBorders>
            <w:shd w:val="clear" w:color="auto" w:fill="auto"/>
            <w:noWrap/>
            <w:vAlign w:val="bottom"/>
            <w:hideMark/>
          </w:tcPr>
          <w:p w14:paraId="6B63609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A1"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9F"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Total Liabilities</w:t>
            </w:r>
          </w:p>
        </w:tc>
        <w:tc>
          <w:tcPr>
            <w:tcW w:w="2226" w:type="dxa"/>
            <w:tcBorders>
              <w:top w:val="nil"/>
              <w:left w:val="nil"/>
              <w:bottom w:val="single" w:sz="4" w:space="0" w:color="auto"/>
              <w:right w:val="single" w:sz="4" w:space="0" w:color="auto"/>
            </w:tcBorders>
            <w:shd w:val="clear" w:color="auto" w:fill="auto"/>
            <w:noWrap/>
            <w:vAlign w:val="bottom"/>
            <w:hideMark/>
          </w:tcPr>
          <w:p w14:paraId="6B6360A0"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174355</w:t>
            </w:r>
          </w:p>
        </w:tc>
      </w:tr>
      <w:tr w:rsidR="00DD559A" w:rsidRPr="00DD559A" w14:paraId="6B6360A4"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A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226" w:type="dxa"/>
            <w:tcBorders>
              <w:top w:val="nil"/>
              <w:left w:val="nil"/>
              <w:bottom w:val="single" w:sz="4" w:space="0" w:color="auto"/>
              <w:right w:val="single" w:sz="4" w:space="0" w:color="auto"/>
            </w:tcBorders>
            <w:shd w:val="clear" w:color="auto" w:fill="auto"/>
            <w:noWrap/>
            <w:vAlign w:val="bottom"/>
            <w:hideMark/>
          </w:tcPr>
          <w:p w14:paraId="6B6360A3"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A7"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A5"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Equity</w:t>
            </w:r>
          </w:p>
        </w:tc>
        <w:tc>
          <w:tcPr>
            <w:tcW w:w="2226" w:type="dxa"/>
            <w:tcBorders>
              <w:top w:val="nil"/>
              <w:left w:val="nil"/>
              <w:bottom w:val="single" w:sz="4" w:space="0" w:color="auto"/>
              <w:right w:val="single" w:sz="4" w:space="0" w:color="auto"/>
            </w:tcBorders>
            <w:shd w:val="clear" w:color="auto" w:fill="auto"/>
            <w:noWrap/>
            <w:vAlign w:val="bottom"/>
            <w:hideMark/>
          </w:tcPr>
          <w:p w14:paraId="6B6360A6"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AA"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A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Ordinary share capital</w:t>
            </w:r>
          </w:p>
        </w:tc>
        <w:tc>
          <w:tcPr>
            <w:tcW w:w="2226" w:type="dxa"/>
            <w:tcBorders>
              <w:top w:val="nil"/>
              <w:left w:val="nil"/>
              <w:bottom w:val="single" w:sz="4" w:space="0" w:color="auto"/>
              <w:right w:val="single" w:sz="4" w:space="0" w:color="auto"/>
            </w:tcBorders>
            <w:shd w:val="clear" w:color="auto" w:fill="auto"/>
            <w:noWrap/>
            <w:vAlign w:val="bottom"/>
            <w:hideMark/>
          </w:tcPr>
          <w:p w14:paraId="6B6360A9"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310000</w:t>
            </w:r>
          </w:p>
        </w:tc>
      </w:tr>
      <w:tr w:rsidR="00DD559A" w:rsidRPr="00DD559A" w14:paraId="6B6360AD"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A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10% Preference share</w:t>
            </w:r>
          </w:p>
        </w:tc>
        <w:tc>
          <w:tcPr>
            <w:tcW w:w="2226" w:type="dxa"/>
            <w:tcBorders>
              <w:top w:val="nil"/>
              <w:left w:val="nil"/>
              <w:bottom w:val="single" w:sz="4" w:space="0" w:color="auto"/>
              <w:right w:val="single" w:sz="4" w:space="0" w:color="auto"/>
            </w:tcBorders>
            <w:shd w:val="clear" w:color="auto" w:fill="auto"/>
            <w:noWrap/>
            <w:vAlign w:val="bottom"/>
            <w:hideMark/>
          </w:tcPr>
          <w:p w14:paraId="6B6360AC"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300000</w:t>
            </w:r>
          </w:p>
        </w:tc>
      </w:tr>
      <w:tr w:rsidR="00DD559A" w:rsidRPr="00DD559A" w14:paraId="6B6360B0"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A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4% debenture</w:t>
            </w:r>
          </w:p>
        </w:tc>
        <w:tc>
          <w:tcPr>
            <w:tcW w:w="2226" w:type="dxa"/>
            <w:tcBorders>
              <w:top w:val="nil"/>
              <w:left w:val="nil"/>
              <w:bottom w:val="single" w:sz="4" w:space="0" w:color="auto"/>
              <w:right w:val="single" w:sz="4" w:space="0" w:color="auto"/>
            </w:tcBorders>
            <w:shd w:val="clear" w:color="auto" w:fill="auto"/>
            <w:noWrap/>
            <w:vAlign w:val="bottom"/>
            <w:hideMark/>
          </w:tcPr>
          <w:p w14:paraId="6B6360AF"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100000</w:t>
            </w:r>
          </w:p>
        </w:tc>
      </w:tr>
      <w:tr w:rsidR="00DD559A" w:rsidRPr="00DD559A" w14:paraId="6B6360B3"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B1"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Opening Balance of Retained earnings</w:t>
            </w:r>
          </w:p>
        </w:tc>
        <w:tc>
          <w:tcPr>
            <w:tcW w:w="2226" w:type="dxa"/>
            <w:tcBorders>
              <w:top w:val="nil"/>
              <w:left w:val="nil"/>
              <w:bottom w:val="single" w:sz="4" w:space="0" w:color="auto"/>
              <w:right w:val="single" w:sz="4" w:space="0" w:color="auto"/>
            </w:tcBorders>
            <w:shd w:val="clear" w:color="auto" w:fill="auto"/>
            <w:noWrap/>
            <w:vAlign w:val="bottom"/>
            <w:hideMark/>
          </w:tcPr>
          <w:p w14:paraId="6B6360B2"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132000</w:t>
            </w:r>
          </w:p>
        </w:tc>
      </w:tr>
      <w:tr w:rsidR="00DD559A" w:rsidRPr="00DD559A" w14:paraId="6B6360B6"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B4"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Net Earnings</w:t>
            </w:r>
          </w:p>
        </w:tc>
        <w:tc>
          <w:tcPr>
            <w:tcW w:w="2226" w:type="dxa"/>
            <w:tcBorders>
              <w:top w:val="nil"/>
              <w:left w:val="nil"/>
              <w:bottom w:val="single" w:sz="4" w:space="0" w:color="auto"/>
              <w:right w:val="single" w:sz="4" w:space="0" w:color="auto"/>
            </w:tcBorders>
            <w:shd w:val="clear" w:color="auto" w:fill="auto"/>
            <w:noWrap/>
            <w:vAlign w:val="bottom"/>
            <w:hideMark/>
          </w:tcPr>
          <w:p w14:paraId="6B6360B5"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115000</w:t>
            </w:r>
          </w:p>
        </w:tc>
      </w:tr>
      <w:tr w:rsidR="00DD559A" w:rsidRPr="00DD559A" w14:paraId="6B6360B9"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B7"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Ordinary dividend paid</w:t>
            </w:r>
          </w:p>
        </w:tc>
        <w:tc>
          <w:tcPr>
            <w:tcW w:w="2226" w:type="dxa"/>
            <w:tcBorders>
              <w:top w:val="nil"/>
              <w:left w:val="nil"/>
              <w:bottom w:val="single" w:sz="4" w:space="0" w:color="auto"/>
              <w:right w:val="single" w:sz="4" w:space="0" w:color="auto"/>
            </w:tcBorders>
            <w:shd w:val="clear" w:color="auto" w:fill="auto"/>
            <w:noWrap/>
            <w:vAlign w:val="bottom"/>
            <w:hideMark/>
          </w:tcPr>
          <w:p w14:paraId="6B6360B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(20,000)</w:t>
            </w:r>
          </w:p>
        </w:tc>
      </w:tr>
      <w:tr w:rsidR="00DD559A" w:rsidRPr="00DD559A" w14:paraId="6B6360BC"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BA"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Preference dividend paid</w:t>
            </w:r>
          </w:p>
        </w:tc>
        <w:tc>
          <w:tcPr>
            <w:tcW w:w="2226" w:type="dxa"/>
            <w:tcBorders>
              <w:top w:val="nil"/>
              <w:left w:val="nil"/>
              <w:bottom w:val="single" w:sz="4" w:space="0" w:color="auto"/>
              <w:right w:val="single" w:sz="4" w:space="0" w:color="auto"/>
            </w:tcBorders>
            <w:shd w:val="clear" w:color="auto" w:fill="auto"/>
            <w:noWrap/>
            <w:vAlign w:val="bottom"/>
            <w:hideMark/>
          </w:tcPr>
          <w:p w14:paraId="6B6360B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(30,000)</w:t>
            </w:r>
          </w:p>
        </w:tc>
      </w:tr>
      <w:tr w:rsidR="00DD559A" w:rsidRPr="00DD559A" w14:paraId="6B6360BF" w14:textId="77777777" w:rsidTr="00DD559A">
        <w:trPr>
          <w:trHeight w:val="280"/>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B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226" w:type="dxa"/>
            <w:tcBorders>
              <w:top w:val="nil"/>
              <w:left w:val="nil"/>
              <w:bottom w:val="single" w:sz="4" w:space="0" w:color="auto"/>
              <w:right w:val="single" w:sz="4" w:space="0" w:color="auto"/>
            </w:tcBorders>
            <w:shd w:val="clear" w:color="auto" w:fill="auto"/>
            <w:noWrap/>
            <w:vAlign w:val="bottom"/>
            <w:hideMark/>
          </w:tcPr>
          <w:p w14:paraId="6B6360B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C2" w14:textId="77777777" w:rsidTr="00DD559A">
        <w:trPr>
          <w:trHeight w:val="294"/>
        </w:trPr>
        <w:tc>
          <w:tcPr>
            <w:tcW w:w="6644" w:type="dxa"/>
            <w:tcBorders>
              <w:top w:val="nil"/>
              <w:left w:val="single" w:sz="4" w:space="0" w:color="auto"/>
              <w:bottom w:val="single" w:sz="4" w:space="0" w:color="auto"/>
              <w:right w:val="single" w:sz="4" w:space="0" w:color="auto"/>
            </w:tcBorders>
            <w:shd w:val="clear" w:color="auto" w:fill="auto"/>
            <w:noWrap/>
            <w:vAlign w:val="bottom"/>
            <w:hideMark/>
          </w:tcPr>
          <w:p w14:paraId="6B6360C0"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Total Equity balance</w:t>
            </w:r>
          </w:p>
        </w:tc>
        <w:tc>
          <w:tcPr>
            <w:tcW w:w="2226" w:type="dxa"/>
            <w:tcBorders>
              <w:top w:val="nil"/>
              <w:left w:val="nil"/>
              <w:bottom w:val="single" w:sz="4" w:space="0" w:color="auto"/>
              <w:right w:val="single" w:sz="4" w:space="0" w:color="auto"/>
            </w:tcBorders>
            <w:shd w:val="clear" w:color="auto" w:fill="auto"/>
            <w:noWrap/>
            <w:vAlign w:val="bottom"/>
            <w:hideMark/>
          </w:tcPr>
          <w:p w14:paraId="6B6360C1" w14:textId="77777777" w:rsidR="00DD559A" w:rsidRPr="00DD559A" w:rsidRDefault="00DD559A" w:rsidP="00DD559A">
            <w:pPr>
              <w:spacing w:after="0" w:line="240" w:lineRule="auto"/>
              <w:jc w:val="right"/>
              <w:rPr>
                <w:rFonts w:eastAsia="Times New Roman" w:cs="Arial"/>
                <w:b/>
                <w:bCs/>
                <w:color w:val="000000"/>
                <w:szCs w:val="24"/>
              </w:rPr>
            </w:pPr>
            <w:r w:rsidRPr="00DD559A">
              <w:rPr>
                <w:rFonts w:eastAsia="Times New Roman" w:cs="Arial"/>
                <w:b/>
                <w:bCs/>
                <w:color w:val="000000"/>
                <w:szCs w:val="24"/>
              </w:rPr>
              <w:t>1081355</w:t>
            </w:r>
          </w:p>
        </w:tc>
      </w:tr>
    </w:tbl>
    <w:p w14:paraId="6B6360C3" w14:textId="77777777" w:rsidR="00DD559A" w:rsidRDefault="00DD559A" w:rsidP="009466DA"/>
    <w:p w14:paraId="6B6360C4" w14:textId="77777777" w:rsidR="00442006" w:rsidRDefault="008906AF" w:rsidP="009466DA">
      <w:r>
        <w:t xml:space="preserve">Based on the financial statement of the </w:t>
      </w:r>
      <w:proofErr w:type="spellStart"/>
      <w:r>
        <w:t>Kedison</w:t>
      </w:r>
      <w:proofErr w:type="spellEnd"/>
      <w:r>
        <w:t xml:space="preserve"> Plc </w:t>
      </w:r>
      <w:proofErr w:type="gramStart"/>
      <w:r>
        <w:t>it can be seen that Total</w:t>
      </w:r>
      <w:proofErr w:type="gramEnd"/>
      <w:r>
        <w:t xml:space="preserve"> assets of the business is </w:t>
      </w:r>
      <w:r>
        <w:rPr>
          <w:rFonts w:ascii="Sylfaen" w:hAnsi="Sylfaen"/>
        </w:rPr>
        <w:t>£</w:t>
      </w:r>
      <w:r>
        <w:t xml:space="preserve">1,147,335. </w:t>
      </w:r>
      <w:r w:rsidR="00836FE8">
        <w:t xml:space="preserve">Financial statement of the company indicates that the liquidity of the business is effective which allow the firm to </w:t>
      </w:r>
      <w:r w:rsidR="00231FB7">
        <w:t xml:space="preserve">meet its </w:t>
      </w:r>
      <w:proofErr w:type="gramStart"/>
      <w:r w:rsidR="00231FB7">
        <w:t>short term</w:t>
      </w:r>
      <w:proofErr w:type="gramEnd"/>
      <w:r w:rsidR="00231FB7">
        <w:t xml:space="preserve"> obligation more effectively. Financial statement has also </w:t>
      </w:r>
      <w:proofErr w:type="gramStart"/>
      <w:r w:rsidR="00231FB7">
        <w:t>shows</w:t>
      </w:r>
      <w:proofErr w:type="gramEnd"/>
      <w:r w:rsidR="00231FB7">
        <w:t xml:space="preserve"> the efficiency of the firm which is </w:t>
      </w:r>
      <w:r w:rsidR="00231FB7">
        <w:lastRenderedPageBreak/>
        <w:t xml:space="preserve">beneficial for the development of the business. Statement of changes in equity and debt of the business has also measured in the financial statement of </w:t>
      </w:r>
      <w:proofErr w:type="spellStart"/>
      <w:r w:rsidR="00231FB7">
        <w:t>Kedison</w:t>
      </w:r>
      <w:proofErr w:type="spellEnd"/>
      <w:r w:rsidR="00231FB7">
        <w:t xml:space="preserve"> Plc effectively. </w:t>
      </w:r>
    </w:p>
    <w:p w14:paraId="6B6360C5" w14:textId="77777777" w:rsidR="00231FB7" w:rsidRPr="009466DA" w:rsidRDefault="00231FB7" w:rsidP="009466DA">
      <w:r>
        <w:t xml:space="preserve">(b) Financial statement has been prepared for </w:t>
      </w:r>
      <w:proofErr w:type="spellStart"/>
      <w:r>
        <w:t>Kedison</w:t>
      </w:r>
      <w:proofErr w:type="spellEnd"/>
      <w:r>
        <w:t xml:space="preserve"> Plc to show the net worth of the business at given time and provides the financial position of the firm to the interest parties such as stakeholders. Investors are taking their decision by analyzing the financial transaction in the financial statement over the years. Financial capabilities of the business can be identified by measuring the valuation of the assets and measurement of equity</w:t>
      </w:r>
      <w:r w:rsidR="00592393">
        <w:t xml:space="preserve"> (</w:t>
      </w:r>
      <w:r w:rsidR="00592393" w:rsidRPr="0053075D">
        <w:t>Ives</w:t>
      </w:r>
      <w:r w:rsidR="00592393">
        <w:t>, 2020)</w:t>
      </w:r>
      <w:r>
        <w:t xml:space="preserve">. Statement of financial position has the balance because of non-recorded financial changes. In the case study analyses it has been identified that </w:t>
      </w:r>
      <w:proofErr w:type="gramStart"/>
      <w:r w:rsidR="008844BC">
        <w:t>Customers</w:t>
      </w:r>
      <w:proofErr w:type="gramEnd"/>
      <w:r w:rsidR="008844BC">
        <w:t xml:space="preserve"> payment has not been recorded under accounting ledger account. </w:t>
      </w:r>
    </w:p>
    <w:p w14:paraId="6B6360C6" w14:textId="77777777" w:rsidR="009466DA" w:rsidRDefault="009466DA" w:rsidP="009466DA">
      <w:pPr>
        <w:pStyle w:val="berschrift1"/>
      </w:pPr>
      <w:bookmarkStart w:id="1" w:name="_Toc80932597"/>
      <w:r>
        <w:t>Question 2</w:t>
      </w:r>
      <w:bookmarkEnd w:id="1"/>
    </w:p>
    <w:p w14:paraId="6B6360C7" w14:textId="77777777" w:rsidR="009466DA" w:rsidRDefault="00D020A9" w:rsidP="009466DA">
      <w:r>
        <w:t xml:space="preserve">(a) Ratio analyses </w:t>
      </w:r>
      <w:r w:rsidR="00592393">
        <w:t>are</w:t>
      </w:r>
      <w:r>
        <w:t xml:space="preserve"> the financial </w:t>
      </w:r>
      <w:r w:rsidR="00592393">
        <w:t>measurement that helps</w:t>
      </w:r>
      <w:r w:rsidR="008844BC">
        <w:t xml:space="preserve"> to recognize the historical trends of the business</w:t>
      </w:r>
      <w:r w:rsidR="00592393">
        <w:t xml:space="preserve"> (</w:t>
      </w:r>
      <w:proofErr w:type="spellStart"/>
      <w:r w:rsidR="00592393" w:rsidRPr="0053075D">
        <w:t>Supriyanto</w:t>
      </w:r>
      <w:proofErr w:type="spellEnd"/>
      <w:r w:rsidR="00592393">
        <w:t xml:space="preserve"> </w:t>
      </w:r>
      <w:r w:rsidR="00592393" w:rsidRPr="0053075D">
        <w:t xml:space="preserve">and </w:t>
      </w:r>
      <w:proofErr w:type="spellStart"/>
      <w:r w:rsidR="00592393" w:rsidRPr="0053075D">
        <w:t>Darmawan</w:t>
      </w:r>
      <w:proofErr w:type="spellEnd"/>
      <w:r w:rsidR="00592393">
        <w:t>, 2018)</w:t>
      </w:r>
      <w:r w:rsidR="008844BC">
        <w:t xml:space="preserve">. </w:t>
      </w:r>
      <w:r w:rsidR="00A57657">
        <w:t xml:space="preserve">Financial stability of the organization can be identified through using ratio analyses for the business. Ratio analyses has also used for measuring the financial performance of the firm effectively. Profitability, efficiency, risk factors and liquidity of the business can be </w:t>
      </w:r>
      <w:r w:rsidR="00AA33DF">
        <w:t>determined</w:t>
      </w:r>
      <w:r w:rsidR="00A57657">
        <w:t xml:space="preserve"> through the utilization of the ratio analyses. </w:t>
      </w:r>
      <w:r w:rsidR="00AA33DF">
        <w:t xml:space="preserve">Ratio analyses are important measurement tool that can be used for the identification historical trends of the business that leads towards the performance measurement. For the profitability analyses ROCE and Net Profit margin ratio has been used. ROE, Stock Holding days and Debtors Collection period has been used for the identification of operational efficiency of the firm. For liquidity analyses, current ratio has used for </w:t>
      </w:r>
      <w:proofErr w:type="spellStart"/>
      <w:r w:rsidR="00AA33DF">
        <w:t>Cocco</w:t>
      </w:r>
      <w:proofErr w:type="spellEnd"/>
      <w:r w:rsidR="00AA33DF">
        <w:t xml:space="preserve"> Plc. On the other hand, gearing ratio and invertor cover has been used as the Risk measurement ratio in this section. </w:t>
      </w:r>
    </w:p>
    <w:tbl>
      <w:tblPr>
        <w:tblW w:w="5000" w:type="pct"/>
        <w:tblLayout w:type="fixed"/>
        <w:tblLook w:val="04A0" w:firstRow="1" w:lastRow="0" w:firstColumn="1" w:lastColumn="0" w:noHBand="0" w:noVBand="1"/>
      </w:tblPr>
      <w:tblGrid>
        <w:gridCol w:w="3184"/>
        <w:gridCol w:w="3865"/>
        <w:gridCol w:w="1229"/>
        <w:gridCol w:w="1072"/>
      </w:tblGrid>
      <w:tr w:rsidR="00DD559A" w:rsidRPr="00DD559A" w14:paraId="6B6360CC" w14:textId="77777777" w:rsidTr="00DD559A">
        <w:trPr>
          <w:trHeight w:val="315"/>
        </w:trPr>
        <w:tc>
          <w:tcPr>
            <w:tcW w:w="17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6360C8" w14:textId="77777777" w:rsidR="00DD559A" w:rsidRPr="00DD559A" w:rsidRDefault="00DD559A" w:rsidP="00DD559A">
            <w:pPr>
              <w:spacing w:after="0" w:line="240" w:lineRule="auto"/>
              <w:jc w:val="left"/>
              <w:rPr>
                <w:rFonts w:eastAsia="Times New Roman" w:cs="Arial"/>
                <w:b/>
                <w:bCs/>
                <w:color w:val="000000"/>
                <w:szCs w:val="24"/>
                <w:u w:val="single"/>
              </w:rPr>
            </w:pPr>
            <w:r w:rsidRPr="00DD559A">
              <w:rPr>
                <w:rFonts w:eastAsia="Times New Roman" w:cs="Arial"/>
                <w:b/>
                <w:bCs/>
                <w:color w:val="000000"/>
                <w:szCs w:val="24"/>
                <w:u w:val="single"/>
              </w:rPr>
              <w:t xml:space="preserve">Ratio Analyses </w:t>
            </w:r>
            <w:proofErr w:type="spellStart"/>
            <w:r w:rsidRPr="00DD559A">
              <w:rPr>
                <w:rFonts w:eastAsia="Times New Roman" w:cs="Arial"/>
                <w:b/>
                <w:bCs/>
                <w:color w:val="000000"/>
                <w:szCs w:val="24"/>
                <w:u w:val="single"/>
              </w:rPr>
              <w:t>Cocco</w:t>
            </w:r>
            <w:proofErr w:type="spellEnd"/>
            <w:r w:rsidRPr="00DD559A">
              <w:rPr>
                <w:rFonts w:eastAsia="Times New Roman" w:cs="Arial"/>
                <w:b/>
                <w:bCs/>
                <w:color w:val="000000"/>
                <w:szCs w:val="24"/>
                <w:u w:val="single"/>
              </w:rPr>
              <w:t xml:space="preserve"> Plc</w:t>
            </w:r>
          </w:p>
        </w:tc>
        <w:tc>
          <w:tcPr>
            <w:tcW w:w="2067" w:type="pct"/>
            <w:tcBorders>
              <w:top w:val="single" w:sz="4" w:space="0" w:color="auto"/>
              <w:left w:val="nil"/>
              <w:bottom w:val="single" w:sz="4" w:space="0" w:color="auto"/>
              <w:right w:val="single" w:sz="4" w:space="0" w:color="auto"/>
            </w:tcBorders>
            <w:shd w:val="clear" w:color="auto" w:fill="auto"/>
            <w:noWrap/>
            <w:vAlign w:val="bottom"/>
            <w:hideMark/>
          </w:tcPr>
          <w:p w14:paraId="6B6360C9"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6B6360CA"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single" w:sz="4" w:space="0" w:color="auto"/>
              <w:left w:val="nil"/>
              <w:bottom w:val="single" w:sz="4" w:space="0" w:color="auto"/>
              <w:right w:val="single" w:sz="4" w:space="0" w:color="auto"/>
            </w:tcBorders>
            <w:shd w:val="clear" w:color="auto" w:fill="auto"/>
            <w:noWrap/>
            <w:vAlign w:val="bottom"/>
            <w:hideMark/>
          </w:tcPr>
          <w:p w14:paraId="6B6360C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D1"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C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0C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0CF"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0D0"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D6" w14:textId="77777777" w:rsidTr="00DD559A">
        <w:trPr>
          <w:trHeight w:val="315"/>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D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0D3" w14:textId="77777777" w:rsidR="00DD559A" w:rsidRPr="00DD559A" w:rsidRDefault="00DD559A" w:rsidP="00DD559A">
            <w:pPr>
              <w:spacing w:after="0" w:line="240" w:lineRule="auto"/>
              <w:jc w:val="left"/>
              <w:rPr>
                <w:rFonts w:eastAsia="Times New Roman" w:cs="Arial"/>
                <w:b/>
                <w:bCs/>
                <w:color w:val="000000"/>
                <w:szCs w:val="24"/>
                <w:u w:val="single"/>
              </w:rPr>
            </w:pPr>
            <w:r w:rsidRPr="00DD559A">
              <w:rPr>
                <w:rFonts w:eastAsia="Times New Roman" w:cs="Arial"/>
                <w:b/>
                <w:bCs/>
                <w:color w:val="000000"/>
                <w:szCs w:val="24"/>
                <w:u w:val="single"/>
              </w:rPr>
              <w:t>Formula</w:t>
            </w:r>
          </w:p>
        </w:tc>
        <w:tc>
          <w:tcPr>
            <w:tcW w:w="657" w:type="pct"/>
            <w:tcBorders>
              <w:top w:val="nil"/>
              <w:left w:val="nil"/>
              <w:bottom w:val="single" w:sz="4" w:space="0" w:color="auto"/>
              <w:right w:val="single" w:sz="4" w:space="0" w:color="auto"/>
            </w:tcBorders>
            <w:shd w:val="clear" w:color="auto" w:fill="auto"/>
            <w:noWrap/>
            <w:vAlign w:val="bottom"/>
            <w:hideMark/>
          </w:tcPr>
          <w:p w14:paraId="6B6360D4" w14:textId="77777777" w:rsidR="00DD559A" w:rsidRPr="00DD559A" w:rsidRDefault="00DD559A" w:rsidP="00DD559A">
            <w:pPr>
              <w:spacing w:after="0" w:line="240" w:lineRule="auto"/>
              <w:jc w:val="right"/>
              <w:rPr>
                <w:rFonts w:eastAsia="Times New Roman" w:cs="Arial"/>
                <w:b/>
                <w:bCs/>
                <w:color w:val="000000"/>
                <w:szCs w:val="24"/>
              </w:rPr>
            </w:pPr>
            <w:r w:rsidRPr="00DD559A">
              <w:rPr>
                <w:rFonts w:eastAsia="Times New Roman" w:cs="Arial"/>
                <w:b/>
                <w:bCs/>
                <w:color w:val="000000"/>
                <w:szCs w:val="24"/>
              </w:rPr>
              <w:t>2020</w:t>
            </w:r>
          </w:p>
        </w:tc>
        <w:tc>
          <w:tcPr>
            <w:tcW w:w="573" w:type="pct"/>
            <w:tcBorders>
              <w:top w:val="nil"/>
              <w:left w:val="nil"/>
              <w:bottom w:val="single" w:sz="4" w:space="0" w:color="auto"/>
              <w:right w:val="single" w:sz="4" w:space="0" w:color="auto"/>
            </w:tcBorders>
            <w:shd w:val="clear" w:color="auto" w:fill="auto"/>
            <w:noWrap/>
            <w:vAlign w:val="bottom"/>
            <w:hideMark/>
          </w:tcPr>
          <w:p w14:paraId="6B6360D5" w14:textId="77777777" w:rsidR="00DD559A" w:rsidRPr="00DD559A" w:rsidRDefault="00DD559A" w:rsidP="00DD559A">
            <w:pPr>
              <w:spacing w:after="0" w:line="240" w:lineRule="auto"/>
              <w:jc w:val="right"/>
              <w:rPr>
                <w:rFonts w:eastAsia="Times New Roman" w:cs="Arial"/>
                <w:b/>
                <w:bCs/>
                <w:color w:val="000000"/>
                <w:szCs w:val="24"/>
              </w:rPr>
            </w:pPr>
            <w:r w:rsidRPr="00DD559A">
              <w:rPr>
                <w:rFonts w:eastAsia="Times New Roman" w:cs="Arial"/>
                <w:b/>
                <w:bCs/>
                <w:color w:val="000000"/>
                <w:szCs w:val="24"/>
              </w:rPr>
              <w:t>2019</w:t>
            </w:r>
          </w:p>
        </w:tc>
      </w:tr>
      <w:tr w:rsidR="00DD559A" w:rsidRPr="00DD559A" w14:paraId="6B6360DB" w14:textId="77777777" w:rsidTr="00DD559A">
        <w:trPr>
          <w:trHeight w:val="315"/>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D7"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0D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0D9"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0DA"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E0"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DC"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Return on Capital Employed (ROCE)</w:t>
            </w:r>
          </w:p>
        </w:tc>
        <w:tc>
          <w:tcPr>
            <w:tcW w:w="2067" w:type="pct"/>
            <w:tcBorders>
              <w:top w:val="nil"/>
              <w:left w:val="nil"/>
              <w:bottom w:val="single" w:sz="4" w:space="0" w:color="auto"/>
              <w:right w:val="single" w:sz="4" w:space="0" w:color="auto"/>
            </w:tcBorders>
            <w:shd w:val="clear" w:color="auto" w:fill="auto"/>
            <w:noWrap/>
            <w:vAlign w:val="bottom"/>
            <w:hideMark/>
          </w:tcPr>
          <w:p w14:paraId="6B6360D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EBIT / Capital Employed</w:t>
            </w:r>
          </w:p>
        </w:tc>
        <w:tc>
          <w:tcPr>
            <w:tcW w:w="657" w:type="pct"/>
            <w:tcBorders>
              <w:top w:val="nil"/>
              <w:left w:val="nil"/>
              <w:bottom w:val="single" w:sz="4" w:space="0" w:color="auto"/>
              <w:right w:val="single" w:sz="4" w:space="0" w:color="auto"/>
            </w:tcBorders>
            <w:shd w:val="clear" w:color="auto" w:fill="auto"/>
            <w:noWrap/>
            <w:vAlign w:val="bottom"/>
            <w:hideMark/>
          </w:tcPr>
          <w:p w14:paraId="6B6360DE"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11.14%</w:t>
            </w:r>
          </w:p>
        </w:tc>
        <w:tc>
          <w:tcPr>
            <w:tcW w:w="573" w:type="pct"/>
            <w:tcBorders>
              <w:top w:val="nil"/>
              <w:left w:val="nil"/>
              <w:bottom w:val="single" w:sz="4" w:space="0" w:color="auto"/>
              <w:right w:val="single" w:sz="4" w:space="0" w:color="auto"/>
            </w:tcBorders>
            <w:shd w:val="clear" w:color="auto" w:fill="auto"/>
            <w:noWrap/>
            <w:vAlign w:val="bottom"/>
            <w:hideMark/>
          </w:tcPr>
          <w:p w14:paraId="6B6360DF"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9.93%</w:t>
            </w:r>
          </w:p>
        </w:tc>
      </w:tr>
      <w:tr w:rsidR="00DD559A" w:rsidRPr="00DD559A" w14:paraId="6B6360E5"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E1"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lastRenderedPageBreak/>
              <w:t> </w:t>
            </w:r>
          </w:p>
        </w:tc>
        <w:tc>
          <w:tcPr>
            <w:tcW w:w="2067" w:type="pct"/>
            <w:tcBorders>
              <w:top w:val="nil"/>
              <w:left w:val="nil"/>
              <w:bottom w:val="single" w:sz="4" w:space="0" w:color="auto"/>
              <w:right w:val="single" w:sz="4" w:space="0" w:color="auto"/>
            </w:tcBorders>
            <w:shd w:val="clear" w:color="auto" w:fill="auto"/>
            <w:noWrap/>
            <w:vAlign w:val="bottom"/>
            <w:hideMark/>
          </w:tcPr>
          <w:p w14:paraId="6B6360E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0E3"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0E4"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EA"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E6"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Return on Equity (ROE)</w:t>
            </w:r>
          </w:p>
        </w:tc>
        <w:tc>
          <w:tcPr>
            <w:tcW w:w="2067" w:type="pct"/>
            <w:tcBorders>
              <w:top w:val="nil"/>
              <w:left w:val="nil"/>
              <w:bottom w:val="single" w:sz="4" w:space="0" w:color="auto"/>
              <w:right w:val="single" w:sz="4" w:space="0" w:color="auto"/>
            </w:tcBorders>
            <w:shd w:val="clear" w:color="auto" w:fill="auto"/>
            <w:noWrap/>
            <w:vAlign w:val="bottom"/>
            <w:hideMark/>
          </w:tcPr>
          <w:p w14:paraId="6B6360E7"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Net Income / Shareholders equity</w:t>
            </w:r>
          </w:p>
        </w:tc>
        <w:tc>
          <w:tcPr>
            <w:tcW w:w="657" w:type="pct"/>
            <w:tcBorders>
              <w:top w:val="nil"/>
              <w:left w:val="nil"/>
              <w:bottom w:val="single" w:sz="4" w:space="0" w:color="auto"/>
              <w:right w:val="single" w:sz="4" w:space="0" w:color="auto"/>
            </w:tcBorders>
            <w:shd w:val="clear" w:color="auto" w:fill="auto"/>
            <w:noWrap/>
            <w:vAlign w:val="bottom"/>
            <w:hideMark/>
          </w:tcPr>
          <w:p w14:paraId="6B6360E8"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13.96%</w:t>
            </w:r>
          </w:p>
        </w:tc>
        <w:tc>
          <w:tcPr>
            <w:tcW w:w="573" w:type="pct"/>
            <w:tcBorders>
              <w:top w:val="nil"/>
              <w:left w:val="nil"/>
              <w:bottom w:val="single" w:sz="4" w:space="0" w:color="auto"/>
              <w:right w:val="single" w:sz="4" w:space="0" w:color="auto"/>
            </w:tcBorders>
            <w:shd w:val="clear" w:color="auto" w:fill="auto"/>
            <w:noWrap/>
            <w:vAlign w:val="bottom"/>
            <w:hideMark/>
          </w:tcPr>
          <w:p w14:paraId="6B6360E9"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12.57%</w:t>
            </w:r>
          </w:p>
        </w:tc>
      </w:tr>
      <w:tr w:rsidR="00DD559A" w:rsidRPr="00DD559A" w14:paraId="6B6360EF"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E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0EC"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0E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0E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F4"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F0"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Earnings per share (EPS)</w:t>
            </w:r>
          </w:p>
        </w:tc>
        <w:tc>
          <w:tcPr>
            <w:tcW w:w="2067" w:type="pct"/>
            <w:tcBorders>
              <w:top w:val="nil"/>
              <w:left w:val="nil"/>
              <w:bottom w:val="single" w:sz="4" w:space="0" w:color="auto"/>
              <w:right w:val="single" w:sz="4" w:space="0" w:color="auto"/>
            </w:tcBorders>
            <w:shd w:val="clear" w:color="auto" w:fill="auto"/>
            <w:noWrap/>
            <w:vAlign w:val="bottom"/>
            <w:hideMark/>
          </w:tcPr>
          <w:p w14:paraId="6B6360F1"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Net Earnings / Average Share Outstanding</w:t>
            </w:r>
          </w:p>
        </w:tc>
        <w:tc>
          <w:tcPr>
            <w:tcW w:w="657" w:type="pct"/>
            <w:tcBorders>
              <w:top w:val="nil"/>
              <w:left w:val="nil"/>
              <w:bottom w:val="single" w:sz="4" w:space="0" w:color="auto"/>
              <w:right w:val="single" w:sz="4" w:space="0" w:color="auto"/>
            </w:tcBorders>
            <w:shd w:val="clear" w:color="auto" w:fill="auto"/>
            <w:noWrap/>
            <w:vAlign w:val="bottom"/>
            <w:hideMark/>
          </w:tcPr>
          <w:p w14:paraId="6B6360F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0.72 </w:t>
            </w:r>
          </w:p>
        </w:tc>
        <w:tc>
          <w:tcPr>
            <w:tcW w:w="573" w:type="pct"/>
            <w:tcBorders>
              <w:top w:val="nil"/>
              <w:left w:val="nil"/>
              <w:bottom w:val="single" w:sz="4" w:space="0" w:color="auto"/>
              <w:right w:val="single" w:sz="4" w:space="0" w:color="auto"/>
            </w:tcBorders>
            <w:shd w:val="clear" w:color="auto" w:fill="auto"/>
            <w:noWrap/>
            <w:vAlign w:val="bottom"/>
            <w:hideMark/>
          </w:tcPr>
          <w:p w14:paraId="6B6360F3"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0.61 </w:t>
            </w:r>
          </w:p>
        </w:tc>
      </w:tr>
      <w:tr w:rsidR="00DD559A" w:rsidRPr="00DD559A" w14:paraId="6B6360F9"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F5"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0F6"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0F7"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0F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0FE"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FA"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Net Profit Margin</w:t>
            </w:r>
          </w:p>
        </w:tc>
        <w:tc>
          <w:tcPr>
            <w:tcW w:w="2067" w:type="pct"/>
            <w:tcBorders>
              <w:top w:val="nil"/>
              <w:left w:val="nil"/>
              <w:bottom w:val="single" w:sz="4" w:space="0" w:color="auto"/>
              <w:right w:val="single" w:sz="4" w:space="0" w:color="auto"/>
            </w:tcBorders>
            <w:shd w:val="clear" w:color="auto" w:fill="auto"/>
            <w:noWrap/>
            <w:vAlign w:val="bottom"/>
            <w:hideMark/>
          </w:tcPr>
          <w:p w14:paraId="6B6360F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Net profit / Sales</w:t>
            </w:r>
          </w:p>
        </w:tc>
        <w:tc>
          <w:tcPr>
            <w:tcW w:w="657" w:type="pct"/>
            <w:tcBorders>
              <w:top w:val="nil"/>
              <w:left w:val="nil"/>
              <w:bottom w:val="single" w:sz="4" w:space="0" w:color="auto"/>
              <w:right w:val="single" w:sz="4" w:space="0" w:color="auto"/>
            </w:tcBorders>
            <w:shd w:val="clear" w:color="auto" w:fill="auto"/>
            <w:noWrap/>
            <w:vAlign w:val="bottom"/>
            <w:hideMark/>
          </w:tcPr>
          <w:p w14:paraId="6B6360FC"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6.40%</w:t>
            </w:r>
          </w:p>
        </w:tc>
        <w:tc>
          <w:tcPr>
            <w:tcW w:w="573" w:type="pct"/>
            <w:tcBorders>
              <w:top w:val="nil"/>
              <w:left w:val="nil"/>
              <w:bottom w:val="single" w:sz="4" w:space="0" w:color="auto"/>
              <w:right w:val="single" w:sz="4" w:space="0" w:color="auto"/>
            </w:tcBorders>
            <w:shd w:val="clear" w:color="auto" w:fill="auto"/>
            <w:noWrap/>
            <w:vAlign w:val="bottom"/>
            <w:hideMark/>
          </w:tcPr>
          <w:p w14:paraId="6B6360FD" w14:textId="77777777" w:rsidR="00DD559A" w:rsidRPr="00DD559A" w:rsidRDefault="00DD559A" w:rsidP="00DD559A">
            <w:pPr>
              <w:spacing w:after="0" w:line="240" w:lineRule="auto"/>
              <w:jc w:val="right"/>
              <w:rPr>
                <w:rFonts w:eastAsia="Times New Roman" w:cs="Arial"/>
                <w:color w:val="000000"/>
                <w:szCs w:val="24"/>
              </w:rPr>
            </w:pPr>
            <w:r w:rsidRPr="00DD559A">
              <w:rPr>
                <w:rFonts w:eastAsia="Times New Roman" w:cs="Arial"/>
                <w:color w:val="000000"/>
                <w:szCs w:val="24"/>
              </w:rPr>
              <w:t>5.68%</w:t>
            </w:r>
          </w:p>
        </w:tc>
      </w:tr>
      <w:tr w:rsidR="00DD559A" w:rsidRPr="00DD559A" w14:paraId="6B636103"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0FF"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100"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101"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10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108"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04"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Assets Turnover</w:t>
            </w:r>
          </w:p>
        </w:tc>
        <w:tc>
          <w:tcPr>
            <w:tcW w:w="2067" w:type="pct"/>
            <w:tcBorders>
              <w:top w:val="nil"/>
              <w:left w:val="nil"/>
              <w:bottom w:val="single" w:sz="4" w:space="0" w:color="auto"/>
              <w:right w:val="single" w:sz="4" w:space="0" w:color="auto"/>
            </w:tcBorders>
            <w:shd w:val="clear" w:color="auto" w:fill="auto"/>
            <w:noWrap/>
            <w:vAlign w:val="bottom"/>
            <w:hideMark/>
          </w:tcPr>
          <w:p w14:paraId="6B636105"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Net Sales / Total Assets</w:t>
            </w:r>
          </w:p>
        </w:tc>
        <w:tc>
          <w:tcPr>
            <w:tcW w:w="657" w:type="pct"/>
            <w:tcBorders>
              <w:top w:val="nil"/>
              <w:left w:val="nil"/>
              <w:bottom w:val="single" w:sz="4" w:space="0" w:color="auto"/>
              <w:right w:val="single" w:sz="4" w:space="0" w:color="auto"/>
            </w:tcBorders>
            <w:shd w:val="clear" w:color="auto" w:fill="auto"/>
            <w:noWrap/>
            <w:vAlign w:val="bottom"/>
            <w:hideMark/>
          </w:tcPr>
          <w:p w14:paraId="6B636106"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0.69 </w:t>
            </w:r>
          </w:p>
        </w:tc>
        <w:tc>
          <w:tcPr>
            <w:tcW w:w="573" w:type="pct"/>
            <w:tcBorders>
              <w:top w:val="nil"/>
              <w:left w:val="nil"/>
              <w:bottom w:val="single" w:sz="4" w:space="0" w:color="auto"/>
              <w:right w:val="single" w:sz="4" w:space="0" w:color="auto"/>
            </w:tcBorders>
            <w:shd w:val="clear" w:color="auto" w:fill="auto"/>
            <w:noWrap/>
            <w:vAlign w:val="bottom"/>
            <w:hideMark/>
          </w:tcPr>
          <w:p w14:paraId="6B636107"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0.64 </w:t>
            </w:r>
          </w:p>
        </w:tc>
      </w:tr>
      <w:tr w:rsidR="00DD559A" w:rsidRPr="00DD559A" w14:paraId="6B63610D"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09"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10A"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10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10C"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112"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0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Stock Holding Days</w:t>
            </w:r>
          </w:p>
        </w:tc>
        <w:tc>
          <w:tcPr>
            <w:tcW w:w="2067" w:type="pct"/>
            <w:tcBorders>
              <w:top w:val="nil"/>
              <w:left w:val="nil"/>
              <w:bottom w:val="single" w:sz="4" w:space="0" w:color="auto"/>
              <w:right w:val="single" w:sz="4" w:space="0" w:color="auto"/>
            </w:tcBorders>
            <w:shd w:val="clear" w:color="auto" w:fill="auto"/>
            <w:noWrap/>
            <w:vAlign w:val="bottom"/>
            <w:hideMark/>
          </w:tcPr>
          <w:p w14:paraId="6B63610F"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Inventory / COGS * 365</w:t>
            </w:r>
          </w:p>
        </w:tc>
        <w:tc>
          <w:tcPr>
            <w:tcW w:w="657" w:type="pct"/>
            <w:tcBorders>
              <w:top w:val="nil"/>
              <w:left w:val="nil"/>
              <w:bottom w:val="single" w:sz="4" w:space="0" w:color="auto"/>
              <w:right w:val="single" w:sz="4" w:space="0" w:color="auto"/>
            </w:tcBorders>
            <w:shd w:val="clear" w:color="auto" w:fill="auto"/>
            <w:noWrap/>
            <w:vAlign w:val="bottom"/>
            <w:hideMark/>
          </w:tcPr>
          <w:p w14:paraId="6B636110"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79.88 </w:t>
            </w:r>
          </w:p>
        </w:tc>
        <w:tc>
          <w:tcPr>
            <w:tcW w:w="573" w:type="pct"/>
            <w:tcBorders>
              <w:top w:val="nil"/>
              <w:left w:val="nil"/>
              <w:bottom w:val="single" w:sz="4" w:space="0" w:color="auto"/>
              <w:right w:val="single" w:sz="4" w:space="0" w:color="auto"/>
            </w:tcBorders>
            <w:shd w:val="clear" w:color="auto" w:fill="auto"/>
            <w:noWrap/>
            <w:vAlign w:val="bottom"/>
            <w:hideMark/>
          </w:tcPr>
          <w:p w14:paraId="6B636111"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77.69 </w:t>
            </w:r>
          </w:p>
        </w:tc>
      </w:tr>
      <w:tr w:rsidR="00DD559A" w:rsidRPr="00DD559A" w14:paraId="6B636117"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13"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114"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115"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116"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11C"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1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Debtors Collection Periods</w:t>
            </w:r>
          </w:p>
        </w:tc>
        <w:tc>
          <w:tcPr>
            <w:tcW w:w="2067" w:type="pct"/>
            <w:tcBorders>
              <w:top w:val="nil"/>
              <w:left w:val="nil"/>
              <w:bottom w:val="single" w:sz="4" w:space="0" w:color="auto"/>
              <w:right w:val="single" w:sz="4" w:space="0" w:color="auto"/>
            </w:tcBorders>
            <w:shd w:val="clear" w:color="auto" w:fill="auto"/>
            <w:noWrap/>
            <w:vAlign w:val="bottom"/>
            <w:hideMark/>
          </w:tcPr>
          <w:p w14:paraId="6B636119"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Debtors / Sales Turnover * 365</w:t>
            </w:r>
          </w:p>
        </w:tc>
        <w:tc>
          <w:tcPr>
            <w:tcW w:w="657" w:type="pct"/>
            <w:tcBorders>
              <w:top w:val="nil"/>
              <w:left w:val="nil"/>
              <w:bottom w:val="single" w:sz="4" w:space="0" w:color="auto"/>
              <w:right w:val="single" w:sz="4" w:space="0" w:color="auto"/>
            </w:tcBorders>
            <w:shd w:val="clear" w:color="auto" w:fill="auto"/>
            <w:noWrap/>
            <w:vAlign w:val="bottom"/>
            <w:hideMark/>
          </w:tcPr>
          <w:p w14:paraId="6B63611A"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67.66 </w:t>
            </w:r>
          </w:p>
        </w:tc>
        <w:tc>
          <w:tcPr>
            <w:tcW w:w="573" w:type="pct"/>
            <w:tcBorders>
              <w:top w:val="nil"/>
              <w:left w:val="nil"/>
              <w:bottom w:val="single" w:sz="4" w:space="0" w:color="auto"/>
              <w:right w:val="single" w:sz="4" w:space="0" w:color="auto"/>
            </w:tcBorders>
            <w:shd w:val="clear" w:color="auto" w:fill="auto"/>
            <w:noWrap/>
            <w:vAlign w:val="bottom"/>
            <w:hideMark/>
          </w:tcPr>
          <w:p w14:paraId="6B63611B"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72.93 </w:t>
            </w:r>
          </w:p>
        </w:tc>
      </w:tr>
      <w:tr w:rsidR="00DD559A" w:rsidRPr="00DD559A" w14:paraId="6B636121"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1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11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11F"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120"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126"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2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Current Ratio</w:t>
            </w:r>
          </w:p>
        </w:tc>
        <w:tc>
          <w:tcPr>
            <w:tcW w:w="2067" w:type="pct"/>
            <w:tcBorders>
              <w:top w:val="nil"/>
              <w:left w:val="nil"/>
              <w:bottom w:val="single" w:sz="4" w:space="0" w:color="auto"/>
              <w:right w:val="single" w:sz="4" w:space="0" w:color="auto"/>
            </w:tcBorders>
            <w:shd w:val="clear" w:color="auto" w:fill="auto"/>
            <w:noWrap/>
            <w:vAlign w:val="bottom"/>
            <w:hideMark/>
          </w:tcPr>
          <w:p w14:paraId="6B636123"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Current Assets / Current Liability</w:t>
            </w:r>
          </w:p>
        </w:tc>
        <w:tc>
          <w:tcPr>
            <w:tcW w:w="657" w:type="pct"/>
            <w:tcBorders>
              <w:top w:val="nil"/>
              <w:left w:val="nil"/>
              <w:bottom w:val="single" w:sz="4" w:space="0" w:color="auto"/>
              <w:right w:val="single" w:sz="4" w:space="0" w:color="auto"/>
            </w:tcBorders>
            <w:shd w:val="clear" w:color="auto" w:fill="auto"/>
            <w:noWrap/>
            <w:vAlign w:val="bottom"/>
            <w:hideMark/>
          </w:tcPr>
          <w:p w14:paraId="6B636124"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0.92 </w:t>
            </w:r>
          </w:p>
        </w:tc>
        <w:tc>
          <w:tcPr>
            <w:tcW w:w="573" w:type="pct"/>
            <w:tcBorders>
              <w:top w:val="nil"/>
              <w:left w:val="nil"/>
              <w:bottom w:val="single" w:sz="4" w:space="0" w:color="auto"/>
              <w:right w:val="single" w:sz="4" w:space="0" w:color="auto"/>
            </w:tcBorders>
            <w:shd w:val="clear" w:color="auto" w:fill="auto"/>
            <w:noWrap/>
            <w:vAlign w:val="bottom"/>
            <w:hideMark/>
          </w:tcPr>
          <w:p w14:paraId="6B636125"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0.77 </w:t>
            </w:r>
          </w:p>
        </w:tc>
      </w:tr>
      <w:tr w:rsidR="00DD559A" w:rsidRPr="00DD559A" w14:paraId="6B63612B"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27"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12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129"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12A"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130"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2C"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Gearing Ratio</w:t>
            </w:r>
          </w:p>
        </w:tc>
        <w:tc>
          <w:tcPr>
            <w:tcW w:w="2067" w:type="pct"/>
            <w:tcBorders>
              <w:top w:val="nil"/>
              <w:left w:val="nil"/>
              <w:bottom w:val="single" w:sz="4" w:space="0" w:color="auto"/>
              <w:right w:val="single" w:sz="4" w:space="0" w:color="auto"/>
            </w:tcBorders>
            <w:shd w:val="clear" w:color="auto" w:fill="auto"/>
            <w:noWrap/>
            <w:vAlign w:val="bottom"/>
            <w:hideMark/>
          </w:tcPr>
          <w:p w14:paraId="6B63612D"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Total Debt / Total Equity</w:t>
            </w:r>
          </w:p>
        </w:tc>
        <w:tc>
          <w:tcPr>
            <w:tcW w:w="657" w:type="pct"/>
            <w:tcBorders>
              <w:top w:val="nil"/>
              <w:left w:val="nil"/>
              <w:bottom w:val="single" w:sz="4" w:space="0" w:color="auto"/>
              <w:right w:val="single" w:sz="4" w:space="0" w:color="auto"/>
            </w:tcBorders>
            <w:shd w:val="clear" w:color="auto" w:fill="auto"/>
            <w:noWrap/>
            <w:vAlign w:val="bottom"/>
            <w:hideMark/>
          </w:tcPr>
          <w:p w14:paraId="6B63612E"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1.34 </w:t>
            </w:r>
          </w:p>
        </w:tc>
        <w:tc>
          <w:tcPr>
            <w:tcW w:w="573" w:type="pct"/>
            <w:tcBorders>
              <w:top w:val="nil"/>
              <w:left w:val="nil"/>
              <w:bottom w:val="single" w:sz="4" w:space="0" w:color="auto"/>
              <w:right w:val="single" w:sz="4" w:space="0" w:color="auto"/>
            </w:tcBorders>
            <w:shd w:val="clear" w:color="auto" w:fill="auto"/>
            <w:noWrap/>
            <w:vAlign w:val="bottom"/>
            <w:hideMark/>
          </w:tcPr>
          <w:p w14:paraId="6B63612F"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1.42 </w:t>
            </w:r>
          </w:p>
        </w:tc>
      </w:tr>
      <w:tr w:rsidR="00DD559A" w:rsidRPr="00DD559A" w14:paraId="6B636135"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31"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2067" w:type="pct"/>
            <w:tcBorders>
              <w:top w:val="nil"/>
              <w:left w:val="nil"/>
              <w:bottom w:val="single" w:sz="4" w:space="0" w:color="auto"/>
              <w:right w:val="single" w:sz="4" w:space="0" w:color="auto"/>
            </w:tcBorders>
            <w:shd w:val="clear" w:color="auto" w:fill="auto"/>
            <w:noWrap/>
            <w:vAlign w:val="bottom"/>
            <w:hideMark/>
          </w:tcPr>
          <w:p w14:paraId="6B636132"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657" w:type="pct"/>
            <w:tcBorders>
              <w:top w:val="nil"/>
              <w:left w:val="nil"/>
              <w:bottom w:val="single" w:sz="4" w:space="0" w:color="auto"/>
              <w:right w:val="single" w:sz="4" w:space="0" w:color="auto"/>
            </w:tcBorders>
            <w:shd w:val="clear" w:color="auto" w:fill="auto"/>
            <w:noWrap/>
            <w:vAlign w:val="bottom"/>
            <w:hideMark/>
          </w:tcPr>
          <w:p w14:paraId="6B636133"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c>
          <w:tcPr>
            <w:tcW w:w="573" w:type="pct"/>
            <w:tcBorders>
              <w:top w:val="nil"/>
              <w:left w:val="nil"/>
              <w:bottom w:val="single" w:sz="4" w:space="0" w:color="auto"/>
              <w:right w:val="single" w:sz="4" w:space="0" w:color="auto"/>
            </w:tcBorders>
            <w:shd w:val="clear" w:color="auto" w:fill="auto"/>
            <w:noWrap/>
            <w:vAlign w:val="bottom"/>
            <w:hideMark/>
          </w:tcPr>
          <w:p w14:paraId="6B636134"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w:t>
            </w:r>
          </w:p>
        </w:tc>
      </w:tr>
      <w:tr w:rsidR="00DD559A" w:rsidRPr="00DD559A" w14:paraId="6B63613A" w14:textId="77777777" w:rsidTr="00DD559A">
        <w:trPr>
          <w:trHeight w:val="30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6B636136"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Invertor Cover</w:t>
            </w:r>
          </w:p>
        </w:tc>
        <w:tc>
          <w:tcPr>
            <w:tcW w:w="2067" w:type="pct"/>
            <w:tcBorders>
              <w:top w:val="nil"/>
              <w:left w:val="nil"/>
              <w:bottom w:val="single" w:sz="4" w:space="0" w:color="auto"/>
              <w:right w:val="single" w:sz="4" w:space="0" w:color="auto"/>
            </w:tcBorders>
            <w:shd w:val="clear" w:color="auto" w:fill="auto"/>
            <w:noWrap/>
            <w:vAlign w:val="bottom"/>
            <w:hideMark/>
          </w:tcPr>
          <w:p w14:paraId="6B636137"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EBIT / Interest expenses</w:t>
            </w:r>
          </w:p>
        </w:tc>
        <w:tc>
          <w:tcPr>
            <w:tcW w:w="657" w:type="pct"/>
            <w:tcBorders>
              <w:top w:val="nil"/>
              <w:left w:val="nil"/>
              <w:bottom w:val="single" w:sz="4" w:space="0" w:color="auto"/>
              <w:right w:val="single" w:sz="4" w:space="0" w:color="auto"/>
            </w:tcBorders>
            <w:shd w:val="clear" w:color="auto" w:fill="auto"/>
            <w:noWrap/>
            <w:vAlign w:val="bottom"/>
            <w:hideMark/>
          </w:tcPr>
          <w:p w14:paraId="6B636138"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3.56 </w:t>
            </w:r>
          </w:p>
        </w:tc>
        <w:tc>
          <w:tcPr>
            <w:tcW w:w="573" w:type="pct"/>
            <w:tcBorders>
              <w:top w:val="nil"/>
              <w:left w:val="nil"/>
              <w:bottom w:val="single" w:sz="4" w:space="0" w:color="auto"/>
              <w:right w:val="single" w:sz="4" w:space="0" w:color="auto"/>
            </w:tcBorders>
            <w:shd w:val="clear" w:color="auto" w:fill="auto"/>
            <w:noWrap/>
            <w:vAlign w:val="bottom"/>
            <w:hideMark/>
          </w:tcPr>
          <w:p w14:paraId="6B636139" w14:textId="77777777" w:rsidR="00DD559A" w:rsidRPr="00DD559A" w:rsidRDefault="00DD559A" w:rsidP="00DD559A">
            <w:pPr>
              <w:spacing w:after="0" w:line="240" w:lineRule="auto"/>
              <w:jc w:val="left"/>
              <w:rPr>
                <w:rFonts w:eastAsia="Times New Roman" w:cs="Arial"/>
                <w:color w:val="000000"/>
                <w:szCs w:val="24"/>
              </w:rPr>
            </w:pPr>
            <w:r w:rsidRPr="00DD559A">
              <w:rPr>
                <w:rFonts w:eastAsia="Times New Roman" w:cs="Arial"/>
                <w:color w:val="000000"/>
                <w:szCs w:val="24"/>
              </w:rPr>
              <w:t xml:space="preserve">     3.86 </w:t>
            </w:r>
          </w:p>
        </w:tc>
      </w:tr>
    </w:tbl>
    <w:p w14:paraId="6B63613B" w14:textId="77777777" w:rsidR="00DD559A" w:rsidRDefault="00DD559A" w:rsidP="009466DA"/>
    <w:p w14:paraId="6B63613C" w14:textId="77777777" w:rsidR="00AA33DF" w:rsidRDefault="00AA33DF" w:rsidP="009466DA">
      <w:r>
        <w:t xml:space="preserve">1. </w:t>
      </w:r>
      <w:r w:rsidRPr="008D0B1C">
        <w:rPr>
          <w:b/>
        </w:rPr>
        <w:t>Return on Capital Employed</w:t>
      </w:r>
      <w:r>
        <w:t>: ROCE is the financial ratio which used to measure the capabilities of an organization to utilize its capital for generating profitability</w:t>
      </w:r>
      <w:r w:rsidR="00592393">
        <w:t xml:space="preserve"> (</w:t>
      </w:r>
      <w:proofErr w:type="spellStart"/>
      <w:r w:rsidR="00592393" w:rsidRPr="0053075D">
        <w:t>Lisek</w:t>
      </w:r>
      <w:proofErr w:type="spellEnd"/>
      <w:r w:rsidR="00592393">
        <w:t xml:space="preserve"> </w:t>
      </w:r>
      <w:r w:rsidR="00592393">
        <w:rPr>
          <w:i/>
        </w:rPr>
        <w:t>et al.</w:t>
      </w:r>
      <w:r w:rsidR="00592393">
        <w:t xml:space="preserve"> 2020)</w:t>
      </w:r>
      <w:r>
        <w:t xml:space="preserve">. </w:t>
      </w:r>
      <w:r w:rsidR="008D0B1C">
        <w:t xml:space="preserve">This ratio has been used for the development of the business operation. Performance measurement of </w:t>
      </w:r>
      <w:proofErr w:type="spellStart"/>
      <w:r w:rsidR="008D0B1C">
        <w:t>Cocco</w:t>
      </w:r>
      <w:proofErr w:type="spellEnd"/>
      <w:r w:rsidR="008D0B1C">
        <w:t xml:space="preserve"> Plc for efficiency of the capital has been measured through using ROCE. </w:t>
      </w:r>
    </w:p>
    <w:p w14:paraId="6B63613D" w14:textId="77777777" w:rsidR="008D0B1C" w:rsidRDefault="008D0B1C" w:rsidP="009466DA">
      <m:oMathPara>
        <m:oMathParaPr>
          <m:jc m:val="left"/>
        </m:oMathParaPr>
        <m:oMath>
          <m:r>
            <w:rPr>
              <w:rFonts w:ascii="Cambria Math" w:hAnsi="Cambria Math"/>
            </w:rPr>
            <m:t xml:space="preserve">ROCE= </m:t>
          </m:r>
          <m:f>
            <m:fPr>
              <m:ctrlPr>
                <w:rPr>
                  <w:rFonts w:ascii="Cambria Math" w:hAnsi="Cambria Math"/>
                  <w:i/>
                </w:rPr>
              </m:ctrlPr>
            </m:fPr>
            <m:num>
              <m:r>
                <w:rPr>
                  <w:rFonts w:ascii="Cambria Math" w:hAnsi="Cambria Math"/>
                </w:rPr>
                <m:t>EBIT</m:t>
              </m:r>
            </m:num>
            <m:den>
              <m:r>
                <w:rPr>
                  <w:rFonts w:ascii="Cambria Math" w:hAnsi="Cambria Math"/>
                </w:rPr>
                <m:t>Total Assets-Current Liability</m:t>
              </m:r>
            </m:den>
          </m:f>
          <m:r>
            <w:rPr>
              <w:rFonts w:ascii="Cambria Math" w:hAnsi="Cambria Math"/>
            </w:rPr>
            <m:t>×100</m:t>
          </m:r>
        </m:oMath>
      </m:oMathPara>
    </w:p>
    <w:p w14:paraId="6B63613E" w14:textId="77777777" w:rsidR="008D0B1C" w:rsidRDefault="008D0B1C" w:rsidP="009466DA">
      <m:oMathPara>
        <m:oMathParaPr>
          <m:jc m:val="left"/>
        </m:oMathParaPr>
        <m:oMath>
          <m:r>
            <w:rPr>
              <w:rFonts w:ascii="Cambria Math" w:hAnsi="Cambria Math"/>
            </w:rPr>
            <m:t xml:space="preserve">ROCE for 2020= </m:t>
          </m:r>
          <m:f>
            <m:fPr>
              <m:ctrlPr>
                <w:rPr>
                  <w:rFonts w:ascii="Cambria Math" w:hAnsi="Cambria Math"/>
                  <w:i/>
                </w:rPr>
              </m:ctrlPr>
            </m:fPr>
            <m:num>
              <m:r>
                <w:rPr>
                  <w:rFonts w:ascii="Cambria Math" w:hAnsi="Cambria Math"/>
                </w:rPr>
                <m:t>805</m:t>
              </m:r>
            </m:num>
            <m:den>
              <m:r>
                <w:rPr>
                  <w:rFonts w:ascii="Cambria Math" w:hAnsi="Cambria Math"/>
                </w:rPr>
                <m:t>9736-2511</m:t>
              </m:r>
            </m:den>
          </m:f>
          <m:r>
            <w:rPr>
              <w:rFonts w:ascii="Cambria Math" w:hAnsi="Cambria Math"/>
            </w:rPr>
            <m:t>×100</m:t>
          </m:r>
        </m:oMath>
      </m:oMathPara>
    </w:p>
    <w:p w14:paraId="6B63613F" w14:textId="77777777" w:rsidR="008D0B1C" w:rsidRDefault="008D0B1C" w:rsidP="009466DA">
      <w:r>
        <w:t>ROCE for 2020 = 11.14%</w:t>
      </w:r>
    </w:p>
    <w:p w14:paraId="6B636140" w14:textId="77777777" w:rsidR="008D0B1C" w:rsidRDefault="008D0B1C" w:rsidP="009466DA">
      <m:oMathPara>
        <m:oMathParaPr>
          <m:jc m:val="left"/>
        </m:oMathParaPr>
        <m:oMath>
          <m:r>
            <w:rPr>
              <w:rFonts w:ascii="Cambria Math" w:hAnsi="Cambria Math"/>
            </w:rPr>
            <m:t xml:space="preserve">ROCE for 2019= </m:t>
          </m:r>
          <m:f>
            <m:fPr>
              <m:ctrlPr>
                <w:rPr>
                  <w:rFonts w:ascii="Cambria Math" w:hAnsi="Cambria Math"/>
                  <w:i/>
                </w:rPr>
              </m:ctrlPr>
            </m:fPr>
            <m:num>
              <m:r>
                <w:rPr>
                  <w:rFonts w:ascii="Cambria Math" w:hAnsi="Cambria Math"/>
                </w:rPr>
                <m:t>699</m:t>
              </m:r>
            </m:num>
            <m:den>
              <m:r>
                <w:rPr>
                  <w:rFonts w:ascii="Cambria Math" w:hAnsi="Cambria Math"/>
                </w:rPr>
                <m:t>10087-3046</m:t>
              </m:r>
            </m:den>
          </m:f>
          <m:r>
            <w:rPr>
              <w:rFonts w:ascii="Cambria Math" w:hAnsi="Cambria Math"/>
            </w:rPr>
            <m:t>×100</m:t>
          </m:r>
        </m:oMath>
      </m:oMathPara>
    </w:p>
    <w:p w14:paraId="6B636141" w14:textId="77777777" w:rsidR="008D0B1C" w:rsidRDefault="008D0B1C" w:rsidP="009466DA">
      <w:r>
        <w:t>ROCE for 2019 = 9.93%</w:t>
      </w:r>
    </w:p>
    <w:p w14:paraId="6B636142" w14:textId="77777777" w:rsidR="008D0B1C" w:rsidRDefault="008D0B1C" w:rsidP="009466DA">
      <w:r>
        <w:lastRenderedPageBreak/>
        <w:t xml:space="preserve">2. </w:t>
      </w:r>
      <w:r w:rsidRPr="000C5566">
        <w:rPr>
          <w:b/>
        </w:rPr>
        <w:t>Return on Equity</w:t>
      </w:r>
      <w:r>
        <w:t>: ROE is the financial measurement which used to determine the capabilities of the business to utilize its equity for generating profitability</w:t>
      </w:r>
      <w:r w:rsidR="00592393">
        <w:t xml:space="preserve"> (</w:t>
      </w:r>
      <w:proofErr w:type="spellStart"/>
      <w:r w:rsidR="00592393" w:rsidRPr="0053075D">
        <w:t>Alpi</w:t>
      </w:r>
      <w:proofErr w:type="spellEnd"/>
      <w:r w:rsidR="00592393">
        <w:t>, 2018)</w:t>
      </w:r>
      <w:r>
        <w:t xml:space="preserve">. It is a profitability ratio which mainly measures the equity capabilities of the firm over the financial years. </w:t>
      </w:r>
    </w:p>
    <w:p w14:paraId="6B636143" w14:textId="77777777" w:rsidR="008D0B1C" w:rsidRDefault="008D0B1C" w:rsidP="009466DA">
      <m:oMathPara>
        <m:oMathParaPr>
          <m:jc m:val="left"/>
        </m:oMathParaPr>
        <m:oMath>
          <m:r>
            <w:rPr>
              <w:rFonts w:ascii="Cambria Math" w:hAnsi="Cambria Math"/>
            </w:rPr>
            <m:t xml:space="preserve">ROE= </m:t>
          </m:r>
          <m:f>
            <m:fPr>
              <m:ctrlPr>
                <w:rPr>
                  <w:rFonts w:ascii="Cambria Math" w:hAnsi="Cambria Math"/>
                  <w:i/>
                </w:rPr>
              </m:ctrlPr>
            </m:fPr>
            <m:num>
              <m:r>
                <w:rPr>
                  <w:rFonts w:ascii="Cambria Math" w:hAnsi="Cambria Math"/>
                </w:rPr>
                <m:t>Net Income</m:t>
              </m:r>
            </m:num>
            <m:den>
              <m:r>
                <w:rPr>
                  <w:rFonts w:ascii="Cambria Math" w:hAnsi="Cambria Math"/>
                </w:rPr>
                <m:t>Shareholder's Equity</m:t>
              </m:r>
            </m:den>
          </m:f>
          <m:r>
            <w:rPr>
              <w:rFonts w:ascii="Cambria Math" w:hAnsi="Cambria Math"/>
            </w:rPr>
            <m:t>×100</m:t>
          </m:r>
        </m:oMath>
      </m:oMathPara>
    </w:p>
    <w:p w14:paraId="6B636144" w14:textId="77777777" w:rsidR="008D0B1C" w:rsidRDefault="008D0B1C" w:rsidP="009466DA">
      <m:oMathPara>
        <m:oMathParaPr>
          <m:jc m:val="left"/>
        </m:oMathParaPr>
        <m:oMath>
          <m:r>
            <w:rPr>
              <w:rFonts w:ascii="Cambria Math" w:hAnsi="Cambria Math"/>
            </w:rPr>
            <m:t xml:space="preserve">ROE for 2020= </m:t>
          </m:r>
          <m:f>
            <m:fPr>
              <m:ctrlPr>
                <w:rPr>
                  <w:rFonts w:ascii="Cambria Math" w:hAnsi="Cambria Math"/>
                  <w:i/>
                </w:rPr>
              </m:ctrlPr>
            </m:fPr>
            <m:num>
              <m:r>
                <w:rPr>
                  <w:rFonts w:ascii="Cambria Math" w:hAnsi="Cambria Math"/>
                </w:rPr>
                <m:t>431</m:t>
              </m:r>
            </m:num>
            <m:den>
              <m:r>
                <w:rPr>
                  <w:rFonts w:ascii="Cambria Math" w:hAnsi="Cambria Math"/>
                </w:rPr>
                <m:t>3088</m:t>
              </m:r>
            </m:den>
          </m:f>
          <m:r>
            <w:rPr>
              <w:rFonts w:ascii="Cambria Math" w:hAnsi="Cambria Math"/>
            </w:rPr>
            <m:t>×100</m:t>
          </m:r>
        </m:oMath>
      </m:oMathPara>
    </w:p>
    <w:p w14:paraId="6B636145" w14:textId="77777777" w:rsidR="008D0B1C" w:rsidRDefault="008D0B1C" w:rsidP="009466DA">
      <w:r>
        <w:t>ROE for 2020 = 13.96%</w:t>
      </w:r>
    </w:p>
    <w:p w14:paraId="6B636146" w14:textId="77777777" w:rsidR="008D0B1C" w:rsidRDefault="008D0B1C" w:rsidP="009466DA">
      <m:oMathPara>
        <m:oMathParaPr>
          <m:jc m:val="left"/>
        </m:oMathParaPr>
        <m:oMath>
          <m:r>
            <w:rPr>
              <w:rFonts w:ascii="Cambria Math" w:hAnsi="Cambria Math"/>
            </w:rPr>
            <m:t xml:space="preserve">ROE for 2019= </m:t>
          </m:r>
          <m:f>
            <m:fPr>
              <m:ctrlPr>
                <w:rPr>
                  <w:rFonts w:ascii="Cambria Math" w:hAnsi="Cambria Math"/>
                  <w:i/>
                </w:rPr>
              </m:ctrlPr>
            </m:fPr>
            <m:num>
              <m:r>
                <w:rPr>
                  <w:rFonts w:ascii="Cambria Math" w:hAnsi="Cambria Math"/>
                </w:rPr>
                <m:t>366</m:t>
              </m:r>
            </m:num>
            <m:den>
              <m:r>
                <w:rPr>
                  <w:rFonts w:ascii="Cambria Math" w:hAnsi="Cambria Math"/>
                </w:rPr>
                <m:t>2912</m:t>
              </m:r>
            </m:den>
          </m:f>
          <m:r>
            <w:rPr>
              <w:rFonts w:ascii="Cambria Math" w:hAnsi="Cambria Math"/>
            </w:rPr>
            <m:t>×100</m:t>
          </m:r>
        </m:oMath>
      </m:oMathPara>
    </w:p>
    <w:p w14:paraId="6B636147" w14:textId="77777777" w:rsidR="008D0B1C" w:rsidRDefault="008D0B1C" w:rsidP="009466DA">
      <w:r>
        <w:t>ROE for 2019 = 12.57%</w:t>
      </w:r>
    </w:p>
    <w:p w14:paraId="6B636148" w14:textId="77777777" w:rsidR="008D0B1C" w:rsidRDefault="000C5566" w:rsidP="009466DA">
      <w:r>
        <w:t xml:space="preserve">3. </w:t>
      </w:r>
      <w:r w:rsidRPr="000C5566">
        <w:rPr>
          <w:b/>
        </w:rPr>
        <w:t>Earnings Per share</w:t>
      </w:r>
      <w:r>
        <w:t>: EPS is the financial measurement which allows investors to make decision regarding the investment opportunities in the business</w:t>
      </w:r>
      <w:r w:rsidR="00592393">
        <w:t xml:space="preserve"> (</w:t>
      </w:r>
      <w:proofErr w:type="spellStart"/>
      <w:r w:rsidR="00592393" w:rsidRPr="0053075D">
        <w:t>Arsal</w:t>
      </w:r>
      <w:proofErr w:type="spellEnd"/>
      <w:r w:rsidR="00592393">
        <w:t xml:space="preserve">, </w:t>
      </w:r>
      <w:r w:rsidR="00BA2AB1">
        <w:t>2021)</w:t>
      </w:r>
      <w:r>
        <w:t xml:space="preserve">. EPS used to determine the earning per share for the investors in the business operations. </w:t>
      </w:r>
    </w:p>
    <w:p w14:paraId="6B636149" w14:textId="77777777" w:rsidR="000C5566" w:rsidRDefault="001C4EE1" w:rsidP="009466DA">
      <m:oMathPara>
        <m:oMathParaPr>
          <m:jc m:val="left"/>
        </m:oMathParaPr>
        <m:oMath>
          <m:r>
            <w:rPr>
              <w:rFonts w:ascii="Cambria Math" w:hAnsi="Cambria Math"/>
            </w:rPr>
            <m:t xml:space="preserve">Earning Per Share </m:t>
          </m:r>
          <m:d>
            <m:dPr>
              <m:ctrlPr>
                <w:rPr>
                  <w:rFonts w:ascii="Cambria Math" w:hAnsi="Cambria Math"/>
                  <w:i/>
                </w:rPr>
              </m:ctrlPr>
            </m:dPr>
            <m:e>
              <m:r>
                <w:rPr>
                  <w:rFonts w:ascii="Cambria Math" w:hAnsi="Cambria Math"/>
                </w:rPr>
                <m:t>EPS</m:t>
              </m:r>
            </m:e>
          </m:d>
          <m:r>
            <w:rPr>
              <w:rFonts w:ascii="Cambria Math" w:hAnsi="Cambria Math"/>
            </w:rPr>
            <m:t xml:space="preserve">= </m:t>
          </m:r>
          <m:f>
            <m:fPr>
              <m:ctrlPr>
                <w:rPr>
                  <w:rFonts w:ascii="Cambria Math" w:hAnsi="Cambria Math"/>
                  <w:i/>
                </w:rPr>
              </m:ctrlPr>
            </m:fPr>
            <m:num>
              <m:r>
                <w:rPr>
                  <w:rFonts w:ascii="Cambria Math" w:hAnsi="Cambria Math"/>
                </w:rPr>
                <m:t>Net Earnings</m:t>
              </m:r>
            </m:num>
            <m:den>
              <m:r>
                <w:rPr>
                  <w:rFonts w:ascii="Cambria Math" w:hAnsi="Cambria Math"/>
                </w:rPr>
                <m:t>Average Share Outstanding</m:t>
              </m:r>
            </m:den>
          </m:f>
        </m:oMath>
      </m:oMathPara>
    </w:p>
    <w:p w14:paraId="6B63614A" w14:textId="77777777" w:rsidR="00F34A3F" w:rsidRDefault="00F34A3F" w:rsidP="009466DA">
      <m:oMathPara>
        <m:oMathParaPr>
          <m:jc m:val="left"/>
        </m:oMathParaPr>
        <m:oMath>
          <m:r>
            <w:rPr>
              <w:rFonts w:ascii="Cambria Math" w:hAnsi="Cambria Math"/>
            </w:rPr>
            <m:t xml:space="preserve">Earning Per Share </m:t>
          </m:r>
          <m:d>
            <m:dPr>
              <m:ctrlPr>
                <w:rPr>
                  <w:rFonts w:ascii="Cambria Math" w:hAnsi="Cambria Math"/>
                  <w:i/>
                </w:rPr>
              </m:ctrlPr>
            </m:dPr>
            <m:e>
              <m:r>
                <w:rPr>
                  <w:rFonts w:ascii="Cambria Math" w:hAnsi="Cambria Math"/>
                </w:rPr>
                <m:t>EPS</m:t>
              </m:r>
            </m:e>
          </m:d>
          <m:r>
            <w:rPr>
              <w:rFonts w:ascii="Cambria Math" w:hAnsi="Cambria Math"/>
            </w:rPr>
            <m:t xml:space="preserve">for 2020= </m:t>
          </m:r>
          <m:f>
            <m:fPr>
              <m:ctrlPr>
                <w:rPr>
                  <w:rFonts w:ascii="Cambria Math" w:hAnsi="Cambria Math"/>
                  <w:i/>
                </w:rPr>
              </m:ctrlPr>
            </m:fPr>
            <m:num>
              <m:r>
                <w:rPr>
                  <w:rFonts w:ascii="Cambria Math" w:hAnsi="Cambria Math"/>
                </w:rPr>
                <m:t>431</m:t>
              </m:r>
            </m:num>
            <m:den>
              <m:f>
                <m:fPr>
                  <m:ctrlPr>
                    <w:rPr>
                      <w:rFonts w:ascii="Cambria Math" w:hAnsi="Cambria Math"/>
                      <w:i/>
                    </w:rPr>
                  </m:ctrlPr>
                </m:fPr>
                <m:num>
                  <m:r>
                    <w:rPr>
                      <w:rFonts w:ascii="Cambria Math" w:hAnsi="Cambria Math"/>
                    </w:rPr>
                    <m:t>300</m:t>
                  </m:r>
                </m:num>
                <m:den>
                  <m:r>
                    <w:rPr>
                      <w:rFonts w:ascii="Cambria Math" w:hAnsi="Cambria Math"/>
                    </w:rPr>
                    <m:t>0.5</m:t>
                  </m:r>
                </m:den>
              </m:f>
            </m:den>
          </m:f>
        </m:oMath>
      </m:oMathPara>
    </w:p>
    <w:p w14:paraId="6B63614B" w14:textId="77777777" w:rsidR="00F34A3F" w:rsidRDefault="00F34A3F" w:rsidP="009466DA">
      <w:r>
        <w:t>EPS for 2020 = 0.72p</w:t>
      </w:r>
    </w:p>
    <w:p w14:paraId="6B63614C" w14:textId="77777777" w:rsidR="00F34A3F" w:rsidRDefault="00F34A3F" w:rsidP="009466DA">
      <m:oMathPara>
        <m:oMathParaPr>
          <m:jc m:val="left"/>
        </m:oMathParaPr>
        <m:oMath>
          <m:r>
            <w:rPr>
              <w:rFonts w:ascii="Cambria Math" w:hAnsi="Cambria Math"/>
            </w:rPr>
            <m:t xml:space="preserve">Earning Per Share </m:t>
          </m:r>
          <m:d>
            <m:dPr>
              <m:ctrlPr>
                <w:rPr>
                  <w:rFonts w:ascii="Cambria Math" w:hAnsi="Cambria Math"/>
                  <w:i/>
                </w:rPr>
              </m:ctrlPr>
            </m:dPr>
            <m:e>
              <m:r>
                <w:rPr>
                  <w:rFonts w:ascii="Cambria Math" w:hAnsi="Cambria Math"/>
                </w:rPr>
                <m:t>EPS</m:t>
              </m:r>
            </m:e>
          </m:d>
          <m:r>
            <w:rPr>
              <w:rFonts w:ascii="Cambria Math" w:hAnsi="Cambria Math"/>
            </w:rPr>
            <m:t xml:space="preserve">for 2019= </m:t>
          </m:r>
          <m:f>
            <m:fPr>
              <m:ctrlPr>
                <w:rPr>
                  <w:rFonts w:ascii="Cambria Math" w:hAnsi="Cambria Math"/>
                  <w:i/>
                </w:rPr>
              </m:ctrlPr>
            </m:fPr>
            <m:num>
              <m:r>
                <w:rPr>
                  <w:rFonts w:ascii="Cambria Math" w:hAnsi="Cambria Math"/>
                </w:rPr>
                <m:t>366</m:t>
              </m:r>
            </m:num>
            <m:den>
              <m:f>
                <m:fPr>
                  <m:ctrlPr>
                    <w:rPr>
                      <w:rFonts w:ascii="Cambria Math" w:hAnsi="Cambria Math"/>
                      <w:i/>
                    </w:rPr>
                  </m:ctrlPr>
                </m:fPr>
                <m:num>
                  <m:r>
                    <w:rPr>
                      <w:rFonts w:ascii="Cambria Math" w:hAnsi="Cambria Math"/>
                    </w:rPr>
                    <m:t>300</m:t>
                  </m:r>
                </m:num>
                <m:den>
                  <m:r>
                    <w:rPr>
                      <w:rFonts w:ascii="Cambria Math" w:hAnsi="Cambria Math"/>
                    </w:rPr>
                    <m:t>0.5</m:t>
                  </m:r>
                </m:den>
              </m:f>
            </m:den>
          </m:f>
        </m:oMath>
      </m:oMathPara>
    </w:p>
    <w:p w14:paraId="6B63614D" w14:textId="77777777" w:rsidR="00F34A3F" w:rsidRDefault="00F34A3F" w:rsidP="009466DA">
      <w:r>
        <w:t>EPS for 2019 = 0.61p</w:t>
      </w:r>
    </w:p>
    <w:p w14:paraId="6B63614E" w14:textId="77777777" w:rsidR="000C5566" w:rsidRDefault="000C5566" w:rsidP="009466DA">
      <w:r>
        <w:t xml:space="preserve">4. </w:t>
      </w:r>
      <w:r w:rsidRPr="00A1109B">
        <w:rPr>
          <w:b/>
        </w:rPr>
        <w:t>Net profit margin</w:t>
      </w:r>
      <w:r>
        <w:t>: Net profit margin in the profitability ratio that has been identified the financial capabilities of the firm to convert its revenue in the profitability</w:t>
      </w:r>
      <w:r w:rsidR="00BA2AB1">
        <w:t xml:space="preserve"> (</w:t>
      </w:r>
      <w:proofErr w:type="spellStart"/>
      <w:r w:rsidR="00BA2AB1">
        <w:t>Nariswari</w:t>
      </w:r>
      <w:proofErr w:type="spellEnd"/>
      <w:r w:rsidR="00BA2AB1" w:rsidRPr="0053075D">
        <w:t xml:space="preserve"> </w:t>
      </w:r>
      <w:r w:rsidR="00BA2AB1" w:rsidRPr="0053075D">
        <w:lastRenderedPageBreak/>
        <w:t xml:space="preserve">and </w:t>
      </w:r>
      <w:proofErr w:type="spellStart"/>
      <w:r w:rsidR="00BA2AB1" w:rsidRPr="0053075D">
        <w:t>Nugraha</w:t>
      </w:r>
      <w:proofErr w:type="spellEnd"/>
      <w:r w:rsidR="00BA2AB1">
        <w:t>, 2020)</w:t>
      </w:r>
      <w:r>
        <w:t xml:space="preserve">. Net profit margin shows the current profit percentage of the business over its sales revenue. </w:t>
      </w:r>
    </w:p>
    <w:p w14:paraId="6B63614F" w14:textId="77777777" w:rsidR="000C5566" w:rsidRDefault="001C4EE1" w:rsidP="009466DA">
      <m:oMathPara>
        <m:oMathParaPr>
          <m:jc m:val="left"/>
        </m:oMathParaPr>
        <m:oMath>
          <m:r>
            <w:rPr>
              <w:rFonts w:ascii="Cambria Math" w:hAnsi="Cambria Math"/>
            </w:rPr>
            <m:t xml:space="preserve">Net profit margin= </m:t>
          </m:r>
          <m:f>
            <m:fPr>
              <m:ctrlPr>
                <w:rPr>
                  <w:rFonts w:ascii="Cambria Math" w:hAnsi="Cambria Math"/>
                  <w:i/>
                </w:rPr>
              </m:ctrlPr>
            </m:fPr>
            <m:num>
              <m:r>
                <w:rPr>
                  <w:rFonts w:ascii="Cambria Math" w:hAnsi="Cambria Math"/>
                </w:rPr>
                <m:t>Net profit</m:t>
              </m:r>
            </m:num>
            <m:den>
              <m:r>
                <w:rPr>
                  <w:rFonts w:ascii="Cambria Math" w:hAnsi="Cambria Math"/>
                </w:rPr>
                <m:t>Sales</m:t>
              </m:r>
            </m:den>
          </m:f>
          <m:r>
            <w:rPr>
              <w:rFonts w:ascii="Cambria Math" w:hAnsi="Cambria Math"/>
            </w:rPr>
            <m:t xml:space="preserve"> ×100</m:t>
          </m:r>
        </m:oMath>
      </m:oMathPara>
    </w:p>
    <w:p w14:paraId="6B636150" w14:textId="77777777" w:rsidR="00F34A3F" w:rsidRDefault="00F34A3F" w:rsidP="009466DA">
      <m:oMathPara>
        <m:oMathParaPr>
          <m:jc m:val="left"/>
        </m:oMathParaPr>
        <m:oMath>
          <m:r>
            <w:rPr>
              <w:rFonts w:ascii="Cambria Math" w:hAnsi="Cambria Math"/>
            </w:rPr>
            <m:t xml:space="preserve">Net profit margin for 2020= </m:t>
          </m:r>
          <m:f>
            <m:fPr>
              <m:ctrlPr>
                <w:rPr>
                  <w:rFonts w:ascii="Cambria Math" w:hAnsi="Cambria Math"/>
                  <w:i/>
                </w:rPr>
              </m:ctrlPr>
            </m:fPr>
            <m:num>
              <m:r>
                <w:rPr>
                  <w:rFonts w:ascii="Cambria Math" w:hAnsi="Cambria Math"/>
                </w:rPr>
                <m:t>431</m:t>
              </m:r>
            </m:num>
            <m:den>
              <m:r>
                <w:rPr>
                  <w:rFonts w:ascii="Cambria Math" w:hAnsi="Cambria Math"/>
                </w:rPr>
                <m:t>6738</m:t>
              </m:r>
            </m:den>
          </m:f>
          <m:r>
            <w:rPr>
              <w:rFonts w:ascii="Cambria Math" w:hAnsi="Cambria Math"/>
            </w:rPr>
            <m:t xml:space="preserve"> ×100</m:t>
          </m:r>
        </m:oMath>
      </m:oMathPara>
    </w:p>
    <w:p w14:paraId="6B636151" w14:textId="77777777" w:rsidR="00F34A3F" w:rsidRPr="00F34A3F" w:rsidRDefault="00F34A3F" w:rsidP="009466DA">
      <w:r>
        <w:t>Net profit margin for 2020 = 6.40%</w:t>
      </w:r>
    </w:p>
    <w:p w14:paraId="6B636152" w14:textId="77777777" w:rsidR="00F34A3F" w:rsidRDefault="00F34A3F" w:rsidP="009466DA">
      <m:oMathPara>
        <m:oMathParaPr>
          <m:jc m:val="left"/>
        </m:oMathParaPr>
        <m:oMath>
          <m:r>
            <w:rPr>
              <w:rFonts w:ascii="Cambria Math" w:hAnsi="Cambria Math"/>
            </w:rPr>
            <m:t xml:space="preserve">Net profit margin for 2019= </m:t>
          </m:r>
          <m:f>
            <m:fPr>
              <m:ctrlPr>
                <w:rPr>
                  <w:rFonts w:ascii="Cambria Math" w:hAnsi="Cambria Math"/>
                  <w:i/>
                </w:rPr>
              </m:ctrlPr>
            </m:fPr>
            <m:num>
              <m:r>
                <w:rPr>
                  <w:rFonts w:ascii="Cambria Math" w:hAnsi="Cambria Math"/>
                </w:rPr>
                <m:t>366</m:t>
              </m:r>
            </m:num>
            <m:den>
              <m:r>
                <w:rPr>
                  <w:rFonts w:ascii="Cambria Math" w:hAnsi="Cambria Math"/>
                </w:rPr>
                <m:t>6441</m:t>
              </m:r>
            </m:den>
          </m:f>
          <m:r>
            <w:rPr>
              <w:rFonts w:ascii="Cambria Math" w:hAnsi="Cambria Math"/>
            </w:rPr>
            <m:t xml:space="preserve"> ×100</m:t>
          </m:r>
        </m:oMath>
      </m:oMathPara>
    </w:p>
    <w:p w14:paraId="6B636153" w14:textId="77777777" w:rsidR="00F34A3F" w:rsidRPr="00F34A3F" w:rsidRDefault="00F34A3F" w:rsidP="009466DA">
      <w:r>
        <w:t>Net profit margin for 2019 = 5.68%</w:t>
      </w:r>
    </w:p>
    <w:p w14:paraId="6B636154" w14:textId="77777777" w:rsidR="000C5566" w:rsidRDefault="000C5566" w:rsidP="009466DA">
      <w:r>
        <w:t xml:space="preserve">5. </w:t>
      </w:r>
      <w:r w:rsidRPr="00A1109B">
        <w:rPr>
          <w:b/>
        </w:rPr>
        <w:t>Assets Turnover</w:t>
      </w:r>
      <w:r>
        <w:t xml:space="preserve">: </w:t>
      </w:r>
      <w:proofErr w:type="gramStart"/>
      <w:r>
        <w:t>Assets</w:t>
      </w:r>
      <w:proofErr w:type="gramEnd"/>
      <w:r>
        <w:t xml:space="preserve"> turnover is the financial measurement </w:t>
      </w:r>
      <w:r w:rsidR="00A1109B">
        <w:t>that used to determine the assets utilization ability of the firm to generate revenue</w:t>
      </w:r>
      <w:r w:rsidR="00BA2AB1">
        <w:t xml:space="preserve"> (</w:t>
      </w:r>
      <w:r w:rsidR="00BA2AB1" w:rsidRPr="0053075D">
        <w:t>Chandra</w:t>
      </w:r>
      <w:r w:rsidR="00BA2AB1">
        <w:t xml:space="preserve"> </w:t>
      </w:r>
      <w:r w:rsidR="00BA2AB1">
        <w:rPr>
          <w:i/>
        </w:rPr>
        <w:t>et al.</w:t>
      </w:r>
      <w:r w:rsidR="00BA2AB1">
        <w:t xml:space="preserve"> 2020)</w:t>
      </w:r>
      <w:r w:rsidR="00A1109B">
        <w:t xml:space="preserve">. This ratio used to determine the performance of the business from the aspects of assets utilization. </w:t>
      </w:r>
    </w:p>
    <w:p w14:paraId="6B636155" w14:textId="77777777" w:rsidR="00A1109B" w:rsidRDefault="001A717D" w:rsidP="009466DA">
      <m:oMathPara>
        <m:oMathParaPr>
          <m:jc m:val="left"/>
        </m:oMathParaPr>
        <m:oMath>
          <m:r>
            <w:rPr>
              <w:rFonts w:ascii="Cambria Math" w:hAnsi="Cambria Math"/>
            </w:rPr>
            <m:t xml:space="preserve">Assets Turnover= </m:t>
          </m:r>
          <m:f>
            <m:fPr>
              <m:ctrlPr>
                <w:rPr>
                  <w:rFonts w:ascii="Cambria Math" w:hAnsi="Cambria Math"/>
                  <w:i/>
                </w:rPr>
              </m:ctrlPr>
            </m:fPr>
            <m:num>
              <m:r>
                <w:rPr>
                  <w:rFonts w:ascii="Cambria Math" w:hAnsi="Cambria Math"/>
                </w:rPr>
                <m:t>Net Sales</m:t>
              </m:r>
            </m:num>
            <m:den>
              <m:r>
                <w:rPr>
                  <w:rFonts w:ascii="Cambria Math" w:hAnsi="Cambria Math"/>
                </w:rPr>
                <m:t>Total Assets</m:t>
              </m:r>
            </m:den>
          </m:f>
        </m:oMath>
      </m:oMathPara>
    </w:p>
    <w:p w14:paraId="6B636156" w14:textId="77777777" w:rsidR="00F34A3F" w:rsidRDefault="00F34A3F" w:rsidP="009466DA">
      <m:oMathPara>
        <m:oMathParaPr>
          <m:jc m:val="left"/>
        </m:oMathParaPr>
        <m:oMath>
          <m:r>
            <w:rPr>
              <w:rFonts w:ascii="Cambria Math" w:hAnsi="Cambria Math"/>
            </w:rPr>
            <m:t xml:space="preserve">Assets Turnoverfor 2020= </m:t>
          </m:r>
          <m:f>
            <m:fPr>
              <m:ctrlPr>
                <w:rPr>
                  <w:rFonts w:ascii="Cambria Math" w:hAnsi="Cambria Math"/>
                  <w:i/>
                </w:rPr>
              </m:ctrlPr>
            </m:fPr>
            <m:num>
              <m:r>
                <w:rPr>
                  <w:rFonts w:ascii="Cambria Math" w:hAnsi="Cambria Math"/>
                </w:rPr>
                <m:t>6738</m:t>
              </m:r>
            </m:num>
            <m:den>
              <m:r>
                <w:rPr>
                  <w:rFonts w:ascii="Cambria Math" w:hAnsi="Cambria Math"/>
                </w:rPr>
                <m:t>9736</m:t>
              </m:r>
            </m:den>
          </m:f>
        </m:oMath>
      </m:oMathPara>
    </w:p>
    <w:p w14:paraId="6B636157" w14:textId="77777777" w:rsidR="00F34A3F" w:rsidRPr="00F34A3F" w:rsidRDefault="00F34A3F" w:rsidP="009466DA">
      <w:r>
        <w:t>Assets turnover for 2020 = 0.69</w:t>
      </w:r>
    </w:p>
    <w:p w14:paraId="6B636158" w14:textId="77777777" w:rsidR="00F34A3F" w:rsidRDefault="00F34A3F" w:rsidP="009466DA">
      <m:oMathPara>
        <m:oMathParaPr>
          <m:jc m:val="left"/>
        </m:oMathParaPr>
        <m:oMath>
          <m:r>
            <w:rPr>
              <w:rFonts w:ascii="Cambria Math" w:hAnsi="Cambria Math"/>
            </w:rPr>
            <m:t xml:space="preserve">Assets Turnoverfor 2019= </m:t>
          </m:r>
          <m:f>
            <m:fPr>
              <m:ctrlPr>
                <w:rPr>
                  <w:rFonts w:ascii="Cambria Math" w:hAnsi="Cambria Math"/>
                  <w:i/>
                </w:rPr>
              </m:ctrlPr>
            </m:fPr>
            <m:num>
              <m:r>
                <w:rPr>
                  <w:rFonts w:ascii="Cambria Math" w:hAnsi="Cambria Math"/>
                </w:rPr>
                <m:t>6441</m:t>
              </m:r>
            </m:num>
            <m:den>
              <m:r>
                <w:rPr>
                  <w:rFonts w:ascii="Cambria Math" w:hAnsi="Cambria Math"/>
                </w:rPr>
                <m:t>10087</m:t>
              </m:r>
            </m:den>
          </m:f>
        </m:oMath>
      </m:oMathPara>
    </w:p>
    <w:p w14:paraId="6B636159" w14:textId="77777777" w:rsidR="00F34A3F" w:rsidRPr="00F34A3F" w:rsidRDefault="00F34A3F" w:rsidP="009466DA">
      <w:r>
        <w:t>Assets turnover for 2019 = 0.64</w:t>
      </w:r>
    </w:p>
    <w:p w14:paraId="6B63615A" w14:textId="77777777" w:rsidR="00A1109B" w:rsidRDefault="00A1109B" w:rsidP="009466DA">
      <w:r>
        <w:t xml:space="preserve">6. </w:t>
      </w:r>
      <w:r w:rsidRPr="00A1109B">
        <w:rPr>
          <w:b/>
        </w:rPr>
        <w:t>Stock Holding days</w:t>
      </w:r>
      <w:r>
        <w:t>: Stock holding days is the efficiency ratio that reflects the efficiency of the organization to move its inventory quickly</w:t>
      </w:r>
      <w:r w:rsidR="00BA2AB1">
        <w:t xml:space="preserve"> (</w:t>
      </w:r>
      <w:proofErr w:type="spellStart"/>
      <w:r w:rsidR="00BA2AB1" w:rsidRPr="0053075D">
        <w:t>Stangl</w:t>
      </w:r>
      <w:proofErr w:type="spellEnd"/>
      <w:r w:rsidR="00BA2AB1">
        <w:t xml:space="preserve"> </w:t>
      </w:r>
      <w:r w:rsidR="00BA2AB1" w:rsidRPr="0053075D">
        <w:t xml:space="preserve">and </w:t>
      </w:r>
      <w:proofErr w:type="spellStart"/>
      <w:r w:rsidR="00BA2AB1" w:rsidRPr="0053075D">
        <w:t>Thonemann</w:t>
      </w:r>
      <w:proofErr w:type="spellEnd"/>
      <w:r w:rsidR="00BA2AB1">
        <w:t>, 2017)</w:t>
      </w:r>
      <w:r>
        <w:t xml:space="preserve">. This ratio shows the days taken by the organization to move its inventories in the business operation. Lower movement days indicate towards the higher efficiency for the business. </w:t>
      </w:r>
    </w:p>
    <w:p w14:paraId="6B63615B" w14:textId="77777777" w:rsidR="00A1109B" w:rsidRDefault="001A717D" w:rsidP="009466DA">
      <m:oMathPara>
        <m:oMathParaPr>
          <m:jc m:val="left"/>
        </m:oMathParaPr>
        <m:oMath>
          <m:r>
            <w:rPr>
              <w:rFonts w:ascii="Cambria Math" w:hAnsi="Cambria Math"/>
            </w:rPr>
            <w:lastRenderedPageBreak/>
            <m:t xml:space="preserve">Stock Holding days= </m:t>
          </m:r>
          <m:f>
            <m:fPr>
              <m:ctrlPr>
                <w:rPr>
                  <w:rFonts w:ascii="Cambria Math" w:hAnsi="Cambria Math"/>
                  <w:i/>
                </w:rPr>
              </m:ctrlPr>
            </m:fPr>
            <m:num>
              <m:r>
                <w:rPr>
                  <w:rFonts w:ascii="Cambria Math" w:hAnsi="Cambria Math"/>
                </w:rPr>
                <m:t>Inventory</m:t>
              </m:r>
            </m:num>
            <m:den>
              <m:r>
                <w:rPr>
                  <w:rFonts w:ascii="Cambria Math" w:hAnsi="Cambria Math"/>
                </w:rPr>
                <m:t>COGS</m:t>
              </m:r>
            </m:den>
          </m:f>
          <m:r>
            <w:rPr>
              <w:rFonts w:ascii="Cambria Math" w:hAnsi="Cambria Math"/>
            </w:rPr>
            <m:t xml:space="preserve"> ×365</m:t>
          </m:r>
        </m:oMath>
      </m:oMathPara>
    </w:p>
    <w:p w14:paraId="6B63615C" w14:textId="77777777" w:rsidR="001B60EA" w:rsidRPr="001B60EA" w:rsidRDefault="001B60EA" w:rsidP="009466DA">
      <m:oMathPara>
        <m:oMathParaPr>
          <m:jc m:val="left"/>
        </m:oMathParaPr>
        <m:oMath>
          <m:r>
            <w:rPr>
              <w:rFonts w:ascii="Cambria Math" w:hAnsi="Cambria Math"/>
            </w:rPr>
            <m:t xml:space="preserve">Stock Holding days for 2020= </m:t>
          </m:r>
          <m:f>
            <m:fPr>
              <m:ctrlPr>
                <w:rPr>
                  <w:rFonts w:ascii="Cambria Math" w:hAnsi="Cambria Math"/>
                  <w:i/>
                </w:rPr>
              </m:ctrlPr>
            </m:fPr>
            <m:num>
              <m:r>
                <w:rPr>
                  <w:rFonts w:ascii="Cambria Math" w:hAnsi="Cambria Math"/>
                </w:rPr>
                <m:t>708</m:t>
              </m:r>
            </m:num>
            <m:den>
              <m:r>
                <w:rPr>
                  <w:rFonts w:ascii="Cambria Math" w:hAnsi="Cambria Math"/>
                </w:rPr>
                <m:t>3235</m:t>
              </m:r>
            </m:den>
          </m:f>
          <m:r>
            <w:rPr>
              <w:rFonts w:ascii="Cambria Math" w:hAnsi="Cambria Math"/>
            </w:rPr>
            <m:t xml:space="preserve"> ×365</m:t>
          </m:r>
        </m:oMath>
      </m:oMathPara>
    </w:p>
    <w:p w14:paraId="6B63615D" w14:textId="77777777" w:rsidR="001B60EA" w:rsidRDefault="001B60EA" w:rsidP="009466DA">
      <w:r>
        <w:t>Stock Holding days for 2020 = 79.88 or 80 days</w:t>
      </w:r>
    </w:p>
    <w:p w14:paraId="6B63615E" w14:textId="77777777" w:rsidR="001B60EA" w:rsidRPr="001B60EA" w:rsidRDefault="001B60EA" w:rsidP="009466DA">
      <m:oMathPara>
        <m:oMathParaPr>
          <m:jc m:val="left"/>
        </m:oMathParaPr>
        <m:oMath>
          <m:r>
            <w:rPr>
              <w:rFonts w:ascii="Cambria Math" w:hAnsi="Cambria Math"/>
            </w:rPr>
            <m:t xml:space="preserve">Stock Holding days for 2019= </m:t>
          </m:r>
          <m:f>
            <m:fPr>
              <m:ctrlPr>
                <w:rPr>
                  <w:rFonts w:ascii="Cambria Math" w:hAnsi="Cambria Math"/>
                  <w:i/>
                </w:rPr>
              </m:ctrlPr>
            </m:fPr>
            <m:num>
              <m:r>
                <w:rPr>
                  <w:rFonts w:ascii="Cambria Math" w:hAnsi="Cambria Math"/>
                </w:rPr>
                <m:t>659</m:t>
              </m:r>
            </m:num>
            <m:den>
              <m:r>
                <w:rPr>
                  <w:rFonts w:ascii="Cambria Math" w:hAnsi="Cambria Math"/>
                </w:rPr>
                <m:t>3096</m:t>
              </m:r>
            </m:den>
          </m:f>
          <m:r>
            <w:rPr>
              <w:rFonts w:ascii="Cambria Math" w:hAnsi="Cambria Math"/>
            </w:rPr>
            <m:t xml:space="preserve"> ×365</m:t>
          </m:r>
        </m:oMath>
      </m:oMathPara>
    </w:p>
    <w:p w14:paraId="6B63615F" w14:textId="77777777" w:rsidR="001B60EA" w:rsidRPr="001B60EA" w:rsidRDefault="001B60EA" w:rsidP="009466DA">
      <w:r>
        <w:t>Stock Holding days for 2019 = 77.69 or 78 days</w:t>
      </w:r>
    </w:p>
    <w:p w14:paraId="6B636160" w14:textId="77777777" w:rsidR="00A1109B" w:rsidRDefault="00A1109B" w:rsidP="009466DA">
      <w:r>
        <w:t xml:space="preserve">7. </w:t>
      </w:r>
      <w:r w:rsidRPr="00A1109B">
        <w:rPr>
          <w:b/>
        </w:rPr>
        <w:t>Debtors Collection period</w:t>
      </w:r>
      <w:r>
        <w:t xml:space="preserve">: </w:t>
      </w:r>
      <w:proofErr w:type="gramStart"/>
      <w:r>
        <w:t>Debtors</w:t>
      </w:r>
      <w:proofErr w:type="gramEnd"/>
      <w:r>
        <w:t xml:space="preserve"> collection period is the financial measurement that reflects the efficiency of the firm to manage its debtors effectively</w:t>
      </w:r>
      <w:r w:rsidR="00BA2AB1">
        <w:t xml:space="preserve"> (</w:t>
      </w:r>
      <w:proofErr w:type="spellStart"/>
      <w:r w:rsidR="00BA2AB1" w:rsidRPr="0053075D">
        <w:t>Wafula</w:t>
      </w:r>
      <w:proofErr w:type="spellEnd"/>
      <w:r w:rsidR="00BA2AB1">
        <w:t xml:space="preserve"> </w:t>
      </w:r>
      <w:r w:rsidR="00BA2AB1">
        <w:rPr>
          <w:i/>
        </w:rPr>
        <w:t>et al.</w:t>
      </w:r>
      <w:r w:rsidR="00BA2AB1">
        <w:t xml:space="preserve"> 2019)</w:t>
      </w:r>
      <w:r>
        <w:t xml:space="preserve">. This ratio shows the capabilities of the business to collect the debt from its debtors quickly. Average debt collection time has been recognizing through using this ratio. </w:t>
      </w:r>
    </w:p>
    <w:p w14:paraId="6B636161" w14:textId="77777777" w:rsidR="00A1109B" w:rsidRDefault="001A717D" w:rsidP="009466DA">
      <m:oMathPara>
        <m:oMathParaPr>
          <m:jc m:val="left"/>
        </m:oMathParaPr>
        <m:oMath>
          <m:r>
            <w:rPr>
              <w:rFonts w:ascii="Cambria Math" w:hAnsi="Cambria Math"/>
            </w:rPr>
            <m:t xml:space="preserve">Debtors Collection periods= </m:t>
          </m:r>
          <m:f>
            <m:fPr>
              <m:ctrlPr>
                <w:rPr>
                  <w:rFonts w:ascii="Cambria Math" w:hAnsi="Cambria Math"/>
                  <w:i/>
                </w:rPr>
              </m:ctrlPr>
            </m:fPr>
            <m:num>
              <m:r>
                <w:rPr>
                  <w:rFonts w:ascii="Cambria Math" w:hAnsi="Cambria Math"/>
                </w:rPr>
                <m:t>Debtors</m:t>
              </m:r>
            </m:num>
            <m:den>
              <m:r>
                <w:rPr>
                  <w:rFonts w:ascii="Cambria Math" w:hAnsi="Cambria Math"/>
                </w:rPr>
                <m:t>Sales Turnover</m:t>
              </m:r>
            </m:den>
          </m:f>
          <m:r>
            <w:rPr>
              <w:rFonts w:ascii="Cambria Math" w:hAnsi="Cambria Math"/>
            </w:rPr>
            <m:t xml:space="preserve"> ×365</m:t>
          </m:r>
        </m:oMath>
      </m:oMathPara>
    </w:p>
    <w:p w14:paraId="6B636162" w14:textId="77777777" w:rsidR="00751F00" w:rsidRPr="00751F00" w:rsidRDefault="00751F00" w:rsidP="009466DA">
      <m:oMathPara>
        <m:oMathParaPr>
          <m:jc m:val="left"/>
        </m:oMathParaPr>
        <m:oMath>
          <m:r>
            <w:rPr>
              <w:rFonts w:ascii="Cambria Math" w:hAnsi="Cambria Math"/>
            </w:rPr>
            <m:t xml:space="preserve">Debtors Collection periods for 2020= </m:t>
          </m:r>
          <m:f>
            <m:fPr>
              <m:ctrlPr>
                <w:rPr>
                  <w:rFonts w:ascii="Cambria Math" w:hAnsi="Cambria Math"/>
                  <w:i/>
                </w:rPr>
              </m:ctrlPr>
            </m:fPr>
            <m:num>
              <m:r>
                <w:rPr>
                  <w:rFonts w:ascii="Cambria Math" w:hAnsi="Cambria Math"/>
                </w:rPr>
                <m:t>1249</m:t>
              </m:r>
            </m:num>
            <m:den>
              <m:r>
                <w:rPr>
                  <w:rFonts w:ascii="Cambria Math" w:hAnsi="Cambria Math"/>
                </w:rPr>
                <m:t>6738</m:t>
              </m:r>
            </m:den>
          </m:f>
          <m:r>
            <w:rPr>
              <w:rFonts w:ascii="Cambria Math" w:hAnsi="Cambria Math"/>
            </w:rPr>
            <m:t xml:space="preserve"> ×365</m:t>
          </m:r>
        </m:oMath>
      </m:oMathPara>
    </w:p>
    <w:p w14:paraId="6B636163" w14:textId="77777777" w:rsidR="00751F00" w:rsidRDefault="00751F00" w:rsidP="009466DA">
      <w:r>
        <w:t>Debtors Collection period for 2020 = 67.66 or 68 days</w:t>
      </w:r>
    </w:p>
    <w:p w14:paraId="6B636164" w14:textId="77777777" w:rsidR="00751F00" w:rsidRPr="00751F00" w:rsidRDefault="00751F00" w:rsidP="009466DA">
      <m:oMathPara>
        <m:oMathParaPr>
          <m:jc m:val="left"/>
        </m:oMathParaPr>
        <m:oMath>
          <m:r>
            <w:rPr>
              <w:rFonts w:ascii="Cambria Math" w:hAnsi="Cambria Math"/>
            </w:rPr>
            <m:t xml:space="preserve">Debtors Collection periods for 2019= </m:t>
          </m:r>
          <m:f>
            <m:fPr>
              <m:ctrlPr>
                <w:rPr>
                  <w:rFonts w:ascii="Cambria Math" w:hAnsi="Cambria Math"/>
                  <w:i/>
                </w:rPr>
              </m:ctrlPr>
            </m:fPr>
            <m:num>
              <m:r>
                <w:rPr>
                  <w:rFonts w:ascii="Cambria Math" w:hAnsi="Cambria Math"/>
                </w:rPr>
                <m:t>1287</m:t>
              </m:r>
            </m:num>
            <m:den>
              <m:r>
                <w:rPr>
                  <w:rFonts w:ascii="Cambria Math" w:hAnsi="Cambria Math"/>
                </w:rPr>
                <m:t>6441</m:t>
              </m:r>
            </m:den>
          </m:f>
          <m:r>
            <w:rPr>
              <w:rFonts w:ascii="Cambria Math" w:hAnsi="Cambria Math"/>
            </w:rPr>
            <m:t xml:space="preserve"> ×365</m:t>
          </m:r>
        </m:oMath>
      </m:oMathPara>
    </w:p>
    <w:p w14:paraId="6B636165" w14:textId="77777777" w:rsidR="00751F00" w:rsidRPr="00751F00" w:rsidRDefault="00751F00" w:rsidP="009466DA">
      <w:r>
        <w:t>Debtors Collection period for 2019 = 72.93 or 73 days</w:t>
      </w:r>
    </w:p>
    <w:p w14:paraId="6B636166" w14:textId="77777777" w:rsidR="00A1109B" w:rsidRDefault="00A1109B" w:rsidP="009466DA">
      <w:r>
        <w:t xml:space="preserve">8. </w:t>
      </w:r>
      <w:r w:rsidRPr="001C4EE1">
        <w:rPr>
          <w:b/>
        </w:rPr>
        <w:t>Current ratio</w:t>
      </w:r>
      <w:r>
        <w:t xml:space="preserve">: Current ratio is the liquidity ratio which shows the financial ability of the firm to pay its </w:t>
      </w:r>
      <w:proofErr w:type="gramStart"/>
      <w:r>
        <w:t>short term</w:t>
      </w:r>
      <w:proofErr w:type="gramEnd"/>
      <w:r>
        <w:t xml:space="preserve"> obligation effectively</w:t>
      </w:r>
      <w:r w:rsidR="00BA2AB1">
        <w:t xml:space="preserve"> (</w:t>
      </w:r>
      <w:proofErr w:type="spellStart"/>
      <w:r w:rsidR="00BA2AB1">
        <w:t>Nuryani</w:t>
      </w:r>
      <w:proofErr w:type="spellEnd"/>
      <w:r w:rsidR="00BA2AB1" w:rsidRPr="0053075D">
        <w:t xml:space="preserve"> and </w:t>
      </w:r>
      <w:proofErr w:type="spellStart"/>
      <w:r w:rsidR="00BA2AB1" w:rsidRPr="0053075D">
        <w:t>Sunarsi</w:t>
      </w:r>
      <w:proofErr w:type="spellEnd"/>
      <w:r w:rsidR="00BA2AB1">
        <w:t>, 2020)</w:t>
      </w:r>
      <w:r>
        <w:t xml:space="preserve">. Liquidity position can be </w:t>
      </w:r>
      <w:proofErr w:type="gramStart"/>
      <w:r>
        <w:t>examine</w:t>
      </w:r>
      <w:proofErr w:type="gramEnd"/>
      <w:r>
        <w:t xml:space="preserve"> through using the current ratio in the business operation. Current ratio can be measured through using current assets and current liability of the business. </w:t>
      </w:r>
    </w:p>
    <w:p w14:paraId="6B636167" w14:textId="77777777" w:rsidR="00A1109B" w:rsidRDefault="001A717D" w:rsidP="009466DA">
      <m:oMathPara>
        <m:oMathParaPr>
          <m:jc m:val="left"/>
        </m:oMathParaPr>
        <m:oMath>
          <m:r>
            <w:rPr>
              <w:rFonts w:ascii="Cambria Math" w:hAnsi="Cambria Math"/>
            </w:rPr>
            <m:t xml:space="preserve">Current Ratio= </m:t>
          </m:r>
          <m:f>
            <m:fPr>
              <m:ctrlPr>
                <w:rPr>
                  <w:rFonts w:ascii="Cambria Math" w:hAnsi="Cambria Math"/>
                  <w:i/>
                </w:rPr>
              </m:ctrlPr>
            </m:fPr>
            <m:num>
              <m:r>
                <w:rPr>
                  <w:rFonts w:ascii="Cambria Math" w:hAnsi="Cambria Math"/>
                </w:rPr>
                <m:t>Current Assets</m:t>
              </m:r>
            </m:num>
            <m:den>
              <m:r>
                <w:rPr>
                  <w:rFonts w:ascii="Cambria Math" w:hAnsi="Cambria Math"/>
                </w:rPr>
                <m:t>Current Liabilities</m:t>
              </m:r>
            </m:den>
          </m:f>
        </m:oMath>
      </m:oMathPara>
    </w:p>
    <w:p w14:paraId="6B636168" w14:textId="77777777" w:rsidR="00751F00" w:rsidRPr="00751F00" w:rsidRDefault="00751F00" w:rsidP="009466DA">
      <m:oMathPara>
        <m:oMathParaPr>
          <m:jc m:val="left"/>
        </m:oMathParaPr>
        <m:oMath>
          <m:r>
            <w:rPr>
              <w:rFonts w:ascii="Cambria Math" w:hAnsi="Cambria Math"/>
            </w:rPr>
            <w:lastRenderedPageBreak/>
            <m:t xml:space="preserve">Current Ratio for 2020= </m:t>
          </m:r>
          <m:f>
            <m:fPr>
              <m:ctrlPr>
                <w:rPr>
                  <w:rFonts w:ascii="Cambria Math" w:hAnsi="Cambria Math"/>
                  <w:i/>
                </w:rPr>
              </m:ctrlPr>
            </m:fPr>
            <m:num>
              <m:r>
                <w:rPr>
                  <w:rFonts w:ascii="Cambria Math" w:hAnsi="Cambria Math"/>
                </w:rPr>
                <m:t>2303</m:t>
              </m:r>
            </m:num>
            <m:den>
              <m:r>
                <w:rPr>
                  <w:rFonts w:ascii="Cambria Math" w:hAnsi="Cambria Math"/>
                </w:rPr>
                <m:t>2511</m:t>
              </m:r>
            </m:den>
          </m:f>
        </m:oMath>
      </m:oMathPara>
    </w:p>
    <w:p w14:paraId="6B636169" w14:textId="77777777" w:rsidR="00751F00" w:rsidRDefault="00751F00" w:rsidP="009466DA">
      <w:r>
        <w:t>Current ratio for 2020 = 0.91:1</w:t>
      </w:r>
    </w:p>
    <w:p w14:paraId="6B63616A" w14:textId="77777777" w:rsidR="00751F00" w:rsidRPr="00751F00" w:rsidRDefault="00751F00" w:rsidP="009466DA">
      <m:oMathPara>
        <m:oMathParaPr>
          <m:jc m:val="left"/>
        </m:oMathParaPr>
        <m:oMath>
          <m:r>
            <w:rPr>
              <w:rFonts w:ascii="Cambria Math" w:hAnsi="Cambria Math"/>
            </w:rPr>
            <m:t xml:space="preserve">Current Ratio for 2019= </m:t>
          </m:r>
          <m:f>
            <m:fPr>
              <m:ctrlPr>
                <w:rPr>
                  <w:rFonts w:ascii="Cambria Math" w:hAnsi="Cambria Math"/>
                  <w:i/>
                </w:rPr>
              </m:ctrlPr>
            </m:fPr>
            <m:num>
              <m:r>
                <w:rPr>
                  <w:rFonts w:ascii="Cambria Math" w:hAnsi="Cambria Math"/>
                </w:rPr>
                <m:t>2355</m:t>
              </m:r>
            </m:num>
            <m:den>
              <m:r>
                <w:rPr>
                  <w:rFonts w:ascii="Cambria Math" w:hAnsi="Cambria Math"/>
                </w:rPr>
                <m:t>3046</m:t>
              </m:r>
            </m:den>
          </m:f>
        </m:oMath>
      </m:oMathPara>
    </w:p>
    <w:p w14:paraId="6B63616B" w14:textId="77777777" w:rsidR="00751F00" w:rsidRPr="00751F00" w:rsidRDefault="00751F00" w:rsidP="009466DA">
      <w:r>
        <w:t>Current ratio for 2019 = 0.77:1</w:t>
      </w:r>
    </w:p>
    <w:p w14:paraId="6B63616C" w14:textId="77777777" w:rsidR="00A1109B" w:rsidRDefault="00A1109B" w:rsidP="009466DA">
      <w:r>
        <w:t xml:space="preserve">9. </w:t>
      </w:r>
      <w:r w:rsidRPr="001C4EE1">
        <w:rPr>
          <w:b/>
        </w:rPr>
        <w:t>Gearing ratio</w:t>
      </w:r>
      <w:r>
        <w:t>: Gearing ratio used to determine the financial risk include in the business operation</w:t>
      </w:r>
      <w:r w:rsidR="00BA2AB1">
        <w:t xml:space="preserve"> (</w:t>
      </w:r>
      <w:proofErr w:type="spellStart"/>
      <w:r w:rsidR="00BA2AB1" w:rsidRPr="0053075D">
        <w:t>Suteja</w:t>
      </w:r>
      <w:proofErr w:type="spellEnd"/>
      <w:r w:rsidR="00BA2AB1" w:rsidRPr="0053075D">
        <w:t xml:space="preserve"> and </w:t>
      </w:r>
      <w:proofErr w:type="spellStart"/>
      <w:r w:rsidR="00BA2AB1" w:rsidRPr="0053075D">
        <w:t>Majidah</w:t>
      </w:r>
      <w:proofErr w:type="spellEnd"/>
      <w:r w:rsidR="00BA2AB1">
        <w:t>, 2020)</w:t>
      </w:r>
      <w:r>
        <w:t xml:space="preserve">. Financial leverage can be identified through determine the gearing ratio for the business. This ratio can be identified through identifying the percentage of debt and equity in the financing process of the firm. </w:t>
      </w:r>
    </w:p>
    <w:p w14:paraId="6B63616D" w14:textId="77777777" w:rsidR="00A1109B" w:rsidRDefault="001A717D" w:rsidP="009466DA">
      <m:oMathPara>
        <m:oMathParaPr>
          <m:jc m:val="left"/>
        </m:oMathParaPr>
        <m:oMath>
          <m:r>
            <w:rPr>
              <w:rFonts w:ascii="Cambria Math" w:hAnsi="Cambria Math"/>
            </w:rPr>
            <m:t xml:space="preserve">Gearing ratio= </m:t>
          </m:r>
          <m:f>
            <m:fPr>
              <m:ctrlPr>
                <w:rPr>
                  <w:rFonts w:ascii="Cambria Math" w:hAnsi="Cambria Math"/>
                  <w:i/>
                </w:rPr>
              </m:ctrlPr>
            </m:fPr>
            <m:num>
              <m:r>
                <w:rPr>
                  <w:rFonts w:ascii="Cambria Math" w:hAnsi="Cambria Math"/>
                </w:rPr>
                <m:t>Total Debt</m:t>
              </m:r>
            </m:num>
            <m:den>
              <m:r>
                <w:rPr>
                  <w:rFonts w:ascii="Cambria Math" w:hAnsi="Cambria Math"/>
                </w:rPr>
                <m:t>Total Shareholders Equity</m:t>
              </m:r>
            </m:den>
          </m:f>
        </m:oMath>
      </m:oMathPara>
    </w:p>
    <w:p w14:paraId="6B63616E" w14:textId="77777777" w:rsidR="00751F00" w:rsidRPr="00751F00" w:rsidRDefault="00751F00" w:rsidP="009466DA">
      <m:oMathPara>
        <m:oMathParaPr>
          <m:jc m:val="left"/>
        </m:oMathParaPr>
        <m:oMath>
          <m:r>
            <w:rPr>
              <w:rFonts w:ascii="Cambria Math" w:hAnsi="Cambria Math"/>
            </w:rPr>
            <m:t xml:space="preserve">Gearing ratiofor 2020= </m:t>
          </m:r>
          <m:f>
            <m:fPr>
              <m:ctrlPr>
                <w:rPr>
                  <w:rFonts w:ascii="Cambria Math" w:hAnsi="Cambria Math"/>
                  <w:i/>
                </w:rPr>
              </m:ctrlPr>
            </m:fPr>
            <m:num>
              <m:r>
                <w:rPr>
                  <w:rFonts w:ascii="Cambria Math" w:hAnsi="Cambria Math"/>
                </w:rPr>
                <m:t>4137</m:t>
              </m:r>
            </m:num>
            <m:den>
              <m:r>
                <w:rPr>
                  <w:rFonts w:ascii="Cambria Math" w:hAnsi="Cambria Math"/>
                </w:rPr>
                <m:t>3088</m:t>
              </m:r>
            </m:den>
          </m:f>
        </m:oMath>
      </m:oMathPara>
    </w:p>
    <w:p w14:paraId="6B63616F" w14:textId="77777777" w:rsidR="00751F00" w:rsidRDefault="00751F00" w:rsidP="009466DA">
      <w:r>
        <w:t>Gearing ratio for 2020 = 1.34 times</w:t>
      </w:r>
    </w:p>
    <w:p w14:paraId="6B636170" w14:textId="77777777" w:rsidR="00751F00" w:rsidRPr="00751F00" w:rsidRDefault="00751F00" w:rsidP="009466DA">
      <m:oMathPara>
        <m:oMathParaPr>
          <m:jc m:val="left"/>
        </m:oMathParaPr>
        <m:oMath>
          <m:r>
            <w:rPr>
              <w:rFonts w:ascii="Cambria Math" w:hAnsi="Cambria Math"/>
            </w:rPr>
            <m:t xml:space="preserve">Gearing ratiofor 2019= </m:t>
          </m:r>
          <m:f>
            <m:fPr>
              <m:ctrlPr>
                <w:rPr>
                  <w:rFonts w:ascii="Cambria Math" w:hAnsi="Cambria Math"/>
                  <w:i/>
                </w:rPr>
              </m:ctrlPr>
            </m:fPr>
            <m:num>
              <m:r>
                <w:rPr>
                  <w:rFonts w:ascii="Cambria Math" w:hAnsi="Cambria Math"/>
                </w:rPr>
                <m:t>4129</m:t>
              </m:r>
            </m:num>
            <m:den>
              <m:r>
                <w:rPr>
                  <w:rFonts w:ascii="Cambria Math" w:hAnsi="Cambria Math"/>
                </w:rPr>
                <m:t>2912</m:t>
              </m:r>
            </m:den>
          </m:f>
        </m:oMath>
      </m:oMathPara>
    </w:p>
    <w:p w14:paraId="6B636171" w14:textId="77777777" w:rsidR="00751F00" w:rsidRPr="00751F00" w:rsidRDefault="00751F00" w:rsidP="009466DA">
      <w:r>
        <w:t>Gearing ratio for 2019 = 1.42 times</w:t>
      </w:r>
    </w:p>
    <w:p w14:paraId="6B636172" w14:textId="77777777" w:rsidR="00A1109B" w:rsidRDefault="00A1109B" w:rsidP="009466DA">
      <w:r>
        <w:t xml:space="preserve">10. </w:t>
      </w:r>
      <w:r w:rsidRPr="001C4EE1">
        <w:rPr>
          <w:b/>
        </w:rPr>
        <w:t>Interest Cover</w:t>
      </w:r>
      <w:r>
        <w:t xml:space="preserve">: Interest coverage ratio is the solvency ratio which shows the capabilities of the firm to pay its interest on borrowings through using earnings. Interest payment capabilities of the business can be </w:t>
      </w:r>
      <w:proofErr w:type="gramStart"/>
      <w:r>
        <w:t>evaluates</w:t>
      </w:r>
      <w:proofErr w:type="gramEnd"/>
      <w:r>
        <w:t xml:space="preserve"> through using this ratio. </w:t>
      </w:r>
    </w:p>
    <w:p w14:paraId="6B636173" w14:textId="77777777" w:rsidR="001C4EE1" w:rsidRDefault="001A717D" w:rsidP="009466DA">
      <m:oMathPara>
        <m:oMathParaPr>
          <m:jc m:val="left"/>
        </m:oMathParaPr>
        <m:oMath>
          <m:r>
            <w:rPr>
              <w:rFonts w:ascii="Cambria Math" w:hAnsi="Cambria Math"/>
            </w:rPr>
            <m:t xml:space="preserve">Interest Coverage ratio= </m:t>
          </m:r>
          <m:f>
            <m:fPr>
              <m:ctrlPr>
                <w:rPr>
                  <w:rFonts w:ascii="Cambria Math" w:hAnsi="Cambria Math"/>
                  <w:i/>
                </w:rPr>
              </m:ctrlPr>
            </m:fPr>
            <m:num>
              <m:r>
                <w:rPr>
                  <w:rFonts w:ascii="Cambria Math" w:hAnsi="Cambria Math"/>
                </w:rPr>
                <m:t>EBIT</m:t>
              </m:r>
            </m:num>
            <m:den>
              <m:r>
                <w:rPr>
                  <w:rFonts w:ascii="Cambria Math" w:hAnsi="Cambria Math"/>
                </w:rPr>
                <m:t>Interest Expenses</m:t>
              </m:r>
            </m:den>
          </m:f>
        </m:oMath>
      </m:oMathPara>
    </w:p>
    <w:p w14:paraId="6B636174" w14:textId="77777777" w:rsidR="00751F00" w:rsidRPr="00751F00" w:rsidRDefault="00751F00" w:rsidP="009466DA">
      <m:oMathPara>
        <m:oMathParaPr>
          <m:jc m:val="left"/>
        </m:oMathParaPr>
        <m:oMath>
          <m:r>
            <w:rPr>
              <w:rFonts w:ascii="Cambria Math" w:hAnsi="Cambria Math"/>
            </w:rPr>
            <m:t xml:space="preserve">Interest Coverage ratio for 2020= </m:t>
          </m:r>
          <m:f>
            <m:fPr>
              <m:ctrlPr>
                <w:rPr>
                  <w:rFonts w:ascii="Cambria Math" w:hAnsi="Cambria Math"/>
                  <w:i/>
                </w:rPr>
              </m:ctrlPr>
            </m:fPr>
            <m:num>
              <m:r>
                <w:rPr>
                  <w:rFonts w:ascii="Cambria Math" w:hAnsi="Cambria Math"/>
                </w:rPr>
                <m:t>805</m:t>
              </m:r>
            </m:num>
            <m:den>
              <m:r>
                <w:rPr>
                  <w:rFonts w:ascii="Cambria Math" w:hAnsi="Cambria Math"/>
                </w:rPr>
                <m:t>226</m:t>
              </m:r>
            </m:den>
          </m:f>
        </m:oMath>
      </m:oMathPara>
    </w:p>
    <w:p w14:paraId="6B636175" w14:textId="77777777" w:rsidR="00751F00" w:rsidRDefault="00751F00" w:rsidP="009466DA">
      <w:r>
        <w:t>Interest Coverage ratio for 2020 = 3.56 times</w:t>
      </w:r>
    </w:p>
    <w:p w14:paraId="6B636176" w14:textId="77777777" w:rsidR="00751F00" w:rsidRPr="00751F00" w:rsidRDefault="00751F00" w:rsidP="009466DA">
      <m:oMathPara>
        <m:oMathParaPr>
          <m:jc m:val="left"/>
        </m:oMathParaPr>
        <m:oMath>
          <m:r>
            <w:rPr>
              <w:rFonts w:ascii="Cambria Math" w:hAnsi="Cambria Math"/>
            </w:rPr>
            <w:lastRenderedPageBreak/>
            <m:t xml:space="preserve">Interest Coverage ratiofir 2019= </m:t>
          </m:r>
          <m:f>
            <m:fPr>
              <m:ctrlPr>
                <w:rPr>
                  <w:rFonts w:ascii="Cambria Math" w:hAnsi="Cambria Math"/>
                  <w:i/>
                </w:rPr>
              </m:ctrlPr>
            </m:fPr>
            <m:num>
              <m:r>
                <w:rPr>
                  <w:rFonts w:ascii="Cambria Math" w:hAnsi="Cambria Math"/>
                </w:rPr>
                <m:t>699</m:t>
              </m:r>
            </m:num>
            <m:den>
              <m:r>
                <w:rPr>
                  <w:rFonts w:ascii="Cambria Math" w:hAnsi="Cambria Math"/>
                </w:rPr>
                <m:t>181</m:t>
              </m:r>
            </m:den>
          </m:f>
        </m:oMath>
      </m:oMathPara>
    </w:p>
    <w:p w14:paraId="6B636177" w14:textId="77777777" w:rsidR="00751F00" w:rsidRPr="00751F00" w:rsidRDefault="00751F00" w:rsidP="009466DA">
      <w:r>
        <w:t>Interest Coverage ratio for 2019 = 3.86 times</w:t>
      </w:r>
    </w:p>
    <w:p w14:paraId="6B636178" w14:textId="77777777" w:rsidR="00B92EAB" w:rsidRDefault="00DC217C" w:rsidP="009466DA">
      <w:r>
        <w:t xml:space="preserve">(b) Based on the financial statement of the </w:t>
      </w:r>
      <w:proofErr w:type="spellStart"/>
      <w:r>
        <w:t>Cocco</w:t>
      </w:r>
      <w:proofErr w:type="spellEnd"/>
      <w:r>
        <w:t xml:space="preserve"> Plc and Ratio analyses it can be recognized that the profitability of the firm has increased in 2020 compared to 2019. Here, it is seen that ROCE and Net profit margin of the firm has increased in 2020 compared to 2019 which indicates that the financial profitability performance of the firm has increased in 2020. This data has also </w:t>
      </w:r>
      <w:proofErr w:type="gramStart"/>
      <w:r>
        <w:t>indicates</w:t>
      </w:r>
      <w:proofErr w:type="gramEnd"/>
      <w:r>
        <w:t xml:space="preserve"> that the firm has the potential growth opportunity in the future from the profitability perspective. Most of the investors will attracted towards the business for the investment by seeing this outcome. From the investment perspective, it also seen that the performance of the business has improved in 2020 compared to 2019. Earnings per share and ROE have been used to evaluate the investment opportunity in </w:t>
      </w:r>
      <w:proofErr w:type="spellStart"/>
      <w:r>
        <w:t>Cocco</w:t>
      </w:r>
      <w:proofErr w:type="spellEnd"/>
      <w:r>
        <w:t xml:space="preserve"> Plc. Ratio data indicates that EPS has increased in 2020 with 0.72 compared to 0.61 in 2019. This data clearly indicates that the firm used to attract large number of investors towards the business for the investment. Efficiency of the firm has been measured through using Stock holding period and debtors’ collection period. Stock </w:t>
      </w:r>
      <w:r w:rsidR="00B92EAB">
        <w:t>holding</w:t>
      </w:r>
      <w:r>
        <w:t xml:space="preserve"> days has increased for the firm which indicates that the </w:t>
      </w:r>
      <w:r w:rsidR="00B92EAB">
        <w:t>company</w:t>
      </w:r>
      <w:r>
        <w:t xml:space="preserve"> </w:t>
      </w:r>
      <w:r w:rsidR="00B92EAB">
        <w:t xml:space="preserve">taken long time than before to remove the old stock. On the other hand, </w:t>
      </w:r>
      <w:proofErr w:type="gramStart"/>
      <w:r w:rsidR="00B92EAB">
        <w:t>debtors</w:t>
      </w:r>
      <w:proofErr w:type="gramEnd"/>
      <w:r w:rsidR="00B92EAB">
        <w:t xml:space="preserve"> collection period shows that the company able to improve the debtors management by reducing number of days from 73 days in 2019 to 68 days in 2020. </w:t>
      </w:r>
    </w:p>
    <w:p w14:paraId="6B636179" w14:textId="77777777" w:rsidR="00F34A3F" w:rsidRDefault="00B92EAB" w:rsidP="00987D7B">
      <w:r>
        <w:t xml:space="preserve">Liquidity position has also improved for the firm that the current ratio increased from 0.77 to 0.92 in 2020. This data indicates that the company has the capabilities to pay its </w:t>
      </w:r>
      <w:proofErr w:type="gramStart"/>
      <w:r>
        <w:t>short term</w:t>
      </w:r>
      <w:proofErr w:type="gramEnd"/>
      <w:r>
        <w:t xml:space="preserve"> obligation more quickly and effectively. Gearing ratio shows the capabilities of the firm to handle the financial risk effectively. Financial leverage of the company has reduced in 2020 compared to 2019 which is a good sign for the investors. This outcome indicates that the </w:t>
      </w:r>
      <w:r w:rsidR="00F34A3F">
        <w:t xml:space="preserve">investor </w:t>
      </w:r>
      <w:proofErr w:type="gramStart"/>
      <w:r w:rsidR="00F34A3F">
        <w:t>is</w:t>
      </w:r>
      <w:r>
        <w:t xml:space="preserve"> able to</w:t>
      </w:r>
      <w:proofErr w:type="gramEnd"/>
      <w:r>
        <w:t xml:space="preserve"> invest in the operation with minimal risk level. </w:t>
      </w:r>
      <w:r w:rsidR="00F34A3F">
        <w:t xml:space="preserve">Considering the above analyses, it can be stated that current performance of </w:t>
      </w:r>
      <w:proofErr w:type="spellStart"/>
      <w:r w:rsidR="00F34A3F">
        <w:t>Cocco</w:t>
      </w:r>
      <w:proofErr w:type="spellEnd"/>
      <w:r w:rsidR="00F34A3F">
        <w:t xml:space="preserve"> Plc is effective that the profitability, efficiency, liquidity has </w:t>
      </w:r>
      <w:proofErr w:type="gramStart"/>
      <w:r w:rsidR="00F34A3F">
        <w:t>improved</w:t>
      </w:r>
      <w:proofErr w:type="gramEnd"/>
      <w:r w:rsidR="00F34A3F">
        <w:t xml:space="preserve"> and financial risk has reduced which is good for attracting large number of investors to invest in the business operation. </w:t>
      </w:r>
      <w:r w:rsidR="00F34A3F">
        <w:br w:type="page"/>
      </w:r>
    </w:p>
    <w:p w14:paraId="6B63617A" w14:textId="77777777" w:rsidR="00F34A3F" w:rsidRDefault="00F34A3F" w:rsidP="00F34A3F">
      <w:pPr>
        <w:pStyle w:val="berschrift1"/>
      </w:pPr>
      <w:bookmarkStart w:id="2" w:name="_Toc80932598"/>
      <w:r>
        <w:lastRenderedPageBreak/>
        <w:t>Reference</w:t>
      </w:r>
      <w:bookmarkEnd w:id="2"/>
      <w:r>
        <w:t xml:space="preserve"> </w:t>
      </w:r>
    </w:p>
    <w:p w14:paraId="6B63617B" w14:textId="77777777" w:rsidR="00987D7B" w:rsidRDefault="00987D7B" w:rsidP="00987D7B">
      <w:r w:rsidRPr="0053075D">
        <w:t>Ahmed, A.S. and Safdar, I., 2018. Dissecting stock price momentum using financial statement analysis. </w:t>
      </w:r>
      <w:r w:rsidRPr="00987D7B">
        <w:rPr>
          <w:i/>
          <w:iCs/>
        </w:rPr>
        <w:t>Accounting &amp; Finance</w:t>
      </w:r>
      <w:r w:rsidRPr="0053075D">
        <w:t>, </w:t>
      </w:r>
      <w:r w:rsidRPr="00987D7B">
        <w:rPr>
          <w:i/>
          <w:iCs/>
        </w:rPr>
        <w:t>58</w:t>
      </w:r>
      <w:r w:rsidRPr="0053075D">
        <w:t>, pp.3-43.</w:t>
      </w:r>
    </w:p>
    <w:p w14:paraId="6B63617C" w14:textId="77777777" w:rsidR="00987D7B" w:rsidRDefault="00987D7B" w:rsidP="00987D7B">
      <w:proofErr w:type="spellStart"/>
      <w:r w:rsidRPr="0053075D">
        <w:t>Alpi</w:t>
      </w:r>
      <w:proofErr w:type="spellEnd"/>
      <w:r w:rsidRPr="0053075D">
        <w:t xml:space="preserve">, M.F., 2018. </w:t>
      </w:r>
      <w:proofErr w:type="spellStart"/>
      <w:r w:rsidRPr="0053075D">
        <w:t>Pengaruh</w:t>
      </w:r>
      <w:proofErr w:type="spellEnd"/>
      <w:r w:rsidRPr="0053075D">
        <w:t xml:space="preserve"> Debt </w:t>
      </w:r>
      <w:proofErr w:type="gramStart"/>
      <w:r w:rsidRPr="0053075D">
        <w:t>To</w:t>
      </w:r>
      <w:proofErr w:type="gramEnd"/>
      <w:r w:rsidRPr="0053075D">
        <w:t xml:space="preserve"> Equity Ratio, Inventory Turn Over, Dan Current Ratio </w:t>
      </w:r>
      <w:proofErr w:type="spellStart"/>
      <w:r w:rsidRPr="0053075D">
        <w:t>Terhadap</w:t>
      </w:r>
      <w:proofErr w:type="spellEnd"/>
      <w:r w:rsidRPr="0053075D">
        <w:t xml:space="preserve"> Return On Equity Pada Perusahaan </w:t>
      </w:r>
      <w:proofErr w:type="spellStart"/>
      <w:r w:rsidRPr="0053075D">
        <w:t>Sektor</w:t>
      </w:r>
      <w:proofErr w:type="spellEnd"/>
      <w:r w:rsidRPr="0053075D">
        <w:t xml:space="preserve"> </w:t>
      </w:r>
      <w:proofErr w:type="spellStart"/>
      <w:r w:rsidRPr="0053075D">
        <w:t>Farmasi</w:t>
      </w:r>
      <w:proofErr w:type="spellEnd"/>
      <w:r w:rsidRPr="0053075D">
        <w:t xml:space="preserve"> Yang </w:t>
      </w:r>
      <w:proofErr w:type="spellStart"/>
      <w:r w:rsidRPr="0053075D">
        <w:t>Terdaftar</w:t>
      </w:r>
      <w:proofErr w:type="spellEnd"/>
      <w:r w:rsidRPr="0053075D">
        <w:t xml:space="preserve"> Di Bursa </w:t>
      </w:r>
      <w:proofErr w:type="spellStart"/>
      <w:r w:rsidRPr="0053075D">
        <w:t>Efek</w:t>
      </w:r>
      <w:proofErr w:type="spellEnd"/>
      <w:r w:rsidRPr="0053075D">
        <w:t xml:space="preserve"> Indonesia. The National Conference on Management and Business (NCMAB) 2018.</w:t>
      </w:r>
    </w:p>
    <w:p w14:paraId="6B63617D" w14:textId="77777777" w:rsidR="00987D7B" w:rsidRDefault="00987D7B" w:rsidP="00987D7B">
      <w:proofErr w:type="spellStart"/>
      <w:r w:rsidRPr="0053075D">
        <w:t>Arsal</w:t>
      </w:r>
      <w:proofErr w:type="spellEnd"/>
      <w:r w:rsidRPr="0053075D">
        <w:t>, M., 2021. Impact of earnings per share and dividend per share on firm value. </w:t>
      </w:r>
      <w:r w:rsidRPr="00987D7B">
        <w:rPr>
          <w:i/>
          <w:iCs/>
        </w:rPr>
        <w:t xml:space="preserve">ATESTASI: </w:t>
      </w:r>
      <w:proofErr w:type="spellStart"/>
      <w:r w:rsidRPr="00987D7B">
        <w:rPr>
          <w:i/>
          <w:iCs/>
        </w:rPr>
        <w:t>Jurnal</w:t>
      </w:r>
      <w:proofErr w:type="spellEnd"/>
      <w:r w:rsidRPr="00987D7B">
        <w:rPr>
          <w:i/>
          <w:iCs/>
        </w:rPr>
        <w:t xml:space="preserve"> </w:t>
      </w:r>
      <w:proofErr w:type="spellStart"/>
      <w:r w:rsidRPr="00987D7B">
        <w:rPr>
          <w:i/>
          <w:iCs/>
        </w:rPr>
        <w:t>Ilmiah</w:t>
      </w:r>
      <w:proofErr w:type="spellEnd"/>
      <w:r w:rsidRPr="00987D7B">
        <w:rPr>
          <w:i/>
          <w:iCs/>
        </w:rPr>
        <w:t xml:space="preserve"> </w:t>
      </w:r>
      <w:proofErr w:type="spellStart"/>
      <w:r w:rsidRPr="00987D7B">
        <w:rPr>
          <w:i/>
          <w:iCs/>
        </w:rPr>
        <w:t>Akuntansi</w:t>
      </w:r>
      <w:proofErr w:type="spellEnd"/>
      <w:r w:rsidRPr="0053075D">
        <w:t>, </w:t>
      </w:r>
      <w:r w:rsidRPr="00987D7B">
        <w:rPr>
          <w:i/>
          <w:iCs/>
        </w:rPr>
        <w:t>4</w:t>
      </w:r>
      <w:r w:rsidRPr="0053075D">
        <w:t>(1), pp.11-18.</w:t>
      </w:r>
    </w:p>
    <w:p w14:paraId="6B63617E" w14:textId="77777777" w:rsidR="00987D7B" w:rsidRDefault="00987D7B" w:rsidP="00987D7B">
      <w:r w:rsidRPr="0053075D">
        <w:t xml:space="preserve">Chandra, A., Wijaya, F. and </w:t>
      </w:r>
      <w:proofErr w:type="spellStart"/>
      <w:r w:rsidRPr="0053075D">
        <w:t>Hayati</w:t>
      </w:r>
      <w:proofErr w:type="spellEnd"/>
      <w:r w:rsidRPr="0053075D">
        <w:t xml:space="preserve">, K., 2020. Effect of </w:t>
      </w:r>
      <w:proofErr w:type="gramStart"/>
      <w:r w:rsidRPr="0053075D">
        <w:t>Debt to Equity</w:t>
      </w:r>
      <w:proofErr w:type="gramEnd"/>
      <w:r w:rsidRPr="0053075D">
        <w:t xml:space="preserve"> Ratio, Total Assets Turnover, Firm Size, and Current Ratio on Return on Assets. </w:t>
      </w:r>
      <w:r w:rsidRPr="00987D7B">
        <w:rPr>
          <w:i/>
          <w:iCs/>
        </w:rPr>
        <w:t xml:space="preserve">Journal of Accounting, Finance, and </w:t>
      </w:r>
      <w:proofErr w:type="gramStart"/>
      <w:r w:rsidRPr="00987D7B">
        <w:rPr>
          <w:i/>
          <w:iCs/>
        </w:rPr>
        <w:t>Management</w:t>
      </w:r>
      <w:r w:rsidRPr="0053075D">
        <w:t> ,</w:t>
      </w:r>
      <w:proofErr w:type="gramEnd"/>
      <w:r w:rsidRPr="0053075D">
        <w:t> </w:t>
      </w:r>
      <w:r w:rsidRPr="00987D7B">
        <w:rPr>
          <w:i/>
          <w:iCs/>
        </w:rPr>
        <w:t>2</w:t>
      </w:r>
      <w:r w:rsidRPr="0053075D">
        <w:t> (1), pp.57-69.</w:t>
      </w:r>
    </w:p>
    <w:p w14:paraId="6B63617F" w14:textId="77777777" w:rsidR="00987D7B" w:rsidRDefault="00987D7B" w:rsidP="00987D7B">
      <w:r w:rsidRPr="0053075D">
        <w:t>Ives, M., 2020. Financial Statement Analysis. In </w:t>
      </w:r>
      <w:r w:rsidRPr="00987D7B">
        <w:rPr>
          <w:i/>
          <w:iCs/>
        </w:rPr>
        <w:t>Encyclopedia of Public Administration and Public Policy</w:t>
      </w:r>
      <w:r w:rsidRPr="0053075D">
        <w:t> (pp. 1472-1478). Routledge.</w:t>
      </w:r>
    </w:p>
    <w:p w14:paraId="6B636180" w14:textId="77777777" w:rsidR="00987D7B" w:rsidRDefault="00987D7B" w:rsidP="00987D7B">
      <w:proofErr w:type="spellStart"/>
      <w:r w:rsidRPr="0053075D">
        <w:t>Lisek</w:t>
      </w:r>
      <w:proofErr w:type="spellEnd"/>
      <w:r w:rsidRPr="0053075D">
        <w:t xml:space="preserve">, S., </w:t>
      </w:r>
      <w:proofErr w:type="spellStart"/>
      <w:r w:rsidRPr="0053075D">
        <w:t>Luty</w:t>
      </w:r>
      <w:proofErr w:type="spellEnd"/>
      <w:r w:rsidRPr="0053075D">
        <w:t xml:space="preserve">, L. and </w:t>
      </w:r>
      <w:proofErr w:type="spellStart"/>
      <w:r w:rsidRPr="0053075D">
        <w:t>Zioło</w:t>
      </w:r>
      <w:proofErr w:type="spellEnd"/>
      <w:r w:rsidRPr="0053075D">
        <w:t>, M., 2020. The measurement of return on capital employed in assessment of company’s condition. </w:t>
      </w:r>
      <w:proofErr w:type="spellStart"/>
      <w:r w:rsidRPr="00987D7B">
        <w:rPr>
          <w:i/>
          <w:iCs/>
        </w:rPr>
        <w:t>Zeszyty</w:t>
      </w:r>
      <w:proofErr w:type="spellEnd"/>
      <w:r w:rsidRPr="00987D7B">
        <w:rPr>
          <w:i/>
          <w:iCs/>
        </w:rPr>
        <w:t xml:space="preserve"> </w:t>
      </w:r>
      <w:proofErr w:type="spellStart"/>
      <w:r w:rsidRPr="00987D7B">
        <w:rPr>
          <w:i/>
          <w:iCs/>
        </w:rPr>
        <w:t>Naukowe</w:t>
      </w:r>
      <w:proofErr w:type="spellEnd"/>
      <w:r w:rsidRPr="00987D7B">
        <w:rPr>
          <w:i/>
          <w:iCs/>
        </w:rPr>
        <w:t xml:space="preserve"> </w:t>
      </w:r>
      <w:proofErr w:type="spellStart"/>
      <w:r w:rsidRPr="00987D7B">
        <w:rPr>
          <w:i/>
          <w:iCs/>
        </w:rPr>
        <w:t>Małopolskiej</w:t>
      </w:r>
      <w:proofErr w:type="spellEnd"/>
      <w:r w:rsidRPr="00987D7B">
        <w:rPr>
          <w:i/>
          <w:iCs/>
        </w:rPr>
        <w:t xml:space="preserve"> </w:t>
      </w:r>
      <w:proofErr w:type="spellStart"/>
      <w:r w:rsidRPr="00987D7B">
        <w:rPr>
          <w:i/>
          <w:iCs/>
        </w:rPr>
        <w:t>Wyższej</w:t>
      </w:r>
      <w:proofErr w:type="spellEnd"/>
      <w:r w:rsidRPr="00987D7B">
        <w:rPr>
          <w:i/>
          <w:iCs/>
        </w:rPr>
        <w:t xml:space="preserve"> </w:t>
      </w:r>
      <w:proofErr w:type="spellStart"/>
      <w:r w:rsidRPr="00987D7B">
        <w:rPr>
          <w:i/>
          <w:iCs/>
        </w:rPr>
        <w:t>Szkoły</w:t>
      </w:r>
      <w:proofErr w:type="spellEnd"/>
      <w:r w:rsidRPr="00987D7B">
        <w:rPr>
          <w:i/>
          <w:iCs/>
        </w:rPr>
        <w:t xml:space="preserve"> </w:t>
      </w:r>
      <w:proofErr w:type="spellStart"/>
      <w:r w:rsidRPr="00987D7B">
        <w:rPr>
          <w:i/>
          <w:iCs/>
        </w:rPr>
        <w:t>Ekonomicznej</w:t>
      </w:r>
      <w:proofErr w:type="spellEnd"/>
      <w:r w:rsidRPr="00987D7B">
        <w:rPr>
          <w:i/>
          <w:iCs/>
        </w:rPr>
        <w:t xml:space="preserve"> w </w:t>
      </w:r>
      <w:proofErr w:type="spellStart"/>
      <w:r w:rsidRPr="00987D7B">
        <w:rPr>
          <w:i/>
          <w:iCs/>
        </w:rPr>
        <w:t>Tarnowie</w:t>
      </w:r>
      <w:proofErr w:type="spellEnd"/>
      <w:r w:rsidRPr="0053075D">
        <w:t>, </w:t>
      </w:r>
      <w:r w:rsidRPr="00987D7B">
        <w:rPr>
          <w:i/>
          <w:iCs/>
        </w:rPr>
        <w:t>46</w:t>
      </w:r>
      <w:r w:rsidRPr="0053075D">
        <w:t>(2), pp.55-67.</w:t>
      </w:r>
    </w:p>
    <w:p w14:paraId="6B636181" w14:textId="77777777" w:rsidR="00987D7B" w:rsidRDefault="00987D7B" w:rsidP="00987D7B">
      <w:proofErr w:type="spellStart"/>
      <w:r w:rsidRPr="0053075D">
        <w:t>Nariswari</w:t>
      </w:r>
      <w:proofErr w:type="spellEnd"/>
      <w:r w:rsidRPr="0053075D">
        <w:t xml:space="preserve">, T.N. and </w:t>
      </w:r>
      <w:proofErr w:type="spellStart"/>
      <w:r w:rsidRPr="0053075D">
        <w:t>Nugraha</w:t>
      </w:r>
      <w:proofErr w:type="spellEnd"/>
      <w:r w:rsidRPr="0053075D">
        <w:t xml:space="preserve">, N.M., 2020. Profit Growth: Impact of Net Profit Margin, Gross Profit Margin and Total </w:t>
      </w:r>
      <w:proofErr w:type="spellStart"/>
      <w:r w:rsidRPr="0053075D">
        <w:t>Assests</w:t>
      </w:r>
      <w:proofErr w:type="spellEnd"/>
      <w:r w:rsidRPr="0053075D">
        <w:t xml:space="preserve"> Turnover. </w:t>
      </w:r>
      <w:r w:rsidRPr="00987D7B">
        <w:rPr>
          <w:i/>
          <w:iCs/>
        </w:rPr>
        <w:t>International Journal of Finance &amp; Banking Studies (2147-4486)</w:t>
      </w:r>
      <w:r w:rsidRPr="0053075D">
        <w:t>, </w:t>
      </w:r>
      <w:r w:rsidRPr="00987D7B">
        <w:rPr>
          <w:i/>
          <w:iCs/>
        </w:rPr>
        <w:t>9</w:t>
      </w:r>
      <w:r w:rsidRPr="0053075D">
        <w:t>(4), pp.87-96.</w:t>
      </w:r>
    </w:p>
    <w:p w14:paraId="6B636182" w14:textId="77777777" w:rsidR="00987D7B" w:rsidRDefault="00987D7B" w:rsidP="00987D7B">
      <w:proofErr w:type="spellStart"/>
      <w:r w:rsidRPr="0053075D">
        <w:t>Nuryani</w:t>
      </w:r>
      <w:proofErr w:type="spellEnd"/>
      <w:r w:rsidRPr="0053075D">
        <w:t xml:space="preserve">, Y. and </w:t>
      </w:r>
      <w:proofErr w:type="spellStart"/>
      <w:r w:rsidRPr="0053075D">
        <w:t>Sunarsi</w:t>
      </w:r>
      <w:proofErr w:type="spellEnd"/>
      <w:r w:rsidRPr="0053075D">
        <w:t xml:space="preserve">, D., 2020. The Effect of Current Ratio and Debt to Equity Ratio on </w:t>
      </w:r>
      <w:proofErr w:type="spellStart"/>
      <w:r w:rsidRPr="0053075D">
        <w:t>Deviding</w:t>
      </w:r>
      <w:proofErr w:type="spellEnd"/>
      <w:r w:rsidRPr="0053075D">
        <w:t xml:space="preserve"> Growth. </w:t>
      </w:r>
      <w:proofErr w:type="spellStart"/>
      <w:r w:rsidRPr="00987D7B">
        <w:rPr>
          <w:i/>
          <w:iCs/>
        </w:rPr>
        <w:t>JASa</w:t>
      </w:r>
      <w:proofErr w:type="spellEnd"/>
      <w:r w:rsidRPr="00987D7B">
        <w:rPr>
          <w:i/>
          <w:iCs/>
        </w:rPr>
        <w:t xml:space="preserve"> (</w:t>
      </w:r>
      <w:proofErr w:type="spellStart"/>
      <w:r w:rsidRPr="00987D7B">
        <w:rPr>
          <w:i/>
          <w:iCs/>
        </w:rPr>
        <w:t>Jurnal</w:t>
      </w:r>
      <w:proofErr w:type="spellEnd"/>
      <w:r w:rsidRPr="00987D7B">
        <w:rPr>
          <w:i/>
          <w:iCs/>
        </w:rPr>
        <w:t xml:space="preserve"> </w:t>
      </w:r>
      <w:proofErr w:type="spellStart"/>
      <w:r w:rsidRPr="00987D7B">
        <w:rPr>
          <w:i/>
          <w:iCs/>
        </w:rPr>
        <w:t>Akuntansi</w:t>
      </w:r>
      <w:proofErr w:type="spellEnd"/>
      <w:r w:rsidRPr="00987D7B">
        <w:rPr>
          <w:i/>
          <w:iCs/>
        </w:rPr>
        <w:t xml:space="preserve">, Audit dan </w:t>
      </w:r>
      <w:proofErr w:type="spellStart"/>
      <w:r w:rsidRPr="00987D7B">
        <w:rPr>
          <w:i/>
          <w:iCs/>
        </w:rPr>
        <w:t>Sistem</w:t>
      </w:r>
      <w:proofErr w:type="spellEnd"/>
      <w:r w:rsidRPr="00987D7B">
        <w:rPr>
          <w:i/>
          <w:iCs/>
        </w:rPr>
        <w:t xml:space="preserve"> </w:t>
      </w:r>
      <w:proofErr w:type="spellStart"/>
      <w:r w:rsidRPr="00987D7B">
        <w:rPr>
          <w:i/>
          <w:iCs/>
        </w:rPr>
        <w:t>Informasi</w:t>
      </w:r>
      <w:proofErr w:type="spellEnd"/>
      <w:r w:rsidRPr="00987D7B">
        <w:rPr>
          <w:i/>
          <w:iCs/>
        </w:rPr>
        <w:t xml:space="preserve"> </w:t>
      </w:r>
      <w:proofErr w:type="spellStart"/>
      <w:r w:rsidRPr="00987D7B">
        <w:rPr>
          <w:i/>
          <w:iCs/>
        </w:rPr>
        <w:t>Akuntansi</w:t>
      </w:r>
      <w:proofErr w:type="spellEnd"/>
      <w:r w:rsidRPr="00987D7B">
        <w:rPr>
          <w:i/>
          <w:iCs/>
        </w:rPr>
        <w:t>)</w:t>
      </w:r>
      <w:r w:rsidRPr="0053075D">
        <w:t>, </w:t>
      </w:r>
      <w:r w:rsidRPr="00987D7B">
        <w:rPr>
          <w:i/>
          <w:iCs/>
        </w:rPr>
        <w:t>4</w:t>
      </w:r>
      <w:r w:rsidRPr="0053075D">
        <w:t>(2), pp.304-312.</w:t>
      </w:r>
    </w:p>
    <w:p w14:paraId="6B636183" w14:textId="77777777" w:rsidR="00987D7B" w:rsidRDefault="00987D7B" w:rsidP="00987D7B">
      <w:proofErr w:type="spellStart"/>
      <w:r w:rsidRPr="0053075D">
        <w:t>Oncioiu</w:t>
      </w:r>
      <w:proofErr w:type="spellEnd"/>
      <w:r w:rsidRPr="0053075D">
        <w:t xml:space="preserve">, I.V., </w:t>
      </w:r>
      <w:proofErr w:type="spellStart"/>
      <w:r w:rsidRPr="0053075D">
        <w:t>Calotă</w:t>
      </w:r>
      <w:proofErr w:type="spellEnd"/>
      <w:r w:rsidRPr="0053075D">
        <w:t xml:space="preserve">, T.O. and </w:t>
      </w:r>
      <w:proofErr w:type="spellStart"/>
      <w:r w:rsidRPr="0053075D">
        <w:t>Tănase</w:t>
      </w:r>
      <w:proofErr w:type="spellEnd"/>
      <w:r w:rsidRPr="0053075D">
        <w:t>, A.E., 2021. An Overview of Diversities in the Use of the Profit and Loss Statement. </w:t>
      </w:r>
      <w:r w:rsidRPr="00987D7B">
        <w:rPr>
          <w:i/>
          <w:iCs/>
        </w:rPr>
        <w:t>Encyclopedia of Organizational Knowledge, Administration, and Technology</w:t>
      </w:r>
      <w:r w:rsidRPr="0053075D">
        <w:t>, pp.124-134.</w:t>
      </w:r>
    </w:p>
    <w:p w14:paraId="6B636184" w14:textId="77777777" w:rsidR="00987D7B" w:rsidRDefault="00987D7B" w:rsidP="00987D7B">
      <w:proofErr w:type="spellStart"/>
      <w:r w:rsidRPr="0053075D">
        <w:lastRenderedPageBreak/>
        <w:t>Stangl</w:t>
      </w:r>
      <w:proofErr w:type="spellEnd"/>
      <w:r w:rsidRPr="0053075D">
        <w:t xml:space="preserve">, T. and </w:t>
      </w:r>
      <w:proofErr w:type="spellStart"/>
      <w:r w:rsidRPr="0053075D">
        <w:t>Thonemann</w:t>
      </w:r>
      <w:proofErr w:type="spellEnd"/>
      <w:r w:rsidRPr="0053075D">
        <w:t>, U.W., 2017. Equivalent inventory metrics: A behavioral perspective. </w:t>
      </w:r>
      <w:r w:rsidRPr="00987D7B">
        <w:rPr>
          <w:i/>
          <w:iCs/>
        </w:rPr>
        <w:t>Manufacturing &amp; Service Operations Management</w:t>
      </w:r>
      <w:r w:rsidRPr="0053075D">
        <w:t>, </w:t>
      </w:r>
      <w:r w:rsidRPr="00987D7B">
        <w:rPr>
          <w:i/>
          <w:iCs/>
        </w:rPr>
        <w:t>19</w:t>
      </w:r>
      <w:r w:rsidRPr="0053075D">
        <w:t>(3), pp.472-488.</w:t>
      </w:r>
    </w:p>
    <w:p w14:paraId="6B636185" w14:textId="77777777" w:rsidR="00987D7B" w:rsidRDefault="00987D7B" w:rsidP="00987D7B">
      <w:proofErr w:type="spellStart"/>
      <w:r w:rsidRPr="0053075D">
        <w:t>Supriyanto</w:t>
      </w:r>
      <w:proofErr w:type="spellEnd"/>
      <w:r w:rsidRPr="0053075D">
        <w:t xml:space="preserve">, J. and </w:t>
      </w:r>
      <w:proofErr w:type="spellStart"/>
      <w:r w:rsidRPr="0053075D">
        <w:t>Darmawan</w:t>
      </w:r>
      <w:proofErr w:type="spellEnd"/>
      <w:r w:rsidRPr="0053075D">
        <w:t>, A., 2018. The effect of financial ratio on financial distress in predicting bankruptcy. </w:t>
      </w:r>
      <w:r w:rsidRPr="00987D7B">
        <w:rPr>
          <w:i/>
          <w:iCs/>
        </w:rPr>
        <w:t>Journal of Applied Managerial Accounting</w:t>
      </w:r>
      <w:r w:rsidRPr="0053075D">
        <w:t>, </w:t>
      </w:r>
      <w:r w:rsidRPr="00987D7B">
        <w:rPr>
          <w:i/>
          <w:iCs/>
        </w:rPr>
        <w:t>2</w:t>
      </w:r>
      <w:r w:rsidRPr="0053075D">
        <w:t>(1), pp.110-120.</w:t>
      </w:r>
    </w:p>
    <w:p w14:paraId="6B636186" w14:textId="77777777" w:rsidR="00987D7B" w:rsidRDefault="00987D7B" w:rsidP="00987D7B">
      <w:proofErr w:type="spellStart"/>
      <w:r w:rsidRPr="0053075D">
        <w:t>Suteja</w:t>
      </w:r>
      <w:proofErr w:type="spellEnd"/>
      <w:r w:rsidRPr="0053075D">
        <w:t xml:space="preserve">, GI and </w:t>
      </w:r>
      <w:proofErr w:type="spellStart"/>
      <w:r w:rsidRPr="0053075D">
        <w:t>Majidah</w:t>
      </w:r>
      <w:proofErr w:type="spellEnd"/>
      <w:r w:rsidRPr="0053075D">
        <w:t>, M., 2020. EFFECT OF CAR, FDR, NPF, GEARING RATIO AND CORPORATE GOVERNANCE ON PROFITABILITY OF SHARIA BANK. </w:t>
      </w:r>
      <w:r w:rsidRPr="00987D7B">
        <w:rPr>
          <w:i/>
          <w:iCs/>
        </w:rPr>
        <w:t xml:space="preserve">Journal of Balance </w:t>
      </w:r>
      <w:proofErr w:type="gramStart"/>
      <w:r w:rsidRPr="00987D7B">
        <w:rPr>
          <w:i/>
          <w:iCs/>
        </w:rPr>
        <w:t>Economics</w:t>
      </w:r>
      <w:r w:rsidRPr="0053075D">
        <w:t> ,</w:t>
      </w:r>
      <w:proofErr w:type="gramEnd"/>
      <w:r w:rsidRPr="0053075D">
        <w:t> </w:t>
      </w:r>
      <w:r w:rsidRPr="00987D7B">
        <w:rPr>
          <w:i/>
          <w:iCs/>
        </w:rPr>
        <w:t>16</w:t>
      </w:r>
      <w:r w:rsidRPr="0053075D">
        <w:t> (2), pp.210-219.</w:t>
      </w:r>
    </w:p>
    <w:p w14:paraId="6B636187" w14:textId="77777777" w:rsidR="00987D7B" w:rsidRDefault="00987D7B" w:rsidP="00987D7B">
      <w:proofErr w:type="spellStart"/>
      <w:r w:rsidRPr="0053075D">
        <w:t>Wafula</w:t>
      </w:r>
      <w:proofErr w:type="spellEnd"/>
      <w:r w:rsidRPr="0053075D">
        <w:t xml:space="preserve">, W.M., Tibbs, C.Y. and </w:t>
      </w:r>
      <w:proofErr w:type="spellStart"/>
      <w:r w:rsidRPr="0053075D">
        <w:t>Ondiek</w:t>
      </w:r>
      <w:proofErr w:type="spellEnd"/>
      <w:r w:rsidRPr="0053075D">
        <w:t xml:space="preserve">, A.B., 2019. Average Collection Period and Financial Performance of </w:t>
      </w:r>
      <w:proofErr w:type="spellStart"/>
      <w:r w:rsidRPr="0053075D">
        <w:t>Nzoia</w:t>
      </w:r>
      <w:proofErr w:type="spellEnd"/>
      <w:r w:rsidRPr="0053075D">
        <w:t xml:space="preserve"> Water Services Company. </w:t>
      </w:r>
      <w:r w:rsidRPr="00987D7B">
        <w:rPr>
          <w:i/>
          <w:iCs/>
        </w:rPr>
        <w:t>Int. J. of Multidisciplinary and Current research</w:t>
      </w:r>
      <w:r w:rsidRPr="0053075D">
        <w:t>, </w:t>
      </w:r>
      <w:r w:rsidRPr="00987D7B">
        <w:rPr>
          <w:i/>
          <w:iCs/>
        </w:rPr>
        <w:t>7</w:t>
      </w:r>
      <w:r w:rsidRPr="0053075D">
        <w:t>.</w:t>
      </w:r>
    </w:p>
    <w:p w14:paraId="6B636188" w14:textId="77777777" w:rsidR="00F34A3F" w:rsidRPr="00F34A3F" w:rsidRDefault="00F34A3F" w:rsidP="00F34A3F"/>
    <w:sectPr w:rsidR="00F34A3F" w:rsidRPr="00F34A3F" w:rsidSect="000A4E82">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3618B" w14:textId="77777777" w:rsidR="00EF7949" w:rsidRDefault="00EF7949" w:rsidP="000A4E82">
      <w:pPr>
        <w:spacing w:after="0" w:line="240" w:lineRule="auto"/>
      </w:pPr>
      <w:r>
        <w:separator/>
      </w:r>
    </w:p>
  </w:endnote>
  <w:endnote w:type="continuationSeparator" w:id="0">
    <w:p w14:paraId="6B63618C" w14:textId="77777777" w:rsidR="00EF7949" w:rsidRDefault="00EF7949" w:rsidP="000A4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lfaen">
    <w:panose1 w:val="010A0502050306030303"/>
    <w:charset w:val="00"/>
    <w:family w:val="roman"/>
    <w:pitch w:val="variable"/>
    <w:sig w:usb0="04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45110"/>
      <w:docPartObj>
        <w:docPartGallery w:val="Page Numbers (Bottom of Page)"/>
        <w:docPartUnique/>
      </w:docPartObj>
    </w:sdtPr>
    <w:sdtEndPr/>
    <w:sdtContent>
      <w:p w14:paraId="6B63618D" w14:textId="77777777" w:rsidR="00F34A3F" w:rsidRDefault="003F6B48">
        <w:pPr>
          <w:pStyle w:val="Fuzeile"/>
          <w:jc w:val="right"/>
        </w:pPr>
        <w:r>
          <w:fldChar w:fldCharType="begin"/>
        </w:r>
        <w:r>
          <w:instrText xml:space="preserve"> PAGE   \* MERGEFORMAT </w:instrText>
        </w:r>
        <w:r>
          <w:fldChar w:fldCharType="separate"/>
        </w:r>
        <w:r w:rsidR="002502D9">
          <w:rPr>
            <w:noProof/>
          </w:rPr>
          <w:t>2</w:t>
        </w:r>
        <w:r>
          <w:rPr>
            <w:noProof/>
          </w:rPr>
          <w:fldChar w:fldCharType="end"/>
        </w:r>
      </w:p>
    </w:sdtContent>
  </w:sdt>
  <w:p w14:paraId="6B63618E" w14:textId="77777777" w:rsidR="00F34A3F" w:rsidRDefault="00F34A3F">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36189" w14:textId="77777777" w:rsidR="00EF7949" w:rsidRDefault="00EF7949" w:rsidP="000A4E82">
      <w:pPr>
        <w:spacing w:after="0" w:line="240" w:lineRule="auto"/>
      </w:pPr>
      <w:r>
        <w:separator/>
      </w:r>
    </w:p>
  </w:footnote>
  <w:footnote w:type="continuationSeparator" w:id="0">
    <w:p w14:paraId="6B63618A" w14:textId="77777777" w:rsidR="00EF7949" w:rsidRDefault="00EF7949" w:rsidP="000A4E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F1489"/>
    <w:multiLevelType w:val="hybridMultilevel"/>
    <w:tmpl w:val="1C44E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213"/>
    <w:rsid w:val="000A4E82"/>
    <w:rsid w:val="000C5566"/>
    <w:rsid w:val="001A717D"/>
    <w:rsid w:val="001B60EA"/>
    <w:rsid w:val="001C4EE1"/>
    <w:rsid w:val="001D7CF6"/>
    <w:rsid w:val="00231FB7"/>
    <w:rsid w:val="002502D9"/>
    <w:rsid w:val="00260258"/>
    <w:rsid w:val="00325803"/>
    <w:rsid w:val="00332D23"/>
    <w:rsid w:val="00387998"/>
    <w:rsid w:val="003F6B48"/>
    <w:rsid w:val="0040249E"/>
    <w:rsid w:val="00406D6E"/>
    <w:rsid w:val="00442006"/>
    <w:rsid w:val="00497F90"/>
    <w:rsid w:val="004C00B7"/>
    <w:rsid w:val="00592393"/>
    <w:rsid w:val="005B53E5"/>
    <w:rsid w:val="00625D9F"/>
    <w:rsid w:val="00751F00"/>
    <w:rsid w:val="00836FE8"/>
    <w:rsid w:val="008844BC"/>
    <w:rsid w:val="008906AF"/>
    <w:rsid w:val="008D0B1C"/>
    <w:rsid w:val="009466DA"/>
    <w:rsid w:val="00987D7B"/>
    <w:rsid w:val="00992AF0"/>
    <w:rsid w:val="009E3876"/>
    <w:rsid w:val="00A1109B"/>
    <w:rsid w:val="00A57657"/>
    <w:rsid w:val="00AA33DF"/>
    <w:rsid w:val="00AF32E9"/>
    <w:rsid w:val="00B8757D"/>
    <w:rsid w:val="00B92EAB"/>
    <w:rsid w:val="00B93DA1"/>
    <w:rsid w:val="00BA2AB1"/>
    <w:rsid w:val="00C02E2D"/>
    <w:rsid w:val="00C47E61"/>
    <w:rsid w:val="00C8164A"/>
    <w:rsid w:val="00D020A9"/>
    <w:rsid w:val="00DC217C"/>
    <w:rsid w:val="00DD559A"/>
    <w:rsid w:val="00DD6515"/>
    <w:rsid w:val="00E70213"/>
    <w:rsid w:val="00EB43D9"/>
    <w:rsid w:val="00EC5E2B"/>
    <w:rsid w:val="00EF7949"/>
    <w:rsid w:val="00F34A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3601D"/>
  <w15:docId w15:val="{FA387993-9F6F-43CE-8235-350E3258B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E70213"/>
    <w:pPr>
      <w:spacing w:line="360" w:lineRule="auto"/>
      <w:jc w:val="both"/>
    </w:pPr>
    <w:rPr>
      <w:rFonts w:ascii="Arial" w:hAnsi="Arial"/>
      <w:sz w:val="24"/>
    </w:rPr>
  </w:style>
  <w:style w:type="paragraph" w:styleId="berschrift1">
    <w:name w:val="heading 1"/>
    <w:basedOn w:val="Standard"/>
    <w:next w:val="Standard"/>
    <w:link w:val="berschrift1Zchn"/>
    <w:uiPriority w:val="9"/>
    <w:qFormat/>
    <w:rsid w:val="009466DA"/>
    <w:pPr>
      <w:keepNext/>
      <w:keepLines/>
      <w:spacing w:before="480" w:after="0"/>
      <w:outlineLvl w:val="0"/>
    </w:pPr>
    <w:rPr>
      <w:rFonts w:eastAsiaTheme="majorEastAsia" w:cstheme="majorBidi"/>
      <w:b/>
      <w:bCs/>
      <w:color w:val="000000" w:themeColor="text1"/>
      <w:sz w:val="28"/>
      <w:szCs w:val="28"/>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opfzeile">
    <w:name w:val="header"/>
    <w:basedOn w:val="Standard"/>
    <w:link w:val="KopfzeileZchn"/>
    <w:uiPriority w:val="99"/>
    <w:semiHidden/>
    <w:unhideWhenUsed/>
    <w:rsid w:val="000A4E82"/>
    <w:pPr>
      <w:tabs>
        <w:tab w:val="center" w:pos="4680"/>
        <w:tab w:val="right" w:pos="9360"/>
      </w:tabs>
      <w:spacing w:after="0" w:line="240" w:lineRule="auto"/>
    </w:pPr>
  </w:style>
  <w:style w:type="character" w:customStyle="1" w:styleId="KopfzeileZchn">
    <w:name w:val="Kopfzeile Zchn"/>
    <w:basedOn w:val="Absatz-Standardschriftart"/>
    <w:link w:val="Kopfzeile"/>
    <w:uiPriority w:val="99"/>
    <w:semiHidden/>
    <w:rsid w:val="000A4E82"/>
    <w:rPr>
      <w:rFonts w:ascii="Arial" w:hAnsi="Arial"/>
      <w:sz w:val="24"/>
    </w:rPr>
  </w:style>
  <w:style w:type="paragraph" w:styleId="Fuzeile">
    <w:name w:val="footer"/>
    <w:basedOn w:val="Standard"/>
    <w:link w:val="FuzeileZchn"/>
    <w:uiPriority w:val="99"/>
    <w:unhideWhenUsed/>
    <w:rsid w:val="000A4E82"/>
    <w:pPr>
      <w:tabs>
        <w:tab w:val="center" w:pos="4680"/>
        <w:tab w:val="right" w:pos="9360"/>
      </w:tabs>
      <w:spacing w:after="0" w:line="240" w:lineRule="auto"/>
    </w:pPr>
  </w:style>
  <w:style w:type="character" w:customStyle="1" w:styleId="FuzeileZchn">
    <w:name w:val="Fußzeile Zchn"/>
    <w:basedOn w:val="Absatz-Standardschriftart"/>
    <w:link w:val="Fuzeile"/>
    <w:uiPriority w:val="99"/>
    <w:rsid w:val="000A4E82"/>
    <w:rPr>
      <w:rFonts w:ascii="Arial" w:hAnsi="Arial"/>
      <w:sz w:val="24"/>
    </w:rPr>
  </w:style>
  <w:style w:type="character" w:customStyle="1" w:styleId="berschrift1Zchn">
    <w:name w:val="Überschrift 1 Zchn"/>
    <w:basedOn w:val="Absatz-Standardschriftart"/>
    <w:link w:val="berschrift1"/>
    <w:uiPriority w:val="9"/>
    <w:rsid w:val="009466DA"/>
    <w:rPr>
      <w:rFonts w:ascii="Arial" w:eastAsiaTheme="majorEastAsia" w:hAnsi="Arial" w:cstheme="majorBidi"/>
      <w:b/>
      <w:bCs/>
      <w:color w:val="000000" w:themeColor="text1"/>
      <w:sz w:val="28"/>
      <w:szCs w:val="28"/>
    </w:rPr>
  </w:style>
  <w:style w:type="paragraph" w:styleId="Listenabsatz">
    <w:name w:val="List Paragraph"/>
    <w:basedOn w:val="Standard"/>
    <w:uiPriority w:val="34"/>
    <w:qFormat/>
    <w:rsid w:val="00AF32E9"/>
    <w:pPr>
      <w:ind w:left="720"/>
      <w:contextualSpacing/>
    </w:pPr>
  </w:style>
  <w:style w:type="character" w:styleId="Platzhaltertext">
    <w:name w:val="Placeholder Text"/>
    <w:basedOn w:val="Absatz-Standardschriftart"/>
    <w:uiPriority w:val="99"/>
    <w:semiHidden/>
    <w:rsid w:val="008D0B1C"/>
    <w:rPr>
      <w:color w:val="808080"/>
    </w:rPr>
  </w:style>
  <w:style w:type="paragraph" w:styleId="Sprechblasentext">
    <w:name w:val="Balloon Text"/>
    <w:basedOn w:val="Standard"/>
    <w:link w:val="SprechblasentextZchn"/>
    <w:uiPriority w:val="99"/>
    <w:semiHidden/>
    <w:unhideWhenUsed/>
    <w:rsid w:val="008D0B1C"/>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8D0B1C"/>
    <w:rPr>
      <w:rFonts w:ascii="Tahoma" w:hAnsi="Tahoma" w:cs="Tahoma"/>
      <w:sz w:val="16"/>
      <w:szCs w:val="16"/>
    </w:rPr>
  </w:style>
  <w:style w:type="paragraph" w:styleId="Inhaltsverzeichnisberschrift">
    <w:name w:val="TOC Heading"/>
    <w:basedOn w:val="berschrift1"/>
    <w:next w:val="Standard"/>
    <w:uiPriority w:val="39"/>
    <w:semiHidden/>
    <w:unhideWhenUsed/>
    <w:qFormat/>
    <w:rsid w:val="002502D9"/>
    <w:pPr>
      <w:spacing w:line="276" w:lineRule="auto"/>
      <w:jc w:val="left"/>
      <w:outlineLvl w:val="9"/>
    </w:pPr>
    <w:rPr>
      <w:rFonts w:asciiTheme="majorHAnsi" w:hAnsiTheme="majorHAnsi"/>
      <w:color w:val="365F91" w:themeColor="accent1" w:themeShade="BF"/>
    </w:rPr>
  </w:style>
  <w:style w:type="paragraph" w:styleId="Verzeichnis1">
    <w:name w:val="toc 1"/>
    <w:basedOn w:val="Standard"/>
    <w:next w:val="Standard"/>
    <w:autoRedefine/>
    <w:uiPriority w:val="39"/>
    <w:unhideWhenUsed/>
    <w:rsid w:val="002502D9"/>
    <w:pPr>
      <w:spacing w:after="100"/>
    </w:pPr>
  </w:style>
  <w:style w:type="character" w:styleId="Hyperlink">
    <w:name w:val="Hyperlink"/>
    <w:basedOn w:val="Absatz-Standardschriftart"/>
    <w:uiPriority w:val="99"/>
    <w:unhideWhenUsed/>
    <w:rsid w:val="002502D9"/>
    <w:rPr>
      <w:color w:val="0000FF" w:themeColor="hyperlink"/>
      <w:u w:val="single"/>
    </w:rPr>
  </w:style>
  <w:style w:type="paragraph" w:customStyle="1" w:styleId="Default">
    <w:name w:val="Default"/>
    <w:rsid w:val="00332D23"/>
    <w:pPr>
      <w:autoSpaceDE w:val="0"/>
      <w:autoSpaceDN w:val="0"/>
      <w:adjustRightInd w:val="0"/>
      <w:spacing w:after="0" w:line="240" w:lineRule="auto"/>
    </w:pPr>
    <w:rPr>
      <w:rFonts w:ascii="Arial" w:hAnsi="Arial" w:cs="Arial"/>
      <w:color w:val="000000"/>
      <w:sz w:val="24"/>
      <w:szCs w:val="24"/>
      <w:lang w:val="de-D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913625">
      <w:bodyDiv w:val="1"/>
      <w:marLeft w:val="0"/>
      <w:marRight w:val="0"/>
      <w:marTop w:val="0"/>
      <w:marBottom w:val="0"/>
      <w:divBdr>
        <w:top w:val="none" w:sz="0" w:space="0" w:color="auto"/>
        <w:left w:val="none" w:sz="0" w:space="0" w:color="auto"/>
        <w:bottom w:val="none" w:sz="0" w:space="0" w:color="auto"/>
        <w:right w:val="none" w:sz="0" w:space="0" w:color="auto"/>
      </w:divBdr>
    </w:div>
    <w:div w:id="1464302449">
      <w:bodyDiv w:val="1"/>
      <w:marLeft w:val="0"/>
      <w:marRight w:val="0"/>
      <w:marTop w:val="0"/>
      <w:marBottom w:val="0"/>
      <w:divBdr>
        <w:top w:val="none" w:sz="0" w:space="0" w:color="auto"/>
        <w:left w:val="none" w:sz="0" w:space="0" w:color="auto"/>
        <w:bottom w:val="none" w:sz="0" w:space="0" w:color="auto"/>
        <w:right w:val="none" w:sz="0" w:space="0" w:color="auto"/>
      </w:divBdr>
    </w:div>
    <w:div w:id="1696535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663D6A-4F06-444D-9E9B-41CA124BB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2298</Words>
  <Characters>14478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Peter© Gottschling</cp:lastModifiedBy>
  <cp:revision>2</cp:revision>
  <dcterms:created xsi:type="dcterms:W3CDTF">2021-08-27T11:48:00Z</dcterms:created>
  <dcterms:modified xsi:type="dcterms:W3CDTF">2021-08-27T11:48:00Z</dcterms:modified>
</cp:coreProperties>
</file>