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D74BCA" w14:textId="517D9171" w:rsidR="00446859" w:rsidRPr="00446859" w:rsidRDefault="00446859" w:rsidP="00446859">
      <w:pPr>
        <w:rPr>
          <w:rFonts w:ascii="Arial" w:hAnsi="Arial" w:cs="Arial"/>
          <w:sz w:val="32"/>
          <w:szCs w:val="32"/>
        </w:rPr>
      </w:pPr>
      <w:r w:rsidRPr="00446859">
        <w:rPr>
          <w:rFonts w:ascii="Arial" w:hAnsi="Arial" w:cs="Arial"/>
          <w:b/>
          <w:bCs/>
          <w:sz w:val="32"/>
          <w:szCs w:val="32"/>
        </w:rPr>
        <w:t>Student name:</w:t>
      </w:r>
      <w:r w:rsidRPr="00446859">
        <w:rPr>
          <w:rFonts w:ascii="Arial" w:hAnsi="Arial" w:cs="Arial"/>
          <w:sz w:val="32"/>
          <w:szCs w:val="32"/>
        </w:rPr>
        <w:t xml:space="preserve"> </w:t>
      </w:r>
      <w:r w:rsidR="001B364A">
        <w:rPr>
          <w:rFonts w:ascii="Arial" w:hAnsi="Arial" w:cs="Arial"/>
          <w:sz w:val="32"/>
          <w:szCs w:val="32"/>
        </w:rPr>
        <w:t xml:space="preserve">Alhajie Lowe </w:t>
      </w:r>
    </w:p>
    <w:p w14:paraId="35836D22" w14:textId="32E68335" w:rsidR="00446859" w:rsidRPr="00446859" w:rsidRDefault="00446859" w:rsidP="00446859">
      <w:pPr>
        <w:rPr>
          <w:rFonts w:ascii="Arial" w:hAnsi="Arial" w:cs="Arial"/>
          <w:sz w:val="32"/>
          <w:szCs w:val="32"/>
        </w:rPr>
      </w:pPr>
      <w:r w:rsidRPr="00446859">
        <w:rPr>
          <w:rFonts w:ascii="Arial" w:hAnsi="Arial" w:cs="Arial"/>
          <w:b/>
          <w:bCs/>
          <w:sz w:val="32"/>
          <w:szCs w:val="32"/>
        </w:rPr>
        <w:t>Student ID:</w:t>
      </w:r>
      <w:r w:rsidR="001B364A">
        <w:rPr>
          <w:rFonts w:ascii="Arial" w:hAnsi="Arial" w:cs="Arial"/>
          <w:b/>
          <w:bCs/>
          <w:sz w:val="32"/>
          <w:szCs w:val="32"/>
        </w:rPr>
        <w:t xml:space="preserve"> 2440651</w:t>
      </w:r>
    </w:p>
    <w:p w14:paraId="0DFE88A5" w14:textId="0551E256" w:rsidR="00446859" w:rsidRPr="00446859" w:rsidRDefault="00446859" w:rsidP="00446859">
      <w:pPr>
        <w:rPr>
          <w:rFonts w:ascii="Arial" w:hAnsi="Arial" w:cs="Arial"/>
          <w:sz w:val="32"/>
          <w:szCs w:val="32"/>
        </w:rPr>
      </w:pPr>
      <w:r w:rsidRPr="00446859">
        <w:rPr>
          <w:rFonts w:ascii="Arial" w:hAnsi="Arial" w:cs="Arial"/>
          <w:b/>
          <w:bCs/>
          <w:sz w:val="32"/>
          <w:szCs w:val="32"/>
        </w:rPr>
        <w:t>Module name:</w:t>
      </w:r>
      <w:r w:rsidR="00401FAF">
        <w:rPr>
          <w:rFonts w:ascii="Arial" w:hAnsi="Arial" w:cs="Arial"/>
          <w:b/>
          <w:bCs/>
          <w:sz w:val="32"/>
          <w:szCs w:val="32"/>
        </w:rPr>
        <w:t xml:space="preserve"> Introduction</w:t>
      </w:r>
      <w:r w:rsidR="00401FAF">
        <w:rPr>
          <w:rFonts w:ascii="Arial" w:hAnsi="Arial" w:cs="Arial"/>
          <w:sz w:val="32"/>
          <w:szCs w:val="32"/>
        </w:rPr>
        <w:t xml:space="preserve"> to Health and Social </w:t>
      </w:r>
      <w:r w:rsidR="001B364A">
        <w:rPr>
          <w:rFonts w:ascii="Arial" w:hAnsi="Arial" w:cs="Arial"/>
          <w:sz w:val="32"/>
          <w:szCs w:val="32"/>
        </w:rPr>
        <w:t xml:space="preserve">Care </w:t>
      </w:r>
      <w:r w:rsidRPr="00446859">
        <w:rPr>
          <w:rFonts w:ascii="Arial" w:hAnsi="Arial" w:cs="Arial"/>
          <w:sz w:val="32"/>
          <w:szCs w:val="32"/>
        </w:rPr>
        <w:t>Introduction of Public Health</w:t>
      </w:r>
    </w:p>
    <w:p w14:paraId="78CCECDE" w14:textId="2A33152A" w:rsidR="00446859" w:rsidRPr="00446859" w:rsidRDefault="00446859" w:rsidP="00446859">
      <w:pPr>
        <w:rPr>
          <w:rFonts w:ascii="Arial" w:hAnsi="Arial" w:cs="Arial"/>
          <w:sz w:val="32"/>
          <w:szCs w:val="32"/>
        </w:rPr>
      </w:pPr>
      <w:r w:rsidRPr="00446859">
        <w:rPr>
          <w:rFonts w:ascii="Arial" w:hAnsi="Arial" w:cs="Arial"/>
          <w:b/>
          <w:bCs/>
          <w:sz w:val="32"/>
          <w:szCs w:val="32"/>
        </w:rPr>
        <w:t>Module code:</w:t>
      </w:r>
      <w:r w:rsidR="006612C4">
        <w:rPr>
          <w:rFonts w:ascii="Arial" w:hAnsi="Arial" w:cs="Arial"/>
          <w:sz w:val="32"/>
          <w:szCs w:val="32"/>
        </w:rPr>
        <w:t xml:space="preserve"> </w:t>
      </w:r>
      <w:r w:rsidR="003316B5">
        <w:rPr>
          <w:rFonts w:ascii="Arial" w:hAnsi="Arial" w:cs="Arial"/>
          <w:sz w:val="32"/>
          <w:szCs w:val="32"/>
        </w:rPr>
        <w:t>LCHS4003</w:t>
      </w:r>
    </w:p>
    <w:p w14:paraId="7A721454" w14:textId="68E24864" w:rsidR="00446859" w:rsidRPr="00446859" w:rsidRDefault="00446859" w:rsidP="00446859">
      <w:pPr>
        <w:rPr>
          <w:rFonts w:ascii="Arial" w:hAnsi="Arial" w:cs="Arial"/>
          <w:b/>
          <w:bCs/>
          <w:sz w:val="32"/>
          <w:szCs w:val="32"/>
        </w:rPr>
      </w:pPr>
      <w:r w:rsidRPr="00446859">
        <w:rPr>
          <w:rFonts w:ascii="Arial" w:hAnsi="Arial" w:cs="Arial"/>
          <w:b/>
          <w:bCs/>
          <w:sz w:val="32"/>
          <w:szCs w:val="32"/>
        </w:rPr>
        <w:t>Lecturer’s name:</w:t>
      </w:r>
      <w:r w:rsidR="006612C4">
        <w:rPr>
          <w:rFonts w:ascii="Arial" w:hAnsi="Arial" w:cs="Arial"/>
          <w:b/>
          <w:bCs/>
          <w:sz w:val="32"/>
          <w:szCs w:val="32"/>
        </w:rPr>
        <w:t xml:space="preserve"> Mohamed Aliyu</w:t>
      </w:r>
    </w:p>
    <w:p w14:paraId="4326BAD5" w14:textId="77777777" w:rsidR="00446859" w:rsidRDefault="00446859">
      <w:r>
        <w:br w:type="page"/>
      </w:r>
    </w:p>
    <w:sdt>
      <w:sdtPr>
        <w:rPr>
          <w:rFonts w:asciiTheme="minorHAnsi" w:eastAsiaTheme="minorHAnsi" w:hAnsiTheme="minorHAnsi" w:cstheme="minorBidi"/>
          <w:color w:val="auto"/>
          <w:kern w:val="2"/>
          <w:sz w:val="24"/>
          <w:szCs w:val="24"/>
          <w14:ligatures w14:val="standardContextual"/>
        </w:rPr>
        <w:id w:val="725873445"/>
        <w:docPartObj>
          <w:docPartGallery w:val="Table of Contents"/>
          <w:docPartUnique/>
        </w:docPartObj>
      </w:sdtPr>
      <w:sdtEndPr>
        <w:rPr>
          <w:b/>
          <w:bCs/>
          <w:noProof/>
        </w:rPr>
      </w:sdtEndPr>
      <w:sdtContent>
        <w:p w14:paraId="679E71FC" w14:textId="1AAC2A07" w:rsidR="00446859" w:rsidRDefault="00446859">
          <w:pPr>
            <w:pStyle w:val="TOCHeading"/>
          </w:pPr>
          <w:r>
            <w:t>Contents</w:t>
          </w:r>
        </w:p>
        <w:p w14:paraId="59F52F3F" w14:textId="19E9C88A" w:rsidR="00436DBF" w:rsidRDefault="00446859">
          <w:pPr>
            <w:pStyle w:val="TOC1"/>
            <w:tabs>
              <w:tab w:val="right" w:leader="dot" w:pos="9350"/>
            </w:tabs>
            <w:rPr>
              <w:noProof/>
            </w:rPr>
          </w:pPr>
          <w:r>
            <w:fldChar w:fldCharType="begin"/>
          </w:r>
          <w:r>
            <w:instrText xml:space="preserve"> TOC \o "1-3" \h \z \u </w:instrText>
          </w:r>
          <w:r>
            <w:fldChar w:fldCharType="separate"/>
          </w:r>
          <w:hyperlink w:anchor="_Toc216632381" w:history="1">
            <w:r w:rsidR="00436DBF" w:rsidRPr="008E2612">
              <w:rPr>
                <w:rStyle w:val="Hyperlink"/>
                <w:rFonts w:ascii="Arial" w:hAnsi="Arial" w:cs="Arial"/>
                <w:noProof/>
              </w:rPr>
              <w:t>Introduction</w:t>
            </w:r>
            <w:r w:rsidR="00436DBF">
              <w:rPr>
                <w:noProof/>
                <w:webHidden/>
              </w:rPr>
              <w:tab/>
            </w:r>
            <w:r w:rsidR="00436DBF">
              <w:rPr>
                <w:noProof/>
                <w:webHidden/>
              </w:rPr>
              <w:fldChar w:fldCharType="begin"/>
            </w:r>
            <w:r w:rsidR="00436DBF">
              <w:rPr>
                <w:noProof/>
                <w:webHidden/>
              </w:rPr>
              <w:instrText xml:space="preserve"> PAGEREF _Toc216632381 \h </w:instrText>
            </w:r>
            <w:r w:rsidR="00436DBF">
              <w:rPr>
                <w:noProof/>
                <w:webHidden/>
              </w:rPr>
            </w:r>
            <w:r w:rsidR="00436DBF">
              <w:rPr>
                <w:noProof/>
                <w:webHidden/>
              </w:rPr>
              <w:fldChar w:fldCharType="separate"/>
            </w:r>
            <w:r w:rsidR="00436DBF">
              <w:rPr>
                <w:noProof/>
                <w:webHidden/>
              </w:rPr>
              <w:t>3</w:t>
            </w:r>
            <w:r w:rsidR="00436DBF">
              <w:rPr>
                <w:noProof/>
                <w:webHidden/>
              </w:rPr>
              <w:fldChar w:fldCharType="end"/>
            </w:r>
          </w:hyperlink>
        </w:p>
        <w:p w14:paraId="2E22715C" w14:textId="17A64BE5" w:rsidR="00436DBF" w:rsidRDefault="00436DBF">
          <w:pPr>
            <w:pStyle w:val="TOC1"/>
            <w:tabs>
              <w:tab w:val="right" w:leader="dot" w:pos="9350"/>
            </w:tabs>
            <w:rPr>
              <w:noProof/>
            </w:rPr>
          </w:pPr>
          <w:hyperlink w:anchor="_Toc216632382" w:history="1">
            <w:r w:rsidRPr="008E2612">
              <w:rPr>
                <w:rStyle w:val="Hyperlink"/>
                <w:rFonts w:ascii="Arial" w:hAnsi="Arial" w:cs="Arial"/>
                <w:noProof/>
              </w:rPr>
              <w:t>Effective Communication in Mrs. Mann’s Care</w:t>
            </w:r>
            <w:r>
              <w:rPr>
                <w:noProof/>
                <w:webHidden/>
              </w:rPr>
              <w:tab/>
            </w:r>
            <w:r>
              <w:rPr>
                <w:noProof/>
                <w:webHidden/>
              </w:rPr>
              <w:fldChar w:fldCharType="begin"/>
            </w:r>
            <w:r>
              <w:rPr>
                <w:noProof/>
                <w:webHidden/>
              </w:rPr>
              <w:instrText xml:space="preserve"> PAGEREF _Toc216632382 \h </w:instrText>
            </w:r>
            <w:r>
              <w:rPr>
                <w:noProof/>
                <w:webHidden/>
              </w:rPr>
            </w:r>
            <w:r>
              <w:rPr>
                <w:noProof/>
                <w:webHidden/>
              </w:rPr>
              <w:fldChar w:fldCharType="separate"/>
            </w:r>
            <w:r>
              <w:rPr>
                <w:noProof/>
                <w:webHidden/>
              </w:rPr>
              <w:t>3</w:t>
            </w:r>
            <w:r>
              <w:rPr>
                <w:noProof/>
                <w:webHidden/>
              </w:rPr>
              <w:fldChar w:fldCharType="end"/>
            </w:r>
          </w:hyperlink>
        </w:p>
        <w:p w14:paraId="7A63985B" w14:textId="41278FC7" w:rsidR="00436DBF" w:rsidRDefault="00436DBF">
          <w:pPr>
            <w:pStyle w:val="TOC1"/>
            <w:tabs>
              <w:tab w:val="right" w:leader="dot" w:pos="9350"/>
            </w:tabs>
            <w:rPr>
              <w:noProof/>
            </w:rPr>
          </w:pPr>
          <w:hyperlink w:anchor="_Toc216632383" w:history="1">
            <w:r w:rsidRPr="008E2612">
              <w:rPr>
                <w:rStyle w:val="Hyperlink"/>
                <w:noProof/>
              </w:rPr>
              <w:t>Administrative Skills &amp; Record Keeping</w:t>
            </w:r>
            <w:r>
              <w:rPr>
                <w:noProof/>
                <w:webHidden/>
              </w:rPr>
              <w:tab/>
            </w:r>
            <w:r>
              <w:rPr>
                <w:noProof/>
                <w:webHidden/>
              </w:rPr>
              <w:fldChar w:fldCharType="begin"/>
            </w:r>
            <w:r>
              <w:rPr>
                <w:noProof/>
                <w:webHidden/>
              </w:rPr>
              <w:instrText xml:space="preserve"> PAGEREF _Toc216632383 \h </w:instrText>
            </w:r>
            <w:r>
              <w:rPr>
                <w:noProof/>
                <w:webHidden/>
              </w:rPr>
            </w:r>
            <w:r>
              <w:rPr>
                <w:noProof/>
                <w:webHidden/>
              </w:rPr>
              <w:fldChar w:fldCharType="separate"/>
            </w:r>
            <w:r>
              <w:rPr>
                <w:noProof/>
                <w:webHidden/>
              </w:rPr>
              <w:t>4</w:t>
            </w:r>
            <w:r>
              <w:rPr>
                <w:noProof/>
                <w:webHidden/>
              </w:rPr>
              <w:fldChar w:fldCharType="end"/>
            </w:r>
          </w:hyperlink>
        </w:p>
        <w:p w14:paraId="59D8D544" w14:textId="5B863AFD" w:rsidR="00436DBF" w:rsidRDefault="00436DBF">
          <w:pPr>
            <w:pStyle w:val="TOC1"/>
            <w:tabs>
              <w:tab w:val="right" w:leader="dot" w:pos="9350"/>
            </w:tabs>
            <w:rPr>
              <w:noProof/>
            </w:rPr>
          </w:pPr>
          <w:hyperlink w:anchor="_Toc216632384" w:history="1">
            <w:r w:rsidRPr="008E2612">
              <w:rPr>
                <w:rStyle w:val="Hyperlink"/>
                <w:noProof/>
              </w:rPr>
              <w:t>Collaborative Working</w:t>
            </w:r>
            <w:r>
              <w:rPr>
                <w:noProof/>
                <w:webHidden/>
              </w:rPr>
              <w:tab/>
            </w:r>
            <w:r>
              <w:rPr>
                <w:noProof/>
                <w:webHidden/>
              </w:rPr>
              <w:fldChar w:fldCharType="begin"/>
            </w:r>
            <w:r>
              <w:rPr>
                <w:noProof/>
                <w:webHidden/>
              </w:rPr>
              <w:instrText xml:space="preserve"> PAGEREF _Toc216632384 \h </w:instrText>
            </w:r>
            <w:r>
              <w:rPr>
                <w:noProof/>
                <w:webHidden/>
              </w:rPr>
            </w:r>
            <w:r>
              <w:rPr>
                <w:noProof/>
                <w:webHidden/>
              </w:rPr>
              <w:fldChar w:fldCharType="separate"/>
            </w:r>
            <w:r>
              <w:rPr>
                <w:noProof/>
                <w:webHidden/>
              </w:rPr>
              <w:t>5</w:t>
            </w:r>
            <w:r>
              <w:rPr>
                <w:noProof/>
                <w:webHidden/>
              </w:rPr>
              <w:fldChar w:fldCharType="end"/>
            </w:r>
          </w:hyperlink>
        </w:p>
        <w:p w14:paraId="6E7A756E" w14:textId="4426115E" w:rsidR="00436DBF" w:rsidRDefault="00436DBF">
          <w:pPr>
            <w:pStyle w:val="TOC1"/>
            <w:tabs>
              <w:tab w:val="right" w:leader="dot" w:pos="9350"/>
            </w:tabs>
            <w:rPr>
              <w:noProof/>
            </w:rPr>
          </w:pPr>
          <w:hyperlink w:anchor="_Toc216632385" w:history="1">
            <w:r w:rsidRPr="008E2612">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_Toc216632385 \h </w:instrText>
            </w:r>
            <w:r>
              <w:rPr>
                <w:noProof/>
                <w:webHidden/>
              </w:rPr>
            </w:r>
            <w:r>
              <w:rPr>
                <w:noProof/>
                <w:webHidden/>
              </w:rPr>
              <w:fldChar w:fldCharType="separate"/>
            </w:r>
            <w:r>
              <w:rPr>
                <w:noProof/>
                <w:webHidden/>
              </w:rPr>
              <w:t>6</w:t>
            </w:r>
            <w:r>
              <w:rPr>
                <w:noProof/>
                <w:webHidden/>
              </w:rPr>
              <w:fldChar w:fldCharType="end"/>
            </w:r>
          </w:hyperlink>
        </w:p>
        <w:p w14:paraId="6AF7F418" w14:textId="3C4B0596" w:rsidR="00436DBF" w:rsidRDefault="00436DBF">
          <w:pPr>
            <w:pStyle w:val="TOC1"/>
            <w:tabs>
              <w:tab w:val="right" w:leader="dot" w:pos="9350"/>
            </w:tabs>
            <w:rPr>
              <w:noProof/>
            </w:rPr>
          </w:pPr>
          <w:hyperlink w:anchor="_Toc216632386" w:history="1">
            <w:r w:rsidRPr="008E2612">
              <w:rPr>
                <w:rStyle w:val="Hyperlink"/>
                <w:rFonts w:ascii="Arial" w:hAnsi="Arial" w:cs="Arial"/>
                <w:noProof/>
              </w:rPr>
              <w:t>Reference</w:t>
            </w:r>
            <w:r>
              <w:rPr>
                <w:noProof/>
                <w:webHidden/>
              </w:rPr>
              <w:tab/>
            </w:r>
            <w:r>
              <w:rPr>
                <w:noProof/>
                <w:webHidden/>
              </w:rPr>
              <w:fldChar w:fldCharType="begin"/>
            </w:r>
            <w:r>
              <w:rPr>
                <w:noProof/>
                <w:webHidden/>
              </w:rPr>
              <w:instrText xml:space="preserve"> PAGEREF _Toc216632386 \h </w:instrText>
            </w:r>
            <w:r>
              <w:rPr>
                <w:noProof/>
                <w:webHidden/>
              </w:rPr>
            </w:r>
            <w:r>
              <w:rPr>
                <w:noProof/>
                <w:webHidden/>
              </w:rPr>
              <w:fldChar w:fldCharType="separate"/>
            </w:r>
            <w:r>
              <w:rPr>
                <w:noProof/>
                <w:webHidden/>
              </w:rPr>
              <w:t>7</w:t>
            </w:r>
            <w:r>
              <w:rPr>
                <w:noProof/>
                <w:webHidden/>
              </w:rPr>
              <w:fldChar w:fldCharType="end"/>
            </w:r>
          </w:hyperlink>
        </w:p>
        <w:p w14:paraId="4487CE5A" w14:textId="455C35BA" w:rsidR="00446859" w:rsidRDefault="00446859">
          <w:r>
            <w:rPr>
              <w:b/>
              <w:bCs/>
              <w:noProof/>
            </w:rPr>
            <w:fldChar w:fldCharType="end"/>
          </w:r>
        </w:p>
      </w:sdtContent>
    </w:sdt>
    <w:p w14:paraId="0DC19FCB" w14:textId="06901FD5" w:rsidR="00446859" w:rsidRDefault="00446859"/>
    <w:p w14:paraId="6221EAD8" w14:textId="77777777" w:rsidR="00446859" w:rsidRDefault="00446859">
      <w:r>
        <w:br w:type="page"/>
      </w:r>
    </w:p>
    <w:p w14:paraId="36EEE9E7" w14:textId="1311E5EB" w:rsidR="00446859" w:rsidRDefault="00446859" w:rsidP="00DF7F51">
      <w:pPr>
        <w:pStyle w:val="Title"/>
        <w:spacing w:line="360" w:lineRule="auto"/>
      </w:pPr>
      <w:r>
        <w:t>Case Study:</w:t>
      </w:r>
    </w:p>
    <w:p w14:paraId="22B42267" w14:textId="1058770D" w:rsidR="00446859" w:rsidRPr="0084250A" w:rsidRDefault="00446859" w:rsidP="00DF7F51">
      <w:pPr>
        <w:pStyle w:val="Heading1"/>
        <w:spacing w:line="360" w:lineRule="auto"/>
        <w:rPr>
          <w:rFonts w:ascii="Arial" w:hAnsi="Arial" w:cs="Arial"/>
          <w:sz w:val="28"/>
          <w:szCs w:val="28"/>
        </w:rPr>
      </w:pPr>
      <w:bookmarkStart w:id="0" w:name="_Toc216632381"/>
      <w:r w:rsidRPr="0084250A">
        <w:rPr>
          <w:rFonts w:ascii="Arial" w:hAnsi="Arial" w:cs="Arial"/>
          <w:sz w:val="28"/>
          <w:szCs w:val="28"/>
        </w:rPr>
        <w:t>Introduction</w:t>
      </w:r>
      <w:bookmarkEnd w:id="0"/>
    </w:p>
    <w:p w14:paraId="190A9321" w14:textId="36A0B47B" w:rsidR="00446859" w:rsidRDefault="00943F7F" w:rsidP="00DF7F51">
      <w:pPr>
        <w:spacing w:line="360" w:lineRule="auto"/>
        <w:rPr>
          <w:rFonts w:ascii="Arial" w:hAnsi="Arial" w:cs="Arial"/>
          <w:sz w:val="22"/>
          <w:szCs w:val="22"/>
        </w:rPr>
      </w:pPr>
      <w:r w:rsidRPr="00943F7F">
        <w:rPr>
          <w:rFonts w:ascii="Arial" w:hAnsi="Arial" w:cs="Arial"/>
          <w:sz w:val="22"/>
          <w:szCs w:val="22"/>
        </w:rPr>
        <w:t>In person</w:t>
      </w:r>
      <w:r>
        <w:rPr>
          <w:rFonts w:ascii="Arial" w:hAnsi="Arial" w:cs="Arial"/>
          <w:sz w:val="22"/>
          <w:szCs w:val="22"/>
        </w:rPr>
        <w:t xml:space="preserve"> </w:t>
      </w:r>
      <w:r w:rsidRPr="00943F7F">
        <w:rPr>
          <w:rFonts w:ascii="Arial" w:hAnsi="Arial" w:cs="Arial"/>
          <w:sz w:val="22"/>
          <w:szCs w:val="22"/>
        </w:rPr>
        <w:t>centered care, individuals are recognized as knowledgeable authorities in their own lives. Rather than focusing solely on service delivery, emphasis is placed on developing a thorough understanding of each person’s specific needs, preferences, and life aspirations, so that the support provided is personalized and responsive to the individual (Nellie,</w:t>
      </w:r>
      <w:r>
        <w:rPr>
          <w:rFonts w:ascii="Arial" w:hAnsi="Arial" w:cs="Arial"/>
          <w:sz w:val="22"/>
          <w:szCs w:val="22"/>
        </w:rPr>
        <w:t>2023</w:t>
      </w:r>
      <w:r w:rsidRPr="00943F7F">
        <w:rPr>
          <w:rFonts w:ascii="Arial" w:hAnsi="Arial" w:cs="Arial"/>
          <w:sz w:val="22"/>
          <w:szCs w:val="22"/>
        </w:rPr>
        <w:t>).</w:t>
      </w:r>
      <w:r w:rsidRPr="00943F7F">
        <w:t xml:space="preserve"> </w:t>
      </w:r>
      <w:r w:rsidRPr="00943F7F">
        <w:rPr>
          <w:rFonts w:ascii="Arial" w:hAnsi="Arial" w:cs="Arial"/>
          <w:sz w:val="22"/>
          <w:szCs w:val="22"/>
        </w:rPr>
        <w:t>In Mrs. Mann’s situation, a complex and clinically sensitive care context is shaped by several individual factors. These include a recent discharge from hospital, limited proficiency in English with Urdu as the primary language, dependence on domiciliary care services, involvement of community physiotherapy, ongoing monitoring by her GP, and support from family members. Inconsistencies in documentation and gaps in communication, which resulted in delayed medication adjustments, demonstrate how relatively minor process failures can have a substantial impact on patient safety, clinical outcomes, and overall care experience.</w:t>
      </w:r>
      <w:r w:rsidRPr="00943F7F">
        <w:t xml:space="preserve"> </w:t>
      </w:r>
      <w:r w:rsidRPr="00943F7F">
        <w:rPr>
          <w:rFonts w:ascii="Arial" w:hAnsi="Arial" w:cs="Arial"/>
          <w:sz w:val="22"/>
          <w:szCs w:val="22"/>
        </w:rPr>
        <w:t>Priority is given to Mrs</w:t>
      </w:r>
      <w:r>
        <w:rPr>
          <w:rFonts w:ascii="Arial" w:hAnsi="Arial" w:cs="Arial"/>
          <w:sz w:val="22"/>
          <w:szCs w:val="22"/>
        </w:rPr>
        <w:t>. Mann’s</w:t>
      </w:r>
      <w:r w:rsidRPr="00943F7F">
        <w:rPr>
          <w:rFonts w:ascii="Arial" w:hAnsi="Arial" w:cs="Arial"/>
          <w:sz w:val="22"/>
          <w:szCs w:val="22"/>
        </w:rPr>
        <w:t xml:space="preserve"> needs, choices, and overall wellbeing rather than to the operational requirements of the service.</w:t>
      </w:r>
      <w:r w:rsidR="00436DBF">
        <w:rPr>
          <w:rFonts w:ascii="Arial" w:hAnsi="Arial" w:cs="Arial"/>
          <w:sz w:val="22"/>
          <w:szCs w:val="22"/>
        </w:rPr>
        <w:t xml:space="preserve"> </w:t>
      </w:r>
      <w:r w:rsidRPr="00943F7F">
        <w:rPr>
          <w:rFonts w:ascii="Arial" w:hAnsi="Arial" w:cs="Arial"/>
          <w:sz w:val="22"/>
          <w:szCs w:val="22"/>
        </w:rPr>
        <w:t xml:space="preserve">It is essential that staff are equipped with the skills to support and balance patients’ needs and expectations, while flexibility is maintained and individuals are enabled to make informed decisions about their own </w:t>
      </w:r>
      <w:r w:rsidR="00872E20" w:rsidRPr="00943F7F">
        <w:rPr>
          <w:rFonts w:ascii="Arial" w:hAnsi="Arial" w:cs="Arial"/>
          <w:sz w:val="22"/>
          <w:szCs w:val="22"/>
        </w:rPr>
        <w:t>care</w:t>
      </w:r>
      <w:r w:rsidR="00872E20">
        <w:rPr>
          <w:rFonts w:ascii="Arial" w:hAnsi="Arial" w:cs="Arial"/>
          <w:sz w:val="22"/>
          <w:szCs w:val="22"/>
        </w:rPr>
        <w:t xml:space="preserve"> (PCCA,2025).</w:t>
      </w:r>
    </w:p>
    <w:p w14:paraId="47E4B57B" w14:textId="4F281E82" w:rsidR="00872E20" w:rsidRDefault="00872E20" w:rsidP="00DF7F51">
      <w:pPr>
        <w:pStyle w:val="Heading1"/>
        <w:spacing w:line="360" w:lineRule="auto"/>
        <w:rPr>
          <w:rFonts w:ascii="Arial" w:hAnsi="Arial" w:cs="Arial"/>
          <w:sz w:val="28"/>
          <w:szCs w:val="28"/>
        </w:rPr>
      </w:pPr>
      <w:bookmarkStart w:id="1" w:name="_Toc216632382"/>
      <w:r w:rsidRPr="0084250A">
        <w:rPr>
          <w:rFonts w:ascii="Arial" w:hAnsi="Arial" w:cs="Arial"/>
          <w:sz w:val="28"/>
          <w:szCs w:val="28"/>
        </w:rPr>
        <w:t>Effective Communication in Mrs. Mann’s Care</w:t>
      </w:r>
      <w:bookmarkEnd w:id="1"/>
    </w:p>
    <w:p w14:paraId="1D4284A0" w14:textId="5C659280" w:rsidR="00B20719" w:rsidRDefault="00DF7F51" w:rsidP="003A5A5E">
      <w:pPr>
        <w:spacing w:line="360" w:lineRule="auto"/>
      </w:pPr>
      <w:r w:rsidRPr="00DF7F51">
        <w:rPr>
          <w:rFonts w:ascii="Arial" w:hAnsi="Arial" w:cs="Arial"/>
          <w:sz w:val="22"/>
          <w:szCs w:val="22"/>
        </w:rPr>
        <w:t xml:space="preserve">People naturally seek interaction with others and communicate in diverse ways throughout everyday life. Individuals take on </w:t>
      </w:r>
      <w:r w:rsidR="00436DBF" w:rsidRPr="00DF7F51">
        <w:rPr>
          <w:rFonts w:ascii="Arial" w:hAnsi="Arial" w:cs="Arial"/>
          <w:sz w:val="22"/>
          <w:szCs w:val="22"/>
        </w:rPr>
        <w:t>distinct roles</w:t>
      </w:r>
      <w:r w:rsidRPr="00DF7F51">
        <w:rPr>
          <w:rFonts w:ascii="Arial" w:hAnsi="Arial" w:cs="Arial"/>
          <w:sz w:val="22"/>
          <w:szCs w:val="22"/>
        </w:rPr>
        <w:t xml:space="preserve"> depending on the context of each exchange. Regardless of the situation, successful interactions depend on clear and effective communication, which supports mutual understanding and connection (Stevenson University Online,</w:t>
      </w:r>
      <w:r>
        <w:rPr>
          <w:rFonts w:ascii="Arial" w:hAnsi="Arial" w:cs="Arial"/>
          <w:sz w:val="22"/>
          <w:szCs w:val="22"/>
        </w:rPr>
        <w:t>2025</w:t>
      </w:r>
      <w:r w:rsidRPr="00DF7F51">
        <w:rPr>
          <w:rFonts w:ascii="Arial" w:hAnsi="Arial" w:cs="Arial"/>
          <w:sz w:val="22"/>
          <w:szCs w:val="22"/>
        </w:rPr>
        <w:t>). Developing and sustaining meaningful, authentic relationships requires several communication skills, particularly the ability to interpret nonverbal cues such as body language and to practice active, attentive listening (Stevenson University Online,</w:t>
      </w:r>
      <w:r>
        <w:rPr>
          <w:rFonts w:ascii="Arial" w:hAnsi="Arial" w:cs="Arial"/>
          <w:sz w:val="22"/>
          <w:szCs w:val="22"/>
        </w:rPr>
        <w:t>2025</w:t>
      </w:r>
      <w:r w:rsidRPr="00DF7F51">
        <w:rPr>
          <w:rFonts w:ascii="Arial" w:hAnsi="Arial" w:cs="Arial"/>
          <w:sz w:val="22"/>
          <w:szCs w:val="22"/>
        </w:rPr>
        <w:t>)</w:t>
      </w:r>
      <w:r>
        <w:rPr>
          <w:rFonts w:ascii="Arial" w:hAnsi="Arial" w:cs="Arial"/>
          <w:sz w:val="22"/>
          <w:szCs w:val="22"/>
        </w:rPr>
        <w:t xml:space="preserve">. </w:t>
      </w:r>
      <w:r w:rsidRPr="00DF7F51">
        <w:rPr>
          <w:rFonts w:ascii="Arial" w:hAnsi="Arial" w:cs="Arial"/>
          <w:sz w:val="22"/>
          <w:szCs w:val="22"/>
        </w:rPr>
        <w:t xml:space="preserve">For </w:t>
      </w:r>
      <w:r w:rsidR="003A5A5E" w:rsidRPr="00DF7F51">
        <w:rPr>
          <w:rFonts w:ascii="Arial" w:hAnsi="Arial" w:cs="Arial"/>
          <w:sz w:val="22"/>
          <w:szCs w:val="22"/>
        </w:rPr>
        <w:t>Mrs.</w:t>
      </w:r>
      <w:r w:rsidRPr="00DF7F51">
        <w:rPr>
          <w:rFonts w:ascii="Arial" w:hAnsi="Arial" w:cs="Arial"/>
          <w:sz w:val="22"/>
          <w:szCs w:val="22"/>
        </w:rPr>
        <w:t xml:space="preserve"> Mann, whose first language is Urdu and who has limited ability to communicate in English, providing equal access to healthcare information is both a clinical priority and a legal requirement under the Equality Act 2010 (Gov.uk, 2020). This legislation identifies disability as a protected characteristic and places a duty on services to implement reasonable adjustments to minimize obstacles to care. Such measures may include arranging qualified interpreters, offering translated written resources, using visual aids, and allowing additional time for appointments to ensure understanding and informed involvement in care decisions (NHS England, 2020).</w:t>
      </w:r>
    </w:p>
    <w:p w14:paraId="3EDD49A6" w14:textId="717AB836" w:rsidR="00B20719" w:rsidRDefault="00B20719" w:rsidP="003A5A5E">
      <w:pPr>
        <w:spacing w:line="360" w:lineRule="auto"/>
        <w:rPr>
          <w:rFonts w:ascii="Arial" w:hAnsi="Arial" w:cs="Arial"/>
          <w:sz w:val="22"/>
          <w:szCs w:val="22"/>
        </w:rPr>
      </w:pPr>
      <w:bookmarkStart w:id="2" w:name="_Hlk216552562"/>
      <w:r w:rsidRPr="00B20719">
        <w:rPr>
          <w:rFonts w:ascii="Arial" w:hAnsi="Arial" w:cs="Arial"/>
          <w:sz w:val="22"/>
          <w:szCs w:val="22"/>
        </w:rPr>
        <w:t>Lasswell’s</w:t>
      </w:r>
      <w:bookmarkEnd w:id="2"/>
      <w:r w:rsidRPr="00B20719">
        <w:rPr>
          <w:rFonts w:ascii="Arial" w:hAnsi="Arial" w:cs="Arial"/>
          <w:sz w:val="22"/>
          <w:szCs w:val="22"/>
        </w:rPr>
        <w:t xml:space="preserve"> Model provides a clear and organized framework for exploring how communication operates. It examines the individual delivering the message, the content being shared, the medium through which it is conveyed, the intended recipients, and the resulting impact. By identifying these five key components, the model is widely used to evaluate and interpret communication processes across different settings (Lasswell, 1948). Information exchange between care staff, the GP, and the physiotherapist can be strengthened and standardized by the Lasswell’s framework, which organizes communication into situation, background, assessment, and recommendation (Wikipedia, 2025). This structured method promotes clear, accurate, and efficient handovers between professionals (Osmosis, 2025</w:t>
      </w:r>
      <w:r w:rsidR="00436DBF">
        <w:rPr>
          <w:rFonts w:ascii="Arial" w:hAnsi="Arial" w:cs="Arial"/>
          <w:sz w:val="22"/>
          <w:szCs w:val="22"/>
        </w:rPr>
        <w:t>).</w:t>
      </w:r>
      <w:r w:rsidRPr="00B20719">
        <w:rPr>
          <w:rFonts w:ascii="Arial" w:hAnsi="Arial" w:cs="Arial"/>
          <w:sz w:val="22"/>
          <w:szCs w:val="22"/>
        </w:rPr>
        <w:t xml:space="preserve"> Additionally, implementing accessible information approaches</w:t>
      </w:r>
      <w:r>
        <w:rPr>
          <w:rFonts w:ascii="Arial" w:hAnsi="Arial" w:cs="Arial"/>
          <w:sz w:val="22"/>
          <w:szCs w:val="22"/>
        </w:rPr>
        <w:t xml:space="preserve"> </w:t>
      </w:r>
      <w:r w:rsidRPr="00B20719">
        <w:rPr>
          <w:rFonts w:ascii="Arial" w:hAnsi="Arial" w:cs="Arial"/>
          <w:sz w:val="22"/>
          <w:szCs w:val="22"/>
        </w:rPr>
        <w:t>such as providing translated documents, using visual cues, and applying the teach-back method</w:t>
      </w:r>
      <w:r>
        <w:rPr>
          <w:rFonts w:ascii="Arial" w:hAnsi="Arial" w:cs="Arial"/>
          <w:sz w:val="22"/>
          <w:szCs w:val="22"/>
        </w:rPr>
        <w:t xml:space="preserve"> </w:t>
      </w:r>
      <w:r w:rsidRPr="00B20719">
        <w:rPr>
          <w:rFonts w:ascii="Arial" w:hAnsi="Arial" w:cs="Arial"/>
          <w:sz w:val="22"/>
          <w:szCs w:val="22"/>
        </w:rPr>
        <w:t>can improve Mrs. Mann’s comprehension and support her engagement with and adherence to her care plan</w:t>
      </w:r>
      <w:r>
        <w:rPr>
          <w:rFonts w:ascii="Arial" w:hAnsi="Arial" w:cs="Arial"/>
          <w:sz w:val="22"/>
          <w:szCs w:val="22"/>
        </w:rPr>
        <w:t xml:space="preserve"> </w:t>
      </w:r>
      <w:r w:rsidRPr="00B20719">
        <w:rPr>
          <w:rFonts w:ascii="Arial" w:hAnsi="Arial" w:cs="Arial"/>
          <w:sz w:val="22"/>
          <w:szCs w:val="22"/>
        </w:rPr>
        <w:t>(Care Learning, 2024</w:t>
      </w:r>
      <w:r w:rsidR="006C25DC">
        <w:rPr>
          <w:rFonts w:ascii="Arial" w:hAnsi="Arial" w:cs="Arial"/>
          <w:sz w:val="22"/>
          <w:szCs w:val="22"/>
        </w:rPr>
        <w:t>).</w:t>
      </w:r>
    </w:p>
    <w:p w14:paraId="2D84C3AF" w14:textId="5662BFAF" w:rsidR="003A5A5E" w:rsidRDefault="003A5A5E" w:rsidP="003A5A5E">
      <w:pPr>
        <w:pStyle w:val="Heading1"/>
        <w:rPr>
          <w:sz w:val="28"/>
          <w:szCs w:val="28"/>
        </w:rPr>
      </w:pPr>
      <w:bookmarkStart w:id="3" w:name="_Toc216632383"/>
      <w:r w:rsidRPr="003A5A5E">
        <w:rPr>
          <w:sz w:val="28"/>
          <w:szCs w:val="28"/>
        </w:rPr>
        <w:t>Administrative Skills &amp; Record Keeping</w:t>
      </w:r>
      <w:bookmarkEnd w:id="3"/>
    </w:p>
    <w:p w14:paraId="11B600BA" w14:textId="1CDC0FB1" w:rsidR="003A5A5E" w:rsidRDefault="00FC4F88" w:rsidP="0069647C">
      <w:pPr>
        <w:spacing w:line="360" w:lineRule="auto"/>
        <w:rPr>
          <w:rFonts w:ascii="Arial" w:hAnsi="Arial" w:cs="Arial"/>
          <w:sz w:val="22"/>
          <w:szCs w:val="22"/>
        </w:rPr>
      </w:pPr>
      <w:r w:rsidRPr="00FC4F88">
        <w:rPr>
          <w:rFonts w:ascii="Arial" w:hAnsi="Arial" w:cs="Arial"/>
          <w:sz w:val="22"/>
          <w:szCs w:val="22"/>
        </w:rPr>
        <w:t>High-quality care in health and social care settings is strongly supported by effective communication, as safe, respectful, and person-centered support is promoted across environments such as care homes, hospitals, and individuals’ own homes. The ways in which information is exchanged</w:t>
      </w:r>
      <w:r>
        <w:rPr>
          <w:rFonts w:ascii="Arial" w:hAnsi="Arial" w:cs="Arial"/>
          <w:sz w:val="22"/>
          <w:szCs w:val="22"/>
        </w:rPr>
        <w:t xml:space="preserve"> </w:t>
      </w:r>
      <w:r w:rsidRPr="00FC4F88">
        <w:rPr>
          <w:rFonts w:ascii="Arial" w:hAnsi="Arial" w:cs="Arial"/>
          <w:sz w:val="22"/>
          <w:szCs w:val="22"/>
        </w:rPr>
        <w:t>through speaking, listening, and interpreting</w:t>
      </w:r>
      <w:r>
        <w:rPr>
          <w:rFonts w:ascii="Arial" w:hAnsi="Arial" w:cs="Arial"/>
          <w:sz w:val="22"/>
          <w:szCs w:val="22"/>
        </w:rPr>
        <w:t xml:space="preserve"> </w:t>
      </w:r>
      <w:r w:rsidRPr="00FC4F88">
        <w:rPr>
          <w:rFonts w:ascii="Arial" w:hAnsi="Arial" w:cs="Arial"/>
          <w:sz w:val="22"/>
          <w:szCs w:val="22"/>
        </w:rPr>
        <w:t>have a direct influence on care outcomes, as trust is built, essential information is accurately shared, and effective collaboration among professionals is encouraged. When communication is not carried out effectively, the likelihood of errors is increased, and individuals may feel overlooked or misunderstood. Gaining an understanding of the importance of communication, the various methods through which it is delivered, and the ways in which these skills can be enhanced are essential for improving practice and supporting professional development</w:t>
      </w:r>
      <w:r w:rsidRPr="00FC4F88">
        <w:t xml:space="preserve"> </w:t>
      </w:r>
      <w:r w:rsidRPr="00FC4F88">
        <w:rPr>
          <w:rFonts w:ascii="Arial" w:hAnsi="Arial" w:cs="Arial"/>
          <w:sz w:val="22"/>
          <w:szCs w:val="22"/>
        </w:rPr>
        <w:t>(Gov.uk, 202</w:t>
      </w:r>
      <w:r>
        <w:rPr>
          <w:rFonts w:ascii="Arial" w:hAnsi="Arial" w:cs="Arial"/>
          <w:sz w:val="22"/>
          <w:szCs w:val="22"/>
        </w:rPr>
        <w:t>5</w:t>
      </w:r>
      <w:r w:rsidRPr="00FC4F88">
        <w:rPr>
          <w:rFonts w:ascii="Arial" w:hAnsi="Arial" w:cs="Arial"/>
          <w:sz w:val="22"/>
          <w:szCs w:val="22"/>
        </w:rPr>
        <w:t>)</w:t>
      </w:r>
      <w:r>
        <w:rPr>
          <w:rFonts w:ascii="Arial" w:hAnsi="Arial" w:cs="Arial"/>
          <w:sz w:val="22"/>
          <w:szCs w:val="22"/>
        </w:rPr>
        <w:t>.</w:t>
      </w:r>
      <w:r w:rsidRPr="00FC4F88">
        <w:t xml:space="preserve"> </w:t>
      </w:r>
      <w:r w:rsidRPr="00FC4F88">
        <w:rPr>
          <w:rFonts w:ascii="Arial" w:hAnsi="Arial" w:cs="Arial"/>
          <w:sz w:val="22"/>
          <w:szCs w:val="22"/>
        </w:rPr>
        <w:t>Safe and efficient care is underpinned by effective administrative practices. In domiciliary and community settings, continuity of care is supported, clinical decisions are informed, and accountability is ensured through the maintenance of accurate records. In Mrs. Mann’s case, safety was compromised due to inconsistent documentation and a missed medication update, highlighting the risks associated with poor record-keeping. Records should be made contemporaneously, kept clear and precise, and maintained according to standardized procedures. Each entry should document the date and time, the author and their role, actions carried out, communications with other professionals, and the outcomes achieved. Under the Data Protection Act 2018, the handling of personal data is governed by principles such as lawfulness, fairness, and transparency; purpose limitation; data minimization; accuracy; storage limitation; integrity and confidentiality; and accountability (Gov.uk, 2023).</w:t>
      </w:r>
    </w:p>
    <w:p w14:paraId="08C2F116" w14:textId="2354F08A" w:rsidR="0069647C" w:rsidRDefault="0069647C" w:rsidP="0069647C">
      <w:pPr>
        <w:spacing w:line="360" w:lineRule="auto"/>
        <w:rPr>
          <w:rFonts w:ascii="Arial" w:hAnsi="Arial" w:cs="Arial"/>
          <w:sz w:val="22"/>
          <w:szCs w:val="22"/>
        </w:rPr>
      </w:pPr>
      <w:r w:rsidRPr="0069647C">
        <w:rPr>
          <w:rFonts w:ascii="Arial" w:hAnsi="Arial" w:cs="Arial"/>
          <w:sz w:val="22"/>
          <w:szCs w:val="22"/>
        </w:rPr>
        <w:t>In accordance with the Care Act 2014, this document has been designated as statutory guidance, which must be considered by local authorities, NHS trusts, and NHS foundation trusts in England, with deviations permitted only when justified (Gov.uk, 2014). Compliance with this guidance by these organizations, as well as by other health and social care providers</w:t>
      </w:r>
      <w:r>
        <w:rPr>
          <w:rFonts w:ascii="Arial" w:hAnsi="Arial" w:cs="Arial"/>
          <w:sz w:val="22"/>
          <w:szCs w:val="22"/>
        </w:rPr>
        <w:t xml:space="preserve">, </w:t>
      </w:r>
      <w:r w:rsidRPr="0069647C">
        <w:rPr>
          <w:rFonts w:ascii="Arial" w:hAnsi="Arial" w:cs="Arial"/>
          <w:sz w:val="22"/>
          <w:szCs w:val="22"/>
        </w:rPr>
        <w:t>including independent primary care contractors and private or voluntary organization’s delivery services under ensured, and it also assists commissioning bodies in meeting their legal obligations under the Health and Social Care Act 2012, particularly in promoting research activities (Gov.uk, 2012). The policy framework is maintained by the Health Research Authority</w:t>
      </w:r>
      <w:r>
        <w:rPr>
          <w:rFonts w:ascii="Arial" w:hAnsi="Arial" w:cs="Arial"/>
          <w:sz w:val="22"/>
          <w:szCs w:val="22"/>
        </w:rPr>
        <w:t xml:space="preserve"> </w:t>
      </w:r>
      <w:r w:rsidRPr="0069647C">
        <w:rPr>
          <w:rFonts w:ascii="Arial" w:hAnsi="Arial" w:cs="Arial"/>
          <w:sz w:val="22"/>
          <w:szCs w:val="22"/>
        </w:rPr>
        <w:t>in conjunction with the Devolved Administrations, with updates issued regularly to ensure references remain current and revisions made in response to significant developments, such as modifications to clinical trial regulations, or at intervals agreed upon by the HRA and Devolved Administrations (HRA,</w:t>
      </w:r>
      <w:r>
        <w:rPr>
          <w:rFonts w:ascii="Arial" w:hAnsi="Arial" w:cs="Arial"/>
          <w:sz w:val="22"/>
          <w:szCs w:val="22"/>
        </w:rPr>
        <w:t>2025</w:t>
      </w:r>
      <w:r w:rsidRPr="0069647C">
        <w:rPr>
          <w:rFonts w:ascii="Arial" w:hAnsi="Arial" w:cs="Arial"/>
          <w:sz w:val="22"/>
          <w:szCs w:val="22"/>
        </w:rPr>
        <w:t>).</w:t>
      </w:r>
      <w:r w:rsidRPr="0069647C">
        <w:t xml:space="preserve"> </w:t>
      </w:r>
      <w:r w:rsidRPr="0069647C">
        <w:rPr>
          <w:rFonts w:ascii="Arial" w:hAnsi="Arial" w:cs="Arial"/>
          <w:sz w:val="22"/>
          <w:szCs w:val="22"/>
        </w:rPr>
        <w:t>Further, it is required under the Caldicott Principles that personal data is used solely for its legitimate purpose, shared only to the minimum necessary extent, and accessed strictly on a need-to-know basis. Staff are expected to be made aware of their responsibilities, legal requirements must be adhered to, the duty to share information must be balanced with the obligation to maintain confidentiality, and patients must be kept informed in a transparent manner (Gov.uk, 2020).</w:t>
      </w:r>
    </w:p>
    <w:p w14:paraId="6E26185C" w14:textId="7A342C81" w:rsidR="0069647C" w:rsidRPr="0069647C" w:rsidRDefault="0069647C" w:rsidP="00106382">
      <w:pPr>
        <w:pStyle w:val="Heading1"/>
        <w:spacing w:line="360" w:lineRule="auto"/>
        <w:rPr>
          <w:sz w:val="28"/>
          <w:szCs w:val="28"/>
        </w:rPr>
      </w:pPr>
      <w:bookmarkStart w:id="4" w:name="_Toc216632384"/>
      <w:r w:rsidRPr="0069647C">
        <w:rPr>
          <w:sz w:val="28"/>
          <w:szCs w:val="28"/>
        </w:rPr>
        <w:t>Collaborative Working</w:t>
      </w:r>
      <w:bookmarkEnd w:id="4"/>
    </w:p>
    <w:p w14:paraId="5CC8A509" w14:textId="31DCA7E0" w:rsidR="00872E20" w:rsidRPr="00106382" w:rsidRDefault="00106382" w:rsidP="00106382">
      <w:pPr>
        <w:spacing w:line="360" w:lineRule="auto"/>
        <w:rPr>
          <w:rFonts w:ascii="Arial" w:hAnsi="Arial" w:cs="Arial"/>
          <w:sz w:val="22"/>
          <w:szCs w:val="22"/>
        </w:rPr>
      </w:pPr>
      <w:r w:rsidRPr="00106382">
        <w:rPr>
          <w:rFonts w:ascii="Arial" w:hAnsi="Arial" w:cs="Arial"/>
          <w:sz w:val="22"/>
          <w:szCs w:val="22"/>
        </w:rPr>
        <w:t>Mrs. Mann’s recovery will be supported through a collaborative approach, involving her GP overseeing her medical care and medications, a community physiotherapist guiding her rehabilitation, and domiciliary care staff assisting with everyday needs.</w:t>
      </w:r>
      <w:r w:rsidR="006C25DC" w:rsidRPr="006C25DC">
        <w:t xml:space="preserve"> </w:t>
      </w:r>
      <w:r w:rsidR="006C25DC" w:rsidRPr="006C25DC">
        <w:rPr>
          <w:rFonts w:ascii="Arial" w:hAnsi="Arial" w:cs="Arial"/>
          <w:sz w:val="22"/>
          <w:szCs w:val="22"/>
        </w:rPr>
        <w:t>Numerous benefits are gained by organizations and team members through collaboration. Productivity in jobs is often enhanced by individuals who engage in project collaboration or lead cooperative teams, and lower turnover rates are typically observed in businesses. The ability to work collaboratively is considered a valuable skill in any industry, and success in this area can foster long-term career advancement.</w:t>
      </w:r>
      <w:r w:rsidR="006C25DC">
        <w:rPr>
          <w:rFonts w:ascii="Arial" w:hAnsi="Arial" w:cs="Arial"/>
          <w:sz w:val="22"/>
          <w:szCs w:val="22"/>
        </w:rPr>
        <w:t xml:space="preserve"> (Indeed,2025).</w:t>
      </w:r>
      <w:r w:rsidR="006C25DC" w:rsidRPr="006C25DC">
        <w:t xml:space="preserve"> </w:t>
      </w:r>
      <w:r w:rsidR="006C25DC" w:rsidRPr="006C25DC">
        <w:rPr>
          <w:rFonts w:ascii="Arial" w:hAnsi="Arial" w:cs="Arial"/>
          <w:sz w:val="22"/>
          <w:szCs w:val="22"/>
        </w:rPr>
        <w:t xml:space="preserve">Successful collaboration is supported by agreed goals, clearly defined roles, structured communication processes, and shared accountability. Coordinated care plans are implemented, scheduled multidisciplinary meetings are held, SBAR-based handovers are used, and continuous feedback systems are maintained. Potential challenges are addressed </w:t>
      </w:r>
      <w:r w:rsidR="00E469D9" w:rsidRPr="006C25DC">
        <w:rPr>
          <w:rFonts w:ascii="Arial" w:hAnsi="Arial" w:cs="Arial"/>
          <w:sz w:val="22"/>
          <w:szCs w:val="22"/>
        </w:rPr>
        <w:t>using</w:t>
      </w:r>
      <w:r w:rsidR="006C25DC" w:rsidRPr="006C25DC">
        <w:rPr>
          <w:rFonts w:ascii="Arial" w:hAnsi="Arial" w:cs="Arial"/>
          <w:sz w:val="22"/>
          <w:szCs w:val="22"/>
        </w:rPr>
        <w:t xml:space="preserve"> trained interpreters, the provision of multilingual resources, the application of teach-back techniques, the use of shared electronic records, and the implementation of clear escalation procedures (Osmosis, 2025; Wikipedia, 2025)</w:t>
      </w:r>
      <w:r w:rsidR="006C25DC">
        <w:rPr>
          <w:rFonts w:ascii="Arial" w:hAnsi="Arial" w:cs="Arial"/>
          <w:sz w:val="22"/>
          <w:szCs w:val="22"/>
        </w:rPr>
        <w:t>.</w:t>
      </w:r>
      <w:r w:rsidR="006C25DC" w:rsidRPr="006C25DC">
        <w:rPr>
          <w:rFonts w:ascii="Arial" w:hAnsi="Arial" w:cs="Arial"/>
          <w:sz w:val="22"/>
          <w:szCs w:val="22"/>
        </w:rPr>
        <w:t xml:space="preserve"> This element focuses on the outcome of communication and the way it influences the audience. It assesses whether the message was accurately received, whether it affected attitudes, or whether it encouraged actions. For example, a public awareness campaign promoting seatbelt use seeks to educate individuals and support safer driving behaviors.</w:t>
      </w:r>
      <w:r w:rsidR="00E469D9" w:rsidRPr="00E469D9">
        <w:t xml:space="preserve"> Challenges in partnership working can be mitigated through a range of strategies that strengthen collaborative practice. Clear and consistent communication should be promoted through agreed channels and guidelines to ensure all stakeholders remain informed and actively involved, with routine meetings supporting openness and professional rapport.</w:t>
      </w:r>
    </w:p>
    <w:p w14:paraId="61FDB3B7" w14:textId="77777777" w:rsidR="00E469D9" w:rsidRDefault="00E469D9" w:rsidP="00E469D9">
      <w:pPr>
        <w:pStyle w:val="Heading1"/>
        <w:rPr>
          <w:rFonts w:ascii="Arial" w:hAnsi="Arial" w:cs="Arial"/>
          <w:sz w:val="28"/>
          <w:szCs w:val="28"/>
        </w:rPr>
      </w:pPr>
      <w:bookmarkStart w:id="5" w:name="_Toc216632385"/>
      <w:r w:rsidRPr="00E469D9">
        <w:rPr>
          <w:rFonts w:ascii="Arial" w:hAnsi="Arial" w:cs="Arial"/>
          <w:sz w:val="28"/>
          <w:szCs w:val="28"/>
        </w:rPr>
        <w:t>Conclusion</w:t>
      </w:r>
      <w:bookmarkEnd w:id="5"/>
    </w:p>
    <w:p w14:paraId="131ED0DE" w14:textId="53127040" w:rsidR="00436DBF" w:rsidRPr="00436DBF" w:rsidRDefault="005C4FA2" w:rsidP="00436DBF">
      <w:pPr>
        <w:spacing w:line="360" w:lineRule="auto"/>
        <w:rPr>
          <w:rFonts w:ascii="Arial" w:hAnsi="Arial" w:cs="Arial"/>
          <w:sz w:val="22"/>
          <w:szCs w:val="22"/>
        </w:rPr>
      </w:pPr>
      <w:r w:rsidRPr="00436DBF">
        <w:rPr>
          <w:rFonts w:ascii="Arial" w:hAnsi="Arial" w:cs="Arial"/>
          <w:sz w:val="22"/>
          <w:szCs w:val="22"/>
        </w:rPr>
        <w:t xml:space="preserve">In Mrs. Mann’s case, the importance of communication, administration, and collaboration is demonstrated as key foundations of safe community care. Communication is required to be fair and well structured, in accordance with the Equality Act 2010, using professional interpreters, teach-back techniques, and structured tools such as </w:t>
      </w:r>
      <w:r w:rsidR="00436DBF" w:rsidRPr="00436DBF">
        <w:rPr>
          <w:rFonts w:ascii="Arial" w:hAnsi="Arial" w:cs="Arial"/>
          <w:sz w:val="22"/>
          <w:szCs w:val="22"/>
        </w:rPr>
        <w:t>Lasswell’s</w:t>
      </w:r>
      <w:r w:rsidRPr="00436DBF">
        <w:rPr>
          <w:rFonts w:ascii="Arial" w:hAnsi="Arial" w:cs="Arial"/>
          <w:sz w:val="22"/>
          <w:szCs w:val="22"/>
        </w:rPr>
        <w:t>, in order to reduce misunderstandings and support adherence. Robust administrative practices, guided by the Data Protection Act 2018 and the Caldicott Principles, are used to ensure accurate, timely, and confidential documentation that informs clinical decision-making and minimizes procedural errors.</w:t>
      </w:r>
      <w:r w:rsidR="00436DBF" w:rsidRPr="00436DBF">
        <w:rPr>
          <w:rFonts w:ascii="Arial" w:hAnsi="Arial" w:cs="Arial"/>
          <w:sz w:val="22"/>
          <w:szCs w:val="22"/>
        </w:rPr>
        <w:t xml:space="preserve"> Clearly specified roles and duties help to minimize duplication and service gaps, enabling each organization to understand its individual contribution. Establishing a shared vision with mutually agreed objectives further aligns efforts and motivates partners to work collectively. Additionally, the application of structured collaborative models, such as Kantar’s Organizational Practice Model, can assist organizations in identifying obstacles, improving coordination, and reinforcing effective partnership working (Kantar, 2025).</w:t>
      </w:r>
    </w:p>
    <w:p w14:paraId="266F869F" w14:textId="4AFE94D2" w:rsidR="00446859" w:rsidRPr="00436DBF" w:rsidRDefault="00872E20" w:rsidP="00436DBF">
      <w:pPr>
        <w:pStyle w:val="Heading1"/>
        <w:rPr>
          <w:rFonts w:ascii="Arial" w:hAnsi="Arial" w:cs="Arial"/>
          <w:sz w:val="28"/>
          <w:szCs w:val="28"/>
        </w:rPr>
      </w:pPr>
      <w:bookmarkStart w:id="6" w:name="_Toc216632386"/>
      <w:r w:rsidRPr="00436DBF">
        <w:rPr>
          <w:rFonts w:ascii="Arial" w:hAnsi="Arial" w:cs="Arial"/>
          <w:sz w:val="28"/>
          <w:szCs w:val="28"/>
        </w:rPr>
        <w:t>Reference</w:t>
      </w:r>
      <w:bookmarkEnd w:id="6"/>
    </w:p>
    <w:p w14:paraId="7BF660F0" w14:textId="7729CD6B" w:rsidR="00872E20" w:rsidRPr="00DF7F51" w:rsidRDefault="00872E20" w:rsidP="00DF7F51">
      <w:pPr>
        <w:spacing w:line="360" w:lineRule="auto"/>
        <w:rPr>
          <w:rFonts w:ascii="Arial" w:hAnsi="Arial" w:cs="Arial"/>
          <w:sz w:val="22"/>
          <w:szCs w:val="22"/>
        </w:rPr>
      </w:pPr>
      <w:r w:rsidRPr="00DF7F51">
        <w:rPr>
          <w:rFonts w:ascii="Arial" w:hAnsi="Arial" w:cs="Arial"/>
          <w:sz w:val="22"/>
          <w:szCs w:val="22"/>
        </w:rPr>
        <w:t>Flexebee, 2025. Person Centered Care Awareness. Available at:</w:t>
      </w:r>
      <w:r w:rsidR="00436DBF">
        <w:rPr>
          <w:rFonts w:ascii="Arial" w:hAnsi="Arial" w:cs="Arial"/>
          <w:sz w:val="22"/>
          <w:szCs w:val="22"/>
        </w:rPr>
        <w:t xml:space="preserve"> </w:t>
      </w:r>
      <w:hyperlink r:id="rId5" w:history="1">
        <w:r w:rsidR="00436DBF" w:rsidRPr="00B06FB8">
          <w:rPr>
            <w:rStyle w:val="Hyperlink"/>
            <w:rFonts w:ascii="Arial" w:hAnsi="Arial" w:cs="Arial"/>
            <w:sz w:val="22"/>
            <w:szCs w:val="22"/>
          </w:rPr>
          <w:t>https://www.flexebee.co.uk/person-centred-care-awareness</w:t>
        </w:r>
      </w:hyperlink>
    </w:p>
    <w:p w14:paraId="2EF00ACA" w14:textId="2161D8D7" w:rsidR="00DF7F51" w:rsidRPr="00DF7F51" w:rsidRDefault="00DF7F51" w:rsidP="00DF7F51">
      <w:pPr>
        <w:spacing w:line="360" w:lineRule="auto"/>
        <w:rPr>
          <w:rFonts w:ascii="Arial" w:hAnsi="Arial" w:cs="Arial"/>
          <w:sz w:val="22"/>
          <w:szCs w:val="22"/>
        </w:rPr>
      </w:pPr>
      <w:r w:rsidRPr="00DF7F51">
        <w:rPr>
          <w:rFonts w:ascii="Arial" w:hAnsi="Arial" w:cs="Arial"/>
          <w:sz w:val="22"/>
          <w:szCs w:val="22"/>
        </w:rPr>
        <w:t>Stevenson University Online (</w:t>
      </w:r>
      <w:r w:rsidR="00436DBF">
        <w:rPr>
          <w:rFonts w:ascii="Arial" w:hAnsi="Arial" w:cs="Arial"/>
          <w:sz w:val="22"/>
          <w:szCs w:val="22"/>
        </w:rPr>
        <w:t>2025</w:t>
      </w:r>
      <w:r w:rsidRPr="00DF7F51">
        <w:rPr>
          <w:rFonts w:ascii="Arial" w:hAnsi="Arial" w:cs="Arial"/>
          <w:sz w:val="22"/>
          <w:szCs w:val="22"/>
        </w:rPr>
        <w:t xml:space="preserve">) The importance of effective communication. Available at: </w:t>
      </w:r>
      <w:hyperlink r:id="rId6" w:history="1">
        <w:r w:rsidRPr="00DF7F51">
          <w:rPr>
            <w:rStyle w:val="Hyperlink"/>
            <w:rFonts w:ascii="Arial" w:hAnsi="Arial" w:cs="Arial"/>
            <w:sz w:val="22"/>
            <w:szCs w:val="22"/>
          </w:rPr>
          <w:t>https://www.stevenson.edu/online/about-us/news/importance-effective-communication/</w:t>
        </w:r>
      </w:hyperlink>
    </w:p>
    <w:p w14:paraId="58B92739" w14:textId="7FE4656B" w:rsidR="00DF7F51" w:rsidRPr="00DF7F51" w:rsidRDefault="00DF7F51" w:rsidP="00DF7F51">
      <w:pPr>
        <w:spacing w:line="360" w:lineRule="auto"/>
        <w:rPr>
          <w:rFonts w:ascii="Arial" w:hAnsi="Arial" w:cs="Arial"/>
          <w:sz w:val="22"/>
          <w:szCs w:val="22"/>
        </w:rPr>
      </w:pPr>
      <w:r w:rsidRPr="00DF7F51">
        <w:rPr>
          <w:rFonts w:ascii="Arial" w:hAnsi="Arial" w:cs="Arial"/>
          <w:sz w:val="22"/>
          <w:szCs w:val="22"/>
        </w:rPr>
        <w:t>AHRQ (Agency for Healthcare Research and Quality), 2023. Teach</w:t>
      </w:r>
      <w:r w:rsidRPr="00DF7F51">
        <w:rPr>
          <w:rFonts w:ascii="Cambria Math" w:hAnsi="Cambria Math" w:cs="Cambria Math"/>
          <w:sz w:val="22"/>
          <w:szCs w:val="22"/>
        </w:rPr>
        <w:t>‑</w:t>
      </w:r>
      <w:r w:rsidRPr="00DF7F51">
        <w:rPr>
          <w:rFonts w:ascii="Arial" w:hAnsi="Arial" w:cs="Arial"/>
          <w:sz w:val="22"/>
          <w:szCs w:val="22"/>
        </w:rPr>
        <w:t>Back: Intervention. Available at: https://www.ahrq.gov/patient-safety/reports/engage/interventions/teachback.html</w:t>
      </w:r>
      <w:r>
        <w:rPr>
          <w:rFonts w:ascii="Arial" w:hAnsi="Arial" w:cs="Arial"/>
          <w:sz w:val="22"/>
          <w:szCs w:val="22"/>
        </w:rPr>
        <w:t>.</w:t>
      </w:r>
    </w:p>
    <w:p w14:paraId="5222A4D3" w14:textId="7944613E" w:rsidR="00DF7F51" w:rsidRPr="00DF7F51" w:rsidRDefault="00DF7F51" w:rsidP="00DF7F51">
      <w:pPr>
        <w:spacing w:line="360" w:lineRule="auto"/>
        <w:rPr>
          <w:rFonts w:ascii="Arial" w:hAnsi="Arial" w:cs="Arial"/>
          <w:sz w:val="22"/>
          <w:szCs w:val="22"/>
        </w:rPr>
      </w:pPr>
      <w:r w:rsidRPr="00DF7F51">
        <w:rPr>
          <w:rFonts w:ascii="Arial" w:hAnsi="Arial" w:cs="Arial"/>
          <w:sz w:val="22"/>
          <w:szCs w:val="22"/>
        </w:rPr>
        <w:t>Gov.uk, 2020. Reasonable adjustments: a legal duty. Available at: https://www.gov.uk/government/publications/reasonable-adjustments-a-legal-duty/reasonable-adjustments-a-legal-duty.</w:t>
      </w:r>
    </w:p>
    <w:p w14:paraId="161A1ACE" w14:textId="68ADC181" w:rsidR="00DF7F51" w:rsidRPr="00DF7F51" w:rsidRDefault="00DF7F51" w:rsidP="00DF7F51">
      <w:pPr>
        <w:spacing w:line="360" w:lineRule="auto"/>
        <w:rPr>
          <w:rFonts w:ascii="Arial" w:hAnsi="Arial" w:cs="Arial"/>
          <w:sz w:val="22"/>
          <w:szCs w:val="22"/>
        </w:rPr>
      </w:pPr>
      <w:r w:rsidRPr="00DF7F51">
        <w:rPr>
          <w:rFonts w:ascii="Arial" w:hAnsi="Arial" w:cs="Arial"/>
          <w:sz w:val="22"/>
          <w:szCs w:val="22"/>
        </w:rPr>
        <w:t>Gov.uk, 2020. The Caldicott Principles. Available at: https://www.gov.uk/government/publications/the-caldicott-principles.</w:t>
      </w:r>
    </w:p>
    <w:p w14:paraId="028316C0" w14:textId="4478C6DA" w:rsidR="00DF7F51" w:rsidRPr="00DF7F51" w:rsidRDefault="00DF7F51" w:rsidP="00DF7F51">
      <w:pPr>
        <w:spacing w:line="360" w:lineRule="auto"/>
        <w:rPr>
          <w:rFonts w:ascii="Arial" w:hAnsi="Arial" w:cs="Arial"/>
          <w:sz w:val="22"/>
          <w:szCs w:val="22"/>
        </w:rPr>
      </w:pPr>
      <w:r w:rsidRPr="00DF7F51">
        <w:rPr>
          <w:rFonts w:ascii="Arial" w:hAnsi="Arial" w:cs="Arial"/>
          <w:sz w:val="22"/>
          <w:szCs w:val="22"/>
        </w:rPr>
        <w:t>Gov.uk, 2023. Data protection: The UK's data protection legislation. Available at: https://www.gov.uk/data-protection.</w:t>
      </w:r>
    </w:p>
    <w:p w14:paraId="7A0C62EB" w14:textId="2065EA2A" w:rsidR="00DF7F51" w:rsidRPr="00DF7F51" w:rsidRDefault="00DF7F51" w:rsidP="00DF7F51">
      <w:pPr>
        <w:spacing w:line="360" w:lineRule="auto"/>
        <w:rPr>
          <w:rFonts w:ascii="Arial" w:hAnsi="Arial" w:cs="Arial"/>
          <w:sz w:val="22"/>
          <w:szCs w:val="22"/>
        </w:rPr>
      </w:pPr>
      <w:r w:rsidRPr="00DF7F51">
        <w:rPr>
          <w:rFonts w:ascii="Arial" w:hAnsi="Arial" w:cs="Arial"/>
          <w:sz w:val="22"/>
          <w:szCs w:val="22"/>
        </w:rPr>
        <w:t>NHS England, 2020. Reasonable adjustments. Available at: https://www.england.nhs.uk/learning-disabilities/improving-health/reasonable-adjustments/.</w:t>
      </w:r>
    </w:p>
    <w:p w14:paraId="483BC0CB" w14:textId="038FA64B" w:rsidR="00DF7F51" w:rsidRPr="00DF7F51" w:rsidRDefault="00DF7F51" w:rsidP="00DF7F51">
      <w:pPr>
        <w:spacing w:line="360" w:lineRule="auto"/>
        <w:rPr>
          <w:rFonts w:ascii="Arial" w:hAnsi="Arial" w:cs="Arial"/>
          <w:sz w:val="22"/>
          <w:szCs w:val="22"/>
        </w:rPr>
      </w:pPr>
      <w:r w:rsidRPr="00DF7F51">
        <w:rPr>
          <w:rFonts w:ascii="Arial" w:hAnsi="Arial" w:cs="Arial"/>
          <w:sz w:val="22"/>
          <w:szCs w:val="22"/>
        </w:rPr>
        <w:t>Osmosis, 2025. SBAR Handoff Report Acronym. Available at: https://www.osmosis.org/answers/sbar-handoff-report-acronym.</w:t>
      </w:r>
    </w:p>
    <w:p w14:paraId="375FFA0C" w14:textId="230D6F56" w:rsidR="00DF7F51" w:rsidRPr="00DF7F51" w:rsidRDefault="00DF7F51" w:rsidP="00DF7F51">
      <w:pPr>
        <w:spacing w:line="360" w:lineRule="auto"/>
        <w:rPr>
          <w:rFonts w:ascii="Arial" w:hAnsi="Arial" w:cs="Arial"/>
          <w:sz w:val="22"/>
          <w:szCs w:val="22"/>
        </w:rPr>
      </w:pPr>
      <w:r w:rsidRPr="00DF7F51">
        <w:rPr>
          <w:rFonts w:ascii="Arial" w:hAnsi="Arial" w:cs="Arial"/>
          <w:sz w:val="22"/>
          <w:szCs w:val="22"/>
        </w:rPr>
        <w:t>Wikipedia, 2024. Teach</w:t>
      </w:r>
      <w:r w:rsidRPr="00DF7F51">
        <w:rPr>
          <w:rFonts w:ascii="Cambria Math" w:hAnsi="Cambria Math" w:cs="Cambria Math"/>
          <w:sz w:val="22"/>
          <w:szCs w:val="22"/>
        </w:rPr>
        <w:t>‑</w:t>
      </w:r>
      <w:r w:rsidRPr="00DF7F51">
        <w:rPr>
          <w:rFonts w:ascii="Arial" w:hAnsi="Arial" w:cs="Arial"/>
          <w:sz w:val="22"/>
          <w:szCs w:val="22"/>
        </w:rPr>
        <w:t>back method. Available at: https://en.wikipedia.org/wiki/Teach-back_method.</w:t>
      </w:r>
    </w:p>
    <w:p w14:paraId="78087114" w14:textId="450EB70A" w:rsidR="00DF7F51" w:rsidRPr="00DF7F51" w:rsidRDefault="00DF7F51" w:rsidP="00DF7F51">
      <w:pPr>
        <w:spacing w:line="360" w:lineRule="auto"/>
        <w:rPr>
          <w:rFonts w:ascii="Arial" w:hAnsi="Arial" w:cs="Arial"/>
          <w:sz w:val="22"/>
          <w:szCs w:val="22"/>
        </w:rPr>
      </w:pPr>
      <w:r w:rsidRPr="00DF7F51">
        <w:rPr>
          <w:rFonts w:ascii="Arial" w:hAnsi="Arial" w:cs="Arial"/>
          <w:sz w:val="22"/>
          <w:szCs w:val="22"/>
        </w:rPr>
        <w:t>Wikipedia, 2025. SBAR. Available at: https://en.wikipedia.org/wiki/SBAR.</w:t>
      </w:r>
    </w:p>
    <w:p w14:paraId="30821259" w14:textId="6198D762" w:rsidR="00DF7F51" w:rsidRPr="00DF7F51" w:rsidRDefault="00DF7F51" w:rsidP="00DF7F51">
      <w:pPr>
        <w:spacing w:line="360" w:lineRule="auto"/>
        <w:rPr>
          <w:rFonts w:ascii="Arial" w:hAnsi="Arial" w:cs="Arial"/>
          <w:sz w:val="22"/>
          <w:szCs w:val="22"/>
        </w:rPr>
      </w:pPr>
      <w:r w:rsidRPr="00DF7F51">
        <w:rPr>
          <w:rFonts w:ascii="Arial" w:hAnsi="Arial" w:cs="Arial"/>
          <w:sz w:val="22"/>
          <w:szCs w:val="22"/>
        </w:rPr>
        <w:t>Care Learning, 2024. What are Reasonable Adjustments in Health and Social Care? Available at: https://carelearning.org.uk/blog/disabilities/what-are-reasonable-adjustments-in-health-and-social-care/.</w:t>
      </w:r>
    </w:p>
    <w:sectPr w:rsidR="00DF7F51" w:rsidRPr="00DF7F5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859"/>
    <w:rsid w:val="00106382"/>
    <w:rsid w:val="001B364A"/>
    <w:rsid w:val="00202369"/>
    <w:rsid w:val="003316B5"/>
    <w:rsid w:val="003A5A5E"/>
    <w:rsid w:val="00401FAF"/>
    <w:rsid w:val="00436DBF"/>
    <w:rsid w:val="00446859"/>
    <w:rsid w:val="005C4FA2"/>
    <w:rsid w:val="006612C4"/>
    <w:rsid w:val="0069647C"/>
    <w:rsid w:val="006C25DC"/>
    <w:rsid w:val="0084250A"/>
    <w:rsid w:val="00872E20"/>
    <w:rsid w:val="00943F7F"/>
    <w:rsid w:val="009A5451"/>
    <w:rsid w:val="00B1553C"/>
    <w:rsid w:val="00B20719"/>
    <w:rsid w:val="00DA748E"/>
    <w:rsid w:val="00DD1015"/>
    <w:rsid w:val="00DF7F51"/>
    <w:rsid w:val="00E44B19"/>
    <w:rsid w:val="00E469D9"/>
    <w:rsid w:val="00FC4F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79DD7"/>
  <w15:chartTrackingRefBased/>
  <w15:docId w15:val="{4EE706C3-2B85-4486-A978-83CC9E018C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68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68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68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68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68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68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68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68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68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68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68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68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68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68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68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68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68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6859"/>
    <w:rPr>
      <w:rFonts w:eastAsiaTheme="majorEastAsia" w:cstheme="majorBidi"/>
      <w:color w:val="272727" w:themeColor="text1" w:themeTint="D8"/>
    </w:rPr>
  </w:style>
  <w:style w:type="paragraph" w:styleId="Title">
    <w:name w:val="Title"/>
    <w:basedOn w:val="Normal"/>
    <w:next w:val="Normal"/>
    <w:link w:val="TitleChar"/>
    <w:uiPriority w:val="10"/>
    <w:qFormat/>
    <w:rsid w:val="004468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68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68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68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6859"/>
    <w:pPr>
      <w:spacing w:before="160"/>
      <w:jc w:val="center"/>
    </w:pPr>
    <w:rPr>
      <w:i/>
      <w:iCs/>
      <w:color w:val="404040" w:themeColor="text1" w:themeTint="BF"/>
    </w:rPr>
  </w:style>
  <w:style w:type="character" w:customStyle="1" w:styleId="QuoteChar">
    <w:name w:val="Quote Char"/>
    <w:basedOn w:val="DefaultParagraphFont"/>
    <w:link w:val="Quote"/>
    <w:uiPriority w:val="29"/>
    <w:rsid w:val="00446859"/>
    <w:rPr>
      <w:i/>
      <w:iCs/>
      <w:color w:val="404040" w:themeColor="text1" w:themeTint="BF"/>
    </w:rPr>
  </w:style>
  <w:style w:type="paragraph" w:styleId="ListParagraph">
    <w:name w:val="List Paragraph"/>
    <w:basedOn w:val="Normal"/>
    <w:uiPriority w:val="34"/>
    <w:qFormat/>
    <w:rsid w:val="00446859"/>
    <w:pPr>
      <w:ind w:left="720"/>
      <w:contextualSpacing/>
    </w:pPr>
  </w:style>
  <w:style w:type="character" w:styleId="IntenseEmphasis">
    <w:name w:val="Intense Emphasis"/>
    <w:basedOn w:val="DefaultParagraphFont"/>
    <w:uiPriority w:val="21"/>
    <w:qFormat/>
    <w:rsid w:val="00446859"/>
    <w:rPr>
      <w:i/>
      <w:iCs/>
      <w:color w:val="0F4761" w:themeColor="accent1" w:themeShade="BF"/>
    </w:rPr>
  </w:style>
  <w:style w:type="paragraph" w:styleId="IntenseQuote">
    <w:name w:val="Intense Quote"/>
    <w:basedOn w:val="Normal"/>
    <w:next w:val="Normal"/>
    <w:link w:val="IntenseQuoteChar"/>
    <w:uiPriority w:val="30"/>
    <w:qFormat/>
    <w:rsid w:val="004468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6859"/>
    <w:rPr>
      <w:i/>
      <w:iCs/>
      <w:color w:val="0F4761" w:themeColor="accent1" w:themeShade="BF"/>
    </w:rPr>
  </w:style>
  <w:style w:type="character" w:styleId="IntenseReference">
    <w:name w:val="Intense Reference"/>
    <w:basedOn w:val="DefaultParagraphFont"/>
    <w:uiPriority w:val="32"/>
    <w:qFormat/>
    <w:rsid w:val="00446859"/>
    <w:rPr>
      <w:b/>
      <w:bCs/>
      <w:smallCaps/>
      <w:color w:val="0F4761" w:themeColor="accent1" w:themeShade="BF"/>
      <w:spacing w:val="5"/>
    </w:rPr>
  </w:style>
  <w:style w:type="paragraph" w:styleId="TOCHeading">
    <w:name w:val="TOC Heading"/>
    <w:basedOn w:val="Heading1"/>
    <w:next w:val="Normal"/>
    <w:uiPriority w:val="39"/>
    <w:unhideWhenUsed/>
    <w:qFormat/>
    <w:rsid w:val="00446859"/>
    <w:pPr>
      <w:spacing w:before="240" w:after="0" w:line="259" w:lineRule="auto"/>
      <w:outlineLvl w:val="9"/>
    </w:pPr>
    <w:rPr>
      <w:kern w:val="0"/>
      <w:sz w:val="32"/>
      <w:szCs w:val="32"/>
      <w14:ligatures w14:val="none"/>
    </w:rPr>
  </w:style>
  <w:style w:type="character" w:styleId="Hyperlink">
    <w:name w:val="Hyperlink"/>
    <w:basedOn w:val="DefaultParagraphFont"/>
    <w:uiPriority w:val="99"/>
    <w:unhideWhenUsed/>
    <w:rsid w:val="00DF7F51"/>
    <w:rPr>
      <w:color w:val="467886" w:themeColor="hyperlink"/>
      <w:u w:val="single"/>
    </w:rPr>
  </w:style>
  <w:style w:type="character" w:styleId="UnresolvedMention">
    <w:name w:val="Unresolved Mention"/>
    <w:basedOn w:val="DefaultParagraphFont"/>
    <w:uiPriority w:val="99"/>
    <w:semiHidden/>
    <w:unhideWhenUsed/>
    <w:rsid w:val="00DF7F51"/>
    <w:rPr>
      <w:color w:val="605E5C"/>
      <w:shd w:val="clear" w:color="auto" w:fill="E1DFDD"/>
    </w:rPr>
  </w:style>
  <w:style w:type="paragraph" w:styleId="TOC1">
    <w:name w:val="toc 1"/>
    <w:basedOn w:val="Normal"/>
    <w:next w:val="Normal"/>
    <w:autoRedefine/>
    <w:uiPriority w:val="39"/>
    <w:unhideWhenUsed/>
    <w:rsid w:val="00436DB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hyperlink" Target="https://www.stevenson.edu/online/about-us/news/importance-effective-communication/" TargetMode="External" /><Relationship Id="rId5" Type="http://schemas.openxmlformats.org/officeDocument/2006/relationships/hyperlink" Target="https://www.flexebee.co.uk/person-centred-care-awareness" TargetMode="Externa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113497-78CF-4931-B4E7-2FE48E8E3F5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1918</Words>
  <Characters>10939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Adil Nasir Khan (2437481)</dc:creator>
  <cp:keywords/>
  <dc:description/>
  <cp:lastModifiedBy>El-hadji Lo</cp:lastModifiedBy>
  <cp:revision>2</cp:revision>
  <dcterms:created xsi:type="dcterms:W3CDTF">2025-12-14T19:48:00Z</dcterms:created>
  <dcterms:modified xsi:type="dcterms:W3CDTF">2025-12-14T19:48:00Z</dcterms:modified>
</cp:coreProperties>
</file>