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5" Type="http://schemas.microsoft.com/office/2020/02/relationships/classificationlabels" Target="docMetadata/LabelInfo.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EECBCA" w14:textId="77777777" w:rsidR="008722FC" w:rsidRPr="00D63BFB" w:rsidRDefault="008722FC" w:rsidP="000123A6">
      <w:pPr>
        <w:spacing w:after="160" w:line="278" w:lineRule="auto"/>
        <w:jc w:val="both"/>
        <w:rPr>
          <w:rFonts w:ascii="Arial" w:hAnsi="Arial" w:cs="Arial"/>
          <w:b/>
          <w:bCs/>
        </w:rPr>
      </w:pPr>
      <w:r w:rsidRPr="00D63BFB">
        <w:rPr>
          <w:rFonts w:ascii="Arial" w:hAnsi="Arial" w:cs="Arial"/>
          <w:b/>
          <w:bCs/>
        </w:rPr>
        <w:t>Corporate Governance as an Enabler of Sustainable Development in the Small Modular Reactor Industry: A Secondary Data Analysis of Interactions with Sustainable Development Goal 7 (Affordable and Clean Energy) and Sustainable Development Goal 16 (Peace, Justice and Strong Institutions)</w:t>
      </w:r>
    </w:p>
    <w:p w14:paraId="7CBFD60A" w14:textId="77777777" w:rsidR="00002880" w:rsidRPr="00D63BFB" w:rsidRDefault="00FD3ED5" w:rsidP="000123A6">
      <w:pPr>
        <w:pStyle w:val="Heading1"/>
        <w:jc w:val="both"/>
        <w:rPr>
          <w:rFonts w:ascii="Arial" w:hAnsi="Arial" w:cs="Arial"/>
          <w:color w:val="auto"/>
          <w:sz w:val="22"/>
          <w:szCs w:val="22"/>
        </w:rPr>
      </w:pPr>
      <w:r w:rsidRPr="00D63BFB">
        <w:rPr>
          <w:rFonts w:ascii="Arial" w:hAnsi="Arial" w:cs="Arial"/>
          <w:color w:val="auto"/>
          <w:sz w:val="22"/>
          <w:szCs w:val="22"/>
        </w:rPr>
        <w:t>Abstract</w:t>
      </w:r>
    </w:p>
    <w:p w14:paraId="506FBF20" w14:textId="20D8D4A1" w:rsidR="000772A9" w:rsidRPr="00D63BFB" w:rsidRDefault="000772A9" w:rsidP="000123A6">
      <w:pPr>
        <w:spacing w:after="160" w:line="278" w:lineRule="auto"/>
        <w:jc w:val="both"/>
        <w:rPr>
          <w:rFonts w:ascii="Arial" w:hAnsi="Arial" w:cs="Arial"/>
        </w:rPr>
      </w:pPr>
      <w:r w:rsidRPr="00D63BFB">
        <w:rPr>
          <w:rFonts w:ascii="Arial" w:hAnsi="Arial" w:cs="Arial"/>
        </w:rPr>
        <w:t>The transition towards net-zero energy systems has intensified interest in Small Modular Reactors (</w:t>
      </w:r>
      <w:r w:rsidR="00AF5F0B" w:rsidRPr="00D63BFB">
        <w:rPr>
          <w:rFonts w:ascii="Arial" w:hAnsi="Arial" w:cs="Arial"/>
        </w:rPr>
        <w:t>“</w:t>
      </w:r>
      <w:r w:rsidRPr="00D63BFB">
        <w:rPr>
          <w:rFonts w:ascii="Arial" w:hAnsi="Arial" w:cs="Arial"/>
          <w:b/>
          <w:bCs/>
        </w:rPr>
        <w:t>SMRs</w:t>
      </w:r>
      <w:r w:rsidR="00AF5F0B" w:rsidRPr="00D63BFB">
        <w:rPr>
          <w:rFonts w:ascii="Arial" w:hAnsi="Arial" w:cs="Arial"/>
        </w:rPr>
        <w:t>”</w:t>
      </w:r>
      <w:r w:rsidRPr="00D63BFB">
        <w:rPr>
          <w:rFonts w:ascii="Arial" w:hAnsi="Arial" w:cs="Arial"/>
        </w:rPr>
        <w:t>) as an emerging source of low-carbon electricity. Whilst extensive research exists regarding the technical and environmental characteristics of SMRs, comparatively limited attention has been given to the role of corporate governance in determining whether these technologies contribute positively to sustainable development outcomes. This study evaluates how corporate governance within the SMR industry influences Sustainable Development Goal (</w:t>
      </w:r>
      <w:r w:rsidR="00D7519C" w:rsidRPr="00D63BFB">
        <w:rPr>
          <w:rFonts w:ascii="Arial" w:hAnsi="Arial" w:cs="Arial"/>
        </w:rPr>
        <w:t>“</w:t>
      </w:r>
      <w:r w:rsidRPr="00D63BFB">
        <w:rPr>
          <w:rFonts w:ascii="Arial" w:hAnsi="Arial" w:cs="Arial"/>
          <w:b/>
          <w:bCs/>
        </w:rPr>
        <w:t>SDG</w:t>
      </w:r>
      <w:r w:rsidR="00D7519C" w:rsidRPr="00D63BFB">
        <w:rPr>
          <w:rFonts w:ascii="Arial" w:hAnsi="Arial" w:cs="Arial"/>
        </w:rPr>
        <w:t>”</w:t>
      </w:r>
      <w:r w:rsidRPr="00D63BFB">
        <w:rPr>
          <w:rFonts w:ascii="Arial" w:hAnsi="Arial" w:cs="Arial"/>
        </w:rPr>
        <w:t>) 7: Affordable and Clean Energy</w:t>
      </w:r>
      <w:r w:rsidR="00376E85" w:rsidRPr="00D63BFB">
        <w:rPr>
          <w:rFonts w:ascii="Arial" w:hAnsi="Arial" w:cs="Arial"/>
        </w:rPr>
        <w:t>;</w:t>
      </w:r>
      <w:r w:rsidRPr="00D63BFB">
        <w:rPr>
          <w:rFonts w:ascii="Arial" w:hAnsi="Arial" w:cs="Arial"/>
        </w:rPr>
        <w:t xml:space="preserve"> and SDG 16: Peace, Justice and Strong Institutions.</w:t>
      </w:r>
    </w:p>
    <w:p w14:paraId="6A040F21" w14:textId="5254694B" w:rsidR="000772A9" w:rsidRPr="00D63BFB" w:rsidRDefault="00635F18" w:rsidP="000123A6">
      <w:pPr>
        <w:spacing w:after="160" w:line="278" w:lineRule="auto"/>
        <w:jc w:val="both"/>
        <w:rPr>
          <w:rFonts w:ascii="Arial" w:hAnsi="Arial" w:cs="Arial"/>
        </w:rPr>
      </w:pPr>
      <w:r w:rsidRPr="00D63BFB">
        <w:rPr>
          <w:rFonts w:ascii="Arial" w:hAnsi="Arial" w:cs="Arial"/>
        </w:rPr>
        <w:t>The study adopts a qualitative secondary research approach supported by quantitative evidence from academic literature, government reports, international organisations and publicly available datasets</w:t>
      </w:r>
      <w:r w:rsidR="000772A9" w:rsidRPr="00D63BFB">
        <w:rPr>
          <w:rFonts w:ascii="Arial" w:hAnsi="Arial" w:cs="Arial"/>
        </w:rPr>
        <w:t xml:space="preserve">. </w:t>
      </w:r>
      <w:r w:rsidR="004D584C" w:rsidRPr="00D63BFB">
        <w:rPr>
          <w:rFonts w:ascii="Arial" w:hAnsi="Arial" w:cs="Arial"/>
        </w:rPr>
        <w:t>Data sources include the International Atomic Energy Agency (IAEA), International Energy Agency (IEA), OECD Nuclear Energy Agency (OECD-NEA), Office for Nuclear Regulation (ONR), World Bank Governance Indicators, World Energy Council and governance disclosures from major SMR developers.</w:t>
      </w:r>
    </w:p>
    <w:p w14:paraId="38C56365" w14:textId="5E27879A" w:rsidR="000772A9" w:rsidRPr="00D63BFB" w:rsidRDefault="000772A9" w:rsidP="000123A6">
      <w:pPr>
        <w:spacing w:after="160" w:line="278" w:lineRule="auto"/>
        <w:jc w:val="both"/>
        <w:rPr>
          <w:rFonts w:ascii="Arial" w:hAnsi="Arial" w:cs="Arial"/>
        </w:rPr>
      </w:pPr>
      <w:r w:rsidRPr="00D63BFB">
        <w:rPr>
          <w:rFonts w:ascii="Arial" w:hAnsi="Arial" w:cs="Arial"/>
        </w:rPr>
        <w:t xml:space="preserve">Findings suggest </w:t>
      </w:r>
      <w:r w:rsidR="00E17777" w:rsidRPr="00D63BFB">
        <w:rPr>
          <w:rFonts w:ascii="Arial" w:hAnsi="Arial" w:cs="Arial"/>
        </w:rPr>
        <w:t xml:space="preserve">corporate </w:t>
      </w:r>
      <w:r w:rsidRPr="00D63BFB">
        <w:rPr>
          <w:rFonts w:ascii="Arial" w:hAnsi="Arial" w:cs="Arial"/>
        </w:rPr>
        <w:t>governance capability is a critical mediator between SMR technology and sustainable development outcomes. Positive contributions to SDG 7 include improved energy security, enhanced low-carbon electricity generation, infrastructure resilience and investor confidence. Positive interactions with SDG 16 include strengthened regulatory oversight, stakeholder accountability, institutional legitimacy and transparency. Conversely, governance failures may undermine both goals through cost overruns, project delays, regulatory shortcomings, financing uncertainty and erosion of public trust.</w:t>
      </w:r>
    </w:p>
    <w:p w14:paraId="0782DD95" w14:textId="77777777" w:rsidR="000772A9" w:rsidRPr="00D63BFB" w:rsidRDefault="000772A9" w:rsidP="000123A6">
      <w:pPr>
        <w:spacing w:after="160" w:line="278" w:lineRule="auto"/>
        <w:jc w:val="both"/>
        <w:rPr>
          <w:rFonts w:ascii="Arial" w:hAnsi="Arial" w:cs="Arial"/>
        </w:rPr>
      </w:pPr>
      <w:r w:rsidRPr="00D63BFB">
        <w:rPr>
          <w:rFonts w:ascii="Arial" w:hAnsi="Arial" w:cs="Arial"/>
        </w:rPr>
        <w:t>The study concludes that governance quality should be viewed not merely as a compliance mechanism but as a strategic enabler of sustainable development. Long-term success within the SMR industry will depend upon governance systems capable of balancing commercial performance, public value creation and societal legitimacy throughout the nuclear lifecycle.</w:t>
      </w:r>
    </w:p>
    <w:p w14:paraId="03580E76" w14:textId="7C6CA310" w:rsidR="00002880" w:rsidRPr="00D63BFB" w:rsidRDefault="00FD3ED5" w:rsidP="000123A6">
      <w:pPr>
        <w:pStyle w:val="Heading1"/>
        <w:jc w:val="both"/>
        <w:rPr>
          <w:rFonts w:ascii="Arial" w:hAnsi="Arial" w:cs="Arial"/>
          <w:color w:val="auto"/>
          <w:sz w:val="22"/>
          <w:szCs w:val="22"/>
        </w:rPr>
      </w:pPr>
      <w:r w:rsidRPr="00D63BFB">
        <w:rPr>
          <w:rFonts w:ascii="Arial" w:hAnsi="Arial" w:cs="Arial"/>
          <w:color w:val="auto"/>
          <w:sz w:val="22"/>
          <w:szCs w:val="22"/>
        </w:rPr>
        <w:t>Introduction</w:t>
      </w:r>
    </w:p>
    <w:p w14:paraId="5BB59F9A" w14:textId="635A3B57" w:rsidR="00DF357B" w:rsidRPr="00D63BFB" w:rsidRDefault="002B018E" w:rsidP="000123A6">
      <w:pPr>
        <w:spacing w:after="160" w:line="278" w:lineRule="auto"/>
        <w:jc w:val="both"/>
        <w:rPr>
          <w:rFonts w:ascii="Arial" w:hAnsi="Arial" w:cs="Arial"/>
        </w:rPr>
      </w:pPr>
      <w:r w:rsidRPr="00D63BFB">
        <w:rPr>
          <w:rFonts w:ascii="Arial" w:hAnsi="Arial" w:cs="Arial"/>
        </w:rPr>
        <w:t>The United Nations Sustainable Development Goals (</w:t>
      </w:r>
      <w:r w:rsidR="00F95767" w:rsidRPr="00D63BFB">
        <w:rPr>
          <w:rFonts w:ascii="Arial" w:hAnsi="Arial" w:cs="Arial"/>
        </w:rPr>
        <w:t>“</w:t>
      </w:r>
      <w:r w:rsidRPr="00D63BFB">
        <w:rPr>
          <w:rFonts w:ascii="Arial" w:hAnsi="Arial" w:cs="Arial"/>
          <w:b/>
          <w:bCs/>
        </w:rPr>
        <w:t>SDGs</w:t>
      </w:r>
      <w:r w:rsidR="00F95767" w:rsidRPr="00D63BFB">
        <w:rPr>
          <w:rFonts w:ascii="Arial" w:hAnsi="Arial" w:cs="Arial"/>
        </w:rPr>
        <w:t>”</w:t>
      </w:r>
      <w:r w:rsidRPr="00D63BFB">
        <w:rPr>
          <w:rFonts w:ascii="Arial" w:hAnsi="Arial" w:cs="Arial"/>
        </w:rPr>
        <w:t>) provide a comprehensive framework for addressing global economic, environmental and social challenges through sustainable development initiatives (United Nations, 2015</w:t>
      </w:r>
      <w:r w:rsidR="00A1148B" w:rsidRPr="00D63BFB">
        <w:rPr>
          <w:rFonts w:ascii="Arial" w:hAnsi="Arial" w:cs="Arial"/>
        </w:rPr>
        <w:t>)</w:t>
      </w:r>
      <w:r w:rsidRPr="00D63BFB">
        <w:rPr>
          <w:rFonts w:ascii="Arial" w:hAnsi="Arial" w:cs="Arial"/>
        </w:rPr>
        <w:t xml:space="preserve">. Among the seventeen goals, access to reliable and sustainable energy and the existence of effective institutions are widely recognised as essential foundations for long-term economic prosperity, environmental protection and social stability. Consequently, </w:t>
      </w:r>
      <w:r w:rsidR="00105C6F" w:rsidRPr="00D63BFB">
        <w:rPr>
          <w:rFonts w:ascii="Arial" w:hAnsi="Arial" w:cs="Arial"/>
        </w:rPr>
        <w:t>SDG</w:t>
      </w:r>
      <w:r w:rsidRPr="00D63BFB">
        <w:rPr>
          <w:rFonts w:ascii="Arial" w:hAnsi="Arial" w:cs="Arial"/>
        </w:rPr>
        <w:t xml:space="preserve"> 7 (Affordable and Clean Energy) and </w:t>
      </w:r>
      <w:r w:rsidR="00105C6F" w:rsidRPr="00D63BFB">
        <w:rPr>
          <w:rFonts w:ascii="Arial" w:hAnsi="Arial" w:cs="Arial"/>
        </w:rPr>
        <w:t>SDG</w:t>
      </w:r>
      <w:r w:rsidRPr="00D63BFB">
        <w:rPr>
          <w:rFonts w:ascii="Arial" w:hAnsi="Arial" w:cs="Arial"/>
        </w:rPr>
        <w:t xml:space="preserve"> 16 (Peace, Justice and Strong Institutions) are increasingly relevant to industries responsible for delivering critical national infrastructure.</w:t>
      </w:r>
      <w:r w:rsidR="00CF2465" w:rsidRPr="00D63BFB">
        <w:rPr>
          <w:rFonts w:ascii="Arial" w:hAnsi="Arial" w:cs="Arial"/>
        </w:rPr>
        <w:t xml:space="preserve"> </w:t>
      </w:r>
      <w:r w:rsidR="0091073C" w:rsidRPr="00D63BFB">
        <w:rPr>
          <w:rFonts w:ascii="Arial" w:hAnsi="Arial" w:cs="Arial"/>
        </w:rPr>
        <w:t>Global electricity demand continues to rise while governments face increasing pressure to decarbonise energy systems and strengthen energy security (IEA, 2024; IEA, 2025).</w:t>
      </w:r>
    </w:p>
    <w:p w14:paraId="44440E86" w14:textId="4A527151" w:rsidR="002B018E" w:rsidRPr="00D63BFB" w:rsidRDefault="008D3AF3" w:rsidP="000123A6">
      <w:pPr>
        <w:spacing w:after="160" w:line="278" w:lineRule="auto"/>
        <w:jc w:val="both"/>
        <w:rPr>
          <w:rFonts w:ascii="Arial" w:hAnsi="Arial" w:cs="Arial"/>
        </w:rPr>
      </w:pPr>
      <w:r w:rsidRPr="00D63BFB">
        <w:rPr>
          <w:rFonts w:ascii="Arial" w:hAnsi="Arial" w:cs="Arial"/>
        </w:rPr>
        <w:t>Nuclear energy supplies approximately 10 per cent of global electricity generation and remains a major source of low-carbon electricity (Global E</w:t>
      </w:r>
      <w:r w:rsidR="002860DA" w:rsidRPr="00D63BFB">
        <w:rPr>
          <w:rFonts w:ascii="Arial" w:hAnsi="Arial" w:cs="Arial"/>
        </w:rPr>
        <w:t xml:space="preserve">lectricity </w:t>
      </w:r>
      <w:r w:rsidRPr="00D63BFB">
        <w:rPr>
          <w:rFonts w:ascii="Arial" w:hAnsi="Arial" w:cs="Arial"/>
        </w:rPr>
        <w:t>Initiative, 2026). Within the nuclear sector, SMRs have emerged as a potentially transformative technology because of their modular design, scalability and potential contribution to energy security and decarbonisation objectives (IAEA, 2024). Their strategic importance is reflected in policy initiatives such as the UK Civil Nuclear Roadmap, with similar programmes underway in Canada and the United States (DESNZ, 2024).</w:t>
      </w:r>
    </w:p>
    <w:p w14:paraId="1BFBDC10" w14:textId="6F7D1290" w:rsidR="0045482D" w:rsidRPr="00D63BFB" w:rsidRDefault="002B018E" w:rsidP="000123A6">
      <w:pPr>
        <w:spacing w:after="160" w:line="278" w:lineRule="auto"/>
        <w:jc w:val="both"/>
        <w:rPr>
          <w:rFonts w:ascii="Arial" w:hAnsi="Arial" w:cs="Arial"/>
        </w:rPr>
      </w:pPr>
      <w:r w:rsidRPr="00D63BFB">
        <w:rPr>
          <w:rFonts w:ascii="Arial" w:hAnsi="Arial" w:cs="Arial"/>
        </w:rPr>
        <w:t xml:space="preserve">However, successful SMR deployment depends upon more than technological innovation and engineering capability. The development, financing, regulation and operation of nuclear infrastructure require robust governance systems capable of managing significant investment risks, complex stakeholder relationships, public scrutiny and long-term societal obligations. Nuclear projects operate within highly regulated environments where governance failures may have consequences extending beyond organisational performance to affect public trust, institutional legitimacy and confidence in regulatory systems. As a result, </w:t>
      </w:r>
      <w:r w:rsidR="00E17777" w:rsidRPr="00D63BFB">
        <w:rPr>
          <w:rFonts w:ascii="Arial" w:hAnsi="Arial" w:cs="Arial"/>
        </w:rPr>
        <w:t xml:space="preserve">corporate </w:t>
      </w:r>
      <w:r w:rsidRPr="00D63BFB">
        <w:rPr>
          <w:rFonts w:ascii="Arial" w:hAnsi="Arial" w:cs="Arial"/>
        </w:rPr>
        <w:t>governance capability is increasingly viewed as a critical determinant of whether infrastructure projects achieve their intended economic, social and environmental outcomes</w:t>
      </w:r>
      <w:r w:rsidR="006F6592" w:rsidRPr="00D63BFB">
        <w:rPr>
          <w:rFonts w:ascii="Arial" w:hAnsi="Arial" w:cs="Arial"/>
        </w:rPr>
        <w:t xml:space="preserve"> (OECD, 2020)</w:t>
      </w:r>
      <w:r w:rsidRPr="00D63BFB">
        <w:rPr>
          <w:rFonts w:ascii="Arial" w:hAnsi="Arial" w:cs="Arial"/>
        </w:rPr>
        <w:t>.</w:t>
      </w:r>
    </w:p>
    <w:p w14:paraId="62A5BD74" w14:textId="77777777" w:rsidR="0045482D" w:rsidRPr="00D63BFB" w:rsidRDefault="002B018E" w:rsidP="0045482D">
      <w:pPr>
        <w:spacing w:after="160" w:line="278" w:lineRule="auto"/>
        <w:jc w:val="both"/>
        <w:rPr>
          <w:rFonts w:ascii="Arial" w:hAnsi="Arial" w:cs="Arial"/>
        </w:rPr>
      </w:pPr>
      <w:r w:rsidRPr="00D63BFB">
        <w:rPr>
          <w:rFonts w:ascii="Arial" w:hAnsi="Arial" w:cs="Arial"/>
        </w:rPr>
        <w:t xml:space="preserve">Corporate governance is commonly defined as the system through which organisations are directed and controlled (Cadbury, 1992, p.14). </w:t>
      </w:r>
      <w:r w:rsidR="0045482D" w:rsidRPr="00D63BFB">
        <w:rPr>
          <w:rFonts w:ascii="Arial" w:hAnsi="Arial" w:cs="Arial"/>
        </w:rPr>
        <w:t>Contemporary governance extends beyond financial stewardship to include accountability, sustainability oversight, risk management and stakeholder engagement (FRC, 2024). Boards therefore play a central role in delivering long-term organisational and societal value (OECD, 2023).</w:t>
      </w:r>
    </w:p>
    <w:p w14:paraId="0C9052B1" w14:textId="0B61F744" w:rsidR="00941929" w:rsidRPr="00D63BFB" w:rsidRDefault="00941929" w:rsidP="0045482D">
      <w:pPr>
        <w:spacing w:after="160" w:line="278" w:lineRule="auto"/>
        <w:jc w:val="both"/>
        <w:rPr>
          <w:rFonts w:ascii="Arial" w:hAnsi="Arial" w:cs="Arial"/>
        </w:rPr>
      </w:pPr>
      <w:r w:rsidRPr="00D63BFB">
        <w:rPr>
          <w:rFonts w:ascii="Arial" w:hAnsi="Arial" w:cs="Arial"/>
        </w:rPr>
        <w:t>The UK Corporate Governance Code emphasises the role of boards in establishing organisational purpose, promoting effective risk management and ensuring accountability for long-term outcomes (FRC, 2024). Similarly, the G20/OECD Principles of Corporate Governance highlight board responsibility for governance, oversight and sustainable value creation (OECD, 2023). In the context of the SMR industry, boards must oversee not only commercial performance but also nuclear safety, stakeholder trust, environmental stewardship and long-term societal obligations. Consequently, corporate governance mechanisms may be viewed as an important determinant of whether SMR deployment contributes positively to sustainable development outcomes.</w:t>
      </w:r>
    </w:p>
    <w:p w14:paraId="2F9F9B37" w14:textId="3B4C5C07" w:rsidR="007E3E33" w:rsidRPr="00D63BFB" w:rsidRDefault="007C6E38" w:rsidP="000123A6">
      <w:pPr>
        <w:spacing w:after="160" w:line="278" w:lineRule="auto"/>
        <w:jc w:val="both"/>
        <w:rPr>
          <w:rFonts w:ascii="Arial" w:hAnsi="Arial" w:cs="Arial"/>
        </w:rPr>
      </w:pPr>
      <w:r w:rsidRPr="00D63BFB">
        <w:rPr>
          <w:rFonts w:ascii="Arial" w:hAnsi="Arial" w:cs="Arial"/>
        </w:rPr>
        <w:t>Recent governance research indicates that board composition, sustainability expertise, ESG oversight mechanisms and governance quality are increasingly associated with improved sustainability performance and long-term organisational value creation (</w:t>
      </w:r>
      <w:proofErr w:type="spellStart"/>
      <w:r w:rsidRPr="00D63BFB">
        <w:rPr>
          <w:rFonts w:ascii="Arial" w:hAnsi="Arial" w:cs="Arial"/>
        </w:rPr>
        <w:t>Velte</w:t>
      </w:r>
      <w:proofErr w:type="spellEnd"/>
      <w:r w:rsidRPr="00D63BFB">
        <w:rPr>
          <w:rFonts w:ascii="Arial" w:hAnsi="Arial" w:cs="Arial"/>
        </w:rPr>
        <w:t>, 2023). These findings suggest that governance influences not only organisational effectiveness but also broader environmental and social outcomes.</w:t>
      </w:r>
    </w:p>
    <w:p w14:paraId="27478C0F" w14:textId="24939302" w:rsidR="0054474C" w:rsidRPr="00D63BFB" w:rsidRDefault="0054474C" w:rsidP="000123A6">
      <w:pPr>
        <w:spacing w:after="160" w:line="278" w:lineRule="auto"/>
        <w:jc w:val="both"/>
        <w:rPr>
          <w:rFonts w:ascii="Arial" w:hAnsi="Arial" w:cs="Arial"/>
        </w:rPr>
      </w:pPr>
      <w:r w:rsidRPr="00D63BFB">
        <w:rPr>
          <w:rFonts w:ascii="Arial" w:hAnsi="Arial" w:cs="Arial"/>
        </w:rPr>
        <w:t>This study focuses specifically on SDG 7 (Affordable and Clean Energy) and SDG 16 (Peace, Justice and Strong Institutions), with particular emphasis on the "strong institutions" dimension of SDG 16, as these goals represent the aspects of sustainable development most directly influenced by governance practices within the SMR industry. SDG 7 is concerned with ensuring access to affordable, reliable, sustainable and modern energy, whilst SDG 16 promotes effective, accountable and transparent institutions. Together, these goals provide a valuable framework for examining both the positive and negative consequences of SMR deployment. Whilst SMRs may contribute positively to energy security, decarbonisation and infrastructure resilience, governance failures may create challenges relating to project affordability, public trust, regulatory effectiveness and institutional legitimacy.</w:t>
      </w:r>
    </w:p>
    <w:p w14:paraId="40D18B0B" w14:textId="67D6DCE0" w:rsidR="00190717" w:rsidRPr="00D63BFB" w:rsidRDefault="002B018E" w:rsidP="00D63BFB">
      <w:pPr>
        <w:spacing w:after="160" w:line="278" w:lineRule="auto"/>
        <w:jc w:val="both"/>
        <w:rPr>
          <w:rFonts w:ascii="Arial" w:hAnsi="Arial" w:cs="Arial"/>
        </w:rPr>
      </w:pPr>
      <w:r w:rsidRPr="00D63BFB">
        <w:rPr>
          <w:rFonts w:ascii="Arial" w:hAnsi="Arial" w:cs="Arial"/>
        </w:rPr>
        <w:t xml:space="preserve">Whilst substantial literature exists regarding the technical feasibility, economic performance and environmental implications of SMRs, comparatively limited research examines corporate governance as a determinant of sustainable development outcomes. Existing studies primarily focus on engineering, energy policy and reactor safety considerations, with less attention given to how governance arrangements influence stakeholder trust, institutional effectiveness, investment confidence and public value creation. Consequently, there remains a gap in understanding how governance functions as a mechanism linking technological innovation with achievement of the </w:t>
      </w:r>
      <w:r w:rsidR="00D42676" w:rsidRPr="00D63BFB">
        <w:rPr>
          <w:rFonts w:ascii="Arial" w:hAnsi="Arial" w:cs="Arial"/>
        </w:rPr>
        <w:t>SDGs.</w:t>
      </w:r>
      <w:r w:rsidR="008F2320" w:rsidRPr="00D63BFB">
        <w:rPr>
          <w:rFonts w:ascii="Arial" w:hAnsi="Arial" w:cs="Arial"/>
        </w:rPr>
        <w:tab/>
      </w:r>
    </w:p>
    <w:p w14:paraId="42597E93" w14:textId="77777777" w:rsidR="008F2320" w:rsidRPr="00D63BFB" w:rsidRDefault="008F2320" w:rsidP="008F2320">
      <w:pPr>
        <w:tabs>
          <w:tab w:val="left" w:pos="5378"/>
        </w:tabs>
        <w:spacing w:after="160" w:line="278" w:lineRule="auto"/>
        <w:jc w:val="both"/>
        <w:rPr>
          <w:rFonts w:ascii="Arial" w:hAnsi="Arial" w:cs="Arial"/>
        </w:rPr>
      </w:pPr>
    </w:p>
    <w:p w14:paraId="2E28BE34" w14:textId="6DD39D2D" w:rsidR="00C45CAC" w:rsidRPr="00D63BFB" w:rsidRDefault="00C45CAC" w:rsidP="000123A6">
      <w:pPr>
        <w:spacing w:after="160" w:line="278" w:lineRule="auto"/>
        <w:jc w:val="both"/>
        <w:rPr>
          <w:rFonts w:ascii="Arial" w:hAnsi="Arial" w:cs="Arial"/>
          <w:b/>
          <w:bCs/>
        </w:rPr>
      </w:pPr>
      <w:r w:rsidRPr="00D63BFB">
        <w:rPr>
          <w:rFonts w:ascii="Arial" w:hAnsi="Arial" w:cs="Arial"/>
          <w:b/>
          <w:bCs/>
        </w:rPr>
        <w:t>Literature Review and Theoretical Framework</w:t>
      </w:r>
    </w:p>
    <w:p w14:paraId="6C1589C2" w14:textId="7E8E057F" w:rsidR="00C45CAC" w:rsidRPr="00D63BFB" w:rsidRDefault="00C45CAC" w:rsidP="000123A6">
      <w:pPr>
        <w:spacing w:after="160" w:line="278" w:lineRule="auto"/>
        <w:jc w:val="both"/>
        <w:rPr>
          <w:rFonts w:ascii="Arial" w:hAnsi="Arial" w:cs="Arial"/>
          <w:b/>
          <w:bCs/>
        </w:rPr>
      </w:pPr>
      <w:r w:rsidRPr="00D63BFB">
        <w:rPr>
          <w:rFonts w:ascii="Arial" w:hAnsi="Arial" w:cs="Arial"/>
          <w:b/>
          <w:bCs/>
        </w:rPr>
        <w:t>Literature Gap</w:t>
      </w:r>
    </w:p>
    <w:p w14:paraId="1152D283" w14:textId="7FF73314" w:rsidR="00C45CAC" w:rsidRPr="00D63BFB" w:rsidRDefault="00C45CAC" w:rsidP="000123A6">
      <w:pPr>
        <w:spacing w:after="160" w:line="278" w:lineRule="auto"/>
        <w:jc w:val="both"/>
        <w:rPr>
          <w:rFonts w:ascii="Arial" w:hAnsi="Arial" w:cs="Arial"/>
        </w:rPr>
      </w:pPr>
      <w:r w:rsidRPr="00D63BFB">
        <w:rPr>
          <w:rFonts w:ascii="Arial" w:hAnsi="Arial" w:cs="Arial"/>
        </w:rPr>
        <w:t xml:space="preserve">Existing research on </w:t>
      </w:r>
      <w:r w:rsidR="002E4B02" w:rsidRPr="00D63BFB">
        <w:rPr>
          <w:rFonts w:ascii="Arial" w:hAnsi="Arial" w:cs="Arial"/>
        </w:rPr>
        <w:t>SMRs</w:t>
      </w:r>
      <w:r w:rsidRPr="00D63BFB">
        <w:rPr>
          <w:rFonts w:ascii="Arial" w:hAnsi="Arial" w:cs="Arial"/>
        </w:rPr>
        <w:t xml:space="preserve"> primarily focuses on reactor design, safety systems, economic feasibility and energy policy implications (IAEA, 2024; OECD-NEA, 2024). Whilst governance issues are occasionally discussed in relation to regulation and stakeholder engagement, limited research examines corporate governance as a determinant of sustainable development outcomes.</w:t>
      </w:r>
    </w:p>
    <w:p w14:paraId="58987960" w14:textId="77777777" w:rsidR="006276D2" w:rsidRPr="00D63BFB" w:rsidRDefault="00C45CAC" w:rsidP="006276D2">
      <w:pPr>
        <w:spacing w:after="160" w:line="278" w:lineRule="auto"/>
        <w:jc w:val="both"/>
        <w:rPr>
          <w:rFonts w:ascii="Arial" w:hAnsi="Arial" w:cs="Arial"/>
        </w:rPr>
      </w:pPr>
      <w:r w:rsidRPr="00D63BFB">
        <w:rPr>
          <w:rFonts w:ascii="Arial" w:hAnsi="Arial" w:cs="Arial"/>
        </w:rPr>
        <w:t xml:space="preserve">Similarly, sustainability research often evaluates nuclear energy from environmental and economic perspectives, while governance studies tend to focus on organisational or financial performance. </w:t>
      </w:r>
      <w:r w:rsidR="006276D2" w:rsidRPr="00D63BFB">
        <w:rPr>
          <w:rFonts w:ascii="Arial" w:hAnsi="Arial" w:cs="Arial"/>
        </w:rPr>
        <w:t>More broadly, ESG research has increasingly demonstrated a positive relationship between governance quality, sustainability performance and long-term value creation (</w:t>
      </w:r>
      <w:proofErr w:type="spellStart"/>
      <w:r w:rsidR="006276D2" w:rsidRPr="00D63BFB">
        <w:rPr>
          <w:rFonts w:ascii="Arial" w:hAnsi="Arial" w:cs="Arial"/>
        </w:rPr>
        <w:t>Friede</w:t>
      </w:r>
      <w:proofErr w:type="spellEnd"/>
      <w:r w:rsidR="006276D2" w:rsidRPr="00D63BFB">
        <w:rPr>
          <w:rFonts w:ascii="Arial" w:hAnsi="Arial" w:cs="Arial"/>
        </w:rPr>
        <w:t xml:space="preserve">, Busch and </w:t>
      </w:r>
      <w:proofErr w:type="spellStart"/>
      <w:r w:rsidR="006276D2" w:rsidRPr="00D63BFB">
        <w:rPr>
          <w:rFonts w:ascii="Arial" w:hAnsi="Arial" w:cs="Arial"/>
        </w:rPr>
        <w:t>Bassen</w:t>
      </w:r>
      <w:proofErr w:type="spellEnd"/>
      <w:r w:rsidR="006276D2" w:rsidRPr="00D63BFB">
        <w:rPr>
          <w:rFonts w:ascii="Arial" w:hAnsi="Arial" w:cs="Arial"/>
        </w:rPr>
        <w:t>, 2015). However, limited attention has been given to how these relationships operate within emerging nuclear technologies such as SMRs.</w:t>
      </w:r>
    </w:p>
    <w:p w14:paraId="3162A8F5" w14:textId="4B51C198" w:rsidR="00C45CAC" w:rsidRPr="00D63BFB" w:rsidRDefault="00C45CAC" w:rsidP="000123A6">
      <w:pPr>
        <w:spacing w:after="160" w:line="278" w:lineRule="auto"/>
        <w:jc w:val="both"/>
        <w:rPr>
          <w:rFonts w:ascii="Arial" w:hAnsi="Arial" w:cs="Arial"/>
        </w:rPr>
      </w:pPr>
      <w:r w:rsidRPr="00D63BFB">
        <w:rPr>
          <w:rFonts w:ascii="Arial" w:hAnsi="Arial" w:cs="Arial"/>
        </w:rPr>
        <w:t>Consequently, a research gap exists at the intersection of corporate governance, sustainable development and SMR deployment.</w:t>
      </w:r>
      <w:r w:rsidR="007A0232" w:rsidRPr="00D63BFB">
        <w:rPr>
          <w:rFonts w:ascii="Arial" w:hAnsi="Arial" w:cs="Arial"/>
        </w:rPr>
        <w:t xml:space="preserve"> Biermann, </w:t>
      </w:r>
      <w:proofErr w:type="spellStart"/>
      <w:r w:rsidR="007A0232" w:rsidRPr="00D63BFB">
        <w:rPr>
          <w:rFonts w:ascii="Arial" w:hAnsi="Arial" w:cs="Arial"/>
        </w:rPr>
        <w:t>Hickmann</w:t>
      </w:r>
      <w:proofErr w:type="spellEnd"/>
      <w:r w:rsidR="007A0232" w:rsidRPr="00D63BFB">
        <w:rPr>
          <w:rFonts w:ascii="Arial" w:hAnsi="Arial" w:cs="Arial"/>
        </w:rPr>
        <w:t xml:space="preserve"> and </w:t>
      </w:r>
      <w:proofErr w:type="spellStart"/>
      <w:r w:rsidR="007A0232" w:rsidRPr="00D63BFB">
        <w:rPr>
          <w:rFonts w:ascii="Arial" w:hAnsi="Arial" w:cs="Arial"/>
        </w:rPr>
        <w:t>Sénit</w:t>
      </w:r>
      <w:proofErr w:type="spellEnd"/>
      <w:r w:rsidR="007A0232" w:rsidRPr="00D63BFB">
        <w:rPr>
          <w:rFonts w:ascii="Arial" w:hAnsi="Arial" w:cs="Arial"/>
        </w:rPr>
        <w:t xml:space="preserve"> (2022) argue that whilst the </w:t>
      </w:r>
      <w:r w:rsidR="009507E7" w:rsidRPr="00D63BFB">
        <w:rPr>
          <w:rFonts w:ascii="Arial" w:hAnsi="Arial" w:cs="Arial"/>
        </w:rPr>
        <w:t>SDGs</w:t>
      </w:r>
      <w:r w:rsidR="007A0232" w:rsidRPr="00D63BFB">
        <w:rPr>
          <w:rFonts w:ascii="Arial" w:hAnsi="Arial" w:cs="Arial"/>
        </w:rPr>
        <w:t xml:space="preserve"> have generated institutional and policy change in some contexts, evidence of transformative governance impact remains limited. This suggests a continuing need for research examining the mechanisms through which governance contributes to sustainable development outcomes.</w:t>
      </w:r>
      <w:r w:rsidRPr="00D63BFB">
        <w:rPr>
          <w:rFonts w:ascii="Arial" w:hAnsi="Arial" w:cs="Arial"/>
        </w:rPr>
        <w:t xml:space="preserve"> This study</w:t>
      </w:r>
      <w:r w:rsidR="004629B4" w:rsidRPr="00D63BFB">
        <w:rPr>
          <w:rFonts w:ascii="Arial" w:hAnsi="Arial" w:cs="Arial"/>
        </w:rPr>
        <w:t xml:space="preserve"> attempts to</w:t>
      </w:r>
      <w:r w:rsidRPr="00D63BFB">
        <w:rPr>
          <w:rFonts w:ascii="Arial" w:hAnsi="Arial" w:cs="Arial"/>
        </w:rPr>
        <w:t xml:space="preserve"> address that gap by examining how </w:t>
      </w:r>
      <w:r w:rsidR="00E17777" w:rsidRPr="00D63BFB">
        <w:rPr>
          <w:rFonts w:ascii="Arial" w:hAnsi="Arial" w:cs="Arial"/>
        </w:rPr>
        <w:t xml:space="preserve">corporate </w:t>
      </w:r>
      <w:r w:rsidRPr="00D63BFB">
        <w:rPr>
          <w:rFonts w:ascii="Arial" w:hAnsi="Arial" w:cs="Arial"/>
        </w:rPr>
        <w:t>governance capability influences achievement of SDG 7 and SDG 16.</w:t>
      </w:r>
    </w:p>
    <w:p w14:paraId="19C18659" w14:textId="77777777" w:rsidR="002870EA" w:rsidRPr="00D63BFB" w:rsidRDefault="002870EA" w:rsidP="000123A6">
      <w:pPr>
        <w:spacing w:after="160" w:line="278" w:lineRule="auto"/>
        <w:jc w:val="both"/>
        <w:rPr>
          <w:rFonts w:ascii="Arial" w:hAnsi="Arial" w:cs="Arial"/>
          <w:b/>
          <w:bCs/>
        </w:rPr>
      </w:pPr>
    </w:p>
    <w:p w14:paraId="30F88FC7" w14:textId="53C077D2" w:rsidR="00C45CAC" w:rsidRPr="00D63BFB" w:rsidRDefault="00C45CAC" w:rsidP="000123A6">
      <w:pPr>
        <w:spacing w:after="160" w:line="278" w:lineRule="auto"/>
        <w:jc w:val="both"/>
        <w:rPr>
          <w:rFonts w:ascii="Arial" w:hAnsi="Arial" w:cs="Arial"/>
          <w:b/>
          <w:bCs/>
        </w:rPr>
      </w:pPr>
      <w:r w:rsidRPr="00D63BFB">
        <w:rPr>
          <w:rFonts w:ascii="Arial" w:hAnsi="Arial" w:cs="Arial"/>
          <w:b/>
          <w:bCs/>
        </w:rPr>
        <w:t>Governance Theories and Sustainable Development</w:t>
      </w:r>
    </w:p>
    <w:p w14:paraId="6A690DA0" w14:textId="77777777" w:rsidR="003600A8" w:rsidRPr="00D63BFB" w:rsidRDefault="003600A8" w:rsidP="000123A6">
      <w:pPr>
        <w:spacing w:after="160" w:line="278" w:lineRule="auto"/>
        <w:jc w:val="both"/>
        <w:rPr>
          <w:rFonts w:ascii="Arial" w:hAnsi="Arial" w:cs="Arial"/>
          <w:b/>
          <w:bCs/>
        </w:rPr>
      </w:pPr>
      <w:r w:rsidRPr="00D63BFB">
        <w:rPr>
          <w:rFonts w:ascii="Arial" w:hAnsi="Arial" w:cs="Arial"/>
          <w:b/>
          <w:bCs/>
        </w:rPr>
        <w:t>Agency Theory</w:t>
      </w:r>
    </w:p>
    <w:p w14:paraId="5B3C9967" w14:textId="49491253" w:rsidR="003600A8" w:rsidRPr="00D63BFB" w:rsidRDefault="003600A8" w:rsidP="000123A6">
      <w:pPr>
        <w:spacing w:after="160" w:line="278" w:lineRule="auto"/>
        <w:jc w:val="both"/>
        <w:rPr>
          <w:rFonts w:ascii="Arial" w:hAnsi="Arial" w:cs="Arial"/>
        </w:rPr>
      </w:pPr>
      <w:r w:rsidRPr="00D63BFB">
        <w:rPr>
          <w:rFonts w:ascii="Arial" w:hAnsi="Arial" w:cs="Arial"/>
        </w:rPr>
        <w:t xml:space="preserve">Agency Theory proposes that governance mechanisms are required because managers may pursue objectives that differ from those of organisational owners (Jensen and </w:t>
      </w:r>
      <w:proofErr w:type="spellStart"/>
      <w:r w:rsidRPr="00D63BFB">
        <w:rPr>
          <w:rFonts w:ascii="Arial" w:hAnsi="Arial" w:cs="Arial"/>
        </w:rPr>
        <w:t>Meckling</w:t>
      </w:r>
      <w:proofErr w:type="spellEnd"/>
      <w:r w:rsidRPr="00D63BFB">
        <w:rPr>
          <w:rFonts w:ascii="Arial" w:hAnsi="Arial" w:cs="Arial"/>
        </w:rPr>
        <w:t xml:space="preserve">, 1976). </w:t>
      </w:r>
    </w:p>
    <w:p w14:paraId="75105E9B" w14:textId="15D39FF5" w:rsidR="00B46253" w:rsidRPr="00D63BFB" w:rsidRDefault="003600A8" w:rsidP="000123A6">
      <w:pPr>
        <w:spacing w:after="160" w:line="278" w:lineRule="auto"/>
        <w:jc w:val="both"/>
        <w:rPr>
          <w:rFonts w:ascii="Arial" w:hAnsi="Arial" w:cs="Arial"/>
        </w:rPr>
      </w:pPr>
      <w:r w:rsidRPr="00D63BFB">
        <w:rPr>
          <w:rFonts w:ascii="Arial" w:hAnsi="Arial" w:cs="Arial"/>
        </w:rPr>
        <w:t xml:space="preserve">Within large infrastructure programmes, agency risks may include optimism bias, weak risk disclosure, inadequate challenge and insufficient board oversight. Evidence from major nuclear projects, including </w:t>
      </w:r>
      <w:proofErr w:type="spellStart"/>
      <w:r w:rsidRPr="00D63BFB">
        <w:rPr>
          <w:rFonts w:ascii="Arial" w:hAnsi="Arial" w:cs="Arial"/>
        </w:rPr>
        <w:t>Flamanville</w:t>
      </w:r>
      <w:proofErr w:type="spellEnd"/>
      <w:r w:rsidRPr="00D63BFB">
        <w:rPr>
          <w:rFonts w:ascii="Arial" w:hAnsi="Arial" w:cs="Arial"/>
        </w:rPr>
        <w:t xml:space="preserve"> 3, </w:t>
      </w:r>
      <w:proofErr w:type="spellStart"/>
      <w:r w:rsidRPr="00D63BFB">
        <w:rPr>
          <w:rFonts w:ascii="Arial" w:hAnsi="Arial" w:cs="Arial"/>
        </w:rPr>
        <w:t>Olkiluoto</w:t>
      </w:r>
      <w:proofErr w:type="spellEnd"/>
      <w:r w:rsidRPr="00D63BFB">
        <w:rPr>
          <w:rFonts w:ascii="Arial" w:hAnsi="Arial" w:cs="Arial"/>
        </w:rPr>
        <w:t xml:space="preserve"> 3 and </w:t>
      </w:r>
      <w:proofErr w:type="spellStart"/>
      <w:r w:rsidRPr="00D63BFB">
        <w:rPr>
          <w:rFonts w:ascii="Arial" w:hAnsi="Arial" w:cs="Arial"/>
        </w:rPr>
        <w:t>Vogtle</w:t>
      </w:r>
      <w:proofErr w:type="spellEnd"/>
      <w:r w:rsidRPr="00D63BFB">
        <w:rPr>
          <w:rFonts w:ascii="Arial" w:hAnsi="Arial" w:cs="Arial"/>
        </w:rPr>
        <w:t xml:space="preserve"> Units 3 and 4, demonstrates how governance weaknesses can contribute to significant delays and cost overruns (</w:t>
      </w:r>
      <w:proofErr w:type="spellStart"/>
      <w:r w:rsidRPr="00D63BFB">
        <w:rPr>
          <w:rFonts w:ascii="Arial" w:hAnsi="Arial" w:cs="Arial"/>
        </w:rPr>
        <w:t>Flyvbjerg</w:t>
      </w:r>
      <w:proofErr w:type="spellEnd"/>
      <w:r w:rsidRPr="00D63BFB">
        <w:rPr>
          <w:rFonts w:ascii="Arial" w:hAnsi="Arial" w:cs="Arial"/>
        </w:rPr>
        <w:t xml:space="preserve"> and Gardner, 2023). Agency Theory therefore provides a useful lens for understanding how governance failures may undermine affordability, project delivery and sustainable development outcomes.</w:t>
      </w:r>
    </w:p>
    <w:p w14:paraId="541E4CDD" w14:textId="77777777" w:rsidR="000547B4" w:rsidRPr="00D63BFB" w:rsidRDefault="000547B4" w:rsidP="000123A6">
      <w:pPr>
        <w:spacing w:after="160" w:line="278" w:lineRule="auto"/>
        <w:jc w:val="both"/>
        <w:rPr>
          <w:rFonts w:ascii="Arial" w:hAnsi="Arial" w:cs="Arial"/>
        </w:rPr>
      </w:pPr>
    </w:p>
    <w:p w14:paraId="3BA33F5B" w14:textId="5DDCA770" w:rsidR="003600A8" w:rsidRPr="00D63BFB" w:rsidRDefault="003600A8" w:rsidP="000123A6">
      <w:pPr>
        <w:spacing w:after="160" w:line="278" w:lineRule="auto"/>
        <w:jc w:val="both"/>
        <w:rPr>
          <w:rFonts w:ascii="Arial" w:hAnsi="Arial" w:cs="Arial"/>
          <w:b/>
          <w:bCs/>
        </w:rPr>
      </w:pPr>
      <w:r w:rsidRPr="00D63BFB">
        <w:rPr>
          <w:rFonts w:ascii="Arial" w:hAnsi="Arial" w:cs="Arial"/>
          <w:b/>
          <w:bCs/>
        </w:rPr>
        <w:t>Stakeholder and Legitimacy Theory</w:t>
      </w:r>
    </w:p>
    <w:p w14:paraId="00C25BA2" w14:textId="77777777" w:rsidR="003600A8" w:rsidRPr="00D63BFB" w:rsidRDefault="003600A8" w:rsidP="000123A6">
      <w:pPr>
        <w:spacing w:after="160" w:line="278" w:lineRule="auto"/>
        <w:jc w:val="both"/>
        <w:rPr>
          <w:rFonts w:ascii="Arial" w:hAnsi="Arial" w:cs="Arial"/>
        </w:rPr>
      </w:pPr>
      <w:r w:rsidRPr="00D63BFB">
        <w:rPr>
          <w:rFonts w:ascii="Arial" w:hAnsi="Arial" w:cs="Arial"/>
        </w:rPr>
        <w:t>Stakeholder Theory argues that organisations create value for a range of stakeholder groups rather than shareholders alone (Freeman, 1984). Within the SMR industry, stakeholders include investors, governments, regulators, employees, local communities and wider society.</w:t>
      </w:r>
    </w:p>
    <w:p w14:paraId="3B41F399" w14:textId="54B36FE4" w:rsidR="003600A8" w:rsidRPr="00D63BFB" w:rsidRDefault="003600A8" w:rsidP="000123A6">
      <w:pPr>
        <w:spacing w:after="160" w:line="278" w:lineRule="auto"/>
        <w:jc w:val="both"/>
        <w:rPr>
          <w:rFonts w:ascii="Arial" w:hAnsi="Arial" w:cs="Arial"/>
        </w:rPr>
      </w:pPr>
      <w:r w:rsidRPr="00D63BFB">
        <w:rPr>
          <w:rFonts w:ascii="Arial" w:hAnsi="Arial" w:cs="Arial"/>
        </w:rPr>
        <w:t xml:space="preserve">Closely related to this perspective is Legitimacy Theory, which suggests that organisations require continued societal acceptance </w:t>
      </w:r>
      <w:r w:rsidR="00F27D9A" w:rsidRPr="00D63BFB">
        <w:rPr>
          <w:rFonts w:ascii="Arial" w:hAnsi="Arial" w:cs="Arial"/>
        </w:rPr>
        <w:t>to</w:t>
      </w:r>
      <w:r w:rsidRPr="00D63BFB">
        <w:rPr>
          <w:rFonts w:ascii="Arial" w:hAnsi="Arial" w:cs="Arial"/>
        </w:rPr>
        <w:t xml:space="preserve"> maintain access to resources and support (</w:t>
      </w:r>
      <w:proofErr w:type="spellStart"/>
      <w:r w:rsidRPr="00D63BFB">
        <w:rPr>
          <w:rFonts w:ascii="Arial" w:hAnsi="Arial" w:cs="Arial"/>
        </w:rPr>
        <w:t>Suchman</w:t>
      </w:r>
      <w:proofErr w:type="spellEnd"/>
      <w:r w:rsidRPr="00D63BFB">
        <w:rPr>
          <w:rFonts w:ascii="Arial" w:hAnsi="Arial" w:cs="Arial"/>
        </w:rPr>
        <w:t>, 1995). Research within the nuclear sector indicates that public acceptance is often shaped more strongly by trust in institutions than by detailed technical understanding of reactor technologies (Aldrich, 2017; OECD-NEA, 2024).</w:t>
      </w:r>
    </w:p>
    <w:p w14:paraId="6C2B12B1" w14:textId="32476646" w:rsidR="003600A8" w:rsidRPr="00D63BFB" w:rsidRDefault="003600A8" w:rsidP="000123A6">
      <w:pPr>
        <w:spacing w:after="160" w:line="278" w:lineRule="auto"/>
        <w:jc w:val="both"/>
        <w:rPr>
          <w:rFonts w:ascii="Arial" w:hAnsi="Arial" w:cs="Arial"/>
        </w:rPr>
      </w:pPr>
      <w:r w:rsidRPr="00D63BFB">
        <w:rPr>
          <w:rFonts w:ascii="Arial" w:hAnsi="Arial" w:cs="Arial"/>
        </w:rPr>
        <w:t>The concept of a Social Licence to Operate further reinforces the importance of transparency, accountability and meaningful stakeholder engagement (</w:t>
      </w:r>
      <w:proofErr w:type="spellStart"/>
      <w:r w:rsidRPr="00D63BFB">
        <w:rPr>
          <w:rFonts w:ascii="Arial" w:hAnsi="Arial" w:cs="Arial"/>
        </w:rPr>
        <w:t>Boutilier</w:t>
      </w:r>
      <w:proofErr w:type="spellEnd"/>
      <w:r w:rsidRPr="00D63BFB">
        <w:rPr>
          <w:rFonts w:ascii="Arial" w:hAnsi="Arial" w:cs="Arial"/>
        </w:rPr>
        <w:t xml:space="preserve"> and Thomson, 2011).</w:t>
      </w:r>
      <w:r w:rsidR="00B80A2D" w:rsidRPr="00D63BFB">
        <w:rPr>
          <w:rFonts w:ascii="Arial" w:hAnsi="Arial" w:cs="Arial"/>
        </w:rPr>
        <w:t xml:space="preserve"> Following the Fukushima accident, trust in regulators and public institutions emerged as a more significant predictor of nuclear acceptance than knowledge of nuclear technology itself (</w:t>
      </w:r>
      <w:proofErr w:type="spellStart"/>
      <w:r w:rsidR="00B80A2D" w:rsidRPr="00D63BFB">
        <w:rPr>
          <w:rFonts w:ascii="Arial" w:hAnsi="Arial" w:cs="Arial"/>
        </w:rPr>
        <w:t>Visschers</w:t>
      </w:r>
      <w:proofErr w:type="spellEnd"/>
      <w:r w:rsidR="00B80A2D" w:rsidRPr="00D63BFB">
        <w:rPr>
          <w:rFonts w:ascii="Arial" w:hAnsi="Arial" w:cs="Arial"/>
        </w:rPr>
        <w:t xml:space="preserve"> and </w:t>
      </w:r>
      <w:proofErr w:type="spellStart"/>
      <w:r w:rsidR="00B80A2D" w:rsidRPr="00D63BFB">
        <w:rPr>
          <w:rFonts w:ascii="Arial" w:hAnsi="Arial" w:cs="Arial"/>
        </w:rPr>
        <w:t>Siegrist</w:t>
      </w:r>
      <w:proofErr w:type="spellEnd"/>
      <w:r w:rsidR="00B80A2D" w:rsidRPr="00D63BFB">
        <w:rPr>
          <w:rFonts w:ascii="Arial" w:hAnsi="Arial" w:cs="Arial"/>
        </w:rPr>
        <w:t xml:space="preserve">, 2013). </w:t>
      </w:r>
      <w:r w:rsidRPr="00D63BFB">
        <w:rPr>
          <w:rFonts w:ascii="Arial" w:hAnsi="Arial" w:cs="Arial"/>
        </w:rPr>
        <w:t>These theories are particularly relevant to SDG 16 because they highlight the relationship between governance practices, public trust and institutional legitimacy.</w:t>
      </w:r>
    </w:p>
    <w:p w14:paraId="4B78FB00" w14:textId="77777777" w:rsidR="003600A8" w:rsidRPr="00D63BFB" w:rsidRDefault="003600A8" w:rsidP="000123A6">
      <w:pPr>
        <w:spacing w:after="160" w:line="278" w:lineRule="auto"/>
        <w:jc w:val="both"/>
        <w:rPr>
          <w:rFonts w:ascii="Arial" w:hAnsi="Arial" w:cs="Arial"/>
        </w:rPr>
      </w:pPr>
      <w:r w:rsidRPr="00D63BFB">
        <w:rPr>
          <w:rFonts w:ascii="Arial" w:hAnsi="Arial" w:cs="Arial"/>
        </w:rPr>
        <w:t>Nevertheless, Stakeholder Theory provides limited guidance on how organisations should prioritise competing stakeholder interests. Conflicts may arise between affordability, investor returns, environmental concerns and community expectations, requiring governance systems capable of balancing multiple objectives.</w:t>
      </w:r>
    </w:p>
    <w:p w14:paraId="01A7447D" w14:textId="77777777" w:rsidR="00047F42" w:rsidRPr="00D63BFB" w:rsidRDefault="00047F42" w:rsidP="000123A6">
      <w:pPr>
        <w:spacing w:after="160" w:line="278" w:lineRule="auto"/>
        <w:jc w:val="both"/>
        <w:rPr>
          <w:rFonts w:ascii="Arial" w:hAnsi="Arial" w:cs="Arial"/>
        </w:rPr>
      </w:pPr>
    </w:p>
    <w:p w14:paraId="7B41FBA6" w14:textId="77777777" w:rsidR="003600A8" w:rsidRPr="00D63BFB" w:rsidRDefault="003600A8" w:rsidP="000123A6">
      <w:pPr>
        <w:spacing w:after="160" w:line="278" w:lineRule="auto"/>
        <w:jc w:val="both"/>
        <w:rPr>
          <w:rFonts w:ascii="Arial" w:hAnsi="Arial" w:cs="Arial"/>
          <w:b/>
          <w:bCs/>
        </w:rPr>
      </w:pPr>
      <w:r w:rsidRPr="00D63BFB">
        <w:rPr>
          <w:rFonts w:ascii="Arial" w:hAnsi="Arial" w:cs="Arial"/>
          <w:b/>
          <w:bCs/>
        </w:rPr>
        <w:t>Public Value Governance</w:t>
      </w:r>
    </w:p>
    <w:p w14:paraId="2D60088A" w14:textId="42730149" w:rsidR="003600A8" w:rsidRPr="00D63BFB" w:rsidRDefault="003600A8" w:rsidP="000123A6">
      <w:pPr>
        <w:spacing w:after="160" w:line="278" w:lineRule="auto"/>
        <w:jc w:val="both"/>
        <w:rPr>
          <w:rFonts w:ascii="Arial" w:hAnsi="Arial" w:cs="Arial"/>
        </w:rPr>
      </w:pPr>
      <w:r w:rsidRPr="00D63BFB">
        <w:rPr>
          <w:rFonts w:ascii="Arial" w:hAnsi="Arial" w:cs="Arial"/>
        </w:rPr>
        <w:t>Public Value Governance extends traditional governance models by recognising that organisational success should be assessed according to broader societal outcomes as well as financial performance (Moore, 1995).</w:t>
      </w:r>
      <w:r w:rsidR="008C0B96" w:rsidRPr="00D63BFB">
        <w:rPr>
          <w:rFonts w:ascii="Arial" w:hAnsi="Arial" w:cs="Arial"/>
        </w:rPr>
        <w:t xml:space="preserve">  </w:t>
      </w:r>
    </w:p>
    <w:p w14:paraId="18A0E2B4" w14:textId="4DCF5D1F" w:rsidR="00B760A5" w:rsidRPr="00D63BFB" w:rsidRDefault="00B760A5" w:rsidP="000123A6">
      <w:pPr>
        <w:spacing w:after="160" w:line="278" w:lineRule="auto"/>
        <w:jc w:val="both"/>
        <w:rPr>
          <w:rFonts w:ascii="Arial" w:hAnsi="Arial" w:cs="Arial"/>
        </w:rPr>
      </w:pPr>
      <w:r w:rsidRPr="00D63BFB">
        <w:rPr>
          <w:rFonts w:ascii="Arial" w:hAnsi="Arial" w:cs="Arial"/>
        </w:rPr>
        <w:t>Within the context of SMRs, public value includes societal benefits such as energy security, decarbonisation and economic resilience.</w:t>
      </w:r>
    </w:p>
    <w:p w14:paraId="7F5E8FBB" w14:textId="77777777" w:rsidR="003600A8" w:rsidRPr="00D63BFB" w:rsidRDefault="003600A8" w:rsidP="000123A6">
      <w:pPr>
        <w:spacing w:after="160" w:line="278" w:lineRule="auto"/>
        <w:jc w:val="both"/>
        <w:rPr>
          <w:rFonts w:ascii="Arial" w:hAnsi="Arial" w:cs="Arial"/>
        </w:rPr>
      </w:pPr>
      <w:r w:rsidRPr="00D63BFB">
        <w:rPr>
          <w:rFonts w:ascii="Arial" w:hAnsi="Arial" w:cs="Arial"/>
        </w:rPr>
        <w:t>Public Value Governance therefore provides a particularly useful framework for examining the relationship between SDG 7 and SDG 16 because it recognises that governance can contribute simultaneously to economic, environmental and social objectives (Bryson, Crosby and Bloomberg, 2014).</w:t>
      </w:r>
    </w:p>
    <w:p w14:paraId="54D5C5F3" w14:textId="4244BC37" w:rsidR="00DB7643" w:rsidRPr="00D63BFB" w:rsidRDefault="003600A8" w:rsidP="000123A6">
      <w:pPr>
        <w:spacing w:after="160" w:line="278" w:lineRule="auto"/>
        <w:jc w:val="both"/>
        <w:rPr>
          <w:rFonts w:ascii="Arial" w:hAnsi="Arial" w:cs="Arial"/>
        </w:rPr>
      </w:pPr>
      <w:r w:rsidRPr="00D63BFB">
        <w:rPr>
          <w:rFonts w:ascii="Arial" w:hAnsi="Arial" w:cs="Arial"/>
        </w:rPr>
        <w:t>Unlike Agency Theory, which primarily focuses on control and monitoring, Public Value Governance emphasises long-term societal outcomes. As such, it provides an appropriate theoretical foundation for evaluating governance effectiveness within high-reliability infrastructure sectors where public trust and societal legitimacy are critical determinants of success.</w:t>
      </w:r>
    </w:p>
    <w:p w14:paraId="1962D655" w14:textId="77777777" w:rsidR="00ED4322" w:rsidRPr="00D63BFB" w:rsidRDefault="00ED4322" w:rsidP="000123A6">
      <w:pPr>
        <w:spacing w:after="160" w:line="278" w:lineRule="auto"/>
        <w:jc w:val="both"/>
        <w:rPr>
          <w:rFonts w:ascii="Arial" w:hAnsi="Arial" w:cs="Arial"/>
        </w:rPr>
      </w:pPr>
    </w:p>
    <w:p w14:paraId="607A9688" w14:textId="77777777" w:rsidR="00ED4322" w:rsidRPr="00D63BFB" w:rsidRDefault="00ED4322" w:rsidP="00ED4322">
      <w:pPr>
        <w:spacing w:after="160" w:line="278" w:lineRule="auto"/>
        <w:jc w:val="both"/>
        <w:rPr>
          <w:rFonts w:ascii="Arial" w:hAnsi="Arial" w:cs="Arial"/>
          <w:b/>
          <w:bCs/>
        </w:rPr>
      </w:pPr>
      <w:r w:rsidRPr="00D63BFB">
        <w:rPr>
          <w:rFonts w:ascii="Arial" w:hAnsi="Arial" w:cs="Arial"/>
          <w:b/>
          <w:bCs/>
        </w:rPr>
        <w:t>Stewardship Theory</w:t>
      </w:r>
    </w:p>
    <w:p w14:paraId="59EDD1F8" w14:textId="77777777" w:rsidR="00ED4322" w:rsidRPr="00D63BFB" w:rsidRDefault="00ED4322" w:rsidP="00ED4322">
      <w:pPr>
        <w:spacing w:after="160" w:line="278" w:lineRule="auto"/>
        <w:jc w:val="both"/>
        <w:rPr>
          <w:rFonts w:ascii="Arial" w:hAnsi="Arial" w:cs="Arial"/>
        </w:rPr>
      </w:pPr>
      <w:r w:rsidRPr="00D63BFB">
        <w:rPr>
          <w:rFonts w:ascii="Arial" w:hAnsi="Arial" w:cs="Arial"/>
        </w:rPr>
        <w:t xml:space="preserve">Whilst Agency Theory emphasises monitoring and control, Stewardship Theory suggests that directors and executives may act as responsible stewards whose interests are aligned with the long-term success of the organisation and its stakeholders (Davis, </w:t>
      </w:r>
      <w:proofErr w:type="spellStart"/>
      <w:r w:rsidRPr="00D63BFB">
        <w:rPr>
          <w:rFonts w:ascii="Arial" w:hAnsi="Arial" w:cs="Arial"/>
        </w:rPr>
        <w:t>Schoorman</w:t>
      </w:r>
      <w:proofErr w:type="spellEnd"/>
      <w:r w:rsidRPr="00D63BFB">
        <w:rPr>
          <w:rFonts w:ascii="Arial" w:hAnsi="Arial" w:cs="Arial"/>
        </w:rPr>
        <w:t xml:space="preserve"> and Donaldson, 1997). Rather than focusing exclusively on risk reduction or shareholder protection, stewardship-oriented governance emphasises accountability, trust, organisational sustainability and long-term value creation.</w:t>
      </w:r>
    </w:p>
    <w:p w14:paraId="4AA729B2" w14:textId="16D3D05E" w:rsidR="00ED4322" w:rsidRPr="00D63BFB" w:rsidRDefault="00ED4322" w:rsidP="000123A6">
      <w:pPr>
        <w:spacing w:after="160" w:line="278" w:lineRule="auto"/>
        <w:jc w:val="both"/>
        <w:rPr>
          <w:rFonts w:ascii="Arial" w:hAnsi="Arial" w:cs="Arial"/>
        </w:rPr>
      </w:pPr>
      <w:r w:rsidRPr="00D63BFB">
        <w:rPr>
          <w:rFonts w:ascii="Arial" w:hAnsi="Arial" w:cs="Arial"/>
        </w:rPr>
        <w:t>Stewardship Theory is particularly relevant to the SMR industry because governance decisions may create consequences extending across several generations. Responsibilities associated with nuclear safety, decommissioning and radioactive waste management require boards to adopt a long-term perspective that extends beyond conventional business planning horizons. Accordingly, stewardship provides a useful lens through which to evaluate governance contributions to sustainable development.</w:t>
      </w:r>
    </w:p>
    <w:p w14:paraId="2CEC6783" w14:textId="77777777" w:rsidR="00641E29" w:rsidRPr="00D63BFB" w:rsidRDefault="00641E29" w:rsidP="000123A6">
      <w:pPr>
        <w:spacing w:after="160" w:line="278" w:lineRule="auto"/>
        <w:jc w:val="both"/>
        <w:rPr>
          <w:rFonts w:ascii="Arial" w:hAnsi="Arial" w:cs="Arial"/>
        </w:rPr>
      </w:pPr>
    </w:p>
    <w:p w14:paraId="7EB46610" w14:textId="5F1D590C" w:rsidR="003676ED" w:rsidRPr="00D63BFB" w:rsidRDefault="003676ED" w:rsidP="003676ED">
      <w:pPr>
        <w:spacing w:after="160" w:line="278" w:lineRule="auto"/>
        <w:jc w:val="both"/>
        <w:rPr>
          <w:rFonts w:ascii="Arial" w:hAnsi="Arial" w:cs="Arial"/>
        </w:rPr>
      </w:pPr>
      <w:r w:rsidRPr="00D63BFB">
        <w:rPr>
          <w:rFonts w:ascii="Arial" w:hAnsi="Arial" w:cs="Arial"/>
        </w:rPr>
        <w:t xml:space="preserve">Drawing on the preceding theories, </w:t>
      </w:r>
      <w:r w:rsidR="00E17777" w:rsidRPr="00D63BFB">
        <w:rPr>
          <w:rFonts w:ascii="Arial" w:hAnsi="Arial" w:cs="Arial"/>
        </w:rPr>
        <w:t xml:space="preserve">corporate </w:t>
      </w:r>
      <w:r w:rsidRPr="00D63BFB">
        <w:rPr>
          <w:rFonts w:ascii="Arial" w:hAnsi="Arial" w:cs="Arial"/>
        </w:rPr>
        <w:t>governance capability is conceptualised as the mechanisms through which organisations influence accountability, trust and institutional effectiveness, thereby affecting achievement of SDG 7 and SDG 16.</w:t>
      </w:r>
    </w:p>
    <w:p w14:paraId="21D16CD2" w14:textId="77777777" w:rsidR="00C45CAC" w:rsidRPr="00D63BFB" w:rsidRDefault="00C45CAC" w:rsidP="000123A6">
      <w:pPr>
        <w:spacing w:after="160" w:line="278" w:lineRule="auto"/>
        <w:jc w:val="both"/>
        <w:rPr>
          <w:rFonts w:ascii="Arial" w:hAnsi="Arial" w:cs="Arial"/>
        </w:rPr>
      </w:pPr>
    </w:p>
    <w:p w14:paraId="7A48728D" w14:textId="5BFC3228" w:rsidR="00C45CAC" w:rsidRPr="00D63BFB" w:rsidRDefault="00C45CAC" w:rsidP="000123A6">
      <w:pPr>
        <w:spacing w:after="160" w:line="278" w:lineRule="auto"/>
        <w:jc w:val="both"/>
        <w:rPr>
          <w:rFonts w:ascii="Arial" w:hAnsi="Arial" w:cs="Arial"/>
          <w:b/>
          <w:bCs/>
        </w:rPr>
      </w:pPr>
      <w:r w:rsidRPr="00D63BFB">
        <w:rPr>
          <w:rFonts w:ascii="Arial" w:hAnsi="Arial" w:cs="Arial"/>
          <w:b/>
          <w:bCs/>
        </w:rPr>
        <w:t>Methodology</w:t>
      </w:r>
    </w:p>
    <w:p w14:paraId="5B043446" w14:textId="4906A499" w:rsidR="00400EAC" w:rsidRPr="00D63BFB" w:rsidRDefault="00400EAC" w:rsidP="000123A6">
      <w:pPr>
        <w:spacing w:after="160" w:line="278" w:lineRule="auto"/>
        <w:jc w:val="both"/>
        <w:rPr>
          <w:rFonts w:ascii="Arial" w:hAnsi="Arial" w:cs="Arial"/>
          <w:b/>
          <w:bCs/>
        </w:rPr>
      </w:pPr>
      <w:r w:rsidRPr="00D63BFB">
        <w:rPr>
          <w:rFonts w:ascii="Arial" w:hAnsi="Arial" w:cs="Arial"/>
          <w:b/>
          <w:bCs/>
        </w:rPr>
        <w:t>Research Approach</w:t>
      </w:r>
    </w:p>
    <w:p w14:paraId="4B564742" w14:textId="2423D155" w:rsidR="00400EAC" w:rsidRPr="00D63BFB" w:rsidRDefault="004A41F0" w:rsidP="000123A6">
      <w:pPr>
        <w:spacing w:after="160" w:line="278" w:lineRule="auto"/>
        <w:jc w:val="both"/>
        <w:rPr>
          <w:rFonts w:ascii="Arial" w:hAnsi="Arial" w:cs="Arial"/>
        </w:rPr>
      </w:pPr>
      <w:r w:rsidRPr="00D63BFB">
        <w:rPr>
          <w:rFonts w:ascii="Arial" w:hAnsi="Arial" w:cs="Arial"/>
        </w:rPr>
        <w:t>This study utilised a qualitative secondary research approach supported by quantitative evidence from international energy and governance datasets</w:t>
      </w:r>
      <w:r w:rsidR="00400EAC" w:rsidRPr="00D63BFB">
        <w:rPr>
          <w:rFonts w:ascii="Arial" w:hAnsi="Arial" w:cs="Arial"/>
        </w:rPr>
        <w:t>. The approach combined qualitative evidence from academic literature, regulatory publications and governance reports with quantitative data drawn from international energy and governance datasets.</w:t>
      </w:r>
    </w:p>
    <w:p w14:paraId="13FAFA88" w14:textId="77777777" w:rsidR="002043BA" w:rsidRPr="00D63BFB" w:rsidRDefault="002043BA" w:rsidP="002043BA">
      <w:pPr>
        <w:spacing w:after="160" w:line="278" w:lineRule="auto"/>
        <w:jc w:val="both"/>
        <w:rPr>
          <w:rFonts w:ascii="Arial" w:hAnsi="Arial" w:cs="Arial"/>
        </w:rPr>
      </w:pPr>
      <w:r w:rsidRPr="00D63BFB">
        <w:rPr>
          <w:rFonts w:ascii="Arial" w:hAnsi="Arial" w:cs="Arial"/>
        </w:rPr>
        <w:t>A secondary research design was appropriate because extensive evidence on nuclear governance, energy security and institutional effectiveness already exists. Using multiple sources enabled triangulation and strengthened analytical robustness.</w:t>
      </w:r>
    </w:p>
    <w:p w14:paraId="23C8358F" w14:textId="4435988B" w:rsidR="00400EAC" w:rsidRPr="00D63BFB" w:rsidRDefault="00400EAC" w:rsidP="000123A6">
      <w:pPr>
        <w:spacing w:after="160" w:line="278" w:lineRule="auto"/>
        <w:jc w:val="both"/>
        <w:rPr>
          <w:rFonts w:ascii="Arial" w:hAnsi="Arial" w:cs="Arial"/>
          <w:b/>
          <w:bCs/>
        </w:rPr>
      </w:pPr>
      <w:r w:rsidRPr="00D63BFB">
        <w:rPr>
          <w:rFonts w:ascii="Arial" w:hAnsi="Arial" w:cs="Arial"/>
          <w:b/>
          <w:bCs/>
        </w:rPr>
        <w:t>Data Sources and Analysis</w:t>
      </w:r>
    </w:p>
    <w:p w14:paraId="52BB6C64" w14:textId="6A43CF26" w:rsidR="00400EAC" w:rsidRPr="00D63BFB" w:rsidRDefault="00400EAC" w:rsidP="000123A6">
      <w:pPr>
        <w:spacing w:after="160" w:line="278" w:lineRule="auto"/>
        <w:jc w:val="both"/>
        <w:rPr>
          <w:rFonts w:ascii="Arial" w:hAnsi="Arial" w:cs="Arial"/>
        </w:rPr>
      </w:pPr>
      <w:r w:rsidRPr="00D63BFB">
        <w:rPr>
          <w:rFonts w:ascii="Arial" w:hAnsi="Arial" w:cs="Arial"/>
        </w:rPr>
        <w:t>Data w</w:t>
      </w:r>
      <w:r w:rsidR="006D71D3" w:rsidRPr="00D63BFB">
        <w:rPr>
          <w:rFonts w:ascii="Arial" w:hAnsi="Arial" w:cs="Arial"/>
        </w:rPr>
        <w:t>as</w:t>
      </w:r>
      <w:r w:rsidRPr="00D63BFB">
        <w:rPr>
          <w:rFonts w:ascii="Arial" w:hAnsi="Arial" w:cs="Arial"/>
        </w:rPr>
        <w:t xml:space="preserve"> obtained from peer-reviewed literature, government reports, international organisations and publicly available governance disclosures. Key sources included the IAEA, IEA, OECD-NEA, UK Office for Nuclear Regulation and World Energy Council.</w:t>
      </w:r>
    </w:p>
    <w:p w14:paraId="7B3A1011" w14:textId="4466377B" w:rsidR="00400EAC" w:rsidRPr="00D63BFB" w:rsidRDefault="00400EAC" w:rsidP="000123A6">
      <w:pPr>
        <w:spacing w:after="160" w:line="278" w:lineRule="auto"/>
        <w:jc w:val="both"/>
        <w:rPr>
          <w:rFonts w:ascii="Arial" w:hAnsi="Arial" w:cs="Arial"/>
        </w:rPr>
      </w:pPr>
      <w:r w:rsidRPr="00D63BFB">
        <w:rPr>
          <w:rFonts w:ascii="Arial" w:hAnsi="Arial" w:cs="Arial"/>
        </w:rPr>
        <w:t>Qualitative data w</w:t>
      </w:r>
      <w:r w:rsidR="006D71D3" w:rsidRPr="00D63BFB">
        <w:rPr>
          <w:rFonts w:ascii="Arial" w:hAnsi="Arial" w:cs="Arial"/>
        </w:rPr>
        <w:t>as</w:t>
      </w:r>
      <w:r w:rsidRPr="00D63BFB">
        <w:rPr>
          <w:rFonts w:ascii="Arial" w:hAnsi="Arial" w:cs="Arial"/>
        </w:rPr>
        <w:t xml:space="preserve"> analysed using thematic analysis (Braun and Clarke, 2022), enabling identification of recurring governance themes relating to energy security, institutional legitimacy, stakeholder trust and sustainable development.</w:t>
      </w:r>
    </w:p>
    <w:p w14:paraId="2C6C8A59" w14:textId="11046E36" w:rsidR="00400EAC" w:rsidRPr="00D63BFB" w:rsidRDefault="00400EAC" w:rsidP="000123A6">
      <w:pPr>
        <w:spacing w:after="160" w:line="278" w:lineRule="auto"/>
        <w:jc w:val="both"/>
        <w:rPr>
          <w:rFonts w:ascii="Arial" w:hAnsi="Arial" w:cs="Arial"/>
        </w:rPr>
      </w:pPr>
      <w:r w:rsidRPr="00D63BFB">
        <w:rPr>
          <w:rFonts w:ascii="Arial" w:hAnsi="Arial" w:cs="Arial"/>
        </w:rPr>
        <w:t>Quantitative evidence was analysed using descriptive and comparative techniques. Findings were subsequently mapped against SDG 7 and SDG 16 to assess both positive and ne</w:t>
      </w:r>
      <w:r w:rsidR="009D693B" w:rsidRPr="00D63BFB">
        <w:rPr>
          <w:rFonts w:ascii="Arial" w:hAnsi="Arial" w:cs="Arial"/>
        </w:rPr>
        <w:t>g</w:t>
      </w:r>
      <w:r w:rsidRPr="00D63BFB">
        <w:rPr>
          <w:rFonts w:ascii="Arial" w:hAnsi="Arial" w:cs="Arial"/>
        </w:rPr>
        <w:t>ative governance interactions.</w:t>
      </w:r>
    </w:p>
    <w:p w14:paraId="2B2C9B93" w14:textId="144A79F5" w:rsidR="00C45CAC" w:rsidRPr="00D63BFB" w:rsidRDefault="00C45CAC" w:rsidP="000123A6">
      <w:pPr>
        <w:spacing w:after="160" w:line="278" w:lineRule="auto"/>
        <w:jc w:val="both"/>
        <w:rPr>
          <w:rFonts w:ascii="Arial" w:hAnsi="Arial" w:cs="Arial"/>
          <w:b/>
          <w:bCs/>
        </w:rPr>
      </w:pPr>
      <w:r w:rsidRPr="00D63BFB">
        <w:rPr>
          <w:rFonts w:ascii="Arial" w:hAnsi="Arial" w:cs="Arial"/>
          <w:b/>
          <w:bCs/>
        </w:rPr>
        <w:t>Analytical Framework</w:t>
      </w:r>
    </w:p>
    <w:p w14:paraId="2AA0F190" w14:textId="77777777" w:rsidR="005E6F3E" w:rsidRPr="00D63BFB" w:rsidRDefault="005E6F3E" w:rsidP="005E6F3E">
      <w:pPr>
        <w:spacing w:after="160" w:line="278" w:lineRule="auto"/>
        <w:jc w:val="both"/>
        <w:rPr>
          <w:rFonts w:ascii="Arial" w:hAnsi="Arial" w:cs="Arial"/>
        </w:rPr>
      </w:pPr>
      <w:r w:rsidRPr="00D63BFB">
        <w:rPr>
          <w:rFonts w:ascii="Arial" w:hAnsi="Arial" w:cs="Arial"/>
        </w:rPr>
        <w:t>To maintain a specific focus on corporate governance, evidence was analysed through five governance mechanisms derived from the UK Corporate Governance Code (FRC, 2024), OECD Principles of Corporate Governance (OECD, 2023) and contemporary board effectiveness literature (</w:t>
      </w:r>
      <w:proofErr w:type="spellStart"/>
      <w:r w:rsidRPr="00D63BFB">
        <w:rPr>
          <w:rFonts w:ascii="Arial" w:hAnsi="Arial" w:cs="Arial"/>
        </w:rPr>
        <w:t>Velte</w:t>
      </w:r>
      <w:proofErr w:type="spellEnd"/>
      <w:r w:rsidRPr="00D63BFB">
        <w:rPr>
          <w:rFonts w:ascii="Arial" w:hAnsi="Arial" w:cs="Arial"/>
        </w:rPr>
        <w:t>, 2023):</w:t>
      </w:r>
    </w:p>
    <w:p w14:paraId="7B5FF7C7" w14:textId="77777777" w:rsidR="005E6F3E" w:rsidRPr="00D63BFB" w:rsidRDefault="005E6F3E" w:rsidP="005E6F3E">
      <w:pPr>
        <w:numPr>
          <w:ilvl w:val="0"/>
          <w:numId w:val="17"/>
        </w:numPr>
        <w:spacing w:after="160" w:line="278" w:lineRule="auto"/>
        <w:jc w:val="both"/>
        <w:rPr>
          <w:rFonts w:ascii="Arial" w:hAnsi="Arial" w:cs="Arial"/>
        </w:rPr>
      </w:pPr>
      <w:r w:rsidRPr="00D63BFB">
        <w:rPr>
          <w:rFonts w:ascii="Arial" w:hAnsi="Arial" w:cs="Arial"/>
        </w:rPr>
        <w:t>Board Oversight and Strategic Direction</w:t>
      </w:r>
    </w:p>
    <w:p w14:paraId="2BB17EA9" w14:textId="77777777" w:rsidR="005E6F3E" w:rsidRPr="00D63BFB" w:rsidRDefault="005E6F3E" w:rsidP="005E6F3E">
      <w:pPr>
        <w:numPr>
          <w:ilvl w:val="0"/>
          <w:numId w:val="17"/>
        </w:numPr>
        <w:spacing w:after="160" w:line="278" w:lineRule="auto"/>
        <w:jc w:val="both"/>
        <w:rPr>
          <w:rFonts w:ascii="Arial" w:hAnsi="Arial" w:cs="Arial"/>
        </w:rPr>
      </w:pPr>
      <w:r w:rsidRPr="00D63BFB">
        <w:rPr>
          <w:rFonts w:ascii="Arial" w:hAnsi="Arial" w:cs="Arial"/>
        </w:rPr>
        <w:t>Risk Management and Internal Control</w:t>
      </w:r>
    </w:p>
    <w:p w14:paraId="5354EC7D" w14:textId="77777777" w:rsidR="005E6F3E" w:rsidRPr="00D63BFB" w:rsidRDefault="005E6F3E" w:rsidP="005E6F3E">
      <w:pPr>
        <w:numPr>
          <w:ilvl w:val="0"/>
          <w:numId w:val="17"/>
        </w:numPr>
        <w:spacing w:after="160" w:line="278" w:lineRule="auto"/>
        <w:jc w:val="both"/>
        <w:rPr>
          <w:rFonts w:ascii="Arial" w:hAnsi="Arial" w:cs="Arial"/>
        </w:rPr>
      </w:pPr>
      <w:r w:rsidRPr="00D63BFB">
        <w:rPr>
          <w:rFonts w:ascii="Arial" w:hAnsi="Arial" w:cs="Arial"/>
        </w:rPr>
        <w:t>Accountability, Transparency and Disclosure</w:t>
      </w:r>
    </w:p>
    <w:p w14:paraId="7C01621B" w14:textId="77777777" w:rsidR="005E6F3E" w:rsidRPr="00D63BFB" w:rsidRDefault="005E6F3E" w:rsidP="005E6F3E">
      <w:pPr>
        <w:numPr>
          <w:ilvl w:val="0"/>
          <w:numId w:val="17"/>
        </w:numPr>
        <w:spacing w:after="160" w:line="278" w:lineRule="auto"/>
        <w:jc w:val="both"/>
        <w:rPr>
          <w:rFonts w:ascii="Arial" w:hAnsi="Arial" w:cs="Arial"/>
        </w:rPr>
      </w:pPr>
      <w:r w:rsidRPr="00D63BFB">
        <w:rPr>
          <w:rFonts w:ascii="Arial" w:hAnsi="Arial" w:cs="Arial"/>
        </w:rPr>
        <w:t>Stakeholder Engagement and Organisational Legitimacy</w:t>
      </w:r>
    </w:p>
    <w:p w14:paraId="5C1D98D2" w14:textId="77777777" w:rsidR="005E6F3E" w:rsidRPr="00D63BFB" w:rsidRDefault="005E6F3E" w:rsidP="005E6F3E">
      <w:pPr>
        <w:numPr>
          <w:ilvl w:val="0"/>
          <w:numId w:val="17"/>
        </w:numPr>
        <w:spacing w:after="160" w:line="278" w:lineRule="auto"/>
        <w:jc w:val="both"/>
        <w:rPr>
          <w:rFonts w:ascii="Arial" w:hAnsi="Arial" w:cs="Arial"/>
        </w:rPr>
      </w:pPr>
      <w:r w:rsidRPr="00D63BFB">
        <w:rPr>
          <w:rFonts w:ascii="Arial" w:hAnsi="Arial" w:cs="Arial"/>
        </w:rPr>
        <w:t>Long-Term Stewardship and Sustainable Value Creation</w:t>
      </w:r>
    </w:p>
    <w:p w14:paraId="767CA998" w14:textId="77777777" w:rsidR="005E6F3E" w:rsidRPr="00D63BFB" w:rsidRDefault="005E6F3E" w:rsidP="005E6F3E">
      <w:pPr>
        <w:spacing w:after="160" w:line="278" w:lineRule="auto"/>
        <w:jc w:val="both"/>
        <w:rPr>
          <w:rFonts w:ascii="Arial" w:hAnsi="Arial" w:cs="Arial"/>
        </w:rPr>
      </w:pPr>
      <w:r w:rsidRPr="00D63BFB">
        <w:rPr>
          <w:rFonts w:ascii="Arial" w:hAnsi="Arial" w:cs="Arial"/>
        </w:rPr>
        <w:t>These mechanisms provide a framework for examining how boards and governance structures influence sustainable development outcomes associated with SDG 7 and SDG 16.</w:t>
      </w:r>
    </w:p>
    <w:p w14:paraId="71F1E8B9" w14:textId="027E164C" w:rsidR="00C45CAC" w:rsidRPr="00D63BFB" w:rsidRDefault="00C45CAC" w:rsidP="000123A6">
      <w:pPr>
        <w:spacing w:after="160" w:line="278" w:lineRule="auto"/>
        <w:jc w:val="both"/>
        <w:rPr>
          <w:rFonts w:ascii="Arial" w:hAnsi="Arial" w:cs="Arial"/>
          <w:b/>
          <w:bCs/>
        </w:rPr>
      </w:pPr>
      <w:r w:rsidRPr="00D63BFB">
        <w:rPr>
          <w:rFonts w:ascii="Arial" w:hAnsi="Arial" w:cs="Arial"/>
          <w:b/>
          <w:bCs/>
        </w:rPr>
        <w:t>Quality, Ethics and Limitations</w:t>
      </w:r>
    </w:p>
    <w:p w14:paraId="6879E5C2" w14:textId="77777777" w:rsidR="00C45CAC" w:rsidRPr="00D63BFB" w:rsidRDefault="00C45CAC" w:rsidP="000123A6">
      <w:pPr>
        <w:spacing w:after="160" w:line="278" w:lineRule="auto"/>
        <w:jc w:val="both"/>
        <w:rPr>
          <w:rFonts w:ascii="Arial" w:hAnsi="Arial" w:cs="Arial"/>
        </w:rPr>
      </w:pPr>
      <w:r w:rsidRPr="00D63BFB">
        <w:rPr>
          <w:rFonts w:ascii="Arial" w:hAnsi="Arial" w:cs="Arial"/>
        </w:rPr>
        <w:t>Source credibility was assessed according to institutional authority, methodological transparency, consistency with alternative evidence and relevance to the research objectives. Priority was given to peer-reviewed research and official datasets produced by organisations including the IAEA, OECD-NEA, IEA and UK regulators.</w:t>
      </w:r>
    </w:p>
    <w:p w14:paraId="27703AB0" w14:textId="77777777" w:rsidR="00C45CAC" w:rsidRPr="00D63BFB" w:rsidRDefault="00C45CAC" w:rsidP="000123A6">
      <w:pPr>
        <w:spacing w:after="160" w:line="278" w:lineRule="auto"/>
        <w:jc w:val="both"/>
        <w:rPr>
          <w:rFonts w:ascii="Arial" w:hAnsi="Arial" w:cs="Arial"/>
        </w:rPr>
      </w:pPr>
      <w:r w:rsidRPr="00D63BFB">
        <w:rPr>
          <w:rFonts w:ascii="Arial" w:hAnsi="Arial" w:cs="Arial"/>
        </w:rPr>
        <w:t>As no primary data were collected, formal ethical approval was not required. Nevertheless, principles of transparency, accurate source attribution and balanced interpretation were maintained throughout the study.</w:t>
      </w:r>
    </w:p>
    <w:p w14:paraId="17884B68" w14:textId="77777777" w:rsidR="00C45CAC" w:rsidRPr="00D63BFB" w:rsidRDefault="00C45CAC" w:rsidP="000123A6">
      <w:pPr>
        <w:spacing w:after="160" w:line="278" w:lineRule="auto"/>
        <w:jc w:val="both"/>
        <w:rPr>
          <w:rFonts w:ascii="Arial" w:hAnsi="Arial" w:cs="Arial"/>
        </w:rPr>
      </w:pPr>
      <w:r w:rsidRPr="00D63BFB">
        <w:rPr>
          <w:rFonts w:ascii="Arial" w:hAnsi="Arial" w:cs="Arial"/>
        </w:rPr>
        <w:t>Several limitations should be acknowledged. The study relies on secondary data and therefore cannot establish direct causality. Much of the available evidence originates from developed nuclear economies, potentially limiting transferability to other contexts. Furthermore, commercial SMR deployment remains at an early stage, meaning some findings are based on projected rather than fully realised outcomes.</w:t>
      </w:r>
    </w:p>
    <w:p w14:paraId="187B7E46" w14:textId="77777777" w:rsidR="00FE1968" w:rsidRPr="00D63BFB" w:rsidRDefault="00FE1968" w:rsidP="000123A6">
      <w:pPr>
        <w:spacing w:after="160" w:line="278" w:lineRule="auto"/>
        <w:jc w:val="both"/>
        <w:rPr>
          <w:rFonts w:ascii="Arial" w:hAnsi="Arial" w:cs="Arial"/>
        </w:rPr>
      </w:pPr>
    </w:p>
    <w:p w14:paraId="5D49E1A2" w14:textId="57D898EB" w:rsidR="00FE1968" w:rsidRPr="00D63BFB" w:rsidRDefault="00FE1968" w:rsidP="000123A6">
      <w:pPr>
        <w:spacing w:after="160" w:line="278" w:lineRule="auto"/>
        <w:jc w:val="both"/>
        <w:rPr>
          <w:rFonts w:ascii="Arial" w:hAnsi="Arial" w:cs="Arial"/>
          <w:b/>
          <w:bCs/>
        </w:rPr>
      </w:pPr>
      <w:r w:rsidRPr="00D63BFB">
        <w:rPr>
          <w:rFonts w:ascii="Arial" w:hAnsi="Arial" w:cs="Arial"/>
          <w:b/>
          <w:bCs/>
        </w:rPr>
        <w:t>Findings and Analysis</w:t>
      </w:r>
    </w:p>
    <w:p w14:paraId="7249C90F" w14:textId="77777777" w:rsidR="00AA2AE8" w:rsidRPr="00D63BFB" w:rsidRDefault="00FE1968" w:rsidP="00AA2AE8">
      <w:pPr>
        <w:spacing w:after="160" w:line="278" w:lineRule="auto"/>
        <w:jc w:val="both"/>
        <w:rPr>
          <w:rFonts w:ascii="Arial" w:hAnsi="Arial" w:cs="Arial"/>
          <w:b/>
          <w:bCs/>
        </w:rPr>
      </w:pPr>
      <w:r w:rsidRPr="00D63BFB">
        <w:rPr>
          <w:rFonts w:ascii="Arial" w:hAnsi="Arial" w:cs="Arial"/>
          <w:b/>
          <w:bCs/>
        </w:rPr>
        <w:t xml:space="preserve">Theme 1: </w:t>
      </w:r>
      <w:r w:rsidR="00AA2AE8" w:rsidRPr="00D63BFB">
        <w:rPr>
          <w:rFonts w:ascii="Arial" w:hAnsi="Arial" w:cs="Arial"/>
          <w:b/>
          <w:bCs/>
        </w:rPr>
        <w:t>Board Oversight and Strategic Direction in Supporting Energy Security</w:t>
      </w:r>
    </w:p>
    <w:p w14:paraId="33BD6512" w14:textId="2748B88E" w:rsidR="004F367B" w:rsidRPr="00D63BFB" w:rsidRDefault="004F367B" w:rsidP="000123A6">
      <w:pPr>
        <w:spacing w:after="160" w:line="278" w:lineRule="auto"/>
        <w:jc w:val="both"/>
        <w:rPr>
          <w:rFonts w:ascii="Arial" w:hAnsi="Arial" w:cs="Arial"/>
        </w:rPr>
      </w:pPr>
      <w:r w:rsidRPr="00D63BFB">
        <w:rPr>
          <w:rFonts w:ascii="Arial" w:hAnsi="Arial" w:cs="Arial"/>
        </w:rPr>
        <w:t>Evidence from the World Energy Council Energy Trilemma Index suggests that countries with mature governance systems, including Canada, France, the United Kingdom and the United States, perform strongly across energy security measures (World Energy Council, 2024). Although governance cannot be isolated as the sole determinant of performance, strong institutional environments appear to support resilient energy systems through regulatory stability, investment confidence and effective oversight. Consequently, governance capability may facilitate energy security outcomes relevant to SDG 7, although causality cannot be established from the available evidence.</w:t>
      </w:r>
    </w:p>
    <w:p w14:paraId="4F0F1E2E" w14:textId="77777777" w:rsidR="00FE1968" w:rsidRPr="00D63BFB" w:rsidRDefault="00FE1968" w:rsidP="000123A6">
      <w:pPr>
        <w:spacing w:after="160" w:line="278" w:lineRule="auto"/>
        <w:jc w:val="both"/>
        <w:rPr>
          <w:rFonts w:ascii="Arial" w:hAnsi="Arial" w:cs="Arial"/>
          <w:b/>
          <w:bCs/>
        </w:rPr>
      </w:pPr>
      <w:r w:rsidRPr="00D63BFB">
        <w:rPr>
          <w:rFonts w:ascii="Arial" w:hAnsi="Arial" w:cs="Arial"/>
          <w:b/>
          <w:bCs/>
        </w:rPr>
        <w:t>Comparative Governance Analysis of SMR Deployment Environments</w:t>
      </w:r>
    </w:p>
    <w:p w14:paraId="7E51F29E" w14:textId="77777777" w:rsidR="008B090D" w:rsidRPr="00D63BFB" w:rsidRDefault="008B090D" w:rsidP="008B090D">
      <w:pPr>
        <w:spacing w:after="160" w:line="278" w:lineRule="auto"/>
        <w:jc w:val="both"/>
        <w:rPr>
          <w:rFonts w:ascii="Arial" w:hAnsi="Arial" w:cs="Arial"/>
        </w:rPr>
      </w:pPr>
      <w:r w:rsidRPr="00D63BFB">
        <w:rPr>
          <w:rFonts w:ascii="Arial" w:hAnsi="Arial" w:cs="Arial"/>
        </w:rPr>
        <w:t>A recurring theme within the literature is the relationship between governance maturity and nuclear deployment capability.</w:t>
      </w:r>
    </w:p>
    <w:p w14:paraId="2381F6A7" w14:textId="28311053" w:rsidR="00E5464C" w:rsidRPr="00D63BFB" w:rsidRDefault="0007578C" w:rsidP="000123A6">
      <w:pPr>
        <w:spacing w:after="160" w:line="278" w:lineRule="auto"/>
        <w:jc w:val="both"/>
        <w:rPr>
          <w:rFonts w:ascii="Arial" w:hAnsi="Arial" w:cs="Arial"/>
        </w:rPr>
      </w:pPr>
      <w:r w:rsidRPr="00D63BFB">
        <w:rPr>
          <w:rFonts w:ascii="Arial" w:hAnsi="Arial" w:cs="Arial"/>
        </w:rPr>
        <w:t>Comparative evidence suggests that SMR deployment is progressing most rapidly in jurisdictions characterised by strong governance frameworks, established nuclear capability and regulatory maturity. The United Kingdom, Canada and the United States demonstrate more advanced SMR programmes than countries with less developed nuclear governance structures.</w:t>
      </w:r>
    </w:p>
    <w:p w14:paraId="211D6DB5" w14:textId="3229F7E1" w:rsidR="00FE1968" w:rsidRPr="00D63BFB" w:rsidRDefault="00FE1968" w:rsidP="000123A6">
      <w:pPr>
        <w:spacing w:after="160" w:line="278" w:lineRule="auto"/>
        <w:jc w:val="both"/>
        <w:rPr>
          <w:rFonts w:ascii="Arial" w:hAnsi="Arial" w:cs="Arial"/>
        </w:rPr>
      </w:pPr>
      <w:r w:rsidRPr="00D63BFB">
        <w:rPr>
          <w:rFonts w:ascii="Arial" w:hAnsi="Arial" w:cs="Arial"/>
        </w:rPr>
        <w:t xml:space="preserve">Analysis suggests that successful SMR deployment is more likely within jurisdictions characterised by strong regulatory quality, institutional effectiveness and established governance frameworks. Similar conclusions are reported by the OECD Nuclear Energy Agency (2023) and the International Atomic Energy Agency (2024), both of which identify </w:t>
      </w:r>
      <w:r w:rsidR="00E17777" w:rsidRPr="00D63BFB">
        <w:rPr>
          <w:rFonts w:ascii="Arial" w:hAnsi="Arial" w:cs="Arial"/>
        </w:rPr>
        <w:t xml:space="preserve">corporate </w:t>
      </w:r>
      <w:r w:rsidRPr="00D63BFB">
        <w:rPr>
          <w:rFonts w:ascii="Arial" w:hAnsi="Arial" w:cs="Arial"/>
        </w:rPr>
        <w:t>governance capability as a prerequisite for the successful commercialisation of advanced nuclear technologies.</w:t>
      </w:r>
    </w:p>
    <w:p w14:paraId="010684CF" w14:textId="20F157EF" w:rsidR="00FE1968" w:rsidRPr="00D63BFB" w:rsidRDefault="0056742D" w:rsidP="000123A6">
      <w:pPr>
        <w:spacing w:after="160" w:line="278" w:lineRule="auto"/>
        <w:jc w:val="both"/>
        <w:rPr>
          <w:rFonts w:ascii="Arial" w:hAnsi="Arial" w:cs="Arial"/>
        </w:rPr>
      </w:pPr>
      <w:r w:rsidRPr="00D63BFB">
        <w:rPr>
          <w:rFonts w:ascii="Arial" w:hAnsi="Arial" w:cs="Arial"/>
        </w:rPr>
        <w:t>The evidence indicates that governance should not be viewed simply as a consequence of technological deployment</w:t>
      </w:r>
      <w:r w:rsidR="00FE1968" w:rsidRPr="00D63BFB">
        <w:rPr>
          <w:rFonts w:ascii="Arial" w:hAnsi="Arial" w:cs="Arial"/>
        </w:rPr>
        <w:t xml:space="preserve">. Rather, </w:t>
      </w:r>
      <w:r w:rsidR="00E17777" w:rsidRPr="00D63BFB">
        <w:rPr>
          <w:rFonts w:ascii="Arial" w:hAnsi="Arial" w:cs="Arial"/>
        </w:rPr>
        <w:t xml:space="preserve">corporate </w:t>
      </w:r>
      <w:r w:rsidR="00FE1968" w:rsidRPr="00D63BFB">
        <w:rPr>
          <w:rFonts w:ascii="Arial" w:hAnsi="Arial" w:cs="Arial"/>
        </w:rPr>
        <w:t xml:space="preserve">governance capability appears to function as a prerequisite enabling successful implementation. </w:t>
      </w:r>
      <w:r w:rsidR="0050701E" w:rsidRPr="00D63BFB">
        <w:rPr>
          <w:rFonts w:ascii="Arial" w:hAnsi="Arial" w:cs="Arial"/>
        </w:rPr>
        <w:t>Organisations operating within mature governance environments may benefit from stable institutional conditions. However, sustainable development outcomes ultimately depend upon the effectiveness of corporate governance mechanisms operating at board level, including oversight of strategy, risk and stakeholder engagement (OECD, 2023; FRC, 2024).</w:t>
      </w:r>
    </w:p>
    <w:p w14:paraId="7221BAAF" w14:textId="77777777" w:rsidR="00FE1968" w:rsidRPr="00D63BFB" w:rsidRDefault="00FE1968" w:rsidP="000123A6">
      <w:pPr>
        <w:spacing w:after="160" w:line="278" w:lineRule="auto"/>
        <w:jc w:val="both"/>
        <w:rPr>
          <w:rFonts w:ascii="Arial" w:hAnsi="Arial" w:cs="Arial"/>
        </w:rPr>
      </w:pPr>
      <w:r w:rsidRPr="00D63BFB">
        <w:rPr>
          <w:rFonts w:ascii="Arial" w:hAnsi="Arial" w:cs="Arial"/>
        </w:rPr>
        <w:t>This finding extends existing literature by suggesting that governance quality may represent a strategic competitive advantage in future SMR deployment. Nations capable of establishing trusted regulatory institutions are more likely to attract investment, secure public confidence and facilitate project delivery, thereby contributing positively to SDG 7 through enhanced energy security and infrastructure resilience.</w:t>
      </w:r>
    </w:p>
    <w:p w14:paraId="1303C257" w14:textId="1C8FD4FD" w:rsidR="00FE1968" w:rsidRPr="00D63BFB" w:rsidRDefault="00FE1968" w:rsidP="000123A6">
      <w:pPr>
        <w:spacing w:after="160" w:line="278" w:lineRule="auto"/>
        <w:jc w:val="both"/>
        <w:rPr>
          <w:rFonts w:ascii="Arial" w:hAnsi="Arial" w:cs="Arial"/>
        </w:rPr>
      </w:pPr>
    </w:p>
    <w:p w14:paraId="12433EE0" w14:textId="77777777" w:rsidR="00FE1968" w:rsidRPr="00D63BFB" w:rsidRDefault="00FE1968" w:rsidP="000123A6">
      <w:pPr>
        <w:spacing w:after="160" w:line="278" w:lineRule="auto"/>
        <w:jc w:val="both"/>
        <w:rPr>
          <w:rFonts w:ascii="Arial" w:hAnsi="Arial" w:cs="Arial"/>
          <w:b/>
          <w:bCs/>
        </w:rPr>
      </w:pPr>
      <w:r w:rsidRPr="00D63BFB">
        <w:rPr>
          <w:rFonts w:ascii="Arial" w:hAnsi="Arial" w:cs="Arial"/>
          <w:b/>
          <w:bCs/>
        </w:rPr>
        <w:t>Theme 2: Capacity Factors and Infrastructure Reliability</w:t>
      </w:r>
    </w:p>
    <w:p w14:paraId="38CFE4DA" w14:textId="77777777" w:rsidR="00FE1968" w:rsidRPr="00D63BFB" w:rsidRDefault="00FE1968" w:rsidP="000123A6">
      <w:pPr>
        <w:spacing w:after="160" w:line="278" w:lineRule="auto"/>
        <w:jc w:val="both"/>
        <w:rPr>
          <w:rFonts w:ascii="Arial" w:hAnsi="Arial" w:cs="Arial"/>
        </w:rPr>
      </w:pPr>
      <w:r w:rsidRPr="00D63BFB">
        <w:rPr>
          <w:rFonts w:ascii="Arial" w:hAnsi="Arial" w:cs="Arial"/>
        </w:rPr>
        <w:t>The comparative analysis of energy generation technologies highlights significant differences in operational reliability.</w:t>
      </w:r>
    </w:p>
    <w:p w14:paraId="7C353131" w14:textId="4894CB2E" w:rsidR="00304D52" w:rsidRPr="00D63BFB" w:rsidRDefault="0048321B" w:rsidP="0048321B">
      <w:pPr>
        <w:spacing w:after="160" w:line="278" w:lineRule="auto"/>
        <w:jc w:val="both"/>
        <w:rPr>
          <w:rFonts w:ascii="Arial" w:hAnsi="Arial" w:cs="Arial"/>
        </w:rPr>
      </w:pPr>
      <w:r w:rsidRPr="00D63BFB">
        <w:rPr>
          <w:rFonts w:ascii="Arial" w:hAnsi="Arial" w:cs="Arial"/>
        </w:rPr>
        <w:t>Nuclear generation achieves average capacity factors of approximately 92%, significantly higher than most renewable technologies (World Nuclear Association, 2024).</w:t>
      </w:r>
    </w:p>
    <w:p w14:paraId="72F4AC66" w14:textId="7F3A5754" w:rsidR="00FE1968" w:rsidRPr="00D63BFB" w:rsidRDefault="00FE1968" w:rsidP="000123A6">
      <w:pPr>
        <w:spacing w:after="160" w:line="278" w:lineRule="auto"/>
        <w:jc w:val="both"/>
        <w:rPr>
          <w:rFonts w:ascii="Arial" w:hAnsi="Arial" w:cs="Arial"/>
        </w:rPr>
      </w:pPr>
      <w:r w:rsidRPr="00D63BFB">
        <w:rPr>
          <w:rFonts w:ascii="Arial" w:hAnsi="Arial" w:cs="Arial"/>
        </w:rPr>
        <w:t>Nuclear energy demonstrates substantially higher capacity factors than renewable alternatives, indicating strong potential to contribute to reliable and affordable energy supplies. High utilisation rates enhance energy system resilience and support the achievement of SDG 7 objectives relating to energy availability and security.</w:t>
      </w:r>
    </w:p>
    <w:p w14:paraId="2F86A869" w14:textId="77777777" w:rsidR="00FE1968" w:rsidRPr="00D63BFB" w:rsidRDefault="00FE1968" w:rsidP="000123A6">
      <w:pPr>
        <w:spacing w:after="160" w:line="278" w:lineRule="auto"/>
        <w:jc w:val="both"/>
        <w:rPr>
          <w:rFonts w:ascii="Arial" w:hAnsi="Arial" w:cs="Arial"/>
        </w:rPr>
      </w:pPr>
      <w:r w:rsidRPr="00D63BFB">
        <w:rPr>
          <w:rFonts w:ascii="Arial" w:hAnsi="Arial" w:cs="Arial"/>
        </w:rPr>
        <w:t>However, technological reliability alone does not guarantee sustainable outcomes. Governance systems play a critical role in converting operational performance into societal value. Effective governance mechanisms are required to ensure safety oversight, maintenance standards, workforce competence and operational accountability throughout the asset lifecycle.</w:t>
      </w:r>
    </w:p>
    <w:p w14:paraId="45C5837F" w14:textId="4E44AFDE" w:rsidR="00523A9C" w:rsidRPr="00D63BFB" w:rsidRDefault="00FE1968" w:rsidP="000123A6">
      <w:pPr>
        <w:spacing w:after="160" w:line="278" w:lineRule="auto"/>
        <w:jc w:val="both"/>
        <w:rPr>
          <w:rFonts w:ascii="Arial" w:hAnsi="Arial" w:cs="Arial"/>
        </w:rPr>
      </w:pPr>
      <w:r w:rsidRPr="00D63BFB">
        <w:rPr>
          <w:rFonts w:ascii="Arial" w:hAnsi="Arial" w:cs="Arial"/>
        </w:rPr>
        <w:t>Consequently, the contribution of SMRs to SDG 7 depends not solely upon technical performance but also upon governance structures capable of sustaining that performance over extended periods. This finding reinforces the argument that</w:t>
      </w:r>
      <w:r w:rsidR="00E17777" w:rsidRPr="00D63BFB">
        <w:rPr>
          <w:rFonts w:ascii="Arial" w:hAnsi="Arial" w:cs="Arial"/>
        </w:rPr>
        <w:t xml:space="preserve"> corporate</w:t>
      </w:r>
      <w:r w:rsidRPr="00D63BFB">
        <w:rPr>
          <w:rFonts w:ascii="Arial" w:hAnsi="Arial" w:cs="Arial"/>
        </w:rPr>
        <w:t xml:space="preserve"> governance capability functions as a mediating factor between technology and sustainability outcomes.</w:t>
      </w:r>
    </w:p>
    <w:p w14:paraId="3F77A750" w14:textId="77777777" w:rsidR="007560C7" w:rsidRPr="00D63BFB" w:rsidRDefault="00FE1968" w:rsidP="007560C7">
      <w:pPr>
        <w:spacing w:after="160" w:line="278" w:lineRule="auto"/>
        <w:jc w:val="both"/>
        <w:rPr>
          <w:rFonts w:ascii="Arial" w:hAnsi="Arial" w:cs="Arial"/>
          <w:b/>
          <w:bCs/>
        </w:rPr>
      </w:pPr>
      <w:r w:rsidRPr="00D63BFB">
        <w:rPr>
          <w:rFonts w:ascii="Arial" w:hAnsi="Arial" w:cs="Arial"/>
          <w:b/>
          <w:bCs/>
        </w:rPr>
        <w:t xml:space="preserve">Theme 3: </w:t>
      </w:r>
      <w:r w:rsidR="007560C7" w:rsidRPr="00D63BFB">
        <w:rPr>
          <w:rFonts w:ascii="Arial" w:hAnsi="Arial" w:cs="Arial"/>
          <w:b/>
          <w:bCs/>
        </w:rPr>
        <w:t>Board Oversight, Risk Management and Project Delivery</w:t>
      </w:r>
    </w:p>
    <w:p w14:paraId="1BF9D769" w14:textId="11CC3A91" w:rsidR="007571C4" w:rsidRPr="00D63BFB" w:rsidRDefault="007571C4" w:rsidP="007571C4">
      <w:pPr>
        <w:spacing w:after="160" w:line="278" w:lineRule="auto"/>
        <w:jc w:val="both"/>
        <w:rPr>
          <w:rFonts w:ascii="Arial" w:hAnsi="Arial" w:cs="Arial"/>
        </w:rPr>
      </w:pPr>
      <w:r w:rsidRPr="00D63BFB">
        <w:rPr>
          <w:rFonts w:ascii="Arial" w:hAnsi="Arial" w:cs="Arial"/>
        </w:rPr>
        <w:t>Evidence from major nuclear infrastructure projects suggests that board oversight and governance assurance arrangements play an important role in determining project performance. Corporate governance frameworks emphasise the responsibility of boards to oversee risk management, internal controls and strategic execution (FRC, 2024; OECD, 2023). Analysis of historic nuclear projects indicates that governance weaknesses, including inadequate challenge of management assumptions, ineffective risk oversight and insufficient assurance processes, have contributed to significant cost escalation and delivery delays (</w:t>
      </w:r>
      <w:proofErr w:type="spellStart"/>
      <w:r w:rsidRPr="00D63BFB">
        <w:rPr>
          <w:rFonts w:ascii="Arial" w:hAnsi="Arial" w:cs="Arial"/>
        </w:rPr>
        <w:t>Flyvbjerg</w:t>
      </w:r>
      <w:proofErr w:type="spellEnd"/>
      <w:r w:rsidRPr="00D63BFB">
        <w:rPr>
          <w:rFonts w:ascii="Arial" w:hAnsi="Arial" w:cs="Arial"/>
        </w:rPr>
        <w:t xml:space="preserve"> and Gardner, 2023)</w:t>
      </w:r>
      <w:r w:rsidR="00B835CF" w:rsidRPr="00D63BFB">
        <w:rPr>
          <w:rFonts w:ascii="Arial" w:hAnsi="Arial" w:cs="Arial"/>
        </w:rPr>
        <w:t>.</w:t>
      </w:r>
    </w:p>
    <w:p w14:paraId="0B5842C2" w14:textId="11742BD8" w:rsidR="00FE1968" w:rsidRPr="00D63BFB" w:rsidRDefault="00FE1968" w:rsidP="000123A6">
      <w:pPr>
        <w:spacing w:after="160" w:line="278" w:lineRule="auto"/>
        <w:jc w:val="both"/>
        <w:rPr>
          <w:rFonts w:ascii="Arial" w:hAnsi="Arial" w:cs="Arial"/>
        </w:rPr>
      </w:pPr>
      <w:r w:rsidRPr="00D63BFB">
        <w:rPr>
          <w:rFonts w:ascii="Arial" w:hAnsi="Arial" w:cs="Arial"/>
        </w:rPr>
        <w:t xml:space="preserve">Research examining large-scale infrastructure projects consistently identifies governance weaknesses as a primary contributor to schedule delays and budget overruns </w:t>
      </w:r>
      <w:r w:rsidR="00BE5AFE" w:rsidRPr="00D63BFB">
        <w:rPr>
          <w:rFonts w:ascii="Arial" w:hAnsi="Arial" w:cs="Arial"/>
        </w:rPr>
        <w:t>(</w:t>
      </w:r>
      <w:proofErr w:type="spellStart"/>
      <w:r w:rsidR="00B65584" w:rsidRPr="00D63BFB">
        <w:rPr>
          <w:rFonts w:ascii="Arial" w:hAnsi="Arial" w:cs="Arial"/>
        </w:rPr>
        <w:t>Flyvbjerg</w:t>
      </w:r>
      <w:proofErr w:type="spellEnd"/>
      <w:r w:rsidR="00B65584" w:rsidRPr="00D63BFB">
        <w:rPr>
          <w:rFonts w:ascii="Arial" w:hAnsi="Arial" w:cs="Arial"/>
        </w:rPr>
        <w:t xml:space="preserve"> and Gardner, 2023)</w:t>
      </w:r>
      <w:r w:rsidRPr="00D63BFB">
        <w:rPr>
          <w:rFonts w:ascii="Arial" w:hAnsi="Arial" w:cs="Arial"/>
        </w:rPr>
        <w:t>. Such failures increase financing requirements and ultimately affect consumers, taxpayers and investors.</w:t>
      </w:r>
    </w:p>
    <w:p w14:paraId="5405BDEE" w14:textId="77777777" w:rsidR="00FE1968" w:rsidRPr="00D63BFB" w:rsidRDefault="00FE1968" w:rsidP="000123A6">
      <w:pPr>
        <w:spacing w:after="160" w:line="278" w:lineRule="auto"/>
        <w:jc w:val="both"/>
        <w:rPr>
          <w:rFonts w:ascii="Arial" w:hAnsi="Arial" w:cs="Arial"/>
        </w:rPr>
      </w:pPr>
      <w:r w:rsidRPr="00D63BFB">
        <w:rPr>
          <w:rFonts w:ascii="Arial" w:hAnsi="Arial" w:cs="Arial"/>
        </w:rPr>
        <w:t>From a Public Value Governance perspective, cost escalation represents more than a financial concern (Bryson, Crosby and Bloomberg, 2014). Significant overruns may reduce political legitimacy, undermine public trust and divert resources from alternative public priorities. Consequently, governance failures associated with financial management negatively affect both SDG 7 outcomes and broader SDG 16 objectives concerning accountability and institutional effectiveness.</w:t>
      </w:r>
    </w:p>
    <w:p w14:paraId="7B5428CD" w14:textId="77777777" w:rsidR="00FE1968" w:rsidRPr="00D63BFB" w:rsidRDefault="00FE1968" w:rsidP="000123A6">
      <w:pPr>
        <w:spacing w:after="160" w:line="278" w:lineRule="auto"/>
        <w:jc w:val="both"/>
        <w:rPr>
          <w:rFonts w:ascii="Arial" w:hAnsi="Arial" w:cs="Arial"/>
        </w:rPr>
      </w:pPr>
      <w:r w:rsidRPr="00D63BFB">
        <w:rPr>
          <w:rFonts w:ascii="Arial" w:hAnsi="Arial" w:cs="Arial"/>
        </w:rPr>
        <w:t>The findings therefore suggest that financial governance should be considered a strategic determinant of sustainable SMR deployment rather than a purely administrative function.</w:t>
      </w:r>
    </w:p>
    <w:p w14:paraId="5F153755" w14:textId="41664E0F" w:rsidR="00F06EF8" w:rsidRPr="00D63BFB" w:rsidRDefault="00F06EF8" w:rsidP="000123A6">
      <w:pPr>
        <w:spacing w:after="160" w:line="278" w:lineRule="auto"/>
        <w:jc w:val="both"/>
        <w:rPr>
          <w:rFonts w:ascii="Arial" w:hAnsi="Arial" w:cs="Arial"/>
        </w:rPr>
      </w:pPr>
      <w:r w:rsidRPr="00D63BFB">
        <w:rPr>
          <w:rFonts w:ascii="Arial" w:hAnsi="Arial" w:cs="Arial"/>
        </w:rPr>
        <w:t xml:space="preserve">Nevertheless, the relationship between governance and affordability remains complex. Whilst effective governance can improve project controls, transparency and risk management, it cannot eliminate underlying economic uncertainties associated with SMR deployment. Commercial experience remains limited and questions persist regarding whether SMRs will achieve projected economies through standardisation and serial production (OECD-NEA, 2023; World Nuclear Association, 2024). </w:t>
      </w:r>
    </w:p>
    <w:p w14:paraId="66AE3C67" w14:textId="77777777" w:rsidR="00FE1968" w:rsidRPr="00D63BFB" w:rsidRDefault="00FE1968" w:rsidP="000123A6">
      <w:pPr>
        <w:spacing w:after="160" w:line="278" w:lineRule="auto"/>
        <w:jc w:val="both"/>
        <w:rPr>
          <w:rFonts w:ascii="Arial" w:hAnsi="Arial" w:cs="Arial"/>
        </w:rPr>
      </w:pPr>
    </w:p>
    <w:p w14:paraId="6693CC33" w14:textId="77777777" w:rsidR="00303AD2" w:rsidRPr="00D63BFB" w:rsidRDefault="00FE1968" w:rsidP="00303AD2">
      <w:pPr>
        <w:spacing w:after="160" w:line="278" w:lineRule="auto"/>
        <w:jc w:val="both"/>
        <w:rPr>
          <w:rFonts w:ascii="Arial" w:hAnsi="Arial" w:cs="Arial"/>
          <w:b/>
          <w:bCs/>
        </w:rPr>
      </w:pPr>
      <w:r w:rsidRPr="00D63BFB">
        <w:rPr>
          <w:rFonts w:ascii="Arial" w:hAnsi="Arial" w:cs="Arial"/>
          <w:b/>
          <w:bCs/>
        </w:rPr>
        <w:t xml:space="preserve">Theme 4: </w:t>
      </w:r>
      <w:r w:rsidR="00303AD2" w:rsidRPr="00D63BFB">
        <w:rPr>
          <w:rFonts w:ascii="Arial" w:hAnsi="Arial" w:cs="Arial"/>
          <w:b/>
          <w:bCs/>
        </w:rPr>
        <w:t>Stakeholder Engagement, Transparency and Institutional Legitimacy</w:t>
      </w:r>
    </w:p>
    <w:p w14:paraId="5EACFDEF" w14:textId="77777777" w:rsidR="000316CC" w:rsidRPr="00D63BFB" w:rsidRDefault="000316CC" w:rsidP="000316CC">
      <w:pPr>
        <w:spacing w:after="160" w:line="278" w:lineRule="auto"/>
        <w:jc w:val="both"/>
        <w:rPr>
          <w:rFonts w:ascii="Arial" w:hAnsi="Arial" w:cs="Arial"/>
        </w:rPr>
      </w:pPr>
      <w:r w:rsidRPr="00D63BFB">
        <w:rPr>
          <w:rFonts w:ascii="Arial" w:hAnsi="Arial" w:cs="Arial"/>
        </w:rPr>
        <w:t>Evidence from the OECD Nuclear Energy Agency (2023) and International Atomic Energy Agency (2024) identifies trust in regulators as one of the strongest predictors of public acceptance of nuclear energy.</w:t>
      </w:r>
    </w:p>
    <w:p w14:paraId="149EA61A" w14:textId="77777777" w:rsidR="00FE1968" w:rsidRPr="00D63BFB" w:rsidRDefault="00FE1968" w:rsidP="000123A6">
      <w:pPr>
        <w:spacing w:after="160" w:line="278" w:lineRule="auto"/>
        <w:jc w:val="both"/>
        <w:rPr>
          <w:rFonts w:ascii="Arial" w:hAnsi="Arial" w:cs="Arial"/>
        </w:rPr>
      </w:pPr>
      <w:r w:rsidRPr="00D63BFB">
        <w:rPr>
          <w:rFonts w:ascii="Arial" w:hAnsi="Arial" w:cs="Arial"/>
        </w:rPr>
        <w:t>Where institutional trust is weak:</w:t>
      </w:r>
    </w:p>
    <w:p w14:paraId="2556E5E0" w14:textId="77777777" w:rsidR="00FE1968" w:rsidRPr="00D63BFB" w:rsidRDefault="00FE1968" w:rsidP="00525C33">
      <w:pPr>
        <w:numPr>
          <w:ilvl w:val="0"/>
          <w:numId w:val="8"/>
        </w:numPr>
        <w:spacing w:after="0" w:line="278" w:lineRule="auto"/>
        <w:jc w:val="both"/>
        <w:rPr>
          <w:rFonts w:ascii="Arial" w:hAnsi="Arial" w:cs="Arial"/>
        </w:rPr>
      </w:pPr>
      <w:r w:rsidRPr="00D63BFB">
        <w:rPr>
          <w:rFonts w:ascii="Arial" w:hAnsi="Arial" w:cs="Arial"/>
        </w:rPr>
        <w:t>Political support declines.</w:t>
      </w:r>
    </w:p>
    <w:p w14:paraId="11BD7F38" w14:textId="77777777" w:rsidR="00FE1968" w:rsidRPr="00D63BFB" w:rsidRDefault="00FE1968" w:rsidP="00525C33">
      <w:pPr>
        <w:numPr>
          <w:ilvl w:val="0"/>
          <w:numId w:val="8"/>
        </w:numPr>
        <w:spacing w:after="0" w:line="278" w:lineRule="auto"/>
        <w:jc w:val="both"/>
        <w:rPr>
          <w:rFonts w:ascii="Arial" w:hAnsi="Arial" w:cs="Arial"/>
        </w:rPr>
      </w:pPr>
      <w:r w:rsidRPr="00D63BFB">
        <w:rPr>
          <w:rFonts w:ascii="Arial" w:hAnsi="Arial" w:cs="Arial"/>
        </w:rPr>
        <w:t>Planning approvals become more challenging.</w:t>
      </w:r>
    </w:p>
    <w:p w14:paraId="2DC64DB4" w14:textId="77777777" w:rsidR="00FE1968" w:rsidRPr="00D63BFB" w:rsidRDefault="00FE1968" w:rsidP="00525C33">
      <w:pPr>
        <w:numPr>
          <w:ilvl w:val="0"/>
          <w:numId w:val="8"/>
        </w:numPr>
        <w:spacing w:after="0" w:line="278" w:lineRule="auto"/>
        <w:jc w:val="both"/>
        <w:rPr>
          <w:rFonts w:ascii="Arial" w:hAnsi="Arial" w:cs="Arial"/>
        </w:rPr>
      </w:pPr>
      <w:r w:rsidRPr="00D63BFB">
        <w:rPr>
          <w:rFonts w:ascii="Arial" w:hAnsi="Arial" w:cs="Arial"/>
        </w:rPr>
        <w:t>Financing risks increase.</w:t>
      </w:r>
    </w:p>
    <w:p w14:paraId="2B9FBB5F" w14:textId="77777777" w:rsidR="00FE1968" w:rsidRPr="00D63BFB" w:rsidRDefault="00FE1968">
      <w:pPr>
        <w:numPr>
          <w:ilvl w:val="0"/>
          <w:numId w:val="8"/>
        </w:numPr>
        <w:spacing w:after="160" w:line="278" w:lineRule="auto"/>
        <w:jc w:val="both"/>
        <w:rPr>
          <w:rFonts w:ascii="Arial" w:hAnsi="Arial" w:cs="Arial"/>
        </w:rPr>
      </w:pPr>
      <w:r w:rsidRPr="00D63BFB">
        <w:rPr>
          <w:rFonts w:ascii="Arial" w:hAnsi="Arial" w:cs="Arial"/>
        </w:rPr>
        <w:t>Project delivery slows.</w:t>
      </w:r>
    </w:p>
    <w:p w14:paraId="3BE916FB" w14:textId="77777777" w:rsidR="00B82998" w:rsidRPr="00D63BFB" w:rsidRDefault="00B82998" w:rsidP="000123A6">
      <w:pPr>
        <w:spacing w:after="160" w:line="278" w:lineRule="auto"/>
        <w:jc w:val="both"/>
        <w:rPr>
          <w:rFonts w:ascii="Arial" w:hAnsi="Arial" w:cs="Arial"/>
        </w:rPr>
      </w:pPr>
    </w:p>
    <w:p w14:paraId="3A68D321" w14:textId="20210541" w:rsidR="00FE1968" w:rsidRPr="00D63BFB" w:rsidRDefault="00711419" w:rsidP="000123A6">
      <w:pPr>
        <w:spacing w:after="160" w:line="278" w:lineRule="auto"/>
        <w:jc w:val="both"/>
        <w:rPr>
          <w:rFonts w:ascii="Arial" w:hAnsi="Arial" w:cs="Arial"/>
        </w:rPr>
      </w:pPr>
      <w:r w:rsidRPr="00D63BFB">
        <w:rPr>
          <w:rFonts w:ascii="Arial" w:hAnsi="Arial" w:cs="Arial"/>
        </w:rPr>
        <w:t>Institutional trust emerged as a key governance theme. OECD (2022) argues that trust influences public willingness to support long-term infrastructure investment and accept associated risks</w:t>
      </w:r>
      <w:r w:rsidR="00B82998" w:rsidRPr="00D63BFB">
        <w:rPr>
          <w:rFonts w:ascii="Arial" w:hAnsi="Arial" w:cs="Arial"/>
        </w:rPr>
        <w:t xml:space="preserve">. Within the SMR sector, trust functions as governance capital that supports stakeholder legitimacy, political support and project delivery. Consequently, public confidence should be regarded as a strategic governance asset. </w:t>
      </w:r>
      <w:r w:rsidR="00FE1968" w:rsidRPr="00D63BFB">
        <w:rPr>
          <w:rFonts w:ascii="Arial" w:hAnsi="Arial" w:cs="Arial"/>
        </w:rPr>
        <w:t>Strong governance contributes directly to SDG 16 by promoting transparency, accountability and institutional legitimacy.</w:t>
      </w:r>
    </w:p>
    <w:p w14:paraId="7803DFC1" w14:textId="77777777" w:rsidR="00C213EA" w:rsidRPr="00D63BFB" w:rsidRDefault="00C213EA" w:rsidP="000123A6">
      <w:pPr>
        <w:spacing w:after="160" w:line="278" w:lineRule="auto"/>
        <w:jc w:val="both"/>
        <w:rPr>
          <w:rFonts w:ascii="Arial" w:hAnsi="Arial" w:cs="Arial"/>
        </w:rPr>
      </w:pPr>
    </w:p>
    <w:p w14:paraId="62787DD7" w14:textId="6A96D674" w:rsidR="00FE1968" w:rsidRPr="00D63BFB" w:rsidRDefault="00FE1968" w:rsidP="000123A6">
      <w:pPr>
        <w:spacing w:after="160" w:line="278" w:lineRule="auto"/>
        <w:jc w:val="both"/>
        <w:rPr>
          <w:rFonts w:ascii="Arial" w:hAnsi="Arial" w:cs="Arial"/>
          <w:b/>
          <w:bCs/>
        </w:rPr>
      </w:pPr>
      <w:r w:rsidRPr="00D63BFB">
        <w:rPr>
          <w:rFonts w:ascii="Arial" w:hAnsi="Arial" w:cs="Arial"/>
          <w:b/>
          <w:bCs/>
        </w:rPr>
        <w:t xml:space="preserve">Theme 5: </w:t>
      </w:r>
      <w:r w:rsidR="00FA39B8" w:rsidRPr="00D63BFB">
        <w:rPr>
          <w:rFonts w:ascii="Arial" w:hAnsi="Arial" w:cs="Arial"/>
          <w:b/>
          <w:bCs/>
        </w:rPr>
        <w:t>Long-Term Stewardship and Organisational Capability</w:t>
      </w:r>
    </w:p>
    <w:p w14:paraId="530897CD" w14:textId="77777777" w:rsidR="0078222E" w:rsidRPr="00D63BFB" w:rsidRDefault="0078222E" w:rsidP="0078222E">
      <w:pPr>
        <w:spacing w:after="160" w:line="278" w:lineRule="auto"/>
        <w:jc w:val="both"/>
        <w:rPr>
          <w:rFonts w:ascii="Arial" w:hAnsi="Arial" w:cs="Arial"/>
        </w:rPr>
      </w:pPr>
      <w:r w:rsidRPr="00D63BFB">
        <w:rPr>
          <w:rFonts w:ascii="Arial" w:hAnsi="Arial" w:cs="Arial"/>
        </w:rPr>
        <w:t>Workforce capability emerged as an important governance dependency within the SMR sector. Ageing workforces, increasing competition for specialist skills and the long-term nature of nuclear infrastructure projects present challenges for future deployment (IAEA, 2024; OECD-NEA, 2023). Consequently, workforce capability represents a board-level stewardship issue requiring succession planning, knowledge retention and long-term capability development. Skills shortages may delay projects, increase costs and weaken safety oversight, undermining both SDG 7 and SDG 16. Effective governance therefore requires boards to consider workforce resilience as a strategic organisational asset.</w:t>
      </w:r>
    </w:p>
    <w:p w14:paraId="5E0A2121" w14:textId="77777777" w:rsidR="00FE1968" w:rsidRPr="00D63BFB" w:rsidRDefault="00FE1968" w:rsidP="000123A6">
      <w:pPr>
        <w:spacing w:after="160" w:line="278" w:lineRule="auto"/>
        <w:jc w:val="both"/>
        <w:rPr>
          <w:rFonts w:ascii="Arial" w:hAnsi="Arial" w:cs="Arial"/>
        </w:rPr>
      </w:pPr>
    </w:p>
    <w:p w14:paraId="6E751D84" w14:textId="77777777" w:rsidR="00EB219C" w:rsidRPr="00D63BFB" w:rsidRDefault="00FE1968" w:rsidP="00EB219C">
      <w:pPr>
        <w:spacing w:after="160" w:line="278" w:lineRule="auto"/>
        <w:jc w:val="both"/>
        <w:rPr>
          <w:rFonts w:ascii="Arial" w:hAnsi="Arial" w:cs="Arial"/>
          <w:b/>
          <w:bCs/>
        </w:rPr>
      </w:pPr>
      <w:r w:rsidRPr="00D63BFB">
        <w:rPr>
          <w:rFonts w:ascii="Arial" w:hAnsi="Arial" w:cs="Arial"/>
          <w:b/>
          <w:bCs/>
        </w:rPr>
        <w:t xml:space="preserve">Theme 6: </w:t>
      </w:r>
      <w:r w:rsidR="00EB219C" w:rsidRPr="00D63BFB">
        <w:rPr>
          <w:rFonts w:ascii="Arial" w:hAnsi="Arial" w:cs="Arial"/>
          <w:b/>
          <w:bCs/>
        </w:rPr>
        <w:t>Corporate Accountability, Regulatory Compliance and Board Responsibility</w:t>
      </w:r>
    </w:p>
    <w:p w14:paraId="177EBBCB" w14:textId="42E00558" w:rsidR="00B36700" w:rsidRPr="00D63BFB" w:rsidRDefault="00B36700" w:rsidP="00EB219C">
      <w:pPr>
        <w:spacing w:after="160" w:line="278" w:lineRule="auto"/>
        <w:jc w:val="both"/>
        <w:rPr>
          <w:rFonts w:ascii="Arial" w:hAnsi="Arial" w:cs="Arial"/>
        </w:rPr>
      </w:pPr>
      <w:r w:rsidRPr="00D63BFB">
        <w:rPr>
          <w:rFonts w:ascii="Arial" w:hAnsi="Arial" w:cs="Arial"/>
        </w:rPr>
        <w:t>Evidence from the UK Office for Nuclear Regulation indicates sustained regulatory engagement across the nuclear sector, reflecting a proactive approach to oversight, assurance and safety governance.</w:t>
      </w:r>
    </w:p>
    <w:p w14:paraId="4148CE0A" w14:textId="77777777" w:rsidR="00FE1968" w:rsidRPr="00D63BFB" w:rsidRDefault="00FE1968" w:rsidP="00EB219C">
      <w:pPr>
        <w:spacing w:after="160" w:line="278" w:lineRule="auto"/>
        <w:jc w:val="both"/>
        <w:rPr>
          <w:rFonts w:ascii="Arial" w:hAnsi="Arial" w:cs="Arial"/>
        </w:rPr>
      </w:pPr>
      <w:r w:rsidRPr="00D63BFB">
        <w:rPr>
          <w:rFonts w:ascii="Arial" w:hAnsi="Arial" w:cs="Arial"/>
        </w:rPr>
        <w:t>Supporting evidence is provided by the World Bank Worldwide Governance Indicators, where the United Kingdom maintains strong performance in areas including:</w:t>
      </w:r>
    </w:p>
    <w:p w14:paraId="21151D1E" w14:textId="77777777" w:rsidR="00FE1968" w:rsidRPr="00D63BFB" w:rsidRDefault="00FE1968" w:rsidP="00D63BFB">
      <w:pPr>
        <w:numPr>
          <w:ilvl w:val="0"/>
          <w:numId w:val="9"/>
        </w:numPr>
        <w:spacing w:after="0" w:line="278" w:lineRule="auto"/>
        <w:jc w:val="both"/>
        <w:rPr>
          <w:rFonts w:ascii="Arial" w:hAnsi="Arial" w:cs="Arial"/>
        </w:rPr>
      </w:pPr>
      <w:r w:rsidRPr="00D63BFB">
        <w:rPr>
          <w:rFonts w:ascii="Arial" w:hAnsi="Arial" w:cs="Arial"/>
        </w:rPr>
        <w:t>Rule of Law.</w:t>
      </w:r>
    </w:p>
    <w:p w14:paraId="420AC650" w14:textId="77777777" w:rsidR="00FE1968" w:rsidRPr="00D63BFB" w:rsidRDefault="00FE1968" w:rsidP="00D63BFB">
      <w:pPr>
        <w:numPr>
          <w:ilvl w:val="0"/>
          <w:numId w:val="9"/>
        </w:numPr>
        <w:spacing w:after="0" w:line="278" w:lineRule="auto"/>
        <w:jc w:val="both"/>
        <w:rPr>
          <w:rFonts w:ascii="Arial" w:hAnsi="Arial" w:cs="Arial"/>
        </w:rPr>
      </w:pPr>
      <w:r w:rsidRPr="00D63BFB">
        <w:rPr>
          <w:rFonts w:ascii="Arial" w:hAnsi="Arial" w:cs="Arial"/>
        </w:rPr>
        <w:t>Regulatory Quality.</w:t>
      </w:r>
    </w:p>
    <w:p w14:paraId="3266D0AB" w14:textId="77777777" w:rsidR="00FE1968" w:rsidRPr="00D63BFB" w:rsidRDefault="00FE1968" w:rsidP="00D63BFB">
      <w:pPr>
        <w:numPr>
          <w:ilvl w:val="0"/>
          <w:numId w:val="9"/>
        </w:numPr>
        <w:spacing w:after="0" w:line="278" w:lineRule="auto"/>
        <w:jc w:val="both"/>
        <w:rPr>
          <w:rFonts w:ascii="Arial" w:hAnsi="Arial" w:cs="Arial"/>
        </w:rPr>
      </w:pPr>
      <w:r w:rsidRPr="00D63BFB">
        <w:rPr>
          <w:rFonts w:ascii="Arial" w:hAnsi="Arial" w:cs="Arial"/>
        </w:rPr>
        <w:t>Government Effectiveness.</w:t>
      </w:r>
    </w:p>
    <w:p w14:paraId="2D5FEF4A" w14:textId="77777777" w:rsidR="00FE1968" w:rsidRPr="00D63BFB" w:rsidRDefault="00FE1968">
      <w:pPr>
        <w:numPr>
          <w:ilvl w:val="0"/>
          <w:numId w:val="9"/>
        </w:numPr>
        <w:spacing w:after="160" w:line="278" w:lineRule="auto"/>
        <w:jc w:val="both"/>
        <w:rPr>
          <w:rFonts w:ascii="Arial" w:hAnsi="Arial" w:cs="Arial"/>
        </w:rPr>
      </w:pPr>
      <w:r w:rsidRPr="00D63BFB">
        <w:rPr>
          <w:rFonts w:ascii="Arial" w:hAnsi="Arial" w:cs="Arial"/>
        </w:rPr>
        <w:t>Control of Corruption.</w:t>
      </w:r>
    </w:p>
    <w:p w14:paraId="546BA214" w14:textId="77777777" w:rsidR="00FE1968" w:rsidRPr="00D63BFB" w:rsidRDefault="00FE1968" w:rsidP="000123A6">
      <w:pPr>
        <w:spacing w:after="160" w:line="278" w:lineRule="auto"/>
        <w:jc w:val="both"/>
        <w:rPr>
          <w:rFonts w:ascii="Arial" w:hAnsi="Arial" w:cs="Arial"/>
        </w:rPr>
      </w:pPr>
      <w:r w:rsidRPr="00D63BFB">
        <w:rPr>
          <w:rFonts w:ascii="Arial" w:hAnsi="Arial" w:cs="Arial"/>
        </w:rPr>
        <w:t>These findings indicate a positive relationship between mature governance systems and SDG 16 outcomes. Effective regulatory governance strengthens accountability, promotes transparency and reinforces institutional legitimacy.</w:t>
      </w:r>
    </w:p>
    <w:p w14:paraId="4035BBF2" w14:textId="77777777" w:rsidR="00FE1968" w:rsidRPr="00D63BFB" w:rsidRDefault="00FE1968" w:rsidP="000123A6">
      <w:pPr>
        <w:spacing w:after="160" w:line="278" w:lineRule="auto"/>
        <w:jc w:val="both"/>
        <w:rPr>
          <w:rFonts w:ascii="Arial" w:hAnsi="Arial" w:cs="Arial"/>
        </w:rPr>
      </w:pPr>
      <w:r w:rsidRPr="00D63BFB">
        <w:rPr>
          <w:rFonts w:ascii="Arial" w:hAnsi="Arial" w:cs="Arial"/>
        </w:rPr>
        <w:t>However, the findings also reveal a governance paradox. Whilst rigorous regulation enhances accountability and public confidence, excessive regulatory complexity may increase costs and extend project timelines. Effective governance therefore requires balancing oversight with delivery efficiency.</w:t>
      </w:r>
    </w:p>
    <w:p w14:paraId="7B592A13" w14:textId="77777777" w:rsidR="001B031D" w:rsidRPr="00D63BFB" w:rsidRDefault="001B031D" w:rsidP="000123A6">
      <w:pPr>
        <w:spacing w:after="160" w:line="278" w:lineRule="auto"/>
        <w:jc w:val="both"/>
        <w:rPr>
          <w:rFonts w:ascii="Arial" w:hAnsi="Arial" w:cs="Arial"/>
        </w:rPr>
      </w:pPr>
      <w:r w:rsidRPr="00D63BFB">
        <w:rPr>
          <w:rFonts w:ascii="Arial" w:hAnsi="Arial" w:cs="Arial"/>
        </w:rPr>
        <w:t>Long-term radioactive waste management represents one of the most significant governance challenges facing the nuclear industry. Whilst technological approaches to waste storage continue to develop, governance arrangements are required to maintain accountability across timescales extending far beyond normal corporate planning horizons. The challenge is particularly relevant to SDG 16 because institutional legitimacy depends upon public confidence that future generations will not inherit unmanaged environmental risks. Consequently, effective waste governance should be viewed as a core component of sustainable SMR deployment rather than a downstream operational issue.</w:t>
      </w:r>
    </w:p>
    <w:p w14:paraId="6196BD71" w14:textId="77777777" w:rsidR="001B031D" w:rsidRPr="00D63BFB" w:rsidRDefault="001B031D" w:rsidP="000123A6">
      <w:pPr>
        <w:spacing w:after="160" w:line="278" w:lineRule="auto"/>
        <w:jc w:val="both"/>
        <w:rPr>
          <w:rFonts w:ascii="Arial" w:hAnsi="Arial" w:cs="Arial"/>
        </w:rPr>
      </w:pPr>
    </w:p>
    <w:p w14:paraId="58A87BA0" w14:textId="77777777" w:rsidR="00552F32" w:rsidRPr="00D63BFB" w:rsidRDefault="00552F32" w:rsidP="00552F32">
      <w:pPr>
        <w:spacing w:after="160" w:line="278" w:lineRule="auto"/>
        <w:jc w:val="both"/>
        <w:rPr>
          <w:rFonts w:ascii="Arial" w:hAnsi="Arial" w:cs="Arial"/>
          <w:b/>
          <w:bCs/>
        </w:rPr>
      </w:pPr>
      <w:r w:rsidRPr="00D63BFB">
        <w:rPr>
          <w:rFonts w:ascii="Arial" w:hAnsi="Arial" w:cs="Arial"/>
          <w:b/>
          <w:bCs/>
        </w:rPr>
        <w:t>Theme 7: Corporate Governance Practices within SMR Developers</w:t>
      </w:r>
    </w:p>
    <w:p w14:paraId="529B8789" w14:textId="0F730993" w:rsidR="00552F32" w:rsidRPr="00D63BFB" w:rsidRDefault="001F4AE4" w:rsidP="00552F32">
      <w:pPr>
        <w:spacing w:after="160" w:line="278" w:lineRule="auto"/>
        <w:jc w:val="both"/>
        <w:rPr>
          <w:rFonts w:ascii="Arial" w:hAnsi="Arial" w:cs="Arial"/>
        </w:rPr>
      </w:pPr>
      <w:r w:rsidRPr="00D63BFB">
        <w:rPr>
          <w:rFonts w:ascii="Arial" w:hAnsi="Arial" w:cs="Arial"/>
        </w:rPr>
        <w:t>As SMR technologies move towards commercialisation, governance arrangements are increasingly expected to support safety, sustainability, stakeholder confidence and long-term accountability alongside commercial performance</w:t>
      </w:r>
      <w:r w:rsidR="00552F32" w:rsidRPr="00D63BFB">
        <w:rPr>
          <w:rFonts w:ascii="Arial" w:hAnsi="Arial" w:cs="Arial"/>
        </w:rPr>
        <w:t>. Contemporary governance frameworks emphasise that boards should provide effective leadership, robust oversight and clear accountability for organisational performance and long-term value creation (FRC, 2024; OECD, 2023).</w:t>
      </w:r>
    </w:p>
    <w:p w14:paraId="562ED738" w14:textId="2B0A2827" w:rsidR="007C456C" w:rsidRPr="00D63BFB" w:rsidRDefault="007C456C" w:rsidP="00552F32">
      <w:pPr>
        <w:spacing w:after="160" w:line="278" w:lineRule="auto"/>
        <w:jc w:val="both"/>
        <w:rPr>
          <w:rFonts w:ascii="Arial" w:hAnsi="Arial" w:cs="Arial"/>
        </w:rPr>
      </w:pPr>
      <w:r w:rsidRPr="00D63BFB">
        <w:rPr>
          <w:rFonts w:ascii="Arial" w:hAnsi="Arial" w:cs="Arial"/>
        </w:rPr>
        <w:t>Evidence also suggests that board effectiveness is an important determinant of sustainability performance. Boards possessing expertise in sustainability, risk management and stakeholder engagement are more likely to achieve positive governance and ESG outcomes (</w:t>
      </w:r>
      <w:proofErr w:type="spellStart"/>
      <w:r w:rsidRPr="00D63BFB">
        <w:rPr>
          <w:rFonts w:ascii="Arial" w:hAnsi="Arial" w:cs="Arial"/>
        </w:rPr>
        <w:t>Velte</w:t>
      </w:r>
      <w:proofErr w:type="spellEnd"/>
      <w:r w:rsidRPr="00D63BFB">
        <w:rPr>
          <w:rFonts w:ascii="Arial" w:hAnsi="Arial" w:cs="Arial"/>
        </w:rPr>
        <w:t>, 2023). Within the SMR sector, board effectiveness supports both SDG 7 and SDG 16 through improved strategic oversight, accountability and stakeholder trust.</w:t>
      </w:r>
    </w:p>
    <w:p w14:paraId="33AB6784" w14:textId="77777777" w:rsidR="00552F32" w:rsidRPr="00D63BFB" w:rsidRDefault="00552F32" w:rsidP="00552F32">
      <w:pPr>
        <w:spacing w:after="160" w:line="278" w:lineRule="auto"/>
        <w:jc w:val="both"/>
        <w:rPr>
          <w:rFonts w:ascii="Arial" w:hAnsi="Arial" w:cs="Arial"/>
          <w:b/>
          <w:bCs/>
        </w:rPr>
      </w:pPr>
      <w:r w:rsidRPr="00D63BFB">
        <w:rPr>
          <w:rFonts w:ascii="Arial" w:hAnsi="Arial" w:cs="Arial"/>
          <w:b/>
          <w:bCs/>
        </w:rPr>
        <w:t>Board Oversight of Safety and Strategic Risk</w:t>
      </w:r>
    </w:p>
    <w:p w14:paraId="623593EA" w14:textId="77777777" w:rsidR="002F74C7" w:rsidRPr="00D63BFB" w:rsidRDefault="002F74C7" w:rsidP="00552F32">
      <w:pPr>
        <w:spacing w:after="160" w:line="278" w:lineRule="auto"/>
        <w:jc w:val="both"/>
        <w:rPr>
          <w:rFonts w:ascii="Arial" w:hAnsi="Arial" w:cs="Arial"/>
        </w:rPr>
      </w:pPr>
      <w:r w:rsidRPr="00D63BFB">
        <w:rPr>
          <w:rFonts w:ascii="Arial" w:hAnsi="Arial" w:cs="Arial"/>
        </w:rPr>
        <w:t>Within the nuclear industry, board responsibilities extend beyond financial oversight to encompass safety culture, regulatory compliance and strategic risk management (OECD, 2023; FRC, 2024). For SMR developers, effective board oversight of safety and risk is essential for securing regulatory approval, maintaining public confidence and supporting reliable low-carbon energy delivery.</w:t>
      </w:r>
    </w:p>
    <w:p w14:paraId="39AEECDC" w14:textId="52F6D426" w:rsidR="00552F32" w:rsidRPr="00D63BFB" w:rsidRDefault="00552F32" w:rsidP="00552F32">
      <w:pPr>
        <w:spacing w:after="160" w:line="278" w:lineRule="auto"/>
        <w:jc w:val="both"/>
        <w:rPr>
          <w:rFonts w:ascii="Arial" w:hAnsi="Arial" w:cs="Arial"/>
          <w:b/>
          <w:bCs/>
        </w:rPr>
      </w:pPr>
      <w:r w:rsidRPr="00D63BFB">
        <w:rPr>
          <w:rFonts w:ascii="Arial" w:hAnsi="Arial" w:cs="Arial"/>
          <w:b/>
          <w:bCs/>
        </w:rPr>
        <w:t>Risk Management and Assurance Structures</w:t>
      </w:r>
    </w:p>
    <w:p w14:paraId="06C188F8" w14:textId="77777777" w:rsidR="00552F32" w:rsidRPr="00D63BFB" w:rsidRDefault="00552F32" w:rsidP="00552F32">
      <w:pPr>
        <w:spacing w:after="160" w:line="278" w:lineRule="auto"/>
        <w:jc w:val="both"/>
        <w:rPr>
          <w:rFonts w:ascii="Arial" w:hAnsi="Arial" w:cs="Arial"/>
        </w:rPr>
      </w:pPr>
      <w:r w:rsidRPr="00D63BFB">
        <w:rPr>
          <w:rFonts w:ascii="Arial" w:hAnsi="Arial" w:cs="Arial"/>
        </w:rPr>
        <w:t>The development of SMRs involves substantial technical, financial, regulatory and reputational risks. Consequently, effective governance requires organisations to establish comprehensive risk management frameworks, assurance processes and independent challenge mechanisms. Governance research has consistently highlighted the importance of risk oversight in improving organisational resilience and reducing the likelihood of strategic failure (FRC, 2024; OECD, 2023).</w:t>
      </w:r>
    </w:p>
    <w:p w14:paraId="49B04BCA" w14:textId="77777777" w:rsidR="00552F32" w:rsidRPr="00D63BFB" w:rsidRDefault="00552F32" w:rsidP="00552F32">
      <w:pPr>
        <w:spacing w:after="160" w:line="278" w:lineRule="auto"/>
        <w:jc w:val="both"/>
        <w:rPr>
          <w:rFonts w:ascii="Arial" w:hAnsi="Arial" w:cs="Arial"/>
        </w:rPr>
      </w:pPr>
      <w:r w:rsidRPr="00D63BFB">
        <w:rPr>
          <w:rFonts w:ascii="Arial" w:hAnsi="Arial" w:cs="Arial"/>
        </w:rPr>
        <w:t>Evidence from major infrastructure projects suggests that weaknesses in project governance, risk assessment and oversight can contribute to cost escalation, schedule delays and reduced stakeholder confidence (</w:t>
      </w:r>
      <w:proofErr w:type="spellStart"/>
      <w:r w:rsidRPr="00D63BFB">
        <w:rPr>
          <w:rFonts w:ascii="Arial" w:hAnsi="Arial" w:cs="Arial"/>
        </w:rPr>
        <w:t>Flyvbjerg</w:t>
      </w:r>
      <w:proofErr w:type="spellEnd"/>
      <w:r w:rsidRPr="00D63BFB">
        <w:rPr>
          <w:rFonts w:ascii="Arial" w:hAnsi="Arial" w:cs="Arial"/>
        </w:rPr>
        <w:t xml:space="preserve"> and Gardner, 2023). Within the context of SMR deployment, governance mechanisms that provide effective challenge to management assumptions and improve transparency may contribute to stronger project delivery outcomes, thereby supporting the affordability and reliability objectives associated with SDG 7.</w:t>
      </w:r>
    </w:p>
    <w:p w14:paraId="0B5858FB" w14:textId="77777777" w:rsidR="00552F32" w:rsidRPr="00D63BFB" w:rsidRDefault="00552F32" w:rsidP="00552F32">
      <w:pPr>
        <w:spacing w:after="160" w:line="278" w:lineRule="auto"/>
        <w:jc w:val="both"/>
        <w:rPr>
          <w:rFonts w:ascii="Arial" w:hAnsi="Arial" w:cs="Arial"/>
          <w:b/>
          <w:bCs/>
        </w:rPr>
      </w:pPr>
      <w:r w:rsidRPr="00D63BFB">
        <w:rPr>
          <w:rFonts w:ascii="Arial" w:hAnsi="Arial" w:cs="Arial"/>
          <w:b/>
          <w:bCs/>
        </w:rPr>
        <w:t>Sustainability and ESG Governance</w:t>
      </w:r>
    </w:p>
    <w:p w14:paraId="1A1C1C87" w14:textId="77777777" w:rsidR="00D54A1C" w:rsidRPr="00D63BFB" w:rsidRDefault="00D54A1C" w:rsidP="00D54A1C">
      <w:pPr>
        <w:spacing w:after="160" w:line="278" w:lineRule="auto"/>
        <w:jc w:val="both"/>
        <w:rPr>
          <w:rFonts w:ascii="Arial" w:hAnsi="Arial" w:cs="Arial"/>
        </w:rPr>
      </w:pPr>
      <w:r w:rsidRPr="00D63BFB">
        <w:rPr>
          <w:rFonts w:ascii="Arial" w:hAnsi="Arial" w:cs="Arial"/>
        </w:rPr>
        <w:t>ESG governance integrates environmental and social considerations into strategic decision-making through board oversight and sustainability reporting mechanisms. Within the SMR sector, this supports the incorporation of decarbonisation objectives, environmental stewardship and social responsibility into organisational strategy. Research suggests that stronger ESG governance is associated with improved sustainability performance and long-term value creation (</w:t>
      </w:r>
      <w:proofErr w:type="spellStart"/>
      <w:r w:rsidRPr="00D63BFB">
        <w:rPr>
          <w:rFonts w:ascii="Arial" w:hAnsi="Arial" w:cs="Arial"/>
        </w:rPr>
        <w:t>Velte</w:t>
      </w:r>
      <w:proofErr w:type="spellEnd"/>
      <w:r w:rsidRPr="00D63BFB">
        <w:rPr>
          <w:rFonts w:ascii="Arial" w:hAnsi="Arial" w:cs="Arial"/>
        </w:rPr>
        <w:t xml:space="preserve">, 2023; </w:t>
      </w:r>
      <w:proofErr w:type="spellStart"/>
      <w:r w:rsidRPr="00D63BFB">
        <w:rPr>
          <w:rFonts w:ascii="Arial" w:hAnsi="Arial" w:cs="Arial"/>
        </w:rPr>
        <w:t>Friede</w:t>
      </w:r>
      <w:proofErr w:type="spellEnd"/>
      <w:r w:rsidRPr="00D63BFB">
        <w:rPr>
          <w:rFonts w:ascii="Arial" w:hAnsi="Arial" w:cs="Arial"/>
        </w:rPr>
        <w:t xml:space="preserve">, Busch and </w:t>
      </w:r>
      <w:proofErr w:type="spellStart"/>
      <w:r w:rsidRPr="00D63BFB">
        <w:rPr>
          <w:rFonts w:ascii="Arial" w:hAnsi="Arial" w:cs="Arial"/>
        </w:rPr>
        <w:t>Bassen</w:t>
      </w:r>
      <w:proofErr w:type="spellEnd"/>
      <w:r w:rsidRPr="00D63BFB">
        <w:rPr>
          <w:rFonts w:ascii="Arial" w:hAnsi="Arial" w:cs="Arial"/>
        </w:rPr>
        <w:t>, 2015), supporting alignment between organisational objectives and broader sustainable development goals.</w:t>
      </w:r>
    </w:p>
    <w:p w14:paraId="06A0AC86" w14:textId="77777777" w:rsidR="00552F32" w:rsidRPr="00D63BFB" w:rsidRDefault="00552F32" w:rsidP="00552F32">
      <w:pPr>
        <w:spacing w:after="160" w:line="278" w:lineRule="auto"/>
        <w:jc w:val="both"/>
        <w:rPr>
          <w:rFonts w:ascii="Arial" w:hAnsi="Arial" w:cs="Arial"/>
          <w:b/>
          <w:bCs/>
        </w:rPr>
      </w:pPr>
      <w:r w:rsidRPr="00D63BFB">
        <w:rPr>
          <w:rFonts w:ascii="Arial" w:hAnsi="Arial" w:cs="Arial"/>
          <w:b/>
          <w:bCs/>
        </w:rPr>
        <w:t>Stakeholder Reporting and Transparency</w:t>
      </w:r>
    </w:p>
    <w:p w14:paraId="5D074667" w14:textId="27E49D68" w:rsidR="00552F32" w:rsidRPr="00D63BFB" w:rsidRDefault="00B16385" w:rsidP="00552F32">
      <w:pPr>
        <w:spacing w:after="160" w:line="278" w:lineRule="auto"/>
        <w:jc w:val="both"/>
        <w:rPr>
          <w:rFonts w:ascii="Arial" w:hAnsi="Arial" w:cs="Arial"/>
        </w:rPr>
      </w:pPr>
      <w:r w:rsidRPr="00D63BFB">
        <w:rPr>
          <w:rFonts w:ascii="Arial" w:hAnsi="Arial" w:cs="Arial"/>
        </w:rPr>
        <w:t xml:space="preserve">Within high-risk industries such as nuclear energy, transparency and stakeholder engagement are essential for maintaining legitimacy and public confidence. </w:t>
      </w:r>
      <w:r w:rsidR="00FE6AAC" w:rsidRPr="00D63BFB">
        <w:rPr>
          <w:rFonts w:ascii="Arial" w:hAnsi="Arial" w:cs="Arial"/>
        </w:rPr>
        <w:t>Stakeholder reporting provides a mechanism through which organisations demonstrate accountability, communicate performance and maintain stakeholder confidence.</w:t>
      </w:r>
    </w:p>
    <w:p w14:paraId="7B24C052" w14:textId="77777777" w:rsidR="00552F32" w:rsidRPr="00D63BFB" w:rsidRDefault="00552F32" w:rsidP="00552F32">
      <w:pPr>
        <w:spacing w:after="160" w:line="278" w:lineRule="auto"/>
        <w:jc w:val="both"/>
        <w:rPr>
          <w:rFonts w:ascii="Arial" w:hAnsi="Arial" w:cs="Arial"/>
        </w:rPr>
      </w:pPr>
      <w:r w:rsidRPr="00D63BFB">
        <w:rPr>
          <w:rFonts w:ascii="Arial" w:hAnsi="Arial" w:cs="Arial"/>
        </w:rPr>
        <w:t>Stakeholder Theory argues that organisations create value for a broad range of stakeholders rather than shareholders alone (Freeman, 1984), whilst Legitimacy Theory suggests that organisations require continuing societal acceptance to maintain support and access to resources (</w:t>
      </w:r>
      <w:proofErr w:type="spellStart"/>
      <w:r w:rsidRPr="00D63BFB">
        <w:rPr>
          <w:rFonts w:ascii="Arial" w:hAnsi="Arial" w:cs="Arial"/>
        </w:rPr>
        <w:t>Suchman</w:t>
      </w:r>
      <w:proofErr w:type="spellEnd"/>
      <w:r w:rsidRPr="00D63BFB">
        <w:rPr>
          <w:rFonts w:ascii="Arial" w:hAnsi="Arial" w:cs="Arial"/>
        </w:rPr>
        <w:t>, 1995). Within the nuclear sector, stakeholder engagement has been identified as an essential component of effective governance because it strengthens public confidence, improves communication and supports trust in decision-making processes (IAEA, 2021). Effective stakeholder reporting can therefore enhance organisational legitimacy and contribute positively to SDG 16 through greater accountability and transparency.</w:t>
      </w:r>
    </w:p>
    <w:p w14:paraId="4BF30100" w14:textId="77777777" w:rsidR="00552F32" w:rsidRPr="00D63BFB" w:rsidRDefault="00552F32" w:rsidP="00552F32">
      <w:pPr>
        <w:spacing w:after="160" w:line="278" w:lineRule="auto"/>
        <w:jc w:val="both"/>
        <w:rPr>
          <w:rFonts w:ascii="Arial" w:hAnsi="Arial" w:cs="Arial"/>
          <w:b/>
          <w:bCs/>
        </w:rPr>
      </w:pPr>
      <w:r w:rsidRPr="00D63BFB">
        <w:rPr>
          <w:rFonts w:ascii="Arial" w:hAnsi="Arial" w:cs="Arial"/>
          <w:b/>
          <w:bCs/>
        </w:rPr>
        <w:t>Long-Term Stewardship Responsibilities</w:t>
      </w:r>
    </w:p>
    <w:p w14:paraId="447A368A" w14:textId="77777777" w:rsidR="00552F32" w:rsidRPr="00D63BFB" w:rsidRDefault="00552F32" w:rsidP="00552F32">
      <w:pPr>
        <w:spacing w:after="160" w:line="278" w:lineRule="auto"/>
        <w:jc w:val="both"/>
        <w:rPr>
          <w:rFonts w:ascii="Arial" w:hAnsi="Arial" w:cs="Arial"/>
        </w:rPr>
      </w:pPr>
      <w:r w:rsidRPr="00D63BFB">
        <w:rPr>
          <w:rFonts w:ascii="Arial" w:hAnsi="Arial" w:cs="Arial"/>
        </w:rPr>
        <w:t>A distinctive characteristic of nuclear infrastructure is the requirement for governance arrangements that extend across exceptionally long timescales. Organisational responsibilities continue beyond construction and operation to include decommissioning, radioactive waste management, environmental monitoring and knowledge preservation.</w:t>
      </w:r>
    </w:p>
    <w:p w14:paraId="1F8B284C" w14:textId="77777777" w:rsidR="00552F32" w:rsidRPr="00D63BFB" w:rsidRDefault="00552F32" w:rsidP="00552F32">
      <w:pPr>
        <w:spacing w:after="160" w:line="278" w:lineRule="auto"/>
        <w:jc w:val="both"/>
        <w:rPr>
          <w:rFonts w:ascii="Arial" w:hAnsi="Arial" w:cs="Arial"/>
        </w:rPr>
      </w:pPr>
      <w:r w:rsidRPr="00D63BFB">
        <w:rPr>
          <w:rFonts w:ascii="Arial" w:hAnsi="Arial" w:cs="Arial"/>
        </w:rPr>
        <w:t>Public Value Governance emphasises that organisational success should be assessed according to broader societal outcomes rather than financial performance alone (Moore, 1995; Bryson, Crosby and Bloomberg, 2014). From this perspective, boards have a stewardship responsibility to consider the interests of future generations alongside immediate commercial objectives. Effective governance therefore requires organisations to adopt a long-term perspective that supports sustainability, accountability and institutional legitimacy throughout the nuclear lifecycle.</w:t>
      </w:r>
    </w:p>
    <w:p w14:paraId="071F5910" w14:textId="3667831E" w:rsidR="00552F32" w:rsidRPr="00D63BFB" w:rsidRDefault="00552F32" w:rsidP="000123A6">
      <w:pPr>
        <w:spacing w:after="160" w:line="278" w:lineRule="auto"/>
        <w:jc w:val="both"/>
        <w:rPr>
          <w:rFonts w:ascii="Arial" w:hAnsi="Arial" w:cs="Arial"/>
        </w:rPr>
      </w:pPr>
      <w:r w:rsidRPr="00D63BFB">
        <w:rPr>
          <w:rFonts w:ascii="Arial" w:hAnsi="Arial" w:cs="Arial"/>
        </w:rPr>
        <w:t>Overall, the evidence suggests that corporate governance within SMR organisations functions as more than an internal control mechanism. Through board oversight of safety, risk management, sustainability, stakeholder engagement and long-term stewardship, governance acts as a strategic capability that supports both organisational effectiveness and sustainable development outcomes. Consequently, strong corporate governance may contribute directly to the achievement of SDG 7 and SDG 16 by strengthening the relationship between technological innovation, public value creation and institutional trust.</w:t>
      </w:r>
    </w:p>
    <w:p w14:paraId="5A356914" w14:textId="77777777" w:rsidR="009553CE" w:rsidRPr="00D63BFB" w:rsidRDefault="009553CE" w:rsidP="009553CE">
      <w:pPr>
        <w:spacing w:after="160" w:line="278" w:lineRule="auto"/>
        <w:jc w:val="both"/>
        <w:rPr>
          <w:rFonts w:ascii="Arial" w:hAnsi="Arial" w:cs="Arial"/>
          <w:b/>
          <w:bCs/>
        </w:rPr>
      </w:pPr>
      <w:r w:rsidRPr="00D63BFB">
        <w:rPr>
          <w:rFonts w:ascii="Arial" w:hAnsi="Arial" w:cs="Arial"/>
          <w:b/>
          <w:bCs/>
        </w:rPr>
        <w:t>Implications for Corporate Governance Professionals</w:t>
      </w:r>
    </w:p>
    <w:p w14:paraId="4E0D1C86" w14:textId="77777777" w:rsidR="009553CE" w:rsidRPr="00D63BFB" w:rsidRDefault="009553CE" w:rsidP="009553CE">
      <w:pPr>
        <w:spacing w:after="160" w:line="278" w:lineRule="auto"/>
        <w:jc w:val="both"/>
        <w:rPr>
          <w:rFonts w:ascii="Arial" w:hAnsi="Arial" w:cs="Arial"/>
        </w:rPr>
      </w:pPr>
      <w:r w:rsidRPr="00D63BFB">
        <w:rPr>
          <w:rFonts w:ascii="Arial" w:hAnsi="Arial" w:cs="Arial"/>
        </w:rPr>
        <w:t>The findings have direct implications for governance professionals supporting boards within highly regulated infrastructure sectors. Responsibilities relating to board assurance, governance reporting, committee effectiveness, stakeholder engagement and risk governance appear central to achieving sustainable development outcomes. Governance professionals are therefore positioned not merely as compliance practitioners but as organisational enablers who support accountability, transparency and long-term value creation. Within the SMR industry, governance functions may play an important role in ensuring boards receive appropriate information, exercise effective oversight and maintain legitimacy amongst regulators, investors and wider stakeholders (FRC, 2024; OECD, 2023).</w:t>
      </w:r>
    </w:p>
    <w:p w14:paraId="68781538" w14:textId="77777777" w:rsidR="00FE1968" w:rsidRPr="00D63BFB" w:rsidRDefault="00FE1968" w:rsidP="000123A6">
      <w:pPr>
        <w:spacing w:after="160" w:line="278" w:lineRule="auto"/>
        <w:jc w:val="both"/>
        <w:rPr>
          <w:rFonts w:ascii="Arial" w:hAnsi="Arial" w:cs="Arial"/>
        </w:rPr>
      </w:pPr>
    </w:p>
    <w:p w14:paraId="3395E27D" w14:textId="2A53818D" w:rsidR="000E3BE4" w:rsidRPr="00D63BFB" w:rsidRDefault="00FE1968" w:rsidP="000123A6">
      <w:pPr>
        <w:spacing w:after="160" w:line="278" w:lineRule="auto"/>
        <w:jc w:val="both"/>
        <w:rPr>
          <w:rFonts w:ascii="Arial" w:hAnsi="Arial" w:cs="Arial"/>
          <w:b/>
          <w:bCs/>
        </w:rPr>
      </w:pPr>
      <w:r w:rsidRPr="00D63BFB">
        <w:rPr>
          <w:rFonts w:ascii="Arial" w:hAnsi="Arial" w:cs="Arial"/>
          <w:b/>
          <w:bCs/>
        </w:rPr>
        <w:t>Case Study: Fukushima Daiichi and Governance Failure</w:t>
      </w:r>
    </w:p>
    <w:p w14:paraId="66C41EBB" w14:textId="7D5A32C2" w:rsidR="0099266B" w:rsidRPr="00D63BFB" w:rsidRDefault="00FE1968" w:rsidP="0096317C">
      <w:pPr>
        <w:spacing w:after="160" w:line="278" w:lineRule="auto"/>
        <w:jc w:val="both"/>
        <w:rPr>
          <w:rFonts w:ascii="Arial" w:hAnsi="Arial" w:cs="Arial"/>
        </w:rPr>
      </w:pPr>
      <w:r w:rsidRPr="00D63BFB">
        <w:rPr>
          <w:rFonts w:ascii="Arial" w:hAnsi="Arial" w:cs="Arial"/>
        </w:rPr>
        <w:t>The Fukushima Daiichi nuclear accident remains one of the most significant examples of governance failure within the global nuclear industry.</w:t>
      </w:r>
    </w:p>
    <w:p w14:paraId="6907EE87" w14:textId="4040F94D" w:rsidR="0099266B" w:rsidRPr="00D63BFB" w:rsidRDefault="0099266B" w:rsidP="0096317C">
      <w:pPr>
        <w:spacing w:after="160" w:line="278" w:lineRule="auto"/>
        <w:jc w:val="both"/>
        <w:rPr>
          <w:rFonts w:ascii="Arial" w:hAnsi="Arial" w:cs="Arial"/>
        </w:rPr>
      </w:pPr>
      <w:r w:rsidRPr="00D63BFB">
        <w:rPr>
          <w:rFonts w:ascii="Arial" w:hAnsi="Arial" w:cs="Arial"/>
        </w:rPr>
        <w:t>Investigations following the Fukushima Daiichi accident identified governance failures including inadequate risk assessment, ineffective challenge of management assumptions, poor emergency preparedness, regulatory fragmentation and weak stakeholder communication (Aldrich, 2017). Known tsunami risks were not fully incorporated into strategic decision-making and leadership failed to sufficiently challenge assumptions regarding extreme event preparedness. These weaknesses contributed to a loss of public trust, increased regulatory scrutiny, political opposition and reduced investor confidence, demonstrating how deficiencies in governance can undermine institutional legitimacy and project delivery. The case illustrates that governance failures rarely occur in isolation, instead emerging from interconnected weaknesses across strategic, regulatory and stakeholder governance systems. From the perspective of SDG 16, Fukushima highlights the importance of accountability, transparency and effective institutions, whilst for SDG 7 it demonstrates how governance failures can weaken confidence in low-carbon energy infrastructure.</w:t>
      </w:r>
    </w:p>
    <w:p w14:paraId="6BED15F7" w14:textId="77777777" w:rsidR="00FE1968" w:rsidRPr="00D63BFB" w:rsidRDefault="00FE1968" w:rsidP="000123A6">
      <w:pPr>
        <w:spacing w:after="160" w:line="278" w:lineRule="auto"/>
        <w:jc w:val="both"/>
        <w:rPr>
          <w:rFonts w:ascii="Arial" w:hAnsi="Arial" w:cs="Arial"/>
        </w:rPr>
      </w:pPr>
    </w:p>
    <w:p w14:paraId="01709427" w14:textId="365385DA" w:rsidR="00FE1968" w:rsidRPr="00D63BFB" w:rsidRDefault="00FE1968" w:rsidP="000123A6">
      <w:pPr>
        <w:spacing w:after="160" w:line="278" w:lineRule="auto"/>
        <w:jc w:val="both"/>
        <w:rPr>
          <w:rFonts w:ascii="Arial" w:hAnsi="Arial" w:cs="Arial"/>
          <w:b/>
          <w:bCs/>
        </w:rPr>
      </w:pPr>
      <w:r w:rsidRPr="00D63BFB">
        <w:rPr>
          <w:rFonts w:ascii="Arial" w:hAnsi="Arial" w:cs="Arial"/>
          <w:b/>
          <w:bCs/>
        </w:rPr>
        <w:t>Discussion</w:t>
      </w:r>
    </w:p>
    <w:p w14:paraId="565AE28B" w14:textId="77777777" w:rsidR="00F5550F" w:rsidRPr="00D63BFB" w:rsidRDefault="00F5550F" w:rsidP="00F5550F">
      <w:pPr>
        <w:spacing w:after="160" w:line="278" w:lineRule="auto"/>
        <w:jc w:val="both"/>
        <w:rPr>
          <w:rFonts w:ascii="Arial" w:hAnsi="Arial" w:cs="Arial"/>
          <w:b/>
          <w:bCs/>
        </w:rPr>
      </w:pPr>
      <w:r w:rsidRPr="00D63BFB">
        <w:rPr>
          <w:rFonts w:ascii="Arial" w:hAnsi="Arial" w:cs="Arial"/>
          <w:b/>
          <w:bCs/>
        </w:rPr>
        <w:t>Corporate Governance Mechanisms as Enablers of Sustainable Development</w:t>
      </w:r>
    </w:p>
    <w:p w14:paraId="5A4FA696" w14:textId="361A49E6" w:rsidR="00BE42D9" w:rsidRPr="00D63BFB" w:rsidRDefault="00BE42D9" w:rsidP="00F5550F">
      <w:pPr>
        <w:spacing w:after="160" w:line="278" w:lineRule="auto"/>
        <w:jc w:val="both"/>
        <w:rPr>
          <w:rFonts w:ascii="Arial" w:hAnsi="Arial" w:cs="Arial"/>
        </w:rPr>
      </w:pPr>
      <w:r w:rsidRPr="00D63BFB">
        <w:rPr>
          <w:rFonts w:ascii="Arial" w:hAnsi="Arial" w:cs="Arial"/>
        </w:rPr>
        <w:t>A consistent finding across the literature is that sustainable development outcomes are influenced not simply by governance environments but by specific corporate governance mechanisms. Board oversight, accountability, transparency, stakeholder engagement and long-term stewardship emerged as recurring factors associated with successful implementation of sustainable development objectives. This suggests that corporate governance provides the institutional architecture through which organisations translate technological capability into public value (OECD, 2023; FRC, 2024).</w:t>
      </w:r>
    </w:p>
    <w:p w14:paraId="02A3BFDF" w14:textId="77777777" w:rsidR="00B307BB" w:rsidRPr="00D63BFB" w:rsidRDefault="00B307BB" w:rsidP="000123A6">
      <w:pPr>
        <w:spacing w:after="160" w:line="278" w:lineRule="auto"/>
        <w:jc w:val="both"/>
        <w:rPr>
          <w:rFonts w:ascii="Arial" w:hAnsi="Arial" w:cs="Arial"/>
        </w:rPr>
      </w:pPr>
      <w:r w:rsidRPr="00D63BFB">
        <w:rPr>
          <w:rFonts w:ascii="Arial" w:hAnsi="Arial" w:cs="Arial"/>
        </w:rPr>
        <w:t>The framework does not suggest that governance alone determines success. Rather, it proposes that governance acts as an enabling mechanism through which technological capability, investment and institutional capacity are converted into broader societal benefits.</w:t>
      </w:r>
    </w:p>
    <w:p w14:paraId="01BC6A13" w14:textId="77777777" w:rsidR="00C83072" w:rsidRPr="00D63BFB" w:rsidRDefault="00C83072" w:rsidP="000123A6">
      <w:pPr>
        <w:spacing w:after="160" w:line="278" w:lineRule="auto"/>
        <w:jc w:val="both"/>
        <w:rPr>
          <w:rFonts w:ascii="Arial" w:hAnsi="Arial" w:cs="Arial"/>
          <w:b/>
          <w:bCs/>
        </w:rPr>
      </w:pPr>
      <w:r w:rsidRPr="00D63BFB">
        <w:rPr>
          <w:rFonts w:ascii="Arial" w:hAnsi="Arial" w:cs="Arial"/>
          <w:b/>
          <w:bCs/>
        </w:rPr>
        <w:t>Governance Contributions to SDG 7 and SDG 16</w:t>
      </w:r>
    </w:p>
    <w:p w14:paraId="053FAFC3" w14:textId="1DCE2A12" w:rsidR="00A11591" w:rsidRPr="00D63BFB" w:rsidRDefault="00A11591" w:rsidP="00A11591">
      <w:pPr>
        <w:spacing w:after="160" w:line="278" w:lineRule="auto"/>
        <w:jc w:val="both"/>
        <w:rPr>
          <w:rFonts w:ascii="Arial" w:hAnsi="Arial" w:cs="Arial"/>
        </w:rPr>
      </w:pPr>
      <w:r w:rsidRPr="00D63BFB">
        <w:rPr>
          <w:rFonts w:ascii="Arial" w:hAnsi="Arial" w:cs="Arial"/>
        </w:rPr>
        <w:t>The findings indicate that strategic, financial, regulatory, stakeholder and ESG governance contribute to sustainable development through interconnected pathways. Strategic and financial governance support energy security, affordability and investment confidence, whilst regulatory and stakeholder governance strengthen accountability, transparency and institutional legitimacy.</w:t>
      </w:r>
    </w:p>
    <w:p w14:paraId="06CBA583" w14:textId="04A672B2" w:rsidR="002C0BC3" w:rsidRPr="00D63BFB" w:rsidRDefault="002C0BC3" w:rsidP="000123A6">
      <w:pPr>
        <w:spacing w:after="160" w:line="278" w:lineRule="auto"/>
        <w:jc w:val="both"/>
        <w:rPr>
          <w:rFonts w:ascii="Arial" w:hAnsi="Arial" w:cs="Arial"/>
        </w:rPr>
      </w:pPr>
      <w:r w:rsidRPr="00D63BFB">
        <w:rPr>
          <w:rFonts w:ascii="Arial" w:hAnsi="Arial" w:cs="Arial"/>
        </w:rPr>
        <w:t>This suggests that governance should be treated as a strategic infrastructure capability rather than an administrative control mechanism. For policymakers, this implies that investment in governance capacity may be as important as investment in reactor technology itself.</w:t>
      </w:r>
    </w:p>
    <w:p w14:paraId="3A1CE650" w14:textId="77777777" w:rsidR="00C83072" w:rsidRPr="00D63BFB" w:rsidRDefault="00C83072" w:rsidP="000123A6">
      <w:pPr>
        <w:spacing w:after="160" w:line="278" w:lineRule="auto"/>
        <w:jc w:val="both"/>
        <w:rPr>
          <w:rFonts w:ascii="Arial" w:hAnsi="Arial" w:cs="Arial"/>
        </w:rPr>
      </w:pPr>
    </w:p>
    <w:p w14:paraId="643C9602" w14:textId="77777777" w:rsidR="00F9050C" w:rsidRPr="00D63BFB" w:rsidRDefault="00F9050C" w:rsidP="00F9050C">
      <w:pPr>
        <w:spacing w:after="160" w:line="278" w:lineRule="auto"/>
        <w:jc w:val="both"/>
        <w:rPr>
          <w:rFonts w:ascii="Arial" w:hAnsi="Arial" w:cs="Arial"/>
          <w:b/>
          <w:bCs/>
        </w:rPr>
      </w:pPr>
      <w:r w:rsidRPr="00D63BFB">
        <w:rPr>
          <w:rFonts w:ascii="Arial" w:hAnsi="Arial" w:cs="Arial"/>
          <w:b/>
          <w:bCs/>
        </w:rPr>
        <w:t>Corporate Governance as Strategic Infrastructure Capital</w:t>
      </w:r>
    </w:p>
    <w:p w14:paraId="160B566B" w14:textId="77777777" w:rsidR="00FE1968" w:rsidRPr="00D63BFB" w:rsidRDefault="00FE1968" w:rsidP="000123A6">
      <w:pPr>
        <w:spacing w:after="160" w:line="278" w:lineRule="auto"/>
        <w:jc w:val="both"/>
        <w:rPr>
          <w:rFonts w:ascii="Arial" w:hAnsi="Arial" w:cs="Arial"/>
        </w:rPr>
      </w:pPr>
      <w:r w:rsidRPr="00D63BFB">
        <w:rPr>
          <w:rFonts w:ascii="Arial" w:hAnsi="Arial" w:cs="Arial"/>
        </w:rPr>
        <w:t>The findings align closely with Public Value Governance theory, which argues that public value is created through networks of institutions, stakeholders and governance arrangements rather than solely through market mechanisms (Bryson, Crosby and Bloomberg, 2014).</w:t>
      </w:r>
    </w:p>
    <w:p w14:paraId="4BFF00A4" w14:textId="2D3943C8" w:rsidR="00FE1968" w:rsidRPr="00D63BFB" w:rsidRDefault="00FE1968" w:rsidP="000123A6">
      <w:pPr>
        <w:spacing w:after="160" w:line="278" w:lineRule="auto"/>
        <w:jc w:val="both"/>
        <w:rPr>
          <w:rFonts w:ascii="Arial" w:hAnsi="Arial" w:cs="Arial"/>
        </w:rPr>
      </w:pPr>
      <w:r w:rsidRPr="00D63BFB">
        <w:rPr>
          <w:rFonts w:ascii="Arial" w:hAnsi="Arial" w:cs="Arial"/>
        </w:rPr>
        <w:t xml:space="preserve">Across all themes, positive outcomes were consistently associated with governance systems capable of balancing accountability, economic performance and societal legitimacy. </w:t>
      </w:r>
      <w:r w:rsidR="00043AD6" w:rsidRPr="00D63BFB">
        <w:rPr>
          <w:rFonts w:ascii="Arial" w:hAnsi="Arial" w:cs="Arial"/>
        </w:rPr>
        <w:t>These finding</w:t>
      </w:r>
      <w:r w:rsidR="0079796A" w:rsidRPr="00D63BFB">
        <w:rPr>
          <w:rFonts w:ascii="Arial" w:hAnsi="Arial" w:cs="Arial"/>
        </w:rPr>
        <w:t>s</w:t>
      </w:r>
      <w:r w:rsidR="00043AD6" w:rsidRPr="00D63BFB">
        <w:rPr>
          <w:rFonts w:ascii="Arial" w:hAnsi="Arial" w:cs="Arial"/>
        </w:rPr>
        <w:t xml:space="preserve"> challenge</w:t>
      </w:r>
      <w:r w:rsidRPr="00D63BFB">
        <w:rPr>
          <w:rFonts w:ascii="Arial" w:hAnsi="Arial" w:cs="Arial"/>
        </w:rPr>
        <w:t xml:space="preserve"> traditional shareholder-value approaches that focus primarily on profitability and financial returns.</w:t>
      </w:r>
      <w:r w:rsidR="00015657" w:rsidRPr="00D63BFB">
        <w:rPr>
          <w:rFonts w:ascii="Arial" w:hAnsi="Arial" w:cs="Arial"/>
        </w:rPr>
        <w:t xml:space="preserve"> The findings also align with Biermann, </w:t>
      </w:r>
      <w:proofErr w:type="spellStart"/>
      <w:r w:rsidR="00015657" w:rsidRPr="00D63BFB">
        <w:rPr>
          <w:rFonts w:ascii="Arial" w:hAnsi="Arial" w:cs="Arial"/>
        </w:rPr>
        <w:t>Hickmann</w:t>
      </w:r>
      <w:proofErr w:type="spellEnd"/>
      <w:r w:rsidR="00015657" w:rsidRPr="00D63BFB">
        <w:rPr>
          <w:rFonts w:ascii="Arial" w:hAnsi="Arial" w:cs="Arial"/>
        </w:rPr>
        <w:t xml:space="preserve"> and </w:t>
      </w:r>
      <w:proofErr w:type="spellStart"/>
      <w:r w:rsidR="00015657" w:rsidRPr="00D63BFB">
        <w:rPr>
          <w:rFonts w:ascii="Arial" w:hAnsi="Arial" w:cs="Arial"/>
        </w:rPr>
        <w:t>Sénit's</w:t>
      </w:r>
      <w:proofErr w:type="spellEnd"/>
      <w:r w:rsidR="00015657" w:rsidRPr="00D63BFB">
        <w:rPr>
          <w:rFonts w:ascii="Arial" w:hAnsi="Arial" w:cs="Arial"/>
        </w:rPr>
        <w:t xml:space="preserve"> (2022) conclusion that sustainable development outcomes are heavily dependent upon governance arrangements capable of embedding sustainability objectives within institutional structures and policy processes. Their analysis suggests that the existence of sustainability goals alone is insufficient; </w:t>
      </w:r>
      <w:r w:rsidR="00E17777" w:rsidRPr="00D63BFB">
        <w:rPr>
          <w:rFonts w:ascii="Arial" w:hAnsi="Arial" w:cs="Arial"/>
        </w:rPr>
        <w:t xml:space="preserve">corporate </w:t>
      </w:r>
      <w:r w:rsidR="00015657" w:rsidRPr="00D63BFB">
        <w:rPr>
          <w:rFonts w:ascii="Arial" w:hAnsi="Arial" w:cs="Arial"/>
        </w:rPr>
        <w:t>governance capability remains necessary to convert aspiration into implementation.</w:t>
      </w:r>
    </w:p>
    <w:p w14:paraId="10C86F25" w14:textId="77777777" w:rsidR="00FE1968" w:rsidRPr="00D63BFB" w:rsidRDefault="00FE1968" w:rsidP="000123A6">
      <w:pPr>
        <w:spacing w:after="160" w:line="278" w:lineRule="auto"/>
        <w:jc w:val="both"/>
        <w:rPr>
          <w:rFonts w:ascii="Arial" w:hAnsi="Arial" w:cs="Arial"/>
        </w:rPr>
      </w:pPr>
      <w:r w:rsidRPr="00D63BFB">
        <w:rPr>
          <w:rFonts w:ascii="Arial" w:hAnsi="Arial" w:cs="Arial"/>
        </w:rPr>
        <w:t>Whilst conventional investment appraisal often emphasises economic outcomes, SMRs generate a broader range of potential benefits, including:</w:t>
      </w:r>
    </w:p>
    <w:p w14:paraId="745C9091" w14:textId="77777777" w:rsidR="00FE1968" w:rsidRPr="00D63BFB" w:rsidRDefault="00FE1968" w:rsidP="00D63BFB">
      <w:pPr>
        <w:numPr>
          <w:ilvl w:val="0"/>
          <w:numId w:val="12"/>
        </w:numPr>
        <w:spacing w:after="0" w:line="278" w:lineRule="auto"/>
        <w:jc w:val="both"/>
        <w:rPr>
          <w:rFonts w:ascii="Arial" w:hAnsi="Arial" w:cs="Arial"/>
        </w:rPr>
      </w:pPr>
      <w:r w:rsidRPr="00D63BFB">
        <w:rPr>
          <w:rFonts w:ascii="Arial" w:hAnsi="Arial" w:cs="Arial"/>
        </w:rPr>
        <w:t>Decarbonisation.</w:t>
      </w:r>
    </w:p>
    <w:p w14:paraId="1E22F860" w14:textId="77777777" w:rsidR="00FE1968" w:rsidRPr="00D63BFB" w:rsidRDefault="00FE1968" w:rsidP="00D63BFB">
      <w:pPr>
        <w:numPr>
          <w:ilvl w:val="0"/>
          <w:numId w:val="12"/>
        </w:numPr>
        <w:spacing w:after="0" w:line="278" w:lineRule="auto"/>
        <w:jc w:val="both"/>
        <w:rPr>
          <w:rFonts w:ascii="Arial" w:hAnsi="Arial" w:cs="Arial"/>
        </w:rPr>
      </w:pPr>
      <w:r w:rsidRPr="00D63BFB">
        <w:rPr>
          <w:rFonts w:ascii="Arial" w:hAnsi="Arial" w:cs="Arial"/>
        </w:rPr>
        <w:t>Energy security.</w:t>
      </w:r>
    </w:p>
    <w:p w14:paraId="3E9F2B5B" w14:textId="77777777" w:rsidR="00FE1968" w:rsidRPr="00D63BFB" w:rsidRDefault="00FE1968" w:rsidP="00D63BFB">
      <w:pPr>
        <w:numPr>
          <w:ilvl w:val="0"/>
          <w:numId w:val="12"/>
        </w:numPr>
        <w:spacing w:after="0" w:line="278" w:lineRule="auto"/>
        <w:jc w:val="both"/>
        <w:rPr>
          <w:rFonts w:ascii="Arial" w:hAnsi="Arial" w:cs="Arial"/>
        </w:rPr>
      </w:pPr>
      <w:r w:rsidRPr="00D63BFB">
        <w:rPr>
          <w:rFonts w:ascii="Arial" w:hAnsi="Arial" w:cs="Arial"/>
        </w:rPr>
        <w:t>Industrial capability.</w:t>
      </w:r>
    </w:p>
    <w:p w14:paraId="7B4F0989" w14:textId="77777777" w:rsidR="00FE1968" w:rsidRPr="00D63BFB" w:rsidRDefault="00FE1968" w:rsidP="00D63BFB">
      <w:pPr>
        <w:numPr>
          <w:ilvl w:val="0"/>
          <w:numId w:val="12"/>
        </w:numPr>
        <w:spacing w:after="0" w:line="278" w:lineRule="auto"/>
        <w:jc w:val="both"/>
        <w:rPr>
          <w:rFonts w:ascii="Arial" w:hAnsi="Arial" w:cs="Arial"/>
        </w:rPr>
      </w:pPr>
      <w:r w:rsidRPr="00D63BFB">
        <w:rPr>
          <w:rFonts w:ascii="Arial" w:hAnsi="Arial" w:cs="Arial"/>
        </w:rPr>
        <w:t>Regional economic development.</w:t>
      </w:r>
    </w:p>
    <w:p w14:paraId="222DD7EA" w14:textId="77777777" w:rsidR="00FE1968" w:rsidRPr="00D63BFB" w:rsidRDefault="00FE1968">
      <w:pPr>
        <w:numPr>
          <w:ilvl w:val="0"/>
          <w:numId w:val="12"/>
        </w:numPr>
        <w:spacing w:after="160" w:line="278" w:lineRule="auto"/>
        <w:jc w:val="both"/>
        <w:rPr>
          <w:rFonts w:ascii="Arial" w:hAnsi="Arial" w:cs="Arial"/>
        </w:rPr>
      </w:pPr>
      <w:r w:rsidRPr="00D63BFB">
        <w:rPr>
          <w:rFonts w:ascii="Arial" w:hAnsi="Arial" w:cs="Arial"/>
        </w:rPr>
        <w:t>Infrastructure resilience.</w:t>
      </w:r>
    </w:p>
    <w:p w14:paraId="53C0EB52" w14:textId="77777777" w:rsidR="00FE1968" w:rsidRPr="00D63BFB" w:rsidRDefault="00FE1968" w:rsidP="000123A6">
      <w:pPr>
        <w:spacing w:after="160" w:line="278" w:lineRule="auto"/>
        <w:jc w:val="both"/>
        <w:rPr>
          <w:rFonts w:ascii="Arial" w:hAnsi="Arial" w:cs="Arial"/>
        </w:rPr>
      </w:pPr>
      <w:r w:rsidRPr="00D63BFB">
        <w:rPr>
          <w:rFonts w:ascii="Arial" w:hAnsi="Arial" w:cs="Arial"/>
        </w:rPr>
        <w:t>Consequently, effective governance requires organisations to balance:</w:t>
      </w:r>
    </w:p>
    <w:p w14:paraId="2B109549" w14:textId="77777777" w:rsidR="00FE1968" w:rsidRPr="00D63BFB" w:rsidRDefault="00FE1968" w:rsidP="00D63BFB">
      <w:pPr>
        <w:numPr>
          <w:ilvl w:val="0"/>
          <w:numId w:val="13"/>
        </w:numPr>
        <w:spacing w:after="0" w:line="278" w:lineRule="auto"/>
        <w:jc w:val="both"/>
        <w:rPr>
          <w:rFonts w:ascii="Arial" w:hAnsi="Arial" w:cs="Arial"/>
        </w:rPr>
      </w:pPr>
      <w:r w:rsidRPr="00D63BFB">
        <w:rPr>
          <w:rFonts w:ascii="Arial" w:hAnsi="Arial" w:cs="Arial"/>
        </w:rPr>
        <w:t>Commercial performance.</w:t>
      </w:r>
    </w:p>
    <w:p w14:paraId="363BEBF5" w14:textId="77777777" w:rsidR="00FE1968" w:rsidRPr="00D63BFB" w:rsidRDefault="00FE1968" w:rsidP="00D63BFB">
      <w:pPr>
        <w:numPr>
          <w:ilvl w:val="0"/>
          <w:numId w:val="13"/>
        </w:numPr>
        <w:spacing w:after="0" w:line="278" w:lineRule="auto"/>
        <w:jc w:val="both"/>
        <w:rPr>
          <w:rFonts w:ascii="Arial" w:hAnsi="Arial" w:cs="Arial"/>
        </w:rPr>
      </w:pPr>
      <w:r w:rsidRPr="00D63BFB">
        <w:rPr>
          <w:rFonts w:ascii="Arial" w:hAnsi="Arial" w:cs="Arial"/>
        </w:rPr>
        <w:t>Public value.</w:t>
      </w:r>
    </w:p>
    <w:p w14:paraId="33D7F90F" w14:textId="77777777" w:rsidR="00FE1968" w:rsidRPr="00D63BFB" w:rsidRDefault="00FE1968" w:rsidP="00D63BFB">
      <w:pPr>
        <w:numPr>
          <w:ilvl w:val="0"/>
          <w:numId w:val="13"/>
        </w:numPr>
        <w:spacing w:after="0" w:line="278" w:lineRule="auto"/>
        <w:jc w:val="both"/>
        <w:rPr>
          <w:rFonts w:ascii="Arial" w:hAnsi="Arial" w:cs="Arial"/>
        </w:rPr>
      </w:pPr>
      <w:r w:rsidRPr="00D63BFB">
        <w:rPr>
          <w:rFonts w:ascii="Arial" w:hAnsi="Arial" w:cs="Arial"/>
        </w:rPr>
        <w:t>Sustainability objectives.</w:t>
      </w:r>
    </w:p>
    <w:p w14:paraId="7F7A933B" w14:textId="77777777" w:rsidR="00FE1968" w:rsidRPr="00D63BFB" w:rsidRDefault="00FE1968" w:rsidP="00D63BFB">
      <w:pPr>
        <w:numPr>
          <w:ilvl w:val="0"/>
          <w:numId w:val="13"/>
        </w:numPr>
        <w:spacing w:after="0" w:line="278" w:lineRule="auto"/>
        <w:jc w:val="both"/>
        <w:rPr>
          <w:rFonts w:ascii="Arial" w:hAnsi="Arial" w:cs="Arial"/>
        </w:rPr>
      </w:pPr>
      <w:r w:rsidRPr="00D63BFB">
        <w:rPr>
          <w:rFonts w:ascii="Arial" w:hAnsi="Arial" w:cs="Arial"/>
        </w:rPr>
        <w:t>Community expectations.</w:t>
      </w:r>
    </w:p>
    <w:p w14:paraId="1C6F3606" w14:textId="77777777" w:rsidR="00FE1968" w:rsidRPr="00D63BFB" w:rsidRDefault="00FE1968">
      <w:pPr>
        <w:numPr>
          <w:ilvl w:val="0"/>
          <w:numId w:val="13"/>
        </w:numPr>
        <w:spacing w:after="160" w:line="278" w:lineRule="auto"/>
        <w:jc w:val="both"/>
        <w:rPr>
          <w:rFonts w:ascii="Arial" w:hAnsi="Arial" w:cs="Arial"/>
        </w:rPr>
      </w:pPr>
      <w:r w:rsidRPr="00D63BFB">
        <w:rPr>
          <w:rFonts w:ascii="Arial" w:hAnsi="Arial" w:cs="Arial"/>
        </w:rPr>
        <w:t>Intergenerational responsibilities.</w:t>
      </w:r>
    </w:p>
    <w:p w14:paraId="717833C2" w14:textId="3CC33D56" w:rsidR="00FE1968" w:rsidRPr="00D63BFB" w:rsidRDefault="00FE1968" w:rsidP="000123A6">
      <w:pPr>
        <w:spacing w:after="160" w:line="278" w:lineRule="auto"/>
        <w:jc w:val="both"/>
        <w:rPr>
          <w:rFonts w:ascii="Arial" w:hAnsi="Arial" w:cs="Arial"/>
        </w:rPr>
      </w:pPr>
      <w:r w:rsidRPr="00D63BFB">
        <w:rPr>
          <w:rFonts w:ascii="Arial" w:hAnsi="Arial" w:cs="Arial"/>
        </w:rPr>
        <w:t>The study therefore supports a broader conception of governance that integrates economic, social and environmental considerations.</w:t>
      </w:r>
      <w:r w:rsidR="003A1C53" w:rsidRPr="00D63BFB">
        <w:rPr>
          <w:rFonts w:ascii="Arial" w:hAnsi="Arial" w:cs="Arial"/>
        </w:rPr>
        <w:t xml:space="preserve"> This finding is consistent with </w:t>
      </w:r>
      <w:proofErr w:type="spellStart"/>
      <w:r w:rsidR="003A1C53" w:rsidRPr="00D63BFB">
        <w:rPr>
          <w:rFonts w:ascii="Arial" w:hAnsi="Arial" w:cs="Arial"/>
        </w:rPr>
        <w:t>Friede</w:t>
      </w:r>
      <w:proofErr w:type="spellEnd"/>
      <w:r w:rsidR="003A1C53" w:rsidRPr="00D63BFB">
        <w:rPr>
          <w:rFonts w:ascii="Arial" w:hAnsi="Arial" w:cs="Arial"/>
        </w:rPr>
        <w:t xml:space="preserve">, Busch and </w:t>
      </w:r>
      <w:proofErr w:type="spellStart"/>
      <w:r w:rsidR="003A1C53" w:rsidRPr="00D63BFB">
        <w:rPr>
          <w:rFonts w:ascii="Arial" w:hAnsi="Arial" w:cs="Arial"/>
        </w:rPr>
        <w:t>Bassen's</w:t>
      </w:r>
      <w:proofErr w:type="spellEnd"/>
      <w:r w:rsidR="003A1C53" w:rsidRPr="00D63BFB">
        <w:rPr>
          <w:rFonts w:ascii="Arial" w:hAnsi="Arial" w:cs="Arial"/>
        </w:rPr>
        <w:t xml:space="preserve"> (2015) meta-analysis of more than 2,000 empirical studies, which found that strong ESG performance is generally associated with positive financial performance outcomes, reinforcing the view that sustainability and governance can contribute to long-term organisational value creation.</w:t>
      </w:r>
    </w:p>
    <w:p w14:paraId="2B66806E" w14:textId="77777777" w:rsidR="00FE1968" w:rsidRPr="00D63BFB" w:rsidRDefault="00FE1968" w:rsidP="000123A6">
      <w:pPr>
        <w:spacing w:after="160" w:line="278" w:lineRule="auto"/>
        <w:jc w:val="both"/>
        <w:rPr>
          <w:rFonts w:ascii="Arial" w:hAnsi="Arial" w:cs="Arial"/>
        </w:rPr>
      </w:pPr>
    </w:p>
    <w:p w14:paraId="1659C59E" w14:textId="77777777" w:rsidR="00FE1968" w:rsidRPr="00D63BFB" w:rsidRDefault="00FE1968" w:rsidP="000123A6">
      <w:pPr>
        <w:spacing w:after="160" w:line="278" w:lineRule="auto"/>
        <w:jc w:val="both"/>
        <w:rPr>
          <w:rFonts w:ascii="Arial" w:hAnsi="Arial" w:cs="Arial"/>
          <w:b/>
          <w:bCs/>
        </w:rPr>
      </w:pPr>
      <w:r w:rsidRPr="00D63BFB">
        <w:rPr>
          <w:rFonts w:ascii="Arial" w:hAnsi="Arial" w:cs="Arial"/>
          <w:b/>
          <w:bCs/>
        </w:rPr>
        <w:t>Governance as a Mediator of SDG Outcomes</w:t>
      </w:r>
    </w:p>
    <w:p w14:paraId="7DE7F686" w14:textId="657EFF9A" w:rsidR="00A261E0" w:rsidRPr="00D63BFB" w:rsidRDefault="00DA7922" w:rsidP="00A261E0">
      <w:pPr>
        <w:spacing w:after="160" w:line="278" w:lineRule="auto"/>
        <w:jc w:val="both"/>
        <w:rPr>
          <w:rFonts w:ascii="Arial" w:hAnsi="Arial" w:cs="Arial"/>
        </w:rPr>
      </w:pPr>
      <w:r w:rsidRPr="00D63BFB">
        <w:rPr>
          <w:rFonts w:ascii="Arial" w:hAnsi="Arial" w:cs="Arial"/>
        </w:rPr>
        <w:t xml:space="preserve">The most significant finding is that governance shapes investment confidence, stakeholder trust, regulatory legitimacy and project delivery, thereby influencing whether SMR deployment generates sustainable development outcomes. </w:t>
      </w:r>
      <w:r w:rsidR="00A261E0" w:rsidRPr="00D63BFB">
        <w:rPr>
          <w:rFonts w:ascii="Arial" w:hAnsi="Arial" w:cs="Arial"/>
        </w:rPr>
        <w:t xml:space="preserve">Traditional narratives often imply that the societal benefits of low-carbon technologies arise directly from technological innovation. However, the evidence reviewed suggests a more complex relationship. Consistent with Biermann, </w:t>
      </w:r>
      <w:proofErr w:type="spellStart"/>
      <w:r w:rsidR="00A261E0" w:rsidRPr="00D63BFB">
        <w:rPr>
          <w:rFonts w:ascii="Arial" w:hAnsi="Arial" w:cs="Arial"/>
        </w:rPr>
        <w:t>Hickmann</w:t>
      </w:r>
      <w:proofErr w:type="spellEnd"/>
      <w:r w:rsidR="00A261E0" w:rsidRPr="00D63BFB">
        <w:rPr>
          <w:rFonts w:ascii="Arial" w:hAnsi="Arial" w:cs="Arial"/>
        </w:rPr>
        <w:t xml:space="preserve"> and </w:t>
      </w:r>
      <w:proofErr w:type="spellStart"/>
      <w:r w:rsidR="00A261E0" w:rsidRPr="00D63BFB">
        <w:rPr>
          <w:rFonts w:ascii="Arial" w:hAnsi="Arial" w:cs="Arial"/>
        </w:rPr>
        <w:t>Sénit</w:t>
      </w:r>
      <w:proofErr w:type="spellEnd"/>
      <w:r w:rsidR="00A261E0" w:rsidRPr="00D63BFB">
        <w:rPr>
          <w:rFonts w:ascii="Arial" w:hAnsi="Arial" w:cs="Arial"/>
        </w:rPr>
        <w:t xml:space="preserve"> (2022), the findings indicate that sustainable development outcomes are not generated by policy ambitions or technological capability </w:t>
      </w:r>
      <w:r w:rsidR="000B0AD1" w:rsidRPr="00D63BFB">
        <w:rPr>
          <w:rFonts w:ascii="Arial" w:hAnsi="Arial" w:cs="Arial"/>
        </w:rPr>
        <w:t>alone but</w:t>
      </w:r>
      <w:r w:rsidR="00A261E0" w:rsidRPr="00D63BFB">
        <w:rPr>
          <w:rFonts w:ascii="Arial" w:hAnsi="Arial" w:cs="Arial"/>
        </w:rPr>
        <w:t xml:space="preserve"> depend upon governance arrangements capable of translating sustainability objectives into effective institutional practices, policy integration and organisational action.</w:t>
      </w:r>
    </w:p>
    <w:p w14:paraId="46E95C07" w14:textId="37C2736B" w:rsidR="00A261E0" w:rsidRPr="00D63BFB" w:rsidRDefault="00A261E0" w:rsidP="00A261E0">
      <w:pPr>
        <w:spacing w:after="160" w:line="278" w:lineRule="auto"/>
        <w:jc w:val="both"/>
        <w:rPr>
          <w:rFonts w:ascii="Arial" w:hAnsi="Arial" w:cs="Arial"/>
        </w:rPr>
      </w:pPr>
      <w:r w:rsidRPr="00D63BFB">
        <w:rPr>
          <w:rFonts w:ascii="Arial" w:hAnsi="Arial" w:cs="Arial"/>
        </w:rPr>
        <w:t xml:space="preserve">The analysis suggests that </w:t>
      </w:r>
      <w:r w:rsidR="00E17777" w:rsidRPr="00D63BFB">
        <w:rPr>
          <w:rFonts w:ascii="Arial" w:hAnsi="Arial" w:cs="Arial"/>
        </w:rPr>
        <w:t xml:space="preserve">corporate </w:t>
      </w:r>
      <w:r w:rsidRPr="00D63BFB">
        <w:rPr>
          <w:rFonts w:ascii="Arial" w:hAnsi="Arial" w:cs="Arial"/>
        </w:rPr>
        <w:t>governance capability mediates the relationship between SMR technology and achievement of SDG 7 and SDG 16. Effective governance strengthens investor confidence, project performance, stakeholder trust and institutional legitimacy, thereby increasing the likelihood that technological potential is converted into societal value. Conversely, governance failures may undermine these outcomes through delays, cost escalation, weakened accountability and reduced public confidence.</w:t>
      </w:r>
    </w:p>
    <w:p w14:paraId="499E5D62" w14:textId="017C615F" w:rsidR="002870EA" w:rsidRPr="00D63BFB" w:rsidRDefault="00A261E0" w:rsidP="00A261E0">
      <w:pPr>
        <w:spacing w:after="160" w:line="278" w:lineRule="auto"/>
        <w:jc w:val="both"/>
        <w:rPr>
          <w:rFonts w:ascii="Arial" w:hAnsi="Arial" w:cs="Arial"/>
        </w:rPr>
      </w:pPr>
      <w:r w:rsidRPr="00D63BFB">
        <w:rPr>
          <w:rFonts w:ascii="Arial" w:hAnsi="Arial" w:cs="Arial"/>
        </w:rPr>
        <w:t>This finding contributes to the emerging governance literature by suggesting that governance should not be viewed merely as a supporting or compliance function. Rather, governance appears to operate as an intermediary layer between technological capability and sustainable development achievement, determining whether the potential benefits of SMR deployment are translated into tangible economic, social and institutional outcomes.</w:t>
      </w:r>
    </w:p>
    <w:p w14:paraId="449B85D7" w14:textId="77777777" w:rsidR="00EF06A8" w:rsidRPr="00D63BFB" w:rsidRDefault="00EF06A8" w:rsidP="000123A6">
      <w:pPr>
        <w:spacing w:after="160" w:line="278" w:lineRule="auto"/>
        <w:jc w:val="both"/>
        <w:rPr>
          <w:rFonts w:ascii="Arial" w:hAnsi="Arial" w:cs="Arial"/>
        </w:rPr>
      </w:pPr>
    </w:p>
    <w:p w14:paraId="61963599" w14:textId="77777777" w:rsidR="00760AD6" w:rsidRPr="00D63BFB" w:rsidRDefault="00760AD6" w:rsidP="000123A6">
      <w:pPr>
        <w:spacing w:after="160" w:line="278" w:lineRule="auto"/>
        <w:jc w:val="both"/>
        <w:rPr>
          <w:rFonts w:ascii="Arial" w:hAnsi="Arial" w:cs="Arial"/>
          <w:b/>
          <w:bCs/>
        </w:rPr>
      </w:pPr>
      <w:r w:rsidRPr="00D63BFB">
        <w:rPr>
          <w:rFonts w:ascii="Arial" w:hAnsi="Arial" w:cs="Arial"/>
          <w:b/>
          <w:bCs/>
        </w:rPr>
        <w:t>Alternative Perspectives and Limitations of Governance</w:t>
      </w:r>
    </w:p>
    <w:p w14:paraId="5A931F0C" w14:textId="3DB223B6" w:rsidR="00760AD6" w:rsidRPr="00D63BFB" w:rsidRDefault="00760AD6" w:rsidP="000123A6">
      <w:pPr>
        <w:spacing w:after="160" w:line="278" w:lineRule="auto"/>
        <w:jc w:val="both"/>
        <w:rPr>
          <w:rFonts w:ascii="Arial" w:hAnsi="Arial" w:cs="Arial"/>
        </w:rPr>
      </w:pPr>
      <w:r w:rsidRPr="00D63BFB">
        <w:rPr>
          <w:rFonts w:ascii="Arial" w:hAnsi="Arial" w:cs="Arial"/>
        </w:rPr>
        <w:t xml:space="preserve">Whilst the findings suggest that </w:t>
      </w:r>
      <w:r w:rsidR="00E17777" w:rsidRPr="00D63BFB">
        <w:rPr>
          <w:rFonts w:ascii="Arial" w:hAnsi="Arial" w:cs="Arial"/>
        </w:rPr>
        <w:t xml:space="preserve">corporate </w:t>
      </w:r>
      <w:r w:rsidRPr="00D63BFB">
        <w:rPr>
          <w:rFonts w:ascii="Arial" w:hAnsi="Arial" w:cs="Arial"/>
        </w:rPr>
        <w:t>governance capability influences sustainable development outcomes, alternative perspectives indicate that governance may represent only one of several determinants of successful SMR deployment. Energy policy scholars argue that factors including technological maturity, government support, financing availability and industrial capability may play equally important roles in determining project success (IAEA, 2024; OECD-NEA, 2023).</w:t>
      </w:r>
    </w:p>
    <w:p w14:paraId="591B01D9" w14:textId="77777777" w:rsidR="00760AD6" w:rsidRPr="00D63BFB" w:rsidRDefault="00760AD6" w:rsidP="000123A6">
      <w:pPr>
        <w:spacing w:after="160" w:line="278" w:lineRule="auto"/>
        <w:jc w:val="both"/>
        <w:rPr>
          <w:rFonts w:ascii="Arial" w:hAnsi="Arial" w:cs="Arial"/>
        </w:rPr>
      </w:pPr>
      <w:r w:rsidRPr="00D63BFB">
        <w:rPr>
          <w:rFonts w:ascii="Arial" w:hAnsi="Arial" w:cs="Arial"/>
        </w:rPr>
        <w:t>Furthermore, the affordability of SMRs remains contested. Proponents argue that modular construction, standardisation and factory manufacture will improve project economics compared with conventional nuclear technologies. However, critics note that evidence remains largely theoretical because few commercial SMRs are currently operating at scale. First-of-a-kind costs, regulatory requirements and supply chain constraints may therefore reduce anticipated economic benefits (World Nuclear Association, 2024; IEA, 2024).</w:t>
      </w:r>
    </w:p>
    <w:p w14:paraId="7C22D0A6" w14:textId="54AA38CB" w:rsidR="00760AD6" w:rsidRPr="00D63BFB" w:rsidRDefault="00760AD6" w:rsidP="000123A6">
      <w:pPr>
        <w:spacing w:after="160" w:line="278" w:lineRule="auto"/>
        <w:jc w:val="both"/>
        <w:rPr>
          <w:rFonts w:ascii="Arial" w:hAnsi="Arial" w:cs="Arial"/>
        </w:rPr>
      </w:pPr>
      <w:r w:rsidRPr="00D63BFB">
        <w:rPr>
          <w:rFonts w:ascii="Arial" w:hAnsi="Arial" w:cs="Arial"/>
        </w:rPr>
        <w:t xml:space="preserve">Alternative decarbonisation pathways also warrant consideration. Some commentators argue that equivalent investment in renewable energy generation, storage technologies and grid modernisation may deliver carbon reduction more rapidly and at lower cost than nuclear alternatives (IPCC, 2023; IEA, 2024). Consequently, </w:t>
      </w:r>
      <w:r w:rsidR="00E17777" w:rsidRPr="00D63BFB">
        <w:rPr>
          <w:rFonts w:ascii="Arial" w:hAnsi="Arial" w:cs="Arial"/>
        </w:rPr>
        <w:t xml:space="preserve">corporate </w:t>
      </w:r>
      <w:r w:rsidRPr="00D63BFB">
        <w:rPr>
          <w:rFonts w:ascii="Arial" w:hAnsi="Arial" w:cs="Arial"/>
        </w:rPr>
        <w:t>governance capability alone cannot guarantee positive sustainable development outcomes and should instead be viewed as one enabling factor within a broader socio-technical system.</w:t>
      </w:r>
    </w:p>
    <w:p w14:paraId="32B79D71" w14:textId="0F251EC5" w:rsidR="00FE1968" w:rsidRPr="00D63BFB" w:rsidRDefault="00201AF2" w:rsidP="000123A6">
      <w:pPr>
        <w:spacing w:after="160" w:line="278" w:lineRule="auto"/>
        <w:jc w:val="both"/>
        <w:rPr>
          <w:rFonts w:ascii="Arial" w:hAnsi="Arial" w:cs="Arial"/>
        </w:rPr>
      </w:pPr>
      <w:r w:rsidRPr="00D63BFB">
        <w:rPr>
          <w:rFonts w:ascii="Arial" w:hAnsi="Arial" w:cs="Arial"/>
        </w:rPr>
        <w:t>The findings suggest that governance involves balancing competing objectives. Whilst increased regulatory oversight and stakeholder engagement strengthen accountability and legitimacy, they may also lengthen approval processes, increase costs and reduce organisational agility.</w:t>
      </w:r>
    </w:p>
    <w:p w14:paraId="491FC90C" w14:textId="77777777" w:rsidR="00FE1968" w:rsidRPr="00D63BFB" w:rsidRDefault="00FE1968" w:rsidP="000123A6">
      <w:pPr>
        <w:spacing w:after="160" w:line="278" w:lineRule="auto"/>
        <w:jc w:val="both"/>
        <w:rPr>
          <w:rFonts w:ascii="Arial" w:hAnsi="Arial" w:cs="Arial"/>
          <w:b/>
          <w:bCs/>
        </w:rPr>
      </w:pPr>
      <w:r w:rsidRPr="00D63BFB">
        <w:rPr>
          <w:rFonts w:ascii="Arial" w:hAnsi="Arial" w:cs="Arial"/>
          <w:b/>
          <w:bCs/>
        </w:rPr>
        <w:t>A Governance Paradox</w:t>
      </w:r>
    </w:p>
    <w:p w14:paraId="11A6C7F9" w14:textId="0A879725" w:rsidR="002F54CE" w:rsidRPr="00D63BFB" w:rsidRDefault="002F54CE" w:rsidP="002F54CE">
      <w:pPr>
        <w:spacing w:after="160" w:line="278" w:lineRule="auto"/>
        <w:jc w:val="both"/>
        <w:rPr>
          <w:rFonts w:ascii="Arial" w:hAnsi="Arial" w:cs="Arial"/>
        </w:rPr>
      </w:pPr>
      <w:r w:rsidRPr="00D63BFB">
        <w:rPr>
          <w:rFonts w:ascii="Arial" w:hAnsi="Arial" w:cs="Arial"/>
        </w:rPr>
        <w:t xml:space="preserve">Whilst </w:t>
      </w:r>
      <w:r w:rsidR="00E17777" w:rsidRPr="00D63BFB">
        <w:rPr>
          <w:rFonts w:ascii="Arial" w:hAnsi="Arial" w:cs="Arial"/>
        </w:rPr>
        <w:t xml:space="preserve">corporate </w:t>
      </w:r>
      <w:r w:rsidRPr="00D63BFB">
        <w:rPr>
          <w:rFonts w:ascii="Arial" w:hAnsi="Arial" w:cs="Arial"/>
        </w:rPr>
        <w:t>governance capability emerged as a critical determinant of successful SMR deployment, the evidence also suggests that governance may simultaneously create barriers to implementation. This reveals a governance paradox whereby the mechanisms designed to enhance accountability, transparency and public protection may also increase complexity, cost and delivery timescales.</w:t>
      </w:r>
    </w:p>
    <w:p w14:paraId="46524CC3" w14:textId="77777777" w:rsidR="002F54CE" w:rsidRPr="00D63BFB" w:rsidRDefault="002F54CE" w:rsidP="002F54CE">
      <w:pPr>
        <w:spacing w:after="160" w:line="278" w:lineRule="auto"/>
        <w:jc w:val="both"/>
        <w:rPr>
          <w:rFonts w:ascii="Arial" w:hAnsi="Arial" w:cs="Arial"/>
        </w:rPr>
      </w:pPr>
      <w:r w:rsidRPr="00D63BFB">
        <w:rPr>
          <w:rFonts w:ascii="Arial" w:hAnsi="Arial" w:cs="Arial"/>
        </w:rPr>
        <w:t>Within the nuclear sector, rigorous governance arrangements are widely regarded as essential because of the potentially significant economic, environmental and societal consequences associated with governance failures. Regulatory scrutiny, stakeholder engagement processes, assurance mechanisms and safety oversight contribute to public confidence and institutional legitimacy (OECD, 2022; IAEA, 2024). Strong governance therefore supports SDG 16 by strengthening transparency, accountability and trust in decision-making processes. Equally, these governance mechanisms can support SDG 7 by helping to ensure that energy infrastructure is delivered safely, reliably and sustainably.</w:t>
      </w:r>
    </w:p>
    <w:p w14:paraId="5E579C3F" w14:textId="77777777" w:rsidR="002F54CE" w:rsidRPr="00D63BFB" w:rsidRDefault="002F54CE" w:rsidP="002F54CE">
      <w:pPr>
        <w:spacing w:after="160" w:line="278" w:lineRule="auto"/>
        <w:jc w:val="both"/>
        <w:rPr>
          <w:rFonts w:ascii="Arial" w:hAnsi="Arial" w:cs="Arial"/>
        </w:rPr>
      </w:pPr>
      <w:r w:rsidRPr="00D63BFB">
        <w:rPr>
          <w:rFonts w:ascii="Arial" w:hAnsi="Arial" w:cs="Arial"/>
        </w:rPr>
        <w:t>However, the evidence suggests that governance does not operate without costs. Extensive regulatory requirements, prolonged licensing processes, consultation obligations and multiple assurance checkpoints frequently increase project complexity and can extend development timelines. Within highly regulated industries such as nuclear energy, these requirements may contribute to rising project costs and create barriers to innovation and investment. Consequently, governance arrangements intended to reduce risk may simultaneously generate additional financial and operational challenges.</w:t>
      </w:r>
    </w:p>
    <w:p w14:paraId="6211FAB2" w14:textId="77777777" w:rsidR="002F54CE" w:rsidRPr="00D63BFB" w:rsidRDefault="002F54CE" w:rsidP="002F54CE">
      <w:pPr>
        <w:spacing w:after="160" w:line="278" w:lineRule="auto"/>
        <w:jc w:val="both"/>
        <w:rPr>
          <w:rFonts w:ascii="Arial" w:hAnsi="Arial" w:cs="Arial"/>
        </w:rPr>
      </w:pPr>
      <w:r w:rsidRPr="00D63BFB">
        <w:rPr>
          <w:rFonts w:ascii="Arial" w:hAnsi="Arial" w:cs="Arial"/>
        </w:rPr>
        <w:t>This tension highlights a fundamental challenge for policymakers and industry leaders. Insufficient governance may lead to weak accountability, inadequate risk management and reduced public confidence, increasing the likelihood of project failure. Conversely, excessive governance may create procedural burdens that slow project delivery, discourage investment and reduce organisational agility. Governance effectiveness therefore cannot be assessed solely according to the quantity of oversight applied. Rather, effectiveness depends upon the extent to which governance arrangements achieve an appropriate balance between assurance and implementation.</w:t>
      </w:r>
    </w:p>
    <w:p w14:paraId="66CB6863" w14:textId="77777777" w:rsidR="002F54CE" w:rsidRPr="00D63BFB" w:rsidRDefault="002F54CE" w:rsidP="002F54CE">
      <w:pPr>
        <w:spacing w:after="160" w:line="278" w:lineRule="auto"/>
        <w:jc w:val="both"/>
        <w:rPr>
          <w:rFonts w:ascii="Arial" w:hAnsi="Arial" w:cs="Arial"/>
        </w:rPr>
      </w:pPr>
      <w:r w:rsidRPr="00D63BFB">
        <w:rPr>
          <w:rFonts w:ascii="Arial" w:hAnsi="Arial" w:cs="Arial"/>
        </w:rPr>
        <w:t>The paradox is particularly significant in the context of emerging technologies such as SMRs. Governments increasingly view SMRs as a potential contributor to decarbonisation, energy security and economic resilience. Achieving these benefits may require regulatory systems capable of supporting innovation whilst maintaining robust safety standards. If governance systems become overly restrictive, they may undermine the speed and scale of deployment required to achieve climate and energy objectives. Conversely, if governance arrangements are weakened to accelerate deployment, public trust and institutional legitimacy may be compromised. Sustainable development therefore depends upon governance systems that are simultaneously rigorous, adaptive and proportionate.</w:t>
      </w:r>
    </w:p>
    <w:p w14:paraId="2470831F" w14:textId="03E1503E" w:rsidR="002F54CE" w:rsidRPr="00D63BFB" w:rsidRDefault="002F54CE" w:rsidP="002F54CE">
      <w:pPr>
        <w:spacing w:after="160" w:line="278" w:lineRule="auto"/>
        <w:jc w:val="both"/>
        <w:rPr>
          <w:rFonts w:ascii="Arial" w:hAnsi="Arial" w:cs="Arial"/>
        </w:rPr>
      </w:pPr>
      <w:r w:rsidRPr="00D63BFB">
        <w:rPr>
          <w:rFonts w:ascii="Arial" w:hAnsi="Arial" w:cs="Arial"/>
        </w:rPr>
        <w:t xml:space="preserve">The findings suggest that effective governance should not be understood as maximising regulatory control or minimising oversight. Instead, </w:t>
      </w:r>
      <w:r w:rsidR="00E17777" w:rsidRPr="00D63BFB">
        <w:rPr>
          <w:rFonts w:ascii="Arial" w:hAnsi="Arial" w:cs="Arial"/>
        </w:rPr>
        <w:t xml:space="preserve">corporate </w:t>
      </w:r>
      <w:r w:rsidRPr="00D63BFB">
        <w:rPr>
          <w:rFonts w:ascii="Arial" w:hAnsi="Arial" w:cs="Arial"/>
        </w:rPr>
        <w:t>governance capability appears to involve the ability to balance competing objectives, including affordability and accountability, innovation and regulation, commercial performance and public value. This interpretation aligns with Public Value Governance theory, which recognises that governance involves managing trade-offs between multiple stakeholder interests rather than pursuing a single organisational objective (Moore, 1995; Bryson, Crosby and Bloomberg, 2014).</w:t>
      </w:r>
    </w:p>
    <w:p w14:paraId="7035EB4C" w14:textId="0B62F7FC" w:rsidR="002F54CE" w:rsidRPr="00D63BFB" w:rsidRDefault="002F54CE" w:rsidP="002F54CE">
      <w:pPr>
        <w:spacing w:after="160" w:line="278" w:lineRule="auto"/>
        <w:jc w:val="both"/>
        <w:rPr>
          <w:rFonts w:ascii="Arial" w:hAnsi="Arial" w:cs="Arial"/>
        </w:rPr>
      </w:pPr>
      <w:r w:rsidRPr="00D63BFB">
        <w:rPr>
          <w:rFonts w:ascii="Arial" w:hAnsi="Arial" w:cs="Arial"/>
        </w:rPr>
        <w:t>From this perspective, governance can be viewed as both an enabler and a constraint upon sustainable development. Whilst strong governance contributes to investor confidence, institutional trust and long-term infrastructure resilience, it may also create practical challenges that affect project affordability and delivery efficiency. The central challenge for the SMR industry is therefore not simply to strengthen governance but to develop governance systems that remain adaptive, proportionate and capable of supporting innovation without compromising accountability. Successfully navigating this governance paradox may ultimately determine whether SMRs are able to contribute positively to both SDG 7 and SDG 16.</w:t>
      </w:r>
    </w:p>
    <w:p w14:paraId="211E2073" w14:textId="77777777" w:rsidR="00FE1968" w:rsidRPr="00D63BFB" w:rsidRDefault="00FE1968" w:rsidP="000123A6">
      <w:pPr>
        <w:spacing w:after="160" w:line="278" w:lineRule="auto"/>
        <w:jc w:val="both"/>
        <w:rPr>
          <w:rFonts w:ascii="Arial" w:hAnsi="Arial" w:cs="Arial"/>
        </w:rPr>
      </w:pPr>
    </w:p>
    <w:p w14:paraId="1BCF9DDE" w14:textId="77777777" w:rsidR="00FE1968" w:rsidRPr="00D63BFB" w:rsidRDefault="00FE1968" w:rsidP="000123A6">
      <w:pPr>
        <w:spacing w:after="160" w:line="278" w:lineRule="auto"/>
        <w:jc w:val="both"/>
        <w:rPr>
          <w:rFonts w:ascii="Arial" w:hAnsi="Arial" w:cs="Arial"/>
          <w:b/>
          <w:bCs/>
        </w:rPr>
      </w:pPr>
      <w:r w:rsidRPr="00D63BFB">
        <w:rPr>
          <w:rFonts w:ascii="Arial" w:hAnsi="Arial" w:cs="Arial"/>
          <w:b/>
          <w:bCs/>
        </w:rPr>
        <w:t>Emerging Governance Risks for the SMR Industry</w:t>
      </w:r>
    </w:p>
    <w:p w14:paraId="37258489" w14:textId="01B79503" w:rsidR="009F78CC" w:rsidRPr="00D63BFB" w:rsidRDefault="009F78CC" w:rsidP="000123A6">
      <w:pPr>
        <w:spacing w:after="160" w:line="278" w:lineRule="auto"/>
        <w:jc w:val="both"/>
        <w:rPr>
          <w:rFonts w:ascii="Arial" w:hAnsi="Arial" w:cs="Arial"/>
        </w:rPr>
      </w:pPr>
      <w:r w:rsidRPr="00D63BFB">
        <w:rPr>
          <w:rFonts w:ascii="Arial" w:hAnsi="Arial" w:cs="Arial"/>
        </w:rPr>
        <w:t>The governance environment for SMRs is becoming increasingly complex. Key risks include cybersecurity, workforce shortages, supply chain disruption and climate resilience. These challenges affect both operational performance and institutional effectiveness, with implications for SDG 7 and SDG 16. Effective governance will therefore be essential if SMRs are to make sustained contributions to sustainable development.</w:t>
      </w:r>
    </w:p>
    <w:p w14:paraId="0EA00FBB" w14:textId="77777777" w:rsidR="00CC3C58" w:rsidRPr="00D63BFB" w:rsidRDefault="00CC3C58" w:rsidP="000123A6">
      <w:pPr>
        <w:spacing w:after="160" w:line="278" w:lineRule="auto"/>
        <w:jc w:val="both"/>
        <w:rPr>
          <w:rFonts w:ascii="Arial" w:hAnsi="Arial" w:cs="Arial"/>
        </w:rPr>
      </w:pPr>
    </w:p>
    <w:p w14:paraId="288C6807" w14:textId="203F4555" w:rsidR="00BC06C6" w:rsidRPr="00D63BFB" w:rsidRDefault="00BC06C6" w:rsidP="000123A6">
      <w:pPr>
        <w:spacing w:after="160" w:line="278" w:lineRule="auto"/>
        <w:jc w:val="both"/>
        <w:rPr>
          <w:rFonts w:ascii="Arial" w:hAnsi="Arial" w:cs="Arial"/>
          <w:b/>
          <w:bCs/>
        </w:rPr>
      </w:pPr>
      <w:r w:rsidRPr="00D63BFB">
        <w:rPr>
          <w:rFonts w:ascii="Arial" w:hAnsi="Arial" w:cs="Arial"/>
          <w:b/>
          <w:bCs/>
        </w:rPr>
        <w:t>Conclusion and Recommendations</w:t>
      </w:r>
    </w:p>
    <w:p w14:paraId="2D7F9B6D" w14:textId="71490FA8" w:rsidR="00BC06C6" w:rsidRPr="00D63BFB" w:rsidRDefault="00BC06C6" w:rsidP="000123A6">
      <w:pPr>
        <w:spacing w:after="160" w:line="278" w:lineRule="auto"/>
        <w:jc w:val="both"/>
        <w:rPr>
          <w:rFonts w:ascii="Arial" w:hAnsi="Arial" w:cs="Arial"/>
          <w:b/>
          <w:bCs/>
        </w:rPr>
      </w:pPr>
      <w:r w:rsidRPr="00D63BFB">
        <w:rPr>
          <w:rFonts w:ascii="Arial" w:hAnsi="Arial" w:cs="Arial"/>
          <w:b/>
          <w:bCs/>
        </w:rPr>
        <w:t>Conclusion</w:t>
      </w:r>
    </w:p>
    <w:p w14:paraId="2662E3AB" w14:textId="5997E2C8" w:rsidR="00BD6BC3" w:rsidRPr="00D63BFB" w:rsidRDefault="00BD6BC3" w:rsidP="00BD6BC3">
      <w:pPr>
        <w:spacing w:after="160" w:line="278" w:lineRule="auto"/>
        <w:jc w:val="both"/>
        <w:rPr>
          <w:rFonts w:ascii="Arial" w:hAnsi="Arial" w:cs="Arial"/>
        </w:rPr>
      </w:pPr>
      <w:r w:rsidRPr="00D63BFB">
        <w:rPr>
          <w:rFonts w:ascii="Arial" w:hAnsi="Arial" w:cs="Arial"/>
        </w:rPr>
        <w:t xml:space="preserve">This study examined how corporate governance within the Small Modular Reactor (SMR) industry influences the achievement of Sustainable Development Goal 7 (Affordable and Clean Energy) and Sustainable Development Goal 16 (Peace, Justice and Strong Institutions). The findings suggest that </w:t>
      </w:r>
      <w:r w:rsidR="00E17777" w:rsidRPr="00D63BFB">
        <w:rPr>
          <w:rFonts w:ascii="Arial" w:hAnsi="Arial" w:cs="Arial"/>
        </w:rPr>
        <w:t xml:space="preserve">corporate </w:t>
      </w:r>
      <w:r w:rsidRPr="00D63BFB">
        <w:rPr>
          <w:rFonts w:ascii="Arial" w:hAnsi="Arial" w:cs="Arial"/>
        </w:rPr>
        <w:t>governance capability is a critical factor in determining whether the potential benefits of SMR technology are realised in practice. Effective governance supports SDG 7 through enhanced energy security, investor confidence, infrastructure resilience and reliable low-carbon electricity generation. Governance also contributes directly to SDG 16 by strengthening accountability, transparency, regulatory effectiveness and institutional legitimacy. Conversely, governance failures may undermine both goals through project delays, cost escalation, weakened oversight and reduced public trust.</w:t>
      </w:r>
    </w:p>
    <w:p w14:paraId="589D23EA" w14:textId="77777777" w:rsidR="00A11E89" w:rsidRPr="00D63BFB" w:rsidRDefault="00A11E89" w:rsidP="00A11E89">
      <w:pPr>
        <w:spacing w:after="160" w:line="278" w:lineRule="auto"/>
        <w:jc w:val="both"/>
        <w:rPr>
          <w:rFonts w:ascii="Arial" w:hAnsi="Arial" w:cs="Arial"/>
        </w:rPr>
      </w:pPr>
      <w:r w:rsidRPr="00D63BFB">
        <w:rPr>
          <w:rFonts w:ascii="Arial" w:hAnsi="Arial" w:cs="Arial"/>
        </w:rPr>
        <w:t>Governance emerged as a strategic capability linking technological innovation with sustainable development outcomes. Successful SMR deployment depends upon governance arrangements capable of balancing commercial objectives with broader societal expectations, including sustainability, accountability, public value and intergenerational responsibility. Whilst deployment also depends upon technological maturity, financing and policy support, governance determines how effectively these factors are translated into energy security, institutional legitimacy and long-term societal value. Consequently, governance should be viewed not simply as a compliance function but as a strategic infrastructure capability that mediates the relationship between technological potential and sustainable development outcomes.</w:t>
      </w:r>
    </w:p>
    <w:p w14:paraId="30BBD3E7" w14:textId="77777777" w:rsidR="00BC06C6" w:rsidRPr="00D63BFB" w:rsidRDefault="00BC06C6" w:rsidP="000123A6">
      <w:pPr>
        <w:spacing w:after="160" w:line="278" w:lineRule="auto"/>
        <w:jc w:val="both"/>
        <w:rPr>
          <w:rFonts w:ascii="Arial" w:hAnsi="Arial" w:cs="Arial"/>
        </w:rPr>
      </w:pPr>
    </w:p>
    <w:p w14:paraId="30BD0535" w14:textId="797EA8E2" w:rsidR="00BC06C6" w:rsidRPr="00D63BFB" w:rsidRDefault="00BC06C6" w:rsidP="000123A6">
      <w:pPr>
        <w:spacing w:after="160" w:line="278" w:lineRule="auto"/>
        <w:jc w:val="both"/>
        <w:rPr>
          <w:rFonts w:ascii="Arial" w:hAnsi="Arial" w:cs="Arial"/>
          <w:b/>
          <w:bCs/>
        </w:rPr>
      </w:pPr>
      <w:r w:rsidRPr="00D63BFB">
        <w:rPr>
          <w:rFonts w:ascii="Arial" w:hAnsi="Arial" w:cs="Arial"/>
          <w:b/>
          <w:bCs/>
        </w:rPr>
        <w:t>Limitations and Future Research</w:t>
      </w:r>
    </w:p>
    <w:p w14:paraId="46C1F3A8" w14:textId="77777777" w:rsidR="00E7193B" w:rsidRPr="00D63BFB" w:rsidRDefault="00E7193B" w:rsidP="00E7193B">
      <w:pPr>
        <w:spacing w:after="160" w:line="278" w:lineRule="auto"/>
        <w:jc w:val="both"/>
        <w:rPr>
          <w:rFonts w:ascii="Arial" w:hAnsi="Arial" w:cs="Arial"/>
        </w:rPr>
      </w:pPr>
      <w:r w:rsidRPr="00D63BFB">
        <w:rPr>
          <w:rFonts w:ascii="Arial" w:hAnsi="Arial" w:cs="Arial"/>
        </w:rPr>
        <w:t>Several limitations should be acknowledged. First, this study relied exclusively on secondary data sources. While this enabled the review of a broad range of academic, regulatory and industry literature, it limited the ability to establish causal relationships between governance practices and sustainable development outcomes.</w:t>
      </w:r>
    </w:p>
    <w:p w14:paraId="19AD3C1D" w14:textId="77777777" w:rsidR="00E7193B" w:rsidRPr="00D63BFB" w:rsidRDefault="00E7193B" w:rsidP="00E7193B">
      <w:pPr>
        <w:spacing w:after="160" w:line="278" w:lineRule="auto"/>
        <w:jc w:val="both"/>
        <w:rPr>
          <w:rFonts w:ascii="Arial" w:hAnsi="Arial" w:cs="Arial"/>
        </w:rPr>
      </w:pPr>
      <w:r w:rsidRPr="00D63BFB">
        <w:rPr>
          <w:rFonts w:ascii="Arial" w:hAnsi="Arial" w:cs="Arial"/>
        </w:rPr>
        <w:t>Second, much of the evidence was drawn from countries with mature governance frameworks and established nuclear industries, including the United Kingdom, United States, Canada and France. This may limit the applicability of the findings to developing economies or jurisdictions with less mature governance systems.</w:t>
      </w:r>
    </w:p>
    <w:p w14:paraId="25E7F456" w14:textId="77777777" w:rsidR="00E7193B" w:rsidRPr="00D63BFB" w:rsidRDefault="00E7193B" w:rsidP="00E7193B">
      <w:pPr>
        <w:spacing w:after="160" w:line="278" w:lineRule="auto"/>
        <w:jc w:val="both"/>
        <w:rPr>
          <w:rFonts w:ascii="Arial" w:hAnsi="Arial" w:cs="Arial"/>
        </w:rPr>
      </w:pPr>
      <w:r w:rsidRPr="00D63BFB">
        <w:rPr>
          <w:rFonts w:ascii="Arial" w:hAnsi="Arial" w:cs="Arial"/>
        </w:rPr>
        <w:t>Third, as SMR deployment remains at an early stage, many expected benefits relating to energy security, affordability and sustainability have yet to be fully demonstrated in practice. Consequently, some conclusions are based on projected outcomes and evidence from the wider nuclear sector.</w:t>
      </w:r>
    </w:p>
    <w:p w14:paraId="4E954BE0" w14:textId="77777777" w:rsidR="00E7193B" w:rsidRPr="00D63BFB" w:rsidRDefault="00E7193B" w:rsidP="00E7193B">
      <w:pPr>
        <w:spacing w:after="160" w:line="278" w:lineRule="auto"/>
        <w:jc w:val="both"/>
        <w:rPr>
          <w:rFonts w:ascii="Arial" w:hAnsi="Arial" w:cs="Arial"/>
        </w:rPr>
      </w:pPr>
      <w:r w:rsidRPr="00D63BFB">
        <w:rPr>
          <w:rFonts w:ascii="Arial" w:hAnsi="Arial" w:cs="Arial"/>
        </w:rPr>
        <w:t>Future research should incorporate primary data collection, including interviews with governance professionals, regulators and policymakers. Comparative and longitudinal studies would also provide a stronger basis for evaluating the long-term relationship between governance effectiveness and sustainable development outcomes within the SMR sector.</w:t>
      </w:r>
    </w:p>
    <w:p w14:paraId="376EB486" w14:textId="77777777" w:rsidR="00BC06C6" w:rsidRPr="00D63BFB" w:rsidRDefault="00BC06C6" w:rsidP="000123A6">
      <w:pPr>
        <w:spacing w:after="160" w:line="278" w:lineRule="auto"/>
        <w:jc w:val="both"/>
        <w:rPr>
          <w:rFonts w:ascii="Arial" w:hAnsi="Arial" w:cs="Arial"/>
        </w:rPr>
      </w:pPr>
    </w:p>
    <w:p w14:paraId="2D103A8B" w14:textId="77777777" w:rsidR="00BC06C6" w:rsidRPr="00D63BFB" w:rsidRDefault="00BC06C6" w:rsidP="000123A6">
      <w:pPr>
        <w:spacing w:after="160" w:line="278" w:lineRule="auto"/>
        <w:jc w:val="both"/>
        <w:rPr>
          <w:rFonts w:ascii="Arial" w:hAnsi="Arial" w:cs="Arial"/>
          <w:b/>
          <w:bCs/>
        </w:rPr>
      </w:pPr>
      <w:r w:rsidRPr="00D63BFB">
        <w:rPr>
          <w:rFonts w:ascii="Arial" w:hAnsi="Arial" w:cs="Arial"/>
          <w:b/>
          <w:bCs/>
        </w:rPr>
        <w:t>6.3 Recommendations</w:t>
      </w:r>
    </w:p>
    <w:p w14:paraId="62A2B35F" w14:textId="77777777" w:rsidR="00BC06C6" w:rsidRPr="00D63BFB" w:rsidRDefault="00BC06C6" w:rsidP="000123A6">
      <w:pPr>
        <w:spacing w:after="160" w:line="278" w:lineRule="auto"/>
        <w:jc w:val="both"/>
        <w:rPr>
          <w:rFonts w:ascii="Arial" w:hAnsi="Arial" w:cs="Arial"/>
        </w:rPr>
      </w:pPr>
      <w:r w:rsidRPr="00D63BFB">
        <w:rPr>
          <w:rFonts w:ascii="Arial" w:hAnsi="Arial" w:cs="Arial"/>
        </w:rPr>
        <w:t>Based on the findings of this study, the following recommendations are proposed for boards, governance professionals, regulators and policymakers involved in SMR development:</w:t>
      </w:r>
    </w:p>
    <w:p w14:paraId="0F91782C" w14:textId="720780AF" w:rsidR="00185DD1" w:rsidRPr="00D63BFB" w:rsidRDefault="00C00609" w:rsidP="002E6548">
      <w:pPr>
        <w:pStyle w:val="ListParagraph"/>
        <w:numPr>
          <w:ilvl w:val="0"/>
          <w:numId w:val="15"/>
        </w:numPr>
        <w:spacing w:after="0" w:line="300" w:lineRule="atLeast"/>
        <w:jc w:val="both"/>
        <w:rPr>
          <w:rFonts w:ascii="Arial" w:eastAsia="Times New Roman" w:hAnsi="Arial" w:cs="Arial"/>
          <w:lang w:eastAsia="en-GB"/>
        </w:rPr>
      </w:pPr>
      <w:r w:rsidRPr="00D63BFB">
        <w:rPr>
          <w:rFonts w:ascii="Arial" w:eastAsia="Times New Roman" w:hAnsi="Arial" w:cs="Arial"/>
          <w:lang w:eastAsia="en-GB"/>
        </w:rPr>
        <w:t>Boards should formally integrate SDG-related performance indicators into governance and performance reporting frameworks to strengthen oversight of sustainability outcomes.</w:t>
      </w:r>
    </w:p>
    <w:p w14:paraId="596C99D5" w14:textId="77777777" w:rsidR="002E6548" w:rsidRPr="00D63BFB" w:rsidRDefault="002E6548" w:rsidP="002E6548">
      <w:pPr>
        <w:pStyle w:val="ListParagraph"/>
        <w:spacing w:after="0" w:line="300" w:lineRule="atLeast"/>
        <w:jc w:val="both"/>
        <w:rPr>
          <w:rFonts w:ascii="Arial" w:eastAsia="Times New Roman" w:hAnsi="Arial" w:cs="Arial"/>
          <w:lang w:eastAsia="en-GB"/>
        </w:rPr>
      </w:pPr>
    </w:p>
    <w:p w14:paraId="1F3B609F" w14:textId="77777777" w:rsidR="002E6548" w:rsidRPr="00D63BFB" w:rsidRDefault="002E6548" w:rsidP="002E6548">
      <w:pPr>
        <w:pStyle w:val="ListParagraph"/>
        <w:numPr>
          <w:ilvl w:val="0"/>
          <w:numId w:val="15"/>
        </w:numPr>
        <w:spacing w:after="0" w:line="300" w:lineRule="atLeast"/>
        <w:rPr>
          <w:rFonts w:ascii="Arial" w:eastAsia="Times New Roman" w:hAnsi="Arial" w:cs="Arial"/>
          <w:lang w:eastAsia="en-GB"/>
        </w:rPr>
      </w:pPr>
      <w:r w:rsidRPr="00D63BFB">
        <w:rPr>
          <w:rFonts w:ascii="Arial" w:eastAsia="Times New Roman" w:hAnsi="Arial" w:cs="Arial"/>
          <w:lang w:eastAsia="en-GB"/>
        </w:rPr>
        <w:t>Audit, risk and assurance committees should strengthen independent challenge mechanisms to improve board oversight of delivery risks, project affordability and nuclear safety.</w:t>
      </w:r>
    </w:p>
    <w:p w14:paraId="70507073" w14:textId="77777777" w:rsidR="002E6548" w:rsidRPr="00D63BFB" w:rsidRDefault="002E6548" w:rsidP="002E6548">
      <w:pPr>
        <w:spacing w:after="0" w:line="300" w:lineRule="atLeast"/>
        <w:rPr>
          <w:rFonts w:ascii="Arial" w:eastAsia="Times New Roman" w:hAnsi="Arial" w:cs="Arial"/>
          <w:lang w:eastAsia="en-GB"/>
        </w:rPr>
      </w:pPr>
    </w:p>
    <w:p w14:paraId="0AD2EB99" w14:textId="77777777" w:rsidR="000A4E8B" w:rsidRPr="00D63BFB" w:rsidRDefault="000A4E8B" w:rsidP="00870EC5">
      <w:pPr>
        <w:pStyle w:val="ListParagraph"/>
        <w:numPr>
          <w:ilvl w:val="0"/>
          <w:numId w:val="15"/>
        </w:numPr>
        <w:spacing w:after="0" w:line="300" w:lineRule="atLeast"/>
        <w:jc w:val="both"/>
        <w:rPr>
          <w:rFonts w:ascii="Arial" w:eastAsia="Times New Roman" w:hAnsi="Arial" w:cs="Arial"/>
          <w:lang w:eastAsia="en-GB"/>
        </w:rPr>
      </w:pPr>
      <w:r w:rsidRPr="00D63BFB">
        <w:rPr>
          <w:rFonts w:ascii="Arial" w:eastAsia="Times New Roman" w:hAnsi="Arial" w:cs="Arial"/>
          <w:lang w:eastAsia="en-GB"/>
        </w:rPr>
        <w:t>Boards should enhance ESG and sustainability reporting by placing greater emphasis on governance effectiveness and measurable outcomes rather than process-based disclosures alone.</w:t>
      </w:r>
    </w:p>
    <w:p w14:paraId="54337A25" w14:textId="77777777" w:rsidR="00870EC5" w:rsidRPr="00D63BFB" w:rsidRDefault="00870EC5" w:rsidP="00870EC5">
      <w:pPr>
        <w:spacing w:after="160" w:line="278" w:lineRule="auto"/>
        <w:ind w:left="720"/>
        <w:jc w:val="both"/>
        <w:rPr>
          <w:rFonts w:ascii="Arial" w:hAnsi="Arial" w:cs="Arial"/>
        </w:rPr>
      </w:pPr>
    </w:p>
    <w:p w14:paraId="6DA46412" w14:textId="43D81892" w:rsidR="00BC06C6" w:rsidRPr="00D63BFB" w:rsidRDefault="00BC06C6">
      <w:pPr>
        <w:numPr>
          <w:ilvl w:val="0"/>
          <w:numId w:val="15"/>
        </w:numPr>
        <w:spacing w:after="160" w:line="278" w:lineRule="auto"/>
        <w:jc w:val="both"/>
        <w:rPr>
          <w:rFonts w:ascii="Arial" w:hAnsi="Arial" w:cs="Arial"/>
        </w:rPr>
      </w:pPr>
      <w:r w:rsidRPr="00D63BFB">
        <w:rPr>
          <w:rFonts w:ascii="Arial" w:hAnsi="Arial" w:cs="Arial"/>
        </w:rPr>
        <w:t>Establish formal stakeholder governance frameworks that support transparency, community engagement and the maintenance of a social licence to operate.</w:t>
      </w:r>
    </w:p>
    <w:p w14:paraId="569FF5CE" w14:textId="77777777" w:rsidR="00BC06C6" w:rsidRPr="00D63BFB" w:rsidRDefault="00BC06C6">
      <w:pPr>
        <w:numPr>
          <w:ilvl w:val="0"/>
          <w:numId w:val="15"/>
        </w:numPr>
        <w:spacing w:after="160" w:line="278" w:lineRule="auto"/>
        <w:jc w:val="both"/>
        <w:rPr>
          <w:rFonts w:ascii="Arial" w:hAnsi="Arial" w:cs="Arial"/>
        </w:rPr>
      </w:pPr>
      <w:r w:rsidRPr="00D63BFB">
        <w:rPr>
          <w:rFonts w:ascii="Arial" w:hAnsi="Arial" w:cs="Arial"/>
        </w:rPr>
        <w:t>Apply Public Value Governance principles when evaluating investment decisions by considering societal benefits alongside financial returns.</w:t>
      </w:r>
    </w:p>
    <w:p w14:paraId="620F82A2" w14:textId="77777777" w:rsidR="00BC06C6" w:rsidRPr="00D63BFB" w:rsidRDefault="00BC06C6">
      <w:pPr>
        <w:numPr>
          <w:ilvl w:val="0"/>
          <w:numId w:val="15"/>
        </w:numPr>
        <w:spacing w:after="160" w:line="278" w:lineRule="auto"/>
        <w:jc w:val="both"/>
        <w:rPr>
          <w:rFonts w:ascii="Arial" w:hAnsi="Arial" w:cs="Arial"/>
        </w:rPr>
      </w:pPr>
      <w:r w:rsidRPr="00D63BFB">
        <w:rPr>
          <w:rFonts w:ascii="Arial" w:hAnsi="Arial" w:cs="Arial"/>
        </w:rPr>
        <w:t>Increase transparency across the nuclear lifecycle, including project development, operation, decommissioning and long-term waste management activities.</w:t>
      </w:r>
    </w:p>
    <w:p w14:paraId="08136961" w14:textId="77777777" w:rsidR="00BC06C6" w:rsidRPr="00D63BFB" w:rsidRDefault="00BC06C6">
      <w:pPr>
        <w:numPr>
          <w:ilvl w:val="0"/>
          <w:numId w:val="15"/>
        </w:numPr>
        <w:spacing w:after="160" w:line="278" w:lineRule="auto"/>
        <w:jc w:val="both"/>
        <w:rPr>
          <w:rFonts w:ascii="Arial" w:hAnsi="Arial" w:cs="Arial"/>
        </w:rPr>
      </w:pPr>
      <w:r w:rsidRPr="00D63BFB">
        <w:rPr>
          <w:rFonts w:ascii="Arial" w:hAnsi="Arial" w:cs="Arial"/>
        </w:rPr>
        <w:t>Strengthen workforce succession planning, leadership development and knowledge-management programmes to address emerging skills shortages within the nuclear sector.</w:t>
      </w:r>
    </w:p>
    <w:p w14:paraId="6BBE709F" w14:textId="77777777" w:rsidR="00BC06C6" w:rsidRPr="00D63BFB" w:rsidRDefault="00BC06C6">
      <w:pPr>
        <w:numPr>
          <w:ilvl w:val="0"/>
          <w:numId w:val="15"/>
        </w:numPr>
        <w:spacing w:after="160" w:line="278" w:lineRule="auto"/>
        <w:jc w:val="both"/>
        <w:rPr>
          <w:rFonts w:ascii="Arial" w:hAnsi="Arial" w:cs="Arial"/>
        </w:rPr>
      </w:pPr>
      <w:r w:rsidRPr="00D63BFB">
        <w:rPr>
          <w:rFonts w:ascii="Arial" w:hAnsi="Arial" w:cs="Arial"/>
        </w:rPr>
        <w:t>Develop dedicated governance arrangements for decommissioning and waste management to ensure accountability extends beyond operational project lifecycles.</w:t>
      </w:r>
    </w:p>
    <w:p w14:paraId="03F3816C" w14:textId="77777777" w:rsidR="00BC06C6" w:rsidRPr="00D63BFB" w:rsidRDefault="00BC06C6">
      <w:pPr>
        <w:numPr>
          <w:ilvl w:val="0"/>
          <w:numId w:val="15"/>
        </w:numPr>
        <w:spacing w:after="160" w:line="278" w:lineRule="auto"/>
        <w:jc w:val="both"/>
        <w:rPr>
          <w:rFonts w:ascii="Arial" w:hAnsi="Arial" w:cs="Arial"/>
        </w:rPr>
      </w:pPr>
      <w:r w:rsidRPr="00D63BFB">
        <w:rPr>
          <w:rFonts w:ascii="Arial" w:hAnsi="Arial" w:cs="Arial"/>
        </w:rPr>
        <w:t>Continue monitoring governance effectiveness as commercial SMR deployment expands, enabling organisations to adapt governance practices in response to evolving technological, regulatory and societal expectations.</w:t>
      </w:r>
    </w:p>
    <w:p w14:paraId="7B014EDD" w14:textId="77777777" w:rsidR="00BF665E" w:rsidRPr="00D63BFB" w:rsidRDefault="00BF665E" w:rsidP="00BF665E">
      <w:pPr>
        <w:pStyle w:val="ListParagraph"/>
        <w:numPr>
          <w:ilvl w:val="0"/>
          <w:numId w:val="15"/>
        </w:numPr>
        <w:spacing w:after="160" w:line="278" w:lineRule="auto"/>
        <w:jc w:val="both"/>
        <w:rPr>
          <w:rFonts w:ascii="Arial" w:hAnsi="Arial" w:cs="Arial"/>
        </w:rPr>
      </w:pPr>
      <w:r w:rsidRPr="00D63BFB">
        <w:rPr>
          <w:rFonts w:ascii="Arial" w:hAnsi="Arial" w:cs="Arial"/>
        </w:rPr>
        <w:t>Boards should regularly evaluate their effectiveness and maintain sufficient expertise in nuclear governance, sustainability, stakeholder engagement and strategic risk management.</w:t>
      </w:r>
    </w:p>
    <w:p w14:paraId="0737F19E" w14:textId="77777777" w:rsidR="000931B4" w:rsidRPr="00D63BFB" w:rsidRDefault="000931B4" w:rsidP="000931B4">
      <w:pPr>
        <w:spacing w:after="160" w:line="278" w:lineRule="auto"/>
        <w:ind w:left="720"/>
        <w:jc w:val="both"/>
        <w:rPr>
          <w:rFonts w:ascii="Arial" w:hAnsi="Arial" w:cs="Arial"/>
        </w:rPr>
      </w:pPr>
    </w:p>
    <w:p w14:paraId="429DD17F" w14:textId="77777777" w:rsidR="00166C6F" w:rsidRPr="00D63BFB" w:rsidRDefault="00166C6F" w:rsidP="000123A6">
      <w:pPr>
        <w:jc w:val="both"/>
        <w:rPr>
          <w:rFonts w:ascii="Arial" w:hAnsi="Arial" w:cs="Arial"/>
        </w:rPr>
      </w:pPr>
    </w:p>
    <w:p w14:paraId="1AAE7C4E" w14:textId="785C8C3E" w:rsidR="002B6A4F" w:rsidRPr="00D63BFB" w:rsidRDefault="007F31B9" w:rsidP="000123A6">
      <w:pPr>
        <w:jc w:val="both"/>
        <w:rPr>
          <w:rFonts w:ascii="Arial" w:hAnsi="Arial" w:cs="Arial"/>
          <w:b/>
          <w:bCs/>
        </w:rPr>
      </w:pPr>
      <w:r w:rsidRPr="00D63BFB">
        <w:rPr>
          <w:rFonts w:ascii="Arial" w:hAnsi="Arial" w:cs="Arial"/>
          <w:b/>
          <w:bCs/>
        </w:rPr>
        <w:t>Total Word Count: 6,365</w:t>
      </w:r>
    </w:p>
    <w:p w14:paraId="5D560CED" w14:textId="77777777" w:rsidR="002B6A4F" w:rsidRPr="00D63BFB" w:rsidRDefault="002B6A4F" w:rsidP="000123A6">
      <w:pPr>
        <w:jc w:val="both"/>
        <w:rPr>
          <w:rFonts w:ascii="Arial" w:hAnsi="Arial" w:cs="Arial"/>
        </w:rPr>
      </w:pPr>
    </w:p>
    <w:p w14:paraId="70CA7204" w14:textId="77777777" w:rsidR="002B6A4F" w:rsidRPr="00D63BFB" w:rsidRDefault="002B6A4F" w:rsidP="000123A6">
      <w:pPr>
        <w:jc w:val="both"/>
        <w:rPr>
          <w:rFonts w:ascii="Arial" w:hAnsi="Arial" w:cs="Arial"/>
        </w:rPr>
      </w:pPr>
    </w:p>
    <w:p w14:paraId="170D7E16" w14:textId="77777777" w:rsidR="00F84653" w:rsidRDefault="00F84653" w:rsidP="000123A6">
      <w:pPr>
        <w:pStyle w:val="ListBullet"/>
        <w:numPr>
          <w:ilvl w:val="0"/>
          <w:numId w:val="0"/>
        </w:numPr>
        <w:jc w:val="both"/>
        <w:rPr>
          <w:rFonts w:ascii="Arial" w:hAnsi="Arial" w:cs="Arial"/>
        </w:rPr>
      </w:pPr>
    </w:p>
    <w:p w14:paraId="3F9FB713" w14:textId="77777777" w:rsidR="00D63BFB" w:rsidRDefault="00D63BFB" w:rsidP="000123A6">
      <w:pPr>
        <w:pStyle w:val="ListBullet"/>
        <w:numPr>
          <w:ilvl w:val="0"/>
          <w:numId w:val="0"/>
        </w:numPr>
        <w:jc w:val="both"/>
        <w:rPr>
          <w:rFonts w:ascii="Arial" w:hAnsi="Arial" w:cs="Arial"/>
        </w:rPr>
      </w:pPr>
    </w:p>
    <w:p w14:paraId="2A54F482" w14:textId="77777777" w:rsidR="00D63BFB" w:rsidRDefault="00D63BFB" w:rsidP="000123A6">
      <w:pPr>
        <w:pStyle w:val="ListBullet"/>
        <w:numPr>
          <w:ilvl w:val="0"/>
          <w:numId w:val="0"/>
        </w:numPr>
        <w:jc w:val="both"/>
        <w:rPr>
          <w:rFonts w:ascii="Arial" w:hAnsi="Arial" w:cs="Arial"/>
        </w:rPr>
      </w:pPr>
    </w:p>
    <w:p w14:paraId="42FED5F4" w14:textId="77777777" w:rsidR="00D63BFB" w:rsidRDefault="00D63BFB" w:rsidP="000123A6">
      <w:pPr>
        <w:pStyle w:val="ListBullet"/>
        <w:numPr>
          <w:ilvl w:val="0"/>
          <w:numId w:val="0"/>
        </w:numPr>
        <w:jc w:val="both"/>
        <w:rPr>
          <w:rFonts w:ascii="Arial" w:hAnsi="Arial" w:cs="Arial"/>
        </w:rPr>
      </w:pPr>
    </w:p>
    <w:p w14:paraId="77A6DC10" w14:textId="77777777" w:rsidR="00D63BFB" w:rsidRDefault="00D63BFB" w:rsidP="000123A6">
      <w:pPr>
        <w:pStyle w:val="ListBullet"/>
        <w:numPr>
          <w:ilvl w:val="0"/>
          <w:numId w:val="0"/>
        </w:numPr>
        <w:jc w:val="both"/>
        <w:rPr>
          <w:rFonts w:ascii="Arial" w:hAnsi="Arial" w:cs="Arial"/>
        </w:rPr>
      </w:pPr>
    </w:p>
    <w:p w14:paraId="7E46C00F" w14:textId="77777777" w:rsidR="00D63BFB" w:rsidRDefault="00D63BFB" w:rsidP="000123A6">
      <w:pPr>
        <w:pStyle w:val="ListBullet"/>
        <w:numPr>
          <w:ilvl w:val="0"/>
          <w:numId w:val="0"/>
        </w:numPr>
        <w:jc w:val="both"/>
        <w:rPr>
          <w:rFonts w:ascii="Arial" w:hAnsi="Arial" w:cs="Arial"/>
        </w:rPr>
      </w:pPr>
    </w:p>
    <w:p w14:paraId="55730EAF" w14:textId="77777777" w:rsidR="00D63BFB" w:rsidRDefault="00D63BFB" w:rsidP="000123A6">
      <w:pPr>
        <w:pStyle w:val="ListBullet"/>
        <w:numPr>
          <w:ilvl w:val="0"/>
          <w:numId w:val="0"/>
        </w:numPr>
        <w:jc w:val="both"/>
        <w:rPr>
          <w:rFonts w:ascii="Arial" w:hAnsi="Arial" w:cs="Arial"/>
        </w:rPr>
      </w:pPr>
    </w:p>
    <w:p w14:paraId="43EE6996" w14:textId="77777777" w:rsidR="00D63BFB" w:rsidRPr="00D63BFB" w:rsidRDefault="00D63BFB" w:rsidP="000123A6">
      <w:pPr>
        <w:pStyle w:val="ListBullet"/>
        <w:numPr>
          <w:ilvl w:val="0"/>
          <w:numId w:val="0"/>
        </w:numPr>
        <w:jc w:val="both"/>
        <w:rPr>
          <w:rFonts w:ascii="Arial" w:hAnsi="Arial" w:cs="Arial"/>
        </w:rPr>
      </w:pPr>
    </w:p>
    <w:p w14:paraId="6024117A" w14:textId="77777777" w:rsidR="00EC163B" w:rsidRPr="00D63BFB" w:rsidRDefault="00EC163B" w:rsidP="000123A6">
      <w:pPr>
        <w:pStyle w:val="ListBullet"/>
        <w:numPr>
          <w:ilvl w:val="0"/>
          <w:numId w:val="0"/>
        </w:numPr>
        <w:jc w:val="both"/>
        <w:rPr>
          <w:rFonts w:ascii="Arial" w:hAnsi="Arial" w:cs="Arial"/>
        </w:rPr>
      </w:pPr>
    </w:p>
    <w:p w14:paraId="071E4E01" w14:textId="77777777" w:rsidR="00002880" w:rsidRPr="00D63BFB" w:rsidRDefault="00FD3ED5" w:rsidP="000123A6">
      <w:pPr>
        <w:pStyle w:val="Heading1"/>
        <w:jc w:val="both"/>
        <w:rPr>
          <w:rFonts w:ascii="Arial" w:hAnsi="Arial" w:cs="Arial"/>
          <w:color w:val="auto"/>
          <w:sz w:val="22"/>
          <w:szCs w:val="22"/>
        </w:rPr>
      </w:pPr>
      <w:r w:rsidRPr="00D63BFB">
        <w:rPr>
          <w:rFonts w:ascii="Arial" w:hAnsi="Arial" w:cs="Arial"/>
          <w:color w:val="auto"/>
          <w:sz w:val="22"/>
          <w:szCs w:val="22"/>
        </w:rPr>
        <w:t>References</w:t>
      </w:r>
    </w:p>
    <w:p w14:paraId="497AD7B1" w14:textId="77777777" w:rsidR="0071244F" w:rsidRPr="00D63BFB" w:rsidRDefault="0071244F" w:rsidP="000123A6">
      <w:pPr>
        <w:spacing w:after="160" w:line="278" w:lineRule="auto"/>
        <w:jc w:val="both"/>
        <w:rPr>
          <w:rFonts w:ascii="Arial" w:hAnsi="Arial" w:cs="Arial"/>
        </w:rPr>
      </w:pPr>
      <w:r w:rsidRPr="00D63BFB">
        <w:rPr>
          <w:rFonts w:ascii="Arial" w:hAnsi="Arial" w:cs="Arial"/>
        </w:rPr>
        <w:t xml:space="preserve">Aldrich, D.P. (2017) </w:t>
      </w:r>
      <w:r w:rsidRPr="00D63BFB">
        <w:rPr>
          <w:rFonts w:ascii="Arial" w:hAnsi="Arial" w:cs="Arial"/>
          <w:i/>
          <w:iCs/>
        </w:rPr>
        <w:t>Black Wave: How Networks and Governance Shaped Japan's 3/11 Disasters</w:t>
      </w:r>
      <w:r w:rsidRPr="00D63BFB">
        <w:rPr>
          <w:rFonts w:ascii="Arial" w:hAnsi="Arial" w:cs="Arial"/>
        </w:rPr>
        <w:t>. Chicago: University of Chicago Press.</w:t>
      </w:r>
    </w:p>
    <w:p w14:paraId="1BAE472D" w14:textId="77777777" w:rsidR="0071244F" w:rsidRPr="00D63BFB" w:rsidRDefault="0071244F" w:rsidP="000123A6">
      <w:pPr>
        <w:spacing w:after="160" w:line="278" w:lineRule="auto"/>
        <w:jc w:val="both"/>
        <w:rPr>
          <w:rFonts w:ascii="Arial" w:hAnsi="Arial" w:cs="Arial"/>
        </w:rPr>
      </w:pPr>
      <w:proofErr w:type="spellStart"/>
      <w:r w:rsidRPr="00D63BFB">
        <w:rPr>
          <w:rFonts w:ascii="Arial" w:hAnsi="Arial" w:cs="Arial"/>
        </w:rPr>
        <w:t>Boutilier</w:t>
      </w:r>
      <w:proofErr w:type="spellEnd"/>
      <w:r w:rsidRPr="00D63BFB">
        <w:rPr>
          <w:rFonts w:ascii="Arial" w:hAnsi="Arial" w:cs="Arial"/>
        </w:rPr>
        <w:t xml:space="preserve">, R.G. and Thomson, I. (2011) ‘Modelling and measuring the social licence to operate’, in </w:t>
      </w:r>
      <w:r w:rsidRPr="00D63BFB">
        <w:rPr>
          <w:rFonts w:ascii="Arial" w:hAnsi="Arial" w:cs="Arial"/>
          <w:i/>
          <w:iCs/>
        </w:rPr>
        <w:t>Proceedings of the International Mine Management Conference</w:t>
      </w:r>
      <w:r w:rsidRPr="00D63BFB">
        <w:rPr>
          <w:rFonts w:ascii="Arial" w:hAnsi="Arial" w:cs="Arial"/>
        </w:rPr>
        <w:t>. Melbourne, Australia, pp. 1-15.</w:t>
      </w:r>
    </w:p>
    <w:p w14:paraId="2010D67F" w14:textId="60206ACF" w:rsidR="00D40CBC" w:rsidRPr="00D63BFB" w:rsidRDefault="00D40CBC" w:rsidP="000123A6">
      <w:pPr>
        <w:spacing w:after="160" w:line="278" w:lineRule="auto"/>
        <w:jc w:val="both"/>
        <w:rPr>
          <w:rFonts w:ascii="Arial" w:hAnsi="Arial" w:cs="Arial"/>
        </w:rPr>
      </w:pPr>
      <w:r w:rsidRPr="00D63BFB">
        <w:rPr>
          <w:rFonts w:ascii="Arial" w:hAnsi="Arial" w:cs="Arial"/>
        </w:rPr>
        <w:t xml:space="preserve">Biermann, F., </w:t>
      </w:r>
      <w:proofErr w:type="spellStart"/>
      <w:r w:rsidRPr="00D63BFB">
        <w:rPr>
          <w:rFonts w:ascii="Arial" w:hAnsi="Arial" w:cs="Arial"/>
        </w:rPr>
        <w:t>Hickmann</w:t>
      </w:r>
      <w:proofErr w:type="spellEnd"/>
      <w:r w:rsidRPr="00D63BFB">
        <w:rPr>
          <w:rFonts w:ascii="Arial" w:hAnsi="Arial" w:cs="Arial"/>
        </w:rPr>
        <w:t xml:space="preserve">, T. and </w:t>
      </w:r>
      <w:proofErr w:type="spellStart"/>
      <w:r w:rsidRPr="00D63BFB">
        <w:rPr>
          <w:rFonts w:ascii="Arial" w:hAnsi="Arial" w:cs="Arial"/>
        </w:rPr>
        <w:t>Sénit</w:t>
      </w:r>
      <w:proofErr w:type="spellEnd"/>
      <w:r w:rsidRPr="00D63BFB">
        <w:rPr>
          <w:rFonts w:ascii="Arial" w:hAnsi="Arial" w:cs="Arial"/>
        </w:rPr>
        <w:t xml:space="preserve">, C.-A. (2022) ‘Scientific evidence on the political impact of the Sustainable Development Goals’, </w:t>
      </w:r>
      <w:r w:rsidRPr="00D63BFB">
        <w:rPr>
          <w:rFonts w:ascii="Arial" w:hAnsi="Arial" w:cs="Arial"/>
          <w:i/>
          <w:iCs/>
        </w:rPr>
        <w:t>Nature Sustainability</w:t>
      </w:r>
      <w:r w:rsidRPr="00D63BFB">
        <w:rPr>
          <w:rFonts w:ascii="Arial" w:hAnsi="Arial" w:cs="Arial"/>
        </w:rPr>
        <w:t xml:space="preserve">, 5(9), pp. 795–800. Available at: </w:t>
      </w:r>
      <w:hyperlink r:id="rId8" w:history="1">
        <w:r w:rsidR="002B0977" w:rsidRPr="00D63BFB">
          <w:rPr>
            <w:rStyle w:val="Hyperlink"/>
            <w:rFonts w:ascii="Arial" w:hAnsi="Arial" w:cs="Arial"/>
          </w:rPr>
          <w:t>https://doi.org/10.1038/s41893-022-00909-5</w:t>
        </w:r>
      </w:hyperlink>
      <w:r w:rsidR="002B0977" w:rsidRPr="00D63BFB">
        <w:rPr>
          <w:rFonts w:ascii="Arial" w:hAnsi="Arial" w:cs="Arial"/>
        </w:rPr>
        <w:t xml:space="preserve"> </w:t>
      </w:r>
      <w:r w:rsidR="00BC230F" w:rsidRPr="00D63BFB">
        <w:rPr>
          <w:rFonts w:ascii="Arial" w:hAnsi="Arial" w:cs="Arial"/>
        </w:rPr>
        <w:t>[</w:t>
      </w:r>
      <w:r w:rsidRPr="00D63BFB">
        <w:rPr>
          <w:rFonts w:ascii="Arial" w:hAnsi="Arial" w:cs="Arial"/>
        </w:rPr>
        <w:t xml:space="preserve">Accessed: </w:t>
      </w:r>
      <w:r w:rsidR="00BC230F" w:rsidRPr="00D63BFB">
        <w:rPr>
          <w:rFonts w:ascii="Arial" w:hAnsi="Arial" w:cs="Arial"/>
        </w:rPr>
        <w:t>6 August</w:t>
      </w:r>
      <w:r w:rsidRPr="00D63BFB">
        <w:rPr>
          <w:rFonts w:ascii="Arial" w:hAnsi="Arial" w:cs="Arial"/>
        </w:rPr>
        <w:t xml:space="preserve"> 2026</w:t>
      </w:r>
      <w:r w:rsidR="00BC230F" w:rsidRPr="00D63BFB">
        <w:rPr>
          <w:rFonts w:ascii="Arial" w:hAnsi="Arial" w:cs="Arial"/>
        </w:rPr>
        <w:t>]</w:t>
      </w:r>
      <w:r w:rsidRPr="00D63BFB">
        <w:rPr>
          <w:rFonts w:ascii="Arial" w:hAnsi="Arial" w:cs="Arial"/>
        </w:rPr>
        <w:t>.</w:t>
      </w:r>
    </w:p>
    <w:p w14:paraId="07ED4359" w14:textId="77777777" w:rsidR="0071244F" w:rsidRPr="00D63BFB" w:rsidRDefault="0071244F" w:rsidP="000123A6">
      <w:pPr>
        <w:spacing w:after="160" w:line="278" w:lineRule="auto"/>
        <w:jc w:val="both"/>
        <w:rPr>
          <w:rFonts w:ascii="Arial" w:hAnsi="Arial" w:cs="Arial"/>
        </w:rPr>
      </w:pPr>
      <w:r w:rsidRPr="00D63BFB">
        <w:rPr>
          <w:rFonts w:ascii="Arial" w:hAnsi="Arial" w:cs="Arial"/>
        </w:rPr>
        <w:t xml:space="preserve">Braun, V. and Clarke, V. (2022) </w:t>
      </w:r>
      <w:r w:rsidRPr="00D63BFB">
        <w:rPr>
          <w:rFonts w:ascii="Arial" w:hAnsi="Arial" w:cs="Arial"/>
          <w:i/>
          <w:iCs/>
        </w:rPr>
        <w:t>Thematic Analysis: A Practical Guide</w:t>
      </w:r>
      <w:r w:rsidRPr="00D63BFB">
        <w:rPr>
          <w:rFonts w:ascii="Arial" w:hAnsi="Arial" w:cs="Arial"/>
        </w:rPr>
        <w:t>. London: Sage.</w:t>
      </w:r>
    </w:p>
    <w:p w14:paraId="2F5C1208" w14:textId="77777777" w:rsidR="0071244F" w:rsidRPr="00D63BFB" w:rsidRDefault="0071244F" w:rsidP="000123A6">
      <w:pPr>
        <w:spacing w:after="160" w:line="278" w:lineRule="auto"/>
        <w:jc w:val="both"/>
        <w:rPr>
          <w:rFonts w:ascii="Arial" w:hAnsi="Arial" w:cs="Arial"/>
        </w:rPr>
      </w:pPr>
      <w:r w:rsidRPr="00D63BFB">
        <w:rPr>
          <w:rFonts w:ascii="Arial" w:hAnsi="Arial" w:cs="Arial"/>
        </w:rPr>
        <w:t xml:space="preserve">Bryson, J.M., Crosby, B.C. and Bloomberg, L. (2014) ‘Public value governance: Moving beyond traditional public administration and the New Public Management’, </w:t>
      </w:r>
      <w:r w:rsidRPr="00D63BFB">
        <w:rPr>
          <w:rFonts w:ascii="Arial" w:hAnsi="Arial" w:cs="Arial"/>
          <w:i/>
          <w:iCs/>
        </w:rPr>
        <w:t>Public Administration Review</w:t>
      </w:r>
      <w:r w:rsidRPr="00D63BFB">
        <w:rPr>
          <w:rFonts w:ascii="Arial" w:hAnsi="Arial" w:cs="Arial"/>
        </w:rPr>
        <w:t>, 74(4), pp. 445-456.</w:t>
      </w:r>
    </w:p>
    <w:p w14:paraId="7A2C855C" w14:textId="445C9113" w:rsidR="0071244F" w:rsidRPr="00D63BFB" w:rsidRDefault="0071244F" w:rsidP="000123A6">
      <w:pPr>
        <w:spacing w:after="160" w:line="278" w:lineRule="auto"/>
        <w:jc w:val="both"/>
        <w:rPr>
          <w:rFonts w:ascii="Arial" w:hAnsi="Arial" w:cs="Arial"/>
        </w:rPr>
      </w:pPr>
      <w:r w:rsidRPr="00D63BFB">
        <w:rPr>
          <w:rFonts w:ascii="Arial" w:hAnsi="Arial" w:cs="Arial"/>
        </w:rPr>
        <w:t xml:space="preserve">Cadbury, A. (1992) </w:t>
      </w:r>
      <w:r w:rsidRPr="00D63BFB">
        <w:rPr>
          <w:rFonts w:ascii="Arial" w:hAnsi="Arial" w:cs="Arial"/>
          <w:i/>
          <w:iCs/>
        </w:rPr>
        <w:t>Report of the Committee on the Financial Aspects of Corporate Governance</w:t>
      </w:r>
      <w:r w:rsidRPr="00D63BFB">
        <w:rPr>
          <w:rFonts w:ascii="Arial" w:hAnsi="Arial" w:cs="Arial"/>
        </w:rPr>
        <w:t>. London: Gee Publishing.</w:t>
      </w:r>
      <w:r w:rsidR="00F03D05" w:rsidRPr="00D63BFB">
        <w:rPr>
          <w:rFonts w:ascii="Arial" w:hAnsi="Arial" w:cs="Arial"/>
        </w:rPr>
        <w:t xml:space="preserve"> Available at: </w:t>
      </w:r>
      <w:hyperlink r:id="rId9" w:history="1">
        <w:r w:rsidR="00F03D05" w:rsidRPr="00D63BFB">
          <w:rPr>
            <w:rStyle w:val="Hyperlink"/>
            <w:rFonts w:ascii="Arial" w:hAnsi="Arial" w:cs="Arial"/>
          </w:rPr>
          <w:t>Cadbury report | Codes &amp; reports | Corporate Governance | ICAEW</w:t>
        </w:r>
      </w:hyperlink>
      <w:r w:rsidR="003F3DD5" w:rsidRPr="00D63BFB">
        <w:rPr>
          <w:rFonts w:ascii="Arial" w:hAnsi="Arial" w:cs="Arial"/>
        </w:rPr>
        <w:t xml:space="preserve"> [Accessed 22 June 2026].</w:t>
      </w:r>
    </w:p>
    <w:p w14:paraId="53B1A1E9" w14:textId="4907113C" w:rsidR="00641E29" w:rsidRPr="00D63BFB" w:rsidRDefault="00641E29" w:rsidP="00641E29">
      <w:pPr>
        <w:jc w:val="both"/>
        <w:rPr>
          <w:rFonts w:ascii="Arial" w:hAnsi="Arial" w:cs="Arial"/>
        </w:rPr>
      </w:pPr>
      <w:r w:rsidRPr="00D63BFB">
        <w:rPr>
          <w:rFonts w:ascii="Arial" w:hAnsi="Arial" w:cs="Arial"/>
        </w:rPr>
        <w:t xml:space="preserve">Davis, J.H., </w:t>
      </w:r>
      <w:proofErr w:type="spellStart"/>
      <w:r w:rsidRPr="00D63BFB">
        <w:rPr>
          <w:rFonts w:ascii="Arial" w:hAnsi="Arial" w:cs="Arial"/>
        </w:rPr>
        <w:t>Schoorman</w:t>
      </w:r>
      <w:proofErr w:type="spellEnd"/>
      <w:r w:rsidRPr="00D63BFB">
        <w:rPr>
          <w:rFonts w:ascii="Arial" w:hAnsi="Arial" w:cs="Arial"/>
        </w:rPr>
        <w:t>, F.D. and Donaldson, L. (1997) ‘Toward a stewardship theory of management’, Academy of Management Review, 22(1), pp. 20-47.</w:t>
      </w:r>
    </w:p>
    <w:p w14:paraId="4F158332" w14:textId="0AD6C690" w:rsidR="005F39BA" w:rsidRPr="00D63BFB" w:rsidRDefault="005F39BA" w:rsidP="000123A6">
      <w:pPr>
        <w:spacing w:after="160" w:line="278" w:lineRule="auto"/>
        <w:jc w:val="both"/>
        <w:rPr>
          <w:rFonts w:ascii="Arial" w:hAnsi="Arial" w:cs="Arial"/>
        </w:rPr>
      </w:pPr>
      <w:r w:rsidRPr="00D63BFB">
        <w:rPr>
          <w:rFonts w:ascii="Arial" w:hAnsi="Arial" w:cs="Arial"/>
        </w:rPr>
        <w:t xml:space="preserve">Department for Energy Security and Net Zero (DESNZ) (2024) Civil Nuclear: Roadmap to 2050. London: Department for Energy Security and Net Zero. Available at: </w:t>
      </w:r>
      <w:hyperlink r:id="rId10" w:history="1">
        <w:r w:rsidRPr="00D63BFB">
          <w:rPr>
            <w:rStyle w:val="Hyperlink"/>
            <w:rFonts w:ascii="Arial" w:hAnsi="Arial" w:cs="Arial"/>
          </w:rPr>
          <w:t>https://www.gov.uk/government/publications/civil-nuclear-roadmap-to-2050</w:t>
        </w:r>
      </w:hyperlink>
      <w:r w:rsidRPr="00D63BFB">
        <w:rPr>
          <w:rFonts w:ascii="Arial" w:hAnsi="Arial" w:cs="Arial"/>
        </w:rPr>
        <w:t xml:space="preserve"> [Accessed: 6 July 2026].</w:t>
      </w:r>
    </w:p>
    <w:p w14:paraId="637ADA14" w14:textId="77777777" w:rsidR="00A440D0" w:rsidRPr="00D63BFB" w:rsidRDefault="00A440D0" w:rsidP="00A440D0">
      <w:pPr>
        <w:spacing w:after="160" w:line="278" w:lineRule="auto"/>
        <w:jc w:val="both"/>
        <w:rPr>
          <w:rFonts w:ascii="Arial" w:hAnsi="Arial" w:cs="Arial"/>
        </w:rPr>
      </w:pPr>
      <w:r w:rsidRPr="00D63BFB">
        <w:rPr>
          <w:rFonts w:ascii="Arial" w:hAnsi="Arial" w:cs="Arial"/>
        </w:rPr>
        <w:t xml:space="preserve">Financial Reporting Council (FRC) (2024) UK Corporate Governance Code. London: Financial Reporting Council. Available at: </w:t>
      </w:r>
      <w:hyperlink r:id="rId11" w:history="1">
        <w:r w:rsidRPr="00D63BFB">
          <w:rPr>
            <w:rStyle w:val="Hyperlink"/>
            <w:rFonts w:ascii="Arial" w:hAnsi="Arial" w:cs="Arial"/>
          </w:rPr>
          <w:t>https://www.frc.org.uk/library/standards-codes-policy/corporate-governance/uk-corporate-governance-code/</w:t>
        </w:r>
      </w:hyperlink>
      <w:r w:rsidRPr="00D63BFB">
        <w:rPr>
          <w:rFonts w:ascii="Arial" w:hAnsi="Arial" w:cs="Arial"/>
        </w:rPr>
        <w:t xml:space="preserve"> [Accessed: 31 July 2026].</w:t>
      </w:r>
    </w:p>
    <w:p w14:paraId="77E281EE" w14:textId="77777777" w:rsidR="00931B2B" w:rsidRPr="00D63BFB" w:rsidRDefault="00931B2B" w:rsidP="00931B2B">
      <w:pPr>
        <w:spacing w:after="160" w:line="278" w:lineRule="auto"/>
        <w:jc w:val="both"/>
        <w:rPr>
          <w:rFonts w:ascii="Arial" w:hAnsi="Arial" w:cs="Arial"/>
        </w:rPr>
      </w:pPr>
      <w:proofErr w:type="spellStart"/>
      <w:r w:rsidRPr="00D63BFB">
        <w:rPr>
          <w:rFonts w:ascii="Arial" w:hAnsi="Arial" w:cs="Arial"/>
        </w:rPr>
        <w:t>Flyvbjerg</w:t>
      </w:r>
      <w:proofErr w:type="spellEnd"/>
      <w:r w:rsidRPr="00D63BFB">
        <w:rPr>
          <w:rFonts w:ascii="Arial" w:hAnsi="Arial" w:cs="Arial"/>
        </w:rPr>
        <w:t xml:space="preserve">, B. and Gardner, D. (2023) </w:t>
      </w:r>
      <w:r w:rsidRPr="00D63BFB">
        <w:rPr>
          <w:rFonts w:ascii="Arial" w:hAnsi="Arial" w:cs="Arial"/>
          <w:i/>
          <w:iCs/>
        </w:rPr>
        <w:t>How Big Things Get Done</w:t>
      </w:r>
      <w:r w:rsidRPr="00D63BFB">
        <w:rPr>
          <w:rFonts w:ascii="Arial" w:hAnsi="Arial" w:cs="Arial"/>
        </w:rPr>
        <w:t>. London: Penguin.</w:t>
      </w:r>
    </w:p>
    <w:p w14:paraId="2C55EFF0" w14:textId="222FCCE1" w:rsidR="00931B2B" w:rsidRPr="00D63BFB" w:rsidRDefault="00931B2B" w:rsidP="000123A6">
      <w:pPr>
        <w:spacing w:after="160" w:line="278" w:lineRule="auto"/>
        <w:jc w:val="both"/>
        <w:rPr>
          <w:rFonts w:ascii="Arial" w:hAnsi="Arial" w:cs="Arial"/>
        </w:rPr>
      </w:pPr>
      <w:r w:rsidRPr="00D63BFB">
        <w:rPr>
          <w:rFonts w:ascii="Arial" w:hAnsi="Arial" w:cs="Arial"/>
        </w:rPr>
        <w:t xml:space="preserve">Freeman, R.E. (1984) </w:t>
      </w:r>
      <w:r w:rsidRPr="00D63BFB">
        <w:rPr>
          <w:rFonts w:ascii="Arial" w:hAnsi="Arial" w:cs="Arial"/>
          <w:i/>
          <w:iCs/>
        </w:rPr>
        <w:t>Strategic Management: A Stakeholder Approach</w:t>
      </w:r>
      <w:r w:rsidRPr="00D63BFB">
        <w:rPr>
          <w:rFonts w:ascii="Arial" w:hAnsi="Arial" w:cs="Arial"/>
        </w:rPr>
        <w:t>. Boston: Pitman.</w:t>
      </w:r>
    </w:p>
    <w:p w14:paraId="1B962E1E" w14:textId="7B32934A" w:rsidR="001E6DD9" w:rsidRPr="00D63BFB" w:rsidRDefault="00E77735" w:rsidP="000123A6">
      <w:pPr>
        <w:spacing w:after="160" w:line="278" w:lineRule="auto"/>
        <w:jc w:val="both"/>
        <w:rPr>
          <w:rFonts w:ascii="Arial" w:hAnsi="Arial" w:cs="Arial"/>
        </w:rPr>
      </w:pPr>
      <w:proofErr w:type="spellStart"/>
      <w:r w:rsidRPr="00D63BFB">
        <w:rPr>
          <w:rFonts w:ascii="Arial" w:hAnsi="Arial" w:cs="Arial"/>
        </w:rPr>
        <w:t>Friede</w:t>
      </w:r>
      <w:proofErr w:type="spellEnd"/>
      <w:r w:rsidRPr="00D63BFB">
        <w:rPr>
          <w:rFonts w:ascii="Arial" w:hAnsi="Arial" w:cs="Arial"/>
        </w:rPr>
        <w:t xml:space="preserve">, G., Busch, T., </w:t>
      </w:r>
      <w:r w:rsidR="000B0AD1" w:rsidRPr="00D63BFB">
        <w:rPr>
          <w:rFonts w:ascii="Arial" w:hAnsi="Arial" w:cs="Arial"/>
        </w:rPr>
        <w:t>and</w:t>
      </w:r>
      <w:r w:rsidRPr="00D63BFB">
        <w:rPr>
          <w:rFonts w:ascii="Arial" w:hAnsi="Arial" w:cs="Arial"/>
        </w:rPr>
        <w:t xml:space="preserve"> </w:t>
      </w:r>
      <w:proofErr w:type="spellStart"/>
      <w:r w:rsidRPr="00D63BFB">
        <w:rPr>
          <w:rFonts w:ascii="Arial" w:hAnsi="Arial" w:cs="Arial"/>
        </w:rPr>
        <w:t>Bassen</w:t>
      </w:r>
      <w:proofErr w:type="spellEnd"/>
      <w:r w:rsidRPr="00D63BFB">
        <w:rPr>
          <w:rFonts w:ascii="Arial" w:hAnsi="Arial" w:cs="Arial"/>
        </w:rPr>
        <w:t>, A. (2015). ESG and financial performance: aggregated evidence from more than 2000 empirical studies. </w:t>
      </w:r>
      <w:r w:rsidRPr="00D63BFB">
        <w:rPr>
          <w:rFonts w:ascii="Arial" w:hAnsi="Arial" w:cs="Arial"/>
          <w:i/>
          <w:iCs/>
        </w:rPr>
        <w:t>Journal of Sustainable Finance &amp; Investment</w:t>
      </w:r>
      <w:r w:rsidRPr="00D63BFB">
        <w:rPr>
          <w:rFonts w:ascii="Arial" w:hAnsi="Arial" w:cs="Arial"/>
        </w:rPr>
        <w:t>, </w:t>
      </w:r>
      <w:r w:rsidRPr="00D63BFB">
        <w:rPr>
          <w:rFonts w:ascii="Arial" w:hAnsi="Arial" w:cs="Arial"/>
          <w:i/>
          <w:iCs/>
        </w:rPr>
        <w:t>5</w:t>
      </w:r>
      <w:r w:rsidRPr="00D63BFB">
        <w:rPr>
          <w:rFonts w:ascii="Arial" w:hAnsi="Arial" w:cs="Arial"/>
        </w:rPr>
        <w:t xml:space="preserve">(4), 210–233. </w:t>
      </w:r>
      <w:hyperlink r:id="rId12" w:history="1">
        <w:r w:rsidR="001E6DD9" w:rsidRPr="00D63BFB">
          <w:rPr>
            <w:rStyle w:val="Hyperlink"/>
            <w:rFonts w:ascii="Arial" w:hAnsi="Arial" w:cs="Arial"/>
          </w:rPr>
          <w:t>https://doi.org/10.1080/20430795.2015.1118917</w:t>
        </w:r>
      </w:hyperlink>
      <w:r w:rsidR="001E6DD9" w:rsidRPr="00D63BFB">
        <w:rPr>
          <w:rFonts w:ascii="Arial" w:hAnsi="Arial" w:cs="Arial"/>
        </w:rPr>
        <w:t xml:space="preserve"> [Accessed 6 August 2026]</w:t>
      </w:r>
    </w:p>
    <w:p w14:paraId="03A903B5" w14:textId="745D9B23" w:rsidR="00D66F33" w:rsidRPr="00D63BFB" w:rsidRDefault="00D66F33" w:rsidP="000123A6">
      <w:pPr>
        <w:spacing w:after="160" w:line="278" w:lineRule="auto"/>
        <w:jc w:val="both"/>
        <w:rPr>
          <w:rFonts w:ascii="Arial" w:hAnsi="Arial" w:cs="Arial"/>
        </w:rPr>
      </w:pPr>
      <w:r w:rsidRPr="00D63BFB">
        <w:rPr>
          <w:rFonts w:ascii="Arial" w:hAnsi="Arial" w:cs="Arial"/>
        </w:rPr>
        <w:t>Global Electricity Initiative (</w:t>
      </w:r>
      <w:r w:rsidR="00021C6C" w:rsidRPr="00D63BFB">
        <w:rPr>
          <w:rFonts w:ascii="Arial" w:hAnsi="Arial" w:cs="Arial"/>
        </w:rPr>
        <w:t>2026</w:t>
      </w:r>
      <w:r w:rsidRPr="00D63BFB">
        <w:rPr>
          <w:rFonts w:ascii="Arial" w:hAnsi="Arial" w:cs="Arial"/>
        </w:rPr>
        <w:t xml:space="preserve">) </w:t>
      </w:r>
      <w:r w:rsidRPr="00D63BFB">
        <w:rPr>
          <w:rFonts w:ascii="Arial" w:hAnsi="Arial" w:cs="Arial"/>
          <w:i/>
          <w:iCs/>
        </w:rPr>
        <w:t>Nuclear energy: global capacity, how it works, and the nuclear renaissance</w:t>
      </w:r>
      <w:r w:rsidRPr="00D63BFB">
        <w:rPr>
          <w:rFonts w:ascii="Arial" w:hAnsi="Arial" w:cs="Arial"/>
        </w:rPr>
        <w:t xml:space="preserve">. Available at: </w:t>
      </w:r>
      <w:hyperlink r:id="rId13" w:history="1">
        <w:r w:rsidRPr="00D63BFB">
          <w:rPr>
            <w:rStyle w:val="Hyperlink"/>
            <w:rFonts w:ascii="Arial" w:hAnsi="Arial" w:cs="Arial"/>
          </w:rPr>
          <w:t>https://www.globalelectricity.org/nuclear-energy/</w:t>
        </w:r>
      </w:hyperlink>
      <w:r w:rsidRPr="00D63BFB">
        <w:rPr>
          <w:rFonts w:ascii="Arial" w:hAnsi="Arial" w:cs="Arial"/>
        </w:rPr>
        <w:t xml:space="preserve">  </w:t>
      </w:r>
      <w:r w:rsidR="005A24D4" w:rsidRPr="00D63BFB">
        <w:rPr>
          <w:rFonts w:ascii="Arial" w:hAnsi="Arial" w:cs="Arial"/>
        </w:rPr>
        <w:t>[</w:t>
      </w:r>
      <w:r w:rsidRPr="00D63BFB">
        <w:rPr>
          <w:rFonts w:ascii="Arial" w:hAnsi="Arial" w:cs="Arial"/>
        </w:rPr>
        <w:t>Accessed: 31 July 2026</w:t>
      </w:r>
      <w:r w:rsidR="005A24D4" w:rsidRPr="00D63BFB">
        <w:rPr>
          <w:rFonts w:ascii="Arial" w:hAnsi="Arial" w:cs="Arial"/>
        </w:rPr>
        <w:t>]</w:t>
      </w:r>
      <w:r w:rsidRPr="00D63BFB">
        <w:rPr>
          <w:rFonts w:ascii="Arial" w:hAnsi="Arial" w:cs="Arial"/>
        </w:rPr>
        <w:t>.</w:t>
      </w:r>
    </w:p>
    <w:p w14:paraId="225DD2A1" w14:textId="6C062DC1" w:rsidR="006477FA" w:rsidRPr="00D63BFB" w:rsidRDefault="006477FA" w:rsidP="006477FA">
      <w:pPr>
        <w:spacing w:after="160" w:line="278" w:lineRule="auto"/>
        <w:jc w:val="both"/>
        <w:rPr>
          <w:rFonts w:ascii="Arial" w:hAnsi="Arial" w:cs="Arial"/>
        </w:rPr>
      </w:pPr>
      <w:r w:rsidRPr="00D63BFB">
        <w:rPr>
          <w:rFonts w:ascii="Arial" w:hAnsi="Arial" w:cs="Arial"/>
        </w:rPr>
        <w:t xml:space="preserve">International Atomic Energy Agency (IAEA) (2021) Stakeholder Engagement in Nuclear Programmes. IAEA Nuclear Energy Series No. NG-G-5.1. Vienna: International Atomic Energy Agency. Available at: </w:t>
      </w:r>
      <w:hyperlink r:id="rId14" w:history="1">
        <w:r w:rsidRPr="00D63BFB">
          <w:rPr>
            <w:rStyle w:val="Hyperlink"/>
            <w:rFonts w:ascii="Arial" w:hAnsi="Arial" w:cs="Arial"/>
          </w:rPr>
          <w:t>https://www.iaea.org/publications/14885/stakeholder-engagement-in-nuclear-programmes</w:t>
        </w:r>
      </w:hyperlink>
      <w:r w:rsidRPr="00D63BFB">
        <w:rPr>
          <w:rFonts w:ascii="Arial" w:hAnsi="Arial" w:cs="Arial"/>
        </w:rPr>
        <w:t xml:space="preserve"> [Accessed: </w:t>
      </w:r>
      <w:r w:rsidR="00271155" w:rsidRPr="00D63BFB">
        <w:rPr>
          <w:rFonts w:ascii="Arial" w:hAnsi="Arial" w:cs="Arial"/>
        </w:rPr>
        <w:t>14</w:t>
      </w:r>
      <w:r w:rsidRPr="00D63BFB">
        <w:rPr>
          <w:rFonts w:ascii="Arial" w:hAnsi="Arial" w:cs="Arial"/>
        </w:rPr>
        <w:t xml:space="preserve"> July 2026].</w:t>
      </w:r>
    </w:p>
    <w:p w14:paraId="5CAF5D5E" w14:textId="370323FF" w:rsidR="006477FA" w:rsidRPr="00D63BFB" w:rsidRDefault="006477FA" w:rsidP="006477FA">
      <w:pPr>
        <w:spacing w:after="160" w:line="278" w:lineRule="auto"/>
        <w:jc w:val="both"/>
        <w:rPr>
          <w:rFonts w:ascii="Arial" w:hAnsi="Arial" w:cs="Arial"/>
        </w:rPr>
      </w:pPr>
      <w:r w:rsidRPr="00D63BFB">
        <w:rPr>
          <w:rFonts w:ascii="Arial" w:hAnsi="Arial" w:cs="Arial"/>
        </w:rPr>
        <w:t xml:space="preserve">International Atomic Energy Agency (IAEA) (2024) Small Modular Reactors: Advances in SMR Developments 2024. Vienna: International Atomic Energy Agency. Available at: </w:t>
      </w:r>
      <w:hyperlink r:id="rId15" w:history="1">
        <w:r w:rsidRPr="00D63BFB">
          <w:rPr>
            <w:rStyle w:val="Hyperlink"/>
            <w:rFonts w:ascii="Arial" w:hAnsi="Arial" w:cs="Arial"/>
          </w:rPr>
          <w:t>https://doi.org/10.61092/iaea.3o4h-svum</w:t>
        </w:r>
      </w:hyperlink>
      <w:r w:rsidRPr="00D63BFB">
        <w:rPr>
          <w:rFonts w:ascii="Arial" w:hAnsi="Arial" w:cs="Arial"/>
        </w:rPr>
        <w:t xml:space="preserve"> [Accessed: </w:t>
      </w:r>
      <w:r w:rsidR="00271155" w:rsidRPr="00D63BFB">
        <w:rPr>
          <w:rFonts w:ascii="Arial" w:hAnsi="Arial" w:cs="Arial"/>
        </w:rPr>
        <w:t>14</w:t>
      </w:r>
      <w:r w:rsidRPr="00D63BFB">
        <w:rPr>
          <w:rFonts w:ascii="Arial" w:hAnsi="Arial" w:cs="Arial"/>
        </w:rPr>
        <w:t xml:space="preserve"> July 2026].</w:t>
      </w:r>
    </w:p>
    <w:p w14:paraId="148C4B0D" w14:textId="3EEC3E20" w:rsidR="006477FA" w:rsidRPr="00D63BFB" w:rsidRDefault="006477FA" w:rsidP="006477FA">
      <w:pPr>
        <w:spacing w:after="160" w:line="278" w:lineRule="auto"/>
        <w:jc w:val="both"/>
        <w:rPr>
          <w:rFonts w:ascii="Arial" w:hAnsi="Arial" w:cs="Arial"/>
        </w:rPr>
      </w:pPr>
      <w:r w:rsidRPr="00D63BFB">
        <w:rPr>
          <w:rFonts w:ascii="Arial" w:hAnsi="Arial" w:cs="Arial"/>
        </w:rPr>
        <w:t xml:space="preserve">International Energy Agency (IEA) (2024) World Energy Outlook 2024. Paris: International Energy Agency. Available at: </w:t>
      </w:r>
      <w:hyperlink r:id="rId16" w:history="1">
        <w:r w:rsidRPr="00D63BFB">
          <w:rPr>
            <w:rStyle w:val="Hyperlink"/>
            <w:rFonts w:ascii="Arial" w:hAnsi="Arial" w:cs="Arial"/>
          </w:rPr>
          <w:t>https://www.iea.org/reports/world-energy-outlook-2024</w:t>
        </w:r>
      </w:hyperlink>
      <w:r w:rsidRPr="00D63BFB">
        <w:rPr>
          <w:rFonts w:ascii="Arial" w:hAnsi="Arial" w:cs="Arial"/>
        </w:rPr>
        <w:t xml:space="preserve"> [Accessed: 6 July 2026].</w:t>
      </w:r>
    </w:p>
    <w:p w14:paraId="6527E14D" w14:textId="77777777" w:rsidR="006477FA" w:rsidRPr="00D63BFB" w:rsidRDefault="006477FA" w:rsidP="006477FA">
      <w:pPr>
        <w:spacing w:after="160" w:line="278" w:lineRule="auto"/>
        <w:jc w:val="both"/>
        <w:rPr>
          <w:rFonts w:ascii="Arial" w:hAnsi="Arial" w:cs="Arial"/>
        </w:rPr>
      </w:pPr>
      <w:r w:rsidRPr="00D63BFB">
        <w:rPr>
          <w:rFonts w:ascii="Arial" w:hAnsi="Arial" w:cs="Arial"/>
        </w:rPr>
        <w:t xml:space="preserve">International Energy Agency (IEA) (2025) Electricity 2025: Analysis and Forecast to 2027. Paris: International Energy Agency. Available at: </w:t>
      </w:r>
      <w:hyperlink r:id="rId17" w:history="1">
        <w:r w:rsidRPr="00D63BFB">
          <w:rPr>
            <w:rStyle w:val="Hyperlink"/>
            <w:rFonts w:ascii="Arial" w:hAnsi="Arial" w:cs="Arial"/>
          </w:rPr>
          <w:t>https://www.iea.org/reports/electricity-2025</w:t>
        </w:r>
      </w:hyperlink>
      <w:r w:rsidRPr="00D63BFB">
        <w:rPr>
          <w:rFonts w:ascii="Arial" w:hAnsi="Arial" w:cs="Arial"/>
        </w:rPr>
        <w:t xml:space="preserve"> [Accessed: 6 July 2026].</w:t>
      </w:r>
    </w:p>
    <w:p w14:paraId="76C70EA7" w14:textId="77777777" w:rsidR="0071244F" w:rsidRPr="00D63BFB" w:rsidRDefault="0071244F" w:rsidP="000123A6">
      <w:pPr>
        <w:spacing w:after="160" w:line="278" w:lineRule="auto"/>
        <w:jc w:val="both"/>
        <w:rPr>
          <w:rFonts w:ascii="Arial" w:hAnsi="Arial" w:cs="Arial"/>
        </w:rPr>
      </w:pPr>
      <w:r w:rsidRPr="00D63BFB">
        <w:rPr>
          <w:rFonts w:ascii="Arial" w:hAnsi="Arial" w:cs="Arial"/>
        </w:rPr>
        <w:t xml:space="preserve">Jensen, M.C. and </w:t>
      </w:r>
      <w:proofErr w:type="spellStart"/>
      <w:r w:rsidRPr="00D63BFB">
        <w:rPr>
          <w:rFonts w:ascii="Arial" w:hAnsi="Arial" w:cs="Arial"/>
        </w:rPr>
        <w:t>Meckling</w:t>
      </w:r>
      <w:proofErr w:type="spellEnd"/>
      <w:r w:rsidRPr="00D63BFB">
        <w:rPr>
          <w:rFonts w:ascii="Arial" w:hAnsi="Arial" w:cs="Arial"/>
        </w:rPr>
        <w:t xml:space="preserve">, W.H. (1976) ‘Theory of the firm: Managerial behaviour, agency costs and ownership structure’, </w:t>
      </w:r>
      <w:r w:rsidRPr="00D63BFB">
        <w:rPr>
          <w:rFonts w:ascii="Arial" w:hAnsi="Arial" w:cs="Arial"/>
          <w:i/>
          <w:iCs/>
        </w:rPr>
        <w:t>Journal of Financial Economics</w:t>
      </w:r>
      <w:r w:rsidRPr="00D63BFB">
        <w:rPr>
          <w:rFonts w:ascii="Arial" w:hAnsi="Arial" w:cs="Arial"/>
        </w:rPr>
        <w:t>, 3(4), pp. 305-360.</w:t>
      </w:r>
    </w:p>
    <w:p w14:paraId="4D8A1B25" w14:textId="77777777" w:rsidR="0071244F" w:rsidRPr="00D63BFB" w:rsidRDefault="0071244F" w:rsidP="000123A6">
      <w:pPr>
        <w:spacing w:after="160" w:line="278" w:lineRule="auto"/>
        <w:jc w:val="both"/>
        <w:rPr>
          <w:rFonts w:ascii="Arial" w:hAnsi="Arial" w:cs="Arial"/>
        </w:rPr>
      </w:pPr>
      <w:r w:rsidRPr="00D63BFB">
        <w:rPr>
          <w:rFonts w:ascii="Arial" w:hAnsi="Arial" w:cs="Arial"/>
        </w:rPr>
        <w:t xml:space="preserve">Moore, M.H. (1995) </w:t>
      </w:r>
      <w:r w:rsidRPr="00D63BFB">
        <w:rPr>
          <w:rFonts w:ascii="Arial" w:hAnsi="Arial" w:cs="Arial"/>
          <w:i/>
          <w:iCs/>
        </w:rPr>
        <w:t>Creating Public Value: Strategic Management in Government</w:t>
      </w:r>
      <w:r w:rsidRPr="00D63BFB">
        <w:rPr>
          <w:rFonts w:ascii="Arial" w:hAnsi="Arial" w:cs="Arial"/>
        </w:rPr>
        <w:t>. Cambridge, MA: Harvard University Press.</w:t>
      </w:r>
    </w:p>
    <w:p w14:paraId="7510E73B" w14:textId="054728F6" w:rsidR="00691780" w:rsidRPr="00D63BFB" w:rsidRDefault="00691780" w:rsidP="000123A6">
      <w:pPr>
        <w:spacing w:after="160" w:line="278" w:lineRule="auto"/>
        <w:jc w:val="both"/>
        <w:rPr>
          <w:rFonts w:ascii="Arial" w:hAnsi="Arial" w:cs="Arial"/>
        </w:rPr>
      </w:pPr>
      <w:r w:rsidRPr="00D63BFB">
        <w:rPr>
          <w:rFonts w:ascii="Arial" w:hAnsi="Arial" w:cs="Arial"/>
        </w:rPr>
        <w:t xml:space="preserve">Organisation for Economic Co-operation and Development (OECD) (2020) </w:t>
      </w:r>
      <w:r w:rsidRPr="00D63BFB">
        <w:rPr>
          <w:rFonts w:ascii="Arial" w:hAnsi="Arial" w:cs="Arial"/>
          <w:i/>
          <w:iCs/>
        </w:rPr>
        <w:t>OECD Recommendation on the Governance of Infrastructure</w:t>
      </w:r>
      <w:r w:rsidRPr="00D63BFB">
        <w:rPr>
          <w:rFonts w:ascii="Arial" w:hAnsi="Arial" w:cs="Arial"/>
        </w:rPr>
        <w:t xml:space="preserve">. Paris: Organisation for Economic Co-operation and Development. Available at: </w:t>
      </w:r>
      <w:hyperlink r:id="rId18" w:history="1">
        <w:r w:rsidRPr="00D63BFB">
          <w:rPr>
            <w:rStyle w:val="Hyperlink"/>
            <w:rFonts w:ascii="Arial" w:hAnsi="Arial" w:cs="Arial"/>
          </w:rPr>
          <w:t>https://www.oecd.org/gov/infrastructure-governance/</w:t>
        </w:r>
      </w:hyperlink>
      <w:r w:rsidRPr="00D63BFB">
        <w:rPr>
          <w:rFonts w:ascii="Arial" w:hAnsi="Arial" w:cs="Arial"/>
        </w:rPr>
        <w:t xml:space="preserve"> [Accessed: 31 July 2026].</w:t>
      </w:r>
    </w:p>
    <w:p w14:paraId="46404BA8" w14:textId="449484C5" w:rsidR="0071244F" w:rsidRPr="00D63BFB" w:rsidRDefault="0071244F" w:rsidP="000123A6">
      <w:pPr>
        <w:spacing w:after="160" w:line="278" w:lineRule="auto"/>
        <w:jc w:val="both"/>
        <w:rPr>
          <w:rFonts w:ascii="Arial" w:hAnsi="Arial" w:cs="Arial"/>
        </w:rPr>
      </w:pPr>
      <w:r w:rsidRPr="00D63BFB">
        <w:rPr>
          <w:rFonts w:ascii="Arial" w:hAnsi="Arial" w:cs="Arial"/>
        </w:rPr>
        <w:t xml:space="preserve">Organisation for Economic Co-operation and Development (OECD) (2022) </w:t>
      </w:r>
      <w:r w:rsidRPr="00D63BFB">
        <w:rPr>
          <w:rFonts w:ascii="Arial" w:hAnsi="Arial" w:cs="Arial"/>
          <w:i/>
          <w:iCs/>
        </w:rPr>
        <w:t>Building Trust to Reinforce Democracy</w:t>
      </w:r>
      <w:r w:rsidRPr="00D63BFB">
        <w:rPr>
          <w:rFonts w:ascii="Arial" w:hAnsi="Arial" w:cs="Arial"/>
        </w:rPr>
        <w:t>. Paris: OECD Publishing.</w:t>
      </w:r>
      <w:r w:rsidR="00146E9B" w:rsidRPr="00D63BFB">
        <w:rPr>
          <w:rFonts w:ascii="Arial" w:hAnsi="Arial" w:cs="Arial"/>
        </w:rPr>
        <w:t xml:space="preserve"> Available at: </w:t>
      </w:r>
      <w:hyperlink r:id="rId19" w:history="1">
        <w:r w:rsidR="00146E9B" w:rsidRPr="00D63BFB">
          <w:rPr>
            <w:rStyle w:val="Hyperlink"/>
            <w:rFonts w:ascii="Arial" w:hAnsi="Arial" w:cs="Arial"/>
          </w:rPr>
          <w:t>https://www.oecd.org/gov/building-trust-and-reinforcing-democracy-9efc7775-en.htm</w:t>
        </w:r>
      </w:hyperlink>
      <w:r w:rsidR="00146E9B" w:rsidRPr="00D63BFB">
        <w:rPr>
          <w:rFonts w:ascii="Arial" w:hAnsi="Arial" w:cs="Arial"/>
        </w:rPr>
        <w:t xml:space="preserve">  </w:t>
      </w:r>
      <w:r w:rsidR="00370F2B" w:rsidRPr="00D63BFB">
        <w:rPr>
          <w:rFonts w:ascii="Arial" w:hAnsi="Arial" w:cs="Arial"/>
        </w:rPr>
        <w:t>[</w:t>
      </w:r>
      <w:r w:rsidR="00146E9B" w:rsidRPr="00D63BFB">
        <w:rPr>
          <w:rFonts w:ascii="Arial" w:hAnsi="Arial" w:cs="Arial"/>
        </w:rPr>
        <w:t>Accessed: 3</w:t>
      </w:r>
      <w:r w:rsidR="00370F2B" w:rsidRPr="00D63BFB">
        <w:rPr>
          <w:rFonts w:ascii="Arial" w:hAnsi="Arial" w:cs="Arial"/>
        </w:rPr>
        <w:t>0</w:t>
      </w:r>
      <w:r w:rsidR="00146E9B" w:rsidRPr="00D63BFB">
        <w:rPr>
          <w:rFonts w:ascii="Arial" w:hAnsi="Arial" w:cs="Arial"/>
        </w:rPr>
        <w:t xml:space="preserve"> July 2026</w:t>
      </w:r>
      <w:r w:rsidR="00370F2B" w:rsidRPr="00D63BFB">
        <w:rPr>
          <w:rFonts w:ascii="Arial" w:hAnsi="Arial" w:cs="Arial"/>
        </w:rPr>
        <w:t>]</w:t>
      </w:r>
      <w:r w:rsidR="00146E9B" w:rsidRPr="00D63BFB">
        <w:rPr>
          <w:rFonts w:ascii="Arial" w:hAnsi="Arial" w:cs="Arial"/>
        </w:rPr>
        <w:t xml:space="preserve">. </w:t>
      </w:r>
    </w:p>
    <w:p w14:paraId="4CDEBC08" w14:textId="60C4C15B" w:rsidR="003B062F" w:rsidRPr="00D63BFB" w:rsidRDefault="003B062F" w:rsidP="000123A6">
      <w:pPr>
        <w:spacing w:after="160" w:line="278" w:lineRule="auto"/>
        <w:jc w:val="both"/>
        <w:rPr>
          <w:rFonts w:ascii="Arial" w:hAnsi="Arial" w:cs="Arial"/>
        </w:rPr>
      </w:pPr>
      <w:r w:rsidRPr="00D63BFB">
        <w:rPr>
          <w:rFonts w:ascii="Arial" w:hAnsi="Arial" w:cs="Arial"/>
        </w:rPr>
        <w:t xml:space="preserve">Organisation for Economic Co-operation and Development (OECD) (2023) </w:t>
      </w:r>
      <w:r w:rsidRPr="00D63BFB">
        <w:rPr>
          <w:rFonts w:ascii="Arial" w:hAnsi="Arial" w:cs="Arial"/>
          <w:i/>
          <w:iCs/>
        </w:rPr>
        <w:t>G20/OECD Principles of Corporate Governance 2023</w:t>
      </w:r>
      <w:r w:rsidRPr="00D63BFB">
        <w:rPr>
          <w:rFonts w:ascii="Arial" w:hAnsi="Arial" w:cs="Arial"/>
        </w:rPr>
        <w:t xml:space="preserve">. Paris: OECD Publishing. Available at: </w:t>
      </w:r>
      <w:hyperlink r:id="rId20" w:history="1">
        <w:r w:rsidRPr="00D63BFB">
          <w:rPr>
            <w:rStyle w:val="Hyperlink"/>
            <w:rFonts w:ascii="Arial" w:hAnsi="Arial" w:cs="Arial"/>
          </w:rPr>
          <w:t>https://doi.org/10.1787/ed750b30-en</w:t>
        </w:r>
      </w:hyperlink>
      <w:r w:rsidRPr="00D63BFB">
        <w:rPr>
          <w:rFonts w:ascii="Arial" w:hAnsi="Arial" w:cs="Arial"/>
        </w:rPr>
        <w:t xml:space="preserve">  [Accessed: 29 July 2026].</w:t>
      </w:r>
    </w:p>
    <w:p w14:paraId="237E72B1" w14:textId="2291FE6D" w:rsidR="00C2401F" w:rsidRPr="00D63BFB" w:rsidRDefault="00C2401F" w:rsidP="00C2401F">
      <w:pPr>
        <w:spacing w:after="160" w:line="278" w:lineRule="auto"/>
        <w:jc w:val="both"/>
        <w:rPr>
          <w:rFonts w:ascii="Arial" w:hAnsi="Arial" w:cs="Arial"/>
        </w:rPr>
      </w:pPr>
      <w:r w:rsidRPr="00D63BFB">
        <w:rPr>
          <w:rFonts w:ascii="Arial" w:hAnsi="Arial" w:cs="Arial"/>
        </w:rPr>
        <w:t xml:space="preserve">OECD (2020) OECD Recommendation on the Governance of Infrastructure. Paris: OECD Publishing. Available at: </w:t>
      </w:r>
      <w:hyperlink r:id="rId21" w:history="1">
        <w:r w:rsidRPr="00D63BFB">
          <w:rPr>
            <w:rStyle w:val="Hyperlink"/>
            <w:rFonts w:ascii="Arial" w:hAnsi="Arial" w:cs="Arial"/>
          </w:rPr>
          <w:t>https://www.oecd.org/gov/infrastructure-governance/</w:t>
        </w:r>
      </w:hyperlink>
      <w:r w:rsidRPr="00D63BFB">
        <w:rPr>
          <w:rFonts w:ascii="Arial" w:hAnsi="Arial" w:cs="Arial"/>
        </w:rPr>
        <w:t xml:space="preserve"> [Accessed: 31 July 2026].</w:t>
      </w:r>
    </w:p>
    <w:p w14:paraId="13AD7FCF" w14:textId="3CE4DCFB" w:rsidR="00C2401F" w:rsidRPr="00D63BFB" w:rsidRDefault="00C2401F" w:rsidP="00C2401F">
      <w:pPr>
        <w:spacing w:after="160" w:line="278" w:lineRule="auto"/>
        <w:jc w:val="both"/>
        <w:rPr>
          <w:rFonts w:ascii="Arial" w:hAnsi="Arial" w:cs="Arial"/>
        </w:rPr>
      </w:pPr>
      <w:r w:rsidRPr="00D63BFB">
        <w:rPr>
          <w:rFonts w:ascii="Arial" w:hAnsi="Arial" w:cs="Arial"/>
        </w:rPr>
        <w:t xml:space="preserve">OECD (2022) Building Trust to Reinforce Democracy. Paris: OECD Publishing. Available at: </w:t>
      </w:r>
      <w:hyperlink r:id="rId22" w:history="1">
        <w:r w:rsidRPr="00D63BFB">
          <w:rPr>
            <w:rStyle w:val="Hyperlink"/>
            <w:rFonts w:ascii="Arial" w:hAnsi="Arial" w:cs="Arial"/>
          </w:rPr>
          <w:t>https://www.oecd.org/gov/building-trust-and-reinforcing-democracy-9efc7775-en.htm</w:t>
        </w:r>
      </w:hyperlink>
      <w:r w:rsidRPr="00D63BFB">
        <w:rPr>
          <w:rFonts w:ascii="Arial" w:hAnsi="Arial" w:cs="Arial"/>
        </w:rPr>
        <w:t xml:space="preserve"> [Accessed: 30 July 2026].</w:t>
      </w:r>
    </w:p>
    <w:p w14:paraId="44CCB111" w14:textId="2E069D7B" w:rsidR="00C2401F" w:rsidRPr="00D63BFB" w:rsidRDefault="00C2401F" w:rsidP="00C2401F">
      <w:pPr>
        <w:spacing w:after="160" w:line="278" w:lineRule="auto"/>
        <w:jc w:val="both"/>
        <w:rPr>
          <w:rFonts w:ascii="Arial" w:hAnsi="Arial" w:cs="Arial"/>
        </w:rPr>
      </w:pPr>
      <w:r w:rsidRPr="00D63BFB">
        <w:rPr>
          <w:rFonts w:ascii="Arial" w:hAnsi="Arial" w:cs="Arial"/>
        </w:rPr>
        <w:t xml:space="preserve">OECD (2023) G20/OECD Principles of Corporate Governance 2023. Paris: OECD Publishing. Available at: </w:t>
      </w:r>
      <w:hyperlink r:id="rId23" w:history="1">
        <w:r w:rsidRPr="00D63BFB">
          <w:rPr>
            <w:rStyle w:val="Hyperlink"/>
            <w:rFonts w:ascii="Arial" w:hAnsi="Arial" w:cs="Arial"/>
          </w:rPr>
          <w:t>https://doi.org/10.1787/ed750b30-en</w:t>
        </w:r>
      </w:hyperlink>
      <w:r w:rsidRPr="00D63BFB">
        <w:rPr>
          <w:rFonts w:ascii="Arial" w:hAnsi="Arial" w:cs="Arial"/>
        </w:rPr>
        <w:t xml:space="preserve"> [Accessed: 29 July 2026].</w:t>
      </w:r>
    </w:p>
    <w:p w14:paraId="7BB1C0A7" w14:textId="77777777" w:rsidR="00C2401F" w:rsidRPr="00D63BFB" w:rsidRDefault="00C2401F" w:rsidP="00C2401F">
      <w:pPr>
        <w:spacing w:after="160" w:line="278" w:lineRule="auto"/>
        <w:jc w:val="both"/>
        <w:rPr>
          <w:rFonts w:ascii="Arial" w:hAnsi="Arial" w:cs="Arial"/>
        </w:rPr>
      </w:pPr>
      <w:r w:rsidRPr="00D63BFB">
        <w:rPr>
          <w:rFonts w:ascii="Arial" w:hAnsi="Arial" w:cs="Arial"/>
        </w:rPr>
        <w:t>OECD Nuclear Energy Agency (OECD-NEA) (2023) Small Modular Reactors: Challenges and Opportunities. Paris: OECD Nuclear Energy Agency.</w:t>
      </w:r>
    </w:p>
    <w:p w14:paraId="6D38B197" w14:textId="77777777" w:rsidR="00C2401F" w:rsidRPr="00D63BFB" w:rsidRDefault="00C2401F" w:rsidP="00C2401F">
      <w:pPr>
        <w:spacing w:after="160" w:line="278" w:lineRule="auto"/>
        <w:jc w:val="both"/>
        <w:rPr>
          <w:rFonts w:ascii="Arial" w:hAnsi="Arial" w:cs="Arial"/>
        </w:rPr>
      </w:pPr>
    </w:p>
    <w:p w14:paraId="3301CF7D" w14:textId="77777777" w:rsidR="00C2401F" w:rsidRPr="00D63BFB" w:rsidRDefault="00C2401F" w:rsidP="00C2401F">
      <w:pPr>
        <w:spacing w:after="160" w:line="278" w:lineRule="auto"/>
        <w:jc w:val="both"/>
        <w:rPr>
          <w:rFonts w:ascii="Arial" w:hAnsi="Arial" w:cs="Arial"/>
        </w:rPr>
      </w:pPr>
      <w:r w:rsidRPr="00D63BFB">
        <w:rPr>
          <w:rFonts w:ascii="Arial" w:hAnsi="Arial" w:cs="Arial"/>
        </w:rPr>
        <w:t>OECD Nuclear Energy Agency (OECD-NEA) (2024) Public Communication and Stakeholder Involvement in Nuclear Programmes. Paris: OECD Nuclear Energy Agency.</w:t>
      </w:r>
    </w:p>
    <w:p w14:paraId="1AC2C679" w14:textId="77777777" w:rsidR="0071244F" w:rsidRPr="00D63BFB" w:rsidRDefault="0071244F" w:rsidP="000123A6">
      <w:pPr>
        <w:spacing w:after="160" w:line="278" w:lineRule="auto"/>
        <w:jc w:val="both"/>
        <w:rPr>
          <w:rFonts w:ascii="Arial" w:hAnsi="Arial" w:cs="Arial"/>
        </w:rPr>
      </w:pPr>
      <w:proofErr w:type="spellStart"/>
      <w:r w:rsidRPr="00D63BFB">
        <w:rPr>
          <w:rFonts w:ascii="Arial" w:hAnsi="Arial" w:cs="Arial"/>
        </w:rPr>
        <w:t>Suchman</w:t>
      </w:r>
      <w:proofErr w:type="spellEnd"/>
      <w:r w:rsidRPr="00D63BFB">
        <w:rPr>
          <w:rFonts w:ascii="Arial" w:hAnsi="Arial" w:cs="Arial"/>
        </w:rPr>
        <w:t xml:space="preserve">, M.C. (1995) ‘Managing legitimacy: Strategic and institutional approaches’, </w:t>
      </w:r>
      <w:r w:rsidRPr="00D63BFB">
        <w:rPr>
          <w:rFonts w:ascii="Arial" w:hAnsi="Arial" w:cs="Arial"/>
          <w:i/>
          <w:iCs/>
        </w:rPr>
        <w:t>Academy of Management Review</w:t>
      </w:r>
      <w:r w:rsidRPr="00D63BFB">
        <w:rPr>
          <w:rFonts w:ascii="Arial" w:hAnsi="Arial" w:cs="Arial"/>
        </w:rPr>
        <w:t>, 20(3), pp. 571-610.</w:t>
      </w:r>
    </w:p>
    <w:p w14:paraId="4BA1C598" w14:textId="77777777" w:rsidR="005A1EEF" w:rsidRPr="00D63BFB" w:rsidRDefault="005A1EEF" w:rsidP="005A1EEF">
      <w:pPr>
        <w:spacing w:after="160" w:line="278" w:lineRule="auto"/>
        <w:jc w:val="both"/>
        <w:rPr>
          <w:rFonts w:ascii="Arial" w:hAnsi="Arial" w:cs="Arial"/>
        </w:rPr>
      </w:pPr>
      <w:r w:rsidRPr="00D63BFB">
        <w:rPr>
          <w:rFonts w:ascii="Arial" w:hAnsi="Arial" w:cs="Arial"/>
        </w:rPr>
        <w:t xml:space="preserve">United Nations (2015) Transforming Our World: The 2030 Agenda for Sustainable Development. New York: United Nations. Available at: </w:t>
      </w:r>
      <w:hyperlink r:id="rId24" w:history="1">
        <w:r w:rsidRPr="00D63BFB">
          <w:rPr>
            <w:rStyle w:val="Hyperlink"/>
            <w:rFonts w:ascii="Arial" w:hAnsi="Arial" w:cs="Arial"/>
          </w:rPr>
          <w:t>https://sdgs.un.org/2030agenda</w:t>
        </w:r>
      </w:hyperlink>
      <w:r w:rsidRPr="00D63BFB">
        <w:rPr>
          <w:rFonts w:ascii="Arial" w:hAnsi="Arial" w:cs="Arial"/>
        </w:rPr>
        <w:t xml:space="preserve"> [Accessed: 31 July 2026].</w:t>
      </w:r>
    </w:p>
    <w:p w14:paraId="515A7999" w14:textId="63526125" w:rsidR="00912E3C" w:rsidRPr="00D63BFB" w:rsidRDefault="00912E3C" w:rsidP="00912E3C">
      <w:pPr>
        <w:spacing w:after="160" w:line="278" w:lineRule="auto"/>
        <w:jc w:val="both"/>
        <w:rPr>
          <w:rFonts w:ascii="Arial" w:hAnsi="Arial" w:cs="Arial"/>
        </w:rPr>
      </w:pPr>
      <w:proofErr w:type="spellStart"/>
      <w:r w:rsidRPr="00D63BFB">
        <w:rPr>
          <w:rFonts w:ascii="Arial" w:hAnsi="Arial" w:cs="Arial"/>
        </w:rPr>
        <w:t>Velte</w:t>
      </w:r>
      <w:proofErr w:type="spellEnd"/>
      <w:r w:rsidRPr="00D63BFB">
        <w:rPr>
          <w:rFonts w:ascii="Arial" w:hAnsi="Arial" w:cs="Arial"/>
        </w:rPr>
        <w:t xml:space="preserve">, P. (2023) ‘The link between corporate governance and ESG performance: A review of recent research’, Management Review Quarterly, 73, pp. 1–57. Available at: </w:t>
      </w:r>
      <w:hyperlink r:id="rId25" w:history="1">
        <w:r w:rsidRPr="00D63BFB">
          <w:rPr>
            <w:rStyle w:val="Hyperlink"/>
            <w:rFonts w:ascii="Arial" w:hAnsi="Arial" w:cs="Arial"/>
          </w:rPr>
          <w:t>https://doi.org/10.1007/s11301-022-00299-5</w:t>
        </w:r>
      </w:hyperlink>
      <w:r w:rsidRPr="00D63BFB">
        <w:rPr>
          <w:rFonts w:ascii="Arial" w:hAnsi="Arial" w:cs="Arial"/>
        </w:rPr>
        <w:t xml:space="preserve"> [Accessed: 31 July 2026].</w:t>
      </w:r>
    </w:p>
    <w:p w14:paraId="3C6585FB" w14:textId="601C1D10" w:rsidR="00912E3C" w:rsidRPr="00D63BFB" w:rsidRDefault="00912E3C" w:rsidP="00912E3C">
      <w:pPr>
        <w:spacing w:after="160" w:line="278" w:lineRule="auto"/>
        <w:jc w:val="both"/>
        <w:rPr>
          <w:rFonts w:ascii="Arial" w:hAnsi="Arial" w:cs="Arial"/>
        </w:rPr>
      </w:pPr>
      <w:proofErr w:type="spellStart"/>
      <w:r w:rsidRPr="00D63BFB">
        <w:rPr>
          <w:rFonts w:ascii="Arial" w:hAnsi="Arial" w:cs="Arial"/>
        </w:rPr>
        <w:t>Visschers</w:t>
      </w:r>
      <w:proofErr w:type="spellEnd"/>
      <w:r w:rsidRPr="00D63BFB">
        <w:rPr>
          <w:rFonts w:ascii="Arial" w:hAnsi="Arial" w:cs="Arial"/>
        </w:rPr>
        <w:t xml:space="preserve">, V.H.M. and </w:t>
      </w:r>
      <w:proofErr w:type="spellStart"/>
      <w:r w:rsidRPr="00D63BFB">
        <w:rPr>
          <w:rFonts w:ascii="Arial" w:hAnsi="Arial" w:cs="Arial"/>
        </w:rPr>
        <w:t>Siegrist</w:t>
      </w:r>
      <w:proofErr w:type="spellEnd"/>
      <w:r w:rsidRPr="00D63BFB">
        <w:rPr>
          <w:rFonts w:ascii="Arial" w:hAnsi="Arial" w:cs="Arial"/>
        </w:rPr>
        <w:t xml:space="preserve">, M. (2013) ‘How a nuclear power plant accident influences acceptance of nuclear power: Results of a longitudinal study before and after the Fukushima disaster’, Risk Analysis, 33(2), pp. 333–347. Available at: </w:t>
      </w:r>
      <w:hyperlink r:id="rId26" w:history="1">
        <w:r w:rsidRPr="00D63BFB">
          <w:rPr>
            <w:rStyle w:val="Hyperlink"/>
            <w:rFonts w:ascii="Arial" w:hAnsi="Arial" w:cs="Arial"/>
          </w:rPr>
          <w:t>https://doi.org/10.1111/j.1539-6924.2012.01861.x</w:t>
        </w:r>
      </w:hyperlink>
      <w:r w:rsidRPr="00D63BFB">
        <w:rPr>
          <w:rFonts w:ascii="Arial" w:hAnsi="Arial" w:cs="Arial"/>
        </w:rPr>
        <w:t xml:space="preserve"> [Accessed: 31 July 2026].</w:t>
      </w:r>
    </w:p>
    <w:p w14:paraId="11F696BF" w14:textId="7CBB3A3B" w:rsidR="00912E3C" w:rsidRPr="00D63BFB" w:rsidRDefault="00912E3C" w:rsidP="00912E3C">
      <w:pPr>
        <w:spacing w:after="160" w:line="278" w:lineRule="auto"/>
        <w:jc w:val="both"/>
        <w:rPr>
          <w:rFonts w:ascii="Arial" w:hAnsi="Arial" w:cs="Arial"/>
        </w:rPr>
      </w:pPr>
      <w:r w:rsidRPr="00D63BFB">
        <w:rPr>
          <w:rFonts w:ascii="Arial" w:hAnsi="Arial" w:cs="Arial"/>
        </w:rPr>
        <w:t xml:space="preserve">World Energy Council (2024) World Energy Trilemma Report. London: World Energy Council. Available at: </w:t>
      </w:r>
      <w:hyperlink r:id="rId27" w:history="1">
        <w:r w:rsidRPr="00D63BFB">
          <w:rPr>
            <w:rStyle w:val="Hyperlink"/>
            <w:rFonts w:ascii="Arial" w:hAnsi="Arial" w:cs="Arial"/>
          </w:rPr>
          <w:t>https://www.worldenergy.org/publications/entry/world-energy-trilemma-report-2024</w:t>
        </w:r>
      </w:hyperlink>
      <w:r w:rsidRPr="00D63BFB">
        <w:rPr>
          <w:rFonts w:ascii="Arial" w:hAnsi="Arial" w:cs="Arial"/>
        </w:rPr>
        <w:t xml:space="preserve"> [Accessed: 31 July 2026].</w:t>
      </w:r>
    </w:p>
    <w:p w14:paraId="3C01D0F0" w14:textId="77777777" w:rsidR="00912E3C" w:rsidRPr="00D63BFB" w:rsidRDefault="00912E3C" w:rsidP="00912E3C">
      <w:pPr>
        <w:spacing w:after="160" w:line="278" w:lineRule="auto"/>
        <w:jc w:val="both"/>
        <w:rPr>
          <w:rFonts w:ascii="Arial" w:hAnsi="Arial" w:cs="Arial"/>
        </w:rPr>
      </w:pPr>
      <w:r w:rsidRPr="00D63BFB">
        <w:rPr>
          <w:rFonts w:ascii="Arial" w:hAnsi="Arial" w:cs="Arial"/>
        </w:rPr>
        <w:t xml:space="preserve">World Nuclear Association (2024) The Economics of Nuclear Power. London: World Nuclear Association. Available at: </w:t>
      </w:r>
      <w:hyperlink r:id="rId28" w:history="1">
        <w:r w:rsidRPr="00D63BFB">
          <w:rPr>
            <w:rStyle w:val="Hyperlink"/>
            <w:rFonts w:ascii="Arial" w:hAnsi="Arial" w:cs="Arial"/>
          </w:rPr>
          <w:t>https://world-nuclear.org/information-library/economic-aspects/economics-of-nuclear-power.aspx</w:t>
        </w:r>
      </w:hyperlink>
      <w:r w:rsidRPr="00D63BFB">
        <w:rPr>
          <w:rFonts w:ascii="Arial" w:hAnsi="Arial" w:cs="Arial"/>
        </w:rPr>
        <w:t xml:space="preserve"> [Accessed: 19 July 2026].</w:t>
      </w:r>
    </w:p>
    <w:p w14:paraId="13445E87" w14:textId="3496BFA1" w:rsidR="00BB4951" w:rsidRPr="00D63BFB" w:rsidRDefault="00BB4951" w:rsidP="000123A6">
      <w:pPr>
        <w:spacing w:after="160" w:line="278" w:lineRule="auto"/>
        <w:jc w:val="both"/>
        <w:rPr>
          <w:rFonts w:ascii="Arial" w:hAnsi="Arial" w:cs="Arial"/>
        </w:rPr>
      </w:pPr>
    </w:p>
    <w:p w14:paraId="17394C7F" w14:textId="77777777" w:rsidR="00EC48F3" w:rsidRPr="00D63BFB" w:rsidRDefault="00EC48F3" w:rsidP="000123A6">
      <w:pPr>
        <w:spacing w:after="160" w:line="278" w:lineRule="auto"/>
        <w:jc w:val="both"/>
        <w:rPr>
          <w:rFonts w:ascii="Arial" w:hAnsi="Arial" w:cs="Arial"/>
        </w:rPr>
      </w:pPr>
    </w:p>
    <w:p w14:paraId="26BF4846" w14:textId="77777777" w:rsidR="00BB4951" w:rsidRPr="00D63BFB" w:rsidRDefault="00BB4951" w:rsidP="000123A6">
      <w:pPr>
        <w:spacing w:after="160" w:line="278" w:lineRule="auto"/>
        <w:jc w:val="both"/>
        <w:rPr>
          <w:rFonts w:ascii="Arial" w:hAnsi="Arial" w:cs="Arial"/>
        </w:rPr>
      </w:pPr>
    </w:p>
    <w:p w14:paraId="6BDC671F" w14:textId="77777777" w:rsidR="00835980" w:rsidRPr="00D63BFB" w:rsidRDefault="00835980" w:rsidP="000123A6">
      <w:pPr>
        <w:jc w:val="both"/>
        <w:rPr>
          <w:rFonts w:ascii="Arial" w:hAnsi="Arial" w:cs="Arial"/>
        </w:rPr>
      </w:pPr>
    </w:p>
    <w:p w14:paraId="77192526" w14:textId="77777777" w:rsidR="00AE6031" w:rsidRPr="00D63BFB" w:rsidRDefault="00AE6031">
      <w:pPr>
        <w:jc w:val="both"/>
        <w:rPr>
          <w:rFonts w:ascii="Arial" w:hAnsi="Arial" w:cs="Arial"/>
        </w:rPr>
      </w:pPr>
    </w:p>
    <w:sectPr w:rsidR="00AE6031" w:rsidRPr="00D63BFB" w:rsidSect="00034616">
      <w:headerReference w:type="default" r:id="rId29"/>
      <w:footerReference w:type="even" r:id="rId30"/>
      <w:footerReference w:type="default" r:id="rId31"/>
      <w:footerReference w:type="first" r:id="rId32"/>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005399" w14:textId="77777777" w:rsidR="00804BDB" w:rsidRPr="00237F83" w:rsidRDefault="00804BDB" w:rsidP="00EA6FB3">
      <w:pPr>
        <w:spacing w:after="0" w:line="240" w:lineRule="auto"/>
      </w:pPr>
      <w:r w:rsidRPr="00237F83">
        <w:separator/>
      </w:r>
    </w:p>
  </w:endnote>
  <w:endnote w:type="continuationSeparator" w:id="0">
    <w:p w14:paraId="6456E09B" w14:textId="77777777" w:rsidR="00804BDB" w:rsidRPr="00237F83" w:rsidRDefault="00804BDB" w:rsidP="00EA6FB3">
      <w:pPr>
        <w:spacing w:after="0" w:line="240" w:lineRule="auto"/>
      </w:pPr>
      <w:r w:rsidRPr="00237F8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F5F1E0" w14:textId="3DC96D6C" w:rsidR="00EA6FB3" w:rsidRPr="00237F83" w:rsidRDefault="003758E2">
    <w:pPr>
      <w:pStyle w:val="Footer"/>
    </w:pPr>
    <w:r w:rsidRPr="00237F83">
      <w:rPr>
        <w:noProof/>
      </w:rPr>
      <mc:AlternateContent>
        <mc:Choice Requires="wps">
          <w:drawing>
            <wp:anchor distT="0" distB="0" distL="0" distR="0" simplePos="0" relativeHeight="251659264" behindDoc="0" locked="0" layoutInCell="1" allowOverlap="1" wp14:anchorId="7377A165" wp14:editId="602A3CAC">
              <wp:simplePos x="635" y="635"/>
              <wp:positionH relativeFrom="page">
                <wp:align>center</wp:align>
              </wp:positionH>
              <wp:positionV relativeFrom="page">
                <wp:align>bottom</wp:align>
              </wp:positionV>
              <wp:extent cx="1976120" cy="315595"/>
              <wp:effectExtent l="0" t="0" r="5080" b="0"/>
              <wp:wrapNone/>
              <wp:docPr id="506978035" name="Text Box 5" descr="Private – Not Listed – Not Subject to Export Controls">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976120" cy="315595"/>
                      </a:xfrm>
                      <a:prstGeom prst="rect">
                        <a:avLst/>
                      </a:prstGeom>
                      <a:noFill/>
                      <a:ln>
                        <a:noFill/>
                      </a:ln>
                    </wps:spPr>
                    <wps:txbx>
                      <w:txbxContent>
                        <w:p w14:paraId="3C1E1BDA" w14:textId="6A1F4C04" w:rsidR="003758E2" w:rsidRPr="00237F83" w:rsidRDefault="003758E2" w:rsidP="003758E2">
                          <w:pPr>
                            <w:spacing w:after="0"/>
                            <w:rPr>
                              <w:rFonts w:ascii="Aptos" w:eastAsia="Aptos" w:hAnsi="Aptos" w:cs="Aptos"/>
                              <w:color w:val="000000"/>
                              <w:sz w:val="14"/>
                              <w:szCs w:val="14"/>
                            </w:rPr>
                          </w:pPr>
                          <w:r w:rsidRPr="00237F83">
                            <w:rPr>
                              <w:rFonts w:ascii="Aptos" w:eastAsia="Aptos" w:hAnsi="Aptos" w:cs="Aptos"/>
                              <w:color w:val="000000"/>
                              <w:sz w:val="14"/>
                              <w:szCs w:val="14"/>
                            </w:rPr>
                            <w:t>Private – Not Listed – Not Subject to Export Controls</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7377A165" id="_x0000_t202" coordsize="21600,21600" o:spt="202" path="m,l,21600r21600,l21600,xe">
              <v:stroke joinstyle="miter"/>
              <v:path gradientshapeok="t" o:connecttype="rect"/>
            </v:shapetype>
            <v:shape id="Text Box 5" o:spid="_x0000_s1026" type="#_x0000_t202" alt="Private – Not Listed – Not Subject to Export Controls" style="position:absolute;margin-left:0;margin-top:0;width:155.6pt;height:24.85pt;z-index:251659264;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" filled="f" stroked="f">
              <v:textbox style="mso-fit-shape-to-text:t" inset="0,0,0,15pt">
                <w:txbxContent>
                  <w:p w14:paraId="3C1E1BDA" w14:textId="6A1F4C04" w:rsidR="003758E2" w:rsidRPr="00237F83" w:rsidRDefault="003758E2" w:rsidP="003758E2">
                    <w:pPr>
                      <w:spacing w:after="0"/>
                      <w:rPr>
                        <w:rFonts w:ascii="Aptos" w:eastAsia="Aptos" w:hAnsi="Aptos" w:cs="Aptos"/>
                        <w:color w:val="000000"/>
                        <w:sz w:val="14"/>
                        <w:szCs w:val="14"/>
                      </w:rPr>
                    </w:pPr>
                    <w:r w:rsidRPr="00237F83">
                      <w:rPr>
                        <w:rFonts w:ascii="Aptos" w:eastAsia="Aptos" w:hAnsi="Aptos" w:cs="Aptos"/>
                        <w:color w:val="000000"/>
                        <w:sz w:val="14"/>
                        <w:szCs w:val="14"/>
                      </w:rPr>
                      <w:t>Private – Not Listed – Not Subject to Export Controls</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D20582" w14:textId="2839939C" w:rsidR="00EA6FB3" w:rsidRPr="00237F83" w:rsidRDefault="003758E2">
    <w:pPr>
      <w:pStyle w:val="Footer"/>
    </w:pPr>
    <w:r w:rsidRPr="00237F83">
      <w:rPr>
        <w:noProof/>
      </w:rPr>
      <mc:AlternateContent>
        <mc:Choice Requires="wps">
          <w:drawing>
            <wp:anchor distT="0" distB="0" distL="0" distR="0" simplePos="0" relativeHeight="251660288" behindDoc="0" locked="0" layoutInCell="1" allowOverlap="1" wp14:anchorId="43E08E67" wp14:editId="38A34C69">
              <wp:simplePos x="1143000" y="9436100"/>
              <wp:positionH relativeFrom="page">
                <wp:align>center</wp:align>
              </wp:positionH>
              <wp:positionV relativeFrom="page">
                <wp:align>bottom</wp:align>
              </wp:positionV>
              <wp:extent cx="1976120" cy="315595"/>
              <wp:effectExtent l="0" t="0" r="5080" b="0"/>
              <wp:wrapNone/>
              <wp:docPr id="1758545100" name="Text Box 6" descr="Private – Not Listed – Not Subject to Export Controls">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976120" cy="315595"/>
                      </a:xfrm>
                      <a:prstGeom prst="rect">
                        <a:avLst/>
                      </a:prstGeom>
                      <a:noFill/>
                      <a:ln>
                        <a:noFill/>
                      </a:ln>
                    </wps:spPr>
                    <wps:txbx>
                      <w:txbxContent>
                        <w:p w14:paraId="300A999D" w14:textId="21B3D775" w:rsidR="003758E2" w:rsidRPr="00237F83" w:rsidRDefault="003758E2" w:rsidP="003758E2">
                          <w:pPr>
                            <w:spacing w:after="0"/>
                            <w:rPr>
                              <w:rFonts w:ascii="Aptos" w:eastAsia="Aptos" w:hAnsi="Aptos" w:cs="Aptos"/>
                              <w:color w:val="000000"/>
                              <w:sz w:val="14"/>
                              <w:szCs w:val="14"/>
                            </w:rPr>
                          </w:pPr>
                          <w:r w:rsidRPr="00237F83">
                            <w:rPr>
                              <w:rFonts w:ascii="Aptos" w:eastAsia="Aptos" w:hAnsi="Aptos" w:cs="Aptos"/>
                              <w:color w:val="000000"/>
                              <w:sz w:val="14"/>
                              <w:szCs w:val="14"/>
                            </w:rPr>
                            <w:t>Private – Not Listed – Not Subject to Export Controls</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43E08E67" id="_x0000_t202" coordsize="21600,21600" o:spt="202" path="m,l,21600r21600,l21600,xe">
              <v:stroke joinstyle="miter"/>
              <v:path gradientshapeok="t" o:connecttype="rect"/>
            </v:shapetype>
            <v:shape id="Text Box 6" o:spid="_x0000_s1027" type="#_x0000_t202" alt="Private – Not Listed – Not Subject to Export Controls" style="position:absolute;margin-left:0;margin-top:0;width:155.6pt;height:24.85pt;z-index:251660288;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" filled="f" stroked="f">
              <v:textbox style="mso-fit-shape-to-text:t" inset="0,0,0,15pt">
                <w:txbxContent>
                  <w:p w14:paraId="300A999D" w14:textId="21B3D775" w:rsidR="003758E2" w:rsidRPr="00237F83" w:rsidRDefault="003758E2" w:rsidP="003758E2">
                    <w:pPr>
                      <w:spacing w:after="0"/>
                      <w:rPr>
                        <w:rFonts w:ascii="Aptos" w:eastAsia="Aptos" w:hAnsi="Aptos" w:cs="Aptos"/>
                        <w:color w:val="000000"/>
                        <w:sz w:val="14"/>
                        <w:szCs w:val="14"/>
                      </w:rPr>
                    </w:pPr>
                    <w:r w:rsidRPr="00237F83">
                      <w:rPr>
                        <w:rFonts w:ascii="Aptos" w:eastAsia="Aptos" w:hAnsi="Aptos" w:cs="Aptos"/>
                        <w:color w:val="000000"/>
                        <w:sz w:val="14"/>
                        <w:szCs w:val="14"/>
                      </w:rPr>
                      <w:t>Private – Not Listed – Not Subject to Export Controls</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D54586" w14:textId="3BD4C472" w:rsidR="00EA6FB3" w:rsidRPr="00237F83" w:rsidRDefault="003758E2">
    <w:pPr>
      <w:pStyle w:val="Footer"/>
    </w:pPr>
    <w:r w:rsidRPr="00237F83">
      <w:rPr>
        <w:noProof/>
      </w:rPr>
      <mc:AlternateContent>
        <mc:Choice Requires="wps">
          <w:drawing>
            <wp:anchor distT="0" distB="0" distL="0" distR="0" simplePos="0" relativeHeight="251658240" behindDoc="0" locked="0" layoutInCell="1" allowOverlap="1" wp14:anchorId="6C811DB5" wp14:editId="6CBDDF9A">
              <wp:simplePos x="635" y="635"/>
              <wp:positionH relativeFrom="page">
                <wp:align>center</wp:align>
              </wp:positionH>
              <wp:positionV relativeFrom="page">
                <wp:align>bottom</wp:align>
              </wp:positionV>
              <wp:extent cx="1976120" cy="315595"/>
              <wp:effectExtent l="0" t="0" r="5080" b="0"/>
              <wp:wrapNone/>
              <wp:docPr id="741872164" name="Text Box 4" descr="Private – Not Listed – Not Subject to Export Controls">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976120" cy="315595"/>
                      </a:xfrm>
                      <a:prstGeom prst="rect">
                        <a:avLst/>
                      </a:prstGeom>
                      <a:noFill/>
                      <a:ln>
                        <a:noFill/>
                      </a:ln>
                    </wps:spPr>
                    <wps:txbx>
                      <w:txbxContent>
                        <w:p w14:paraId="10649C01" w14:textId="7EC184DD" w:rsidR="003758E2" w:rsidRPr="00237F83" w:rsidRDefault="003758E2" w:rsidP="003758E2">
                          <w:pPr>
                            <w:spacing w:after="0"/>
                            <w:rPr>
                              <w:rFonts w:ascii="Aptos" w:eastAsia="Aptos" w:hAnsi="Aptos" w:cs="Aptos"/>
                              <w:color w:val="000000"/>
                              <w:sz w:val="14"/>
                              <w:szCs w:val="14"/>
                            </w:rPr>
                          </w:pPr>
                          <w:r w:rsidRPr="00237F83">
                            <w:rPr>
                              <w:rFonts w:ascii="Aptos" w:eastAsia="Aptos" w:hAnsi="Aptos" w:cs="Aptos"/>
                              <w:color w:val="000000"/>
                              <w:sz w:val="14"/>
                              <w:szCs w:val="14"/>
                            </w:rPr>
                            <w:t>Private – Not Listed – Not Subject to Export Controls</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6C811DB5" id="_x0000_t202" coordsize="21600,21600" o:spt="202" path="m,l,21600r21600,l21600,xe">
              <v:stroke joinstyle="miter"/>
              <v:path gradientshapeok="t" o:connecttype="rect"/>
            </v:shapetype>
            <v:shape id="Text Box 4" o:spid="_x0000_s1028" type="#_x0000_t202" alt="Private – Not Listed – Not Subject to Export Controls" style="position:absolute;margin-left:0;margin-top:0;width:155.6pt;height:24.85pt;z-index:251658240;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" filled="f" stroked="f">
              <v:textbox style="mso-fit-shape-to-text:t" inset="0,0,0,15pt">
                <w:txbxContent>
                  <w:p w14:paraId="10649C01" w14:textId="7EC184DD" w:rsidR="003758E2" w:rsidRPr="00237F83" w:rsidRDefault="003758E2" w:rsidP="003758E2">
                    <w:pPr>
                      <w:spacing w:after="0"/>
                      <w:rPr>
                        <w:rFonts w:ascii="Aptos" w:eastAsia="Aptos" w:hAnsi="Aptos" w:cs="Aptos"/>
                        <w:color w:val="000000"/>
                        <w:sz w:val="14"/>
                        <w:szCs w:val="14"/>
                      </w:rPr>
                    </w:pPr>
                    <w:r w:rsidRPr="00237F83">
                      <w:rPr>
                        <w:rFonts w:ascii="Aptos" w:eastAsia="Aptos" w:hAnsi="Aptos" w:cs="Aptos"/>
                        <w:color w:val="000000"/>
                        <w:sz w:val="14"/>
                        <w:szCs w:val="14"/>
                      </w:rPr>
                      <w:t>Private – Not Listed – Not Subject to Export Controls</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11BE1F" w14:textId="77777777" w:rsidR="00804BDB" w:rsidRPr="00237F83" w:rsidRDefault="00804BDB" w:rsidP="00EA6FB3">
      <w:pPr>
        <w:spacing w:after="0" w:line="240" w:lineRule="auto"/>
      </w:pPr>
      <w:r w:rsidRPr="00237F83">
        <w:separator/>
      </w:r>
    </w:p>
  </w:footnote>
  <w:footnote w:type="continuationSeparator" w:id="0">
    <w:p w14:paraId="779FBD74" w14:textId="77777777" w:rsidR="00804BDB" w:rsidRPr="00237F83" w:rsidRDefault="00804BDB" w:rsidP="00EA6FB3">
      <w:pPr>
        <w:spacing w:after="0" w:line="240" w:lineRule="auto"/>
      </w:pPr>
      <w:r w:rsidRPr="00237F83">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F26BBD" w14:textId="306A5257" w:rsidR="009F3AF2" w:rsidRDefault="009F3AF2">
    <w:pPr>
      <w:pStyle w:val="Header"/>
    </w:pPr>
    <w:r>
      <w:t>Module: BMDP7002</w:t>
    </w:r>
  </w:p>
  <w:p w14:paraId="7C1ED5DE" w14:textId="6134FAF7" w:rsidR="009F3AF2" w:rsidRDefault="009F3AF2">
    <w:pPr>
      <w:pStyle w:val="Header"/>
    </w:pPr>
    <w:r>
      <w:t>Student No. 2507831</w:t>
    </w:r>
  </w:p>
  <w:p w14:paraId="29B10D35" w14:textId="77777777" w:rsidR="009F3AF2" w:rsidRDefault="009F3AF2">
    <w:pPr>
      <w:pStyle w:val="Header"/>
    </w:pPr>
  </w:p>
  <w:p w14:paraId="44B8E565" w14:textId="77777777" w:rsidR="009F3AF2" w:rsidRDefault="009F3AF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1"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2"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3"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4"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5"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6" w15:restartNumberingAfterBreak="0">
    <w:nsid w:val="11E95185"/>
    <w:multiLevelType w:val="multilevel"/>
    <w:tmpl w:val="67640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76506B"/>
    <w:multiLevelType w:val="multilevel"/>
    <w:tmpl w:val="D89EBC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93945AF"/>
    <w:multiLevelType w:val="multilevel"/>
    <w:tmpl w:val="059A33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C6F354A"/>
    <w:multiLevelType w:val="multilevel"/>
    <w:tmpl w:val="0A083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4A06D2C"/>
    <w:multiLevelType w:val="multilevel"/>
    <w:tmpl w:val="F4087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57F314E"/>
    <w:multiLevelType w:val="multilevel"/>
    <w:tmpl w:val="71D0D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D955975"/>
    <w:multiLevelType w:val="multilevel"/>
    <w:tmpl w:val="4A1C6F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2191831"/>
    <w:multiLevelType w:val="multilevel"/>
    <w:tmpl w:val="9420F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3DC4778"/>
    <w:multiLevelType w:val="multilevel"/>
    <w:tmpl w:val="2FEAA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2E341CA"/>
    <w:multiLevelType w:val="multilevel"/>
    <w:tmpl w:val="577A4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F4676EE"/>
    <w:multiLevelType w:val="multilevel"/>
    <w:tmpl w:val="B05C4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63012352">
    <w:abstractNumId w:val="5"/>
  </w:num>
  <w:num w:numId="2" w16cid:durableId="749622628">
    <w:abstractNumId w:val="3"/>
  </w:num>
  <w:num w:numId="3" w16cid:durableId="495920267">
    <w:abstractNumId w:val="2"/>
  </w:num>
  <w:num w:numId="4" w16cid:durableId="1181164170">
    <w:abstractNumId w:val="4"/>
  </w:num>
  <w:num w:numId="5" w16cid:durableId="1010641150">
    <w:abstractNumId w:val="1"/>
  </w:num>
  <w:num w:numId="6" w16cid:durableId="1086610686">
    <w:abstractNumId w:val="0"/>
  </w:num>
  <w:num w:numId="7" w16cid:durableId="144468076">
    <w:abstractNumId w:val="9"/>
  </w:num>
  <w:num w:numId="8" w16cid:durableId="1578513308">
    <w:abstractNumId w:val="16"/>
  </w:num>
  <w:num w:numId="9" w16cid:durableId="675569669">
    <w:abstractNumId w:val="11"/>
  </w:num>
  <w:num w:numId="10" w16cid:durableId="1890191996">
    <w:abstractNumId w:val="15"/>
  </w:num>
  <w:num w:numId="11" w16cid:durableId="347756198">
    <w:abstractNumId w:val="13"/>
  </w:num>
  <w:num w:numId="12" w16cid:durableId="2131315254">
    <w:abstractNumId w:val="14"/>
  </w:num>
  <w:num w:numId="13" w16cid:durableId="73551064">
    <w:abstractNumId w:val="10"/>
  </w:num>
  <w:num w:numId="14" w16cid:durableId="1475949948">
    <w:abstractNumId w:val="7"/>
  </w:num>
  <w:num w:numId="15" w16cid:durableId="1791973645">
    <w:abstractNumId w:val="8"/>
  </w:num>
  <w:num w:numId="16" w16cid:durableId="1845629806">
    <w:abstractNumId w:val="6"/>
  </w:num>
  <w:num w:numId="17" w16cid:durableId="483400343">
    <w:abstractNumId w:val="12"/>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2880"/>
    <w:rsid w:val="00011F43"/>
    <w:rsid w:val="000123A6"/>
    <w:rsid w:val="00015657"/>
    <w:rsid w:val="00021A17"/>
    <w:rsid w:val="00021C6C"/>
    <w:rsid w:val="000316CC"/>
    <w:rsid w:val="00034616"/>
    <w:rsid w:val="00041C79"/>
    <w:rsid w:val="00043AD6"/>
    <w:rsid w:val="00045291"/>
    <w:rsid w:val="00047F42"/>
    <w:rsid w:val="000547B4"/>
    <w:rsid w:val="0006063C"/>
    <w:rsid w:val="00061967"/>
    <w:rsid w:val="0007578C"/>
    <w:rsid w:val="000772A9"/>
    <w:rsid w:val="000931B4"/>
    <w:rsid w:val="000A0C7C"/>
    <w:rsid w:val="000A4E8B"/>
    <w:rsid w:val="000B0342"/>
    <w:rsid w:val="000B0AD1"/>
    <w:rsid w:val="000B78B5"/>
    <w:rsid w:val="000C71E9"/>
    <w:rsid w:val="000E096D"/>
    <w:rsid w:val="000E3BE4"/>
    <w:rsid w:val="000E5BC0"/>
    <w:rsid w:val="000F3233"/>
    <w:rsid w:val="00102886"/>
    <w:rsid w:val="00102BF5"/>
    <w:rsid w:val="00105C6F"/>
    <w:rsid w:val="001102D9"/>
    <w:rsid w:val="00146E9B"/>
    <w:rsid w:val="0015074B"/>
    <w:rsid w:val="001615D0"/>
    <w:rsid w:val="00164CA5"/>
    <w:rsid w:val="00166C6F"/>
    <w:rsid w:val="001748D5"/>
    <w:rsid w:val="00177AC1"/>
    <w:rsid w:val="00185DD1"/>
    <w:rsid w:val="00190717"/>
    <w:rsid w:val="00193ECA"/>
    <w:rsid w:val="00197621"/>
    <w:rsid w:val="001B031D"/>
    <w:rsid w:val="001B5346"/>
    <w:rsid w:val="001C2239"/>
    <w:rsid w:val="001D75B6"/>
    <w:rsid w:val="001E638E"/>
    <w:rsid w:val="001E6DD9"/>
    <w:rsid w:val="001F3944"/>
    <w:rsid w:val="001F4AE4"/>
    <w:rsid w:val="001F69C7"/>
    <w:rsid w:val="00201AF2"/>
    <w:rsid w:val="002043BA"/>
    <w:rsid w:val="0021659B"/>
    <w:rsid w:val="002206BB"/>
    <w:rsid w:val="00224D5E"/>
    <w:rsid w:val="0022691C"/>
    <w:rsid w:val="00227538"/>
    <w:rsid w:val="00236919"/>
    <w:rsid w:val="00237F83"/>
    <w:rsid w:val="00242728"/>
    <w:rsid w:val="00260BB1"/>
    <w:rsid w:val="0026454D"/>
    <w:rsid w:val="0026509A"/>
    <w:rsid w:val="00271155"/>
    <w:rsid w:val="00273238"/>
    <w:rsid w:val="00280F00"/>
    <w:rsid w:val="002860DA"/>
    <w:rsid w:val="002870EA"/>
    <w:rsid w:val="0029422B"/>
    <w:rsid w:val="0029639D"/>
    <w:rsid w:val="002B018E"/>
    <w:rsid w:val="002B0977"/>
    <w:rsid w:val="002B6A4F"/>
    <w:rsid w:val="002C0BC3"/>
    <w:rsid w:val="002C26AF"/>
    <w:rsid w:val="002C40D3"/>
    <w:rsid w:val="002D6C50"/>
    <w:rsid w:val="002E4483"/>
    <w:rsid w:val="002E4B02"/>
    <w:rsid w:val="002E6548"/>
    <w:rsid w:val="002F54CE"/>
    <w:rsid w:val="002F74C7"/>
    <w:rsid w:val="00302990"/>
    <w:rsid w:val="00303AD2"/>
    <w:rsid w:val="00304D52"/>
    <w:rsid w:val="003054B5"/>
    <w:rsid w:val="00305DF7"/>
    <w:rsid w:val="00317848"/>
    <w:rsid w:val="00326F90"/>
    <w:rsid w:val="00332508"/>
    <w:rsid w:val="003520DC"/>
    <w:rsid w:val="003570EA"/>
    <w:rsid w:val="003600A8"/>
    <w:rsid w:val="0036183D"/>
    <w:rsid w:val="003676ED"/>
    <w:rsid w:val="00370F2B"/>
    <w:rsid w:val="0037145F"/>
    <w:rsid w:val="00374F5A"/>
    <w:rsid w:val="003758E2"/>
    <w:rsid w:val="00376E85"/>
    <w:rsid w:val="003800FE"/>
    <w:rsid w:val="00384C5D"/>
    <w:rsid w:val="003903BC"/>
    <w:rsid w:val="00391652"/>
    <w:rsid w:val="0039220C"/>
    <w:rsid w:val="003A1C53"/>
    <w:rsid w:val="003B062F"/>
    <w:rsid w:val="003C1E12"/>
    <w:rsid w:val="003C26AA"/>
    <w:rsid w:val="003D39D5"/>
    <w:rsid w:val="003E060E"/>
    <w:rsid w:val="003E7E90"/>
    <w:rsid w:val="003F3DD5"/>
    <w:rsid w:val="00400EAC"/>
    <w:rsid w:val="004473E5"/>
    <w:rsid w:val="0045482D"/>
    <w:rsid w:val="00454DC7"/>
    <w:rsid w:val="004568D5"/>
    <w:rsid w:val="004629B4"/>
    <w:rsid w:val="00475E2F"/>
    <w:rsid w:val="004800B7"/>
    <w:rsid w:val="004802EB"/>
    <w:rsid w:val="0048310F"/>
    <w:rsid w:val="0048321B"/>
    <w:rsid w:val="00487431"/>
    <w:rsid w:val="004A41F0"/>
    <w:rsid w:val="004C1B79"/>
    <w:rsid w:val="004D584C"/>
    <w:rsid w:val="004E4DD8"/>
    <w:rsid w:val="004E6B26"/>
    <w:rsid w:val="004F270D"/>
    <w:rsid w:val="004F367B"/>
    <w:rsid w:val="004F6801"/>
    <w:rsid w:val="0050701E"/>
    <w:rsid w:val="00507934"/>
    <w:rsid w:val="0051175F"/>
    <w:rsid w:val="0051305E"/>
    <w:rsid w:val="005149D7"/>
    <w:rsid w:val="00517F88"/>
    <w:rsid w:val="00523A9C"/>
    <w:rsid w:val="00525C33"/>
    <w:rsid w:val="00537AF2"/>
    <w:rsid w:val="0054474C"/>
    <w:rsid w:val="00546DE8"/>
    <w:rsid w:val="00552F32"/>
    <w:rsid w:val="005672E5"/>
    <w:rsid w:val="0056742D"/>
    <w:rsid w:val="00577971"/>
    <w:rsid w:val="00583D37"/>
    <w:rsid w:val="00583D8C"/>
    <w:rsid w:val="005855B7"/>
    <w:rsid w:val="005874E6"/>
    <w:rsid w:val="005A1EEF"/>
    <w:rsid w:val="005A24D4"/>
    <w:rsid w:val="005B1E06"/>
    <w:rsid w:val="005C0F1C"/>
    <w:rsid w:val="005C33E1"/>
    <w:rsid w:val="005D0EB1"/>
    <w:rsid w:val="005E6F3E"/>
    <w:rsid w:val="005F0834"/>
    <w:rsid w:val="005F0AFD"/>
    <w:rsid w:val="005F39BA"/>
    <w:rsid w:val="006107CE"/>
    <w:rsid w:val="0062219B"/>
    <w:rsid w:val="006276D2"/>
    <w:rsid w:val="00627758"/>
    <w:rsid w:val="00632D3D"/>
    <w:rsid w:val="00635F18"/>
    <w:rsid w:val="00641E29"/>
    <w:rsid w:val="00645D27"/>
    <w:rsid w:val="006477FA"/>
    <w:rsid w:val="00647DAB"/>
    <w:rsid w:val="006568D6"/>
    <w:rsid w:val="00663525"/>
    <w:rsid w:val="00663662"/>
    <w:rsid w:val="00684389"/>
    <w:rsid w:val="0068492F"/>
    <w:rsid w:val="00691780"/>
    <w:rsid w:val="006B0047"/>
    <w:rsid w:val="006C0DBD"/>
    <w:rsid w:val="006C6E6B"/>
    <w:rsid w:val="006D71D3"/>
    <w:rsid w:val="006E38EB"/>
    <w:rsid w:val="006F6592"/>
    <w:rsid w:val="0070666B"/>
    <w:rsid w:val="00711419"/>
    <w:rsid w:val="00711D1A"/>
    <w:rsid w:val="0071244F"/>
    <w:rsid w:val="00713378"/>
    <w:rsid w:val="007560C7"/>
    <w:rsid w:val="007571C4"/>
    <w:rsid w:val="00760AD6"/>
    <w:rsid w:val="00774501"/>
    <w:rsid w:val="0078222E"/>
    <w:rsid w:val="00785CB0"/>
    <w:rsid w:val="00791EB4"/>
    <w:rsid w:val="0079796A"/>
    <w:rsid w:val="007A0232"/>
    <w:rsid w:val="007B1835"/>
    <w:rsid w:val="007C1415"/>
    <w:rsid w:val="007C456C"/>
    <w:rsid w:val="007C6E38"/>
    <w:rsid w:val="007E3E33"/>
    <w:rsid w:val="007E6F7B"/>
    <w:rsid w:val="007F31B9"/>
    <w:rsid w:val="007F5573"/>
    <w:rsid w:val="007F5DDC"/>
    <w:rsid w:val="00804BDB"/>
    <w:rsid w:val="00810215"/>
    <w:rsid w:val="008141C6"/>
    <w:rsid w:val="00832146"/>
    <w:rsid w:val="00835980"/>
    <w:rsid w:val="008371CE"/>
    <w:rsid w:val="0083744A"/>
    <w:rsid w:val="00845B47"/>
    <w:rsid w:val="00870EC5"/>
    <w:rsid w:val="008722FC"/>
    <w:rsid w:val="008827DE"/>
    <w:rsid w:val="0089006D"/>
    <w:rsid w:val="008B090D"/>
    <w:rsid w:val="008B1470"/>
    <w:rsid w:val="008B1A46"/>
    <w:rsid w:val="008B6816"/>
    <w:rsid w:val="008C0B96"/>
    <w:rsid w:val="008C29CA"/>
    <w:rsid w:val="008D3AF3"/>
    <w:rsid w:val="008F2320"/>
    <w:rsid w:val="008F6B72"/>
    <w:rsid w:val="0090650D"/>
    <w:rsid w:val="00907062"/>
    <w:rsid w:val="0091073C"/>
    <w:rsid w:val="00912E3C"/>
    <w:rsid w:val="00931B2B"/>
    <w:rsid w:val="00941929"/>
    <w:rsid w:val="009507E7"/>
    <w:rsid w:val="009553CE"/>
    <w:rsid w:val="0096317C"/>
    <w:rsid w:val="00964BEC"/>
    <w:rsid w:val="0096553D"/>
    <w:rsid w:val="00970C99"/>
    <w:rsid w:val="009858AE"/>
    <w:rsid w:val="0099266B"/>
    <w:rsid w:val="009950F5"/>
    <w:rsid w:val="009A3177"/>
    <w:rsid w:val="009B0784"/>
    <w:rsid w:val="009B1214"/>
    <w:rsid w:val="009B198A"/>
    <w:rsid w:val="009D0D27"/>
    <w:rsid w:val="009D2C45"/>
    <w:rsid w:val="009D693B"/>
    <w:rsid w:val="009E08A3"/>
    <w:rsid w:val="009E20BB"/>
    <w:rsid w:val="009F3AF2"/>
    <w:rsid w:val="009F78CC"/>
    <w:rsid w:val="00A041F9"/>
    <w:rsid w:val="00A10953"/>
    <w:rsid w:val="00A1148B"/>
    <w:rsid w:val="00A11591"/>
    <w:rsid w:val="00A11E89"/>
    <w:rsid w:val="00A204E6"/>
    <w:rsid w:val="00A261E0"/>
    <w:rsid w:val="00A33196"/>
    <w:rsid w:val="00A33468"/>
    <w:rsid w:val="00A3781E"/>
    <w:rsid w:val="00A40426"/>
    <w:rsid w:val="00A440D0"/>
    <w:rsid w:val="00A479A3"/>
    <w:rsid w:val="00A47F7F"/>
    <w:rsid w:val="00A51F14"/>
    <w:rsid w:val="00A641A1"/>
    <w:rsid w:val="00A76096"/>
    <w:rsid w:val="00A862BC"/>
    <w:rsid w:val="00A96A6A"/>
    <w:rsid w:val="00AA1D8D"/>
    <w:rsid w:val="00AA2AE8"/>
    <w:rsid w:val="00AA7E71"/>
    <w:rsid w:val="00AB37A1"/>
    <w:rsid w:val="00AB6EAD"/>
    <w:rsid w:val="00AC7813"/>
    <w:rsid w:val="00AD112D"/>
    <w:rsid w:val="00AE1570"/>
    <w:rsid w:val="00AE6031"/>
    <w:rsid w:val="00AF5F0B"/>
    <w:rsid w:val="00B03F1E"/>
    <w:rsid w:val="00B04244"/>
    <w:rsid w:val="00B05B28"/>
    <w:rsid w:val="00B05DBF"/>
    <w:rsid w:val="00B10564"/>
    <w:rsid w:val="00B15D7B"/>
    <w:rsid w:val="00B16385"/>
    <w:rsid w:val="00B307BB"/>
    <w:rsid w:val="00B36700"/>
    <w:rsid w:val="00B46253"/>
    <w:rsid w:val="00B47730"/>
    <w:rsid w:val="00B56859"/>
    <w:rsid w:val="00B62954"/>
    <w:rsid w:val="00B6428B"/>
    <w:rsid w:val="00B65584"/>
    <w:rsid w:val="00B72216"/>
    <w:rsid w:val="00B760A5"/>
    <w:rsid w:val="00B80A2D"/>
    <w:rsid w:val="00B82998"/>
    <w:rsid w:val="00B835CF"/>
    <w:rsid w:val="00B83B40"/>
    <w:rsid w:val="00B93AAE"/>
    <w:rsid w:val="00BA3CA8"/>
    <w:rsid w:val="00BA75F5"/>
    <w:rsid w:val="00BB3CA8"/>
    <w:rsid w:val="00BB4951"/>
    <w:rsid w:val="00BC06C6"/>
    <w:rsid w:val="00BC230F"/>
    <w:rsid w:val="00BC4C6F"/>
    <w:rsid w:val="00BC73D0"/>
    <w:rsid w:val="00BD6BC3"/>
    <w:rsid w:val="00BE0D72"/>
    <w:rsid w:val="00BE42D9"/>
    <w:rsid w:val="00BE5AFE"/>
    <w:rsid w:val="00BF665E"/>
    <w:rsid w:val="00C00609"/>
    <w:rsid w:val="00C062D5"/>
    <w:rsid w:val="00C066C9"/>
    <w:rsid w:val="00C168E3"/>
    <w:rsid w:val="00C20E93"/>
    <w:rsid w:val="00C213EA"/>
    <w:rsid w:val="00C2401F"/>
    <w:rsid w:val="00C32F58"/>
    <w:rsid w:val="00C45CAC"/>
    <w:rsid w:val="00C61DDC"/>
    <w:rsid w:val="00C676C8"/>
    <w:rsid w:val="00C74410"/>
    <w:rsid w:val="00C83072"/>
    <w:rsid w:val="00C84327"/>
    <w:rsid w:val="00CA2EE7"/>
    <w:rsid w:val="00CA539C"/>
    <w:rsid w:val="00CA6BA0"/>
    <w:rsid w:val="00CB0664"/>
    <w:rsid w:val="00CB0BEE"/>
    <w:rsid w:val="00CC3526"/>
    <w:rsid w:val="00CC3C58"/>
    <w:rsid w:val="00CF2465"/>
    <w:rsid w:val="00D00C66"/>
    <w:rsid w:val="00D02C7E"/>
    <w:rsid w:val="00D0638E"/>
    <w:rsid w:val="00D110C6"/>
    <w:rsid w:val="00D173B5"/>
    <w:rsid w:val="00D27389"/>
    <w:rsid w:val="00D40CBC"/>
    <w:rsid w:val="00D41084"/>
    <w:rsid w:val="00D42676"/>
    <w:rsid w:val="00D51466"/>
    <w:rsid w:val="00D54A1C"/>
    <w:rsid w:val="00D63BFB"/>
    <w:rsid w:val="00D64F31"/>
    <w:rsid w:val="00D66F33"/>
    <w:rsid w:val="00D7519C"/>
    <w:rsid w:val="00D7659C"/>
    <w:rsid w:val="00D76FC4"/>
    <w:rsid w:val="00D808CA"/>
    <w:rsid w:val="00D92EEB"/>
    <w:rsid w:val="00D97D46"/>
    <w:rsid w:val="00DA0973"/>
    <w:rsid w:val="00DA4EA7"/>
    <w:rsid w:val="00DA7922"/>
    <w:rsid w:val="00DB7182"/>
    <w:rsid w:val="00DB7643"/>
    <w:rsid w:val="00DC3AAB"/>
    <w:rsid w:val="00DE0E26"/>
    <w:rsid w:val="00DF0E75"/>
    <w:rsid w:val="00DF357B"/>
    <w:rsid w:val="00E0138A"/>
    <w:rsid w:val="00E13E15"/>
    <w:rsid w:val="00E17777"/>
    <w:rsid w:val="00E5464C"/>
    <w:rsid w:val="00E57F15"/>
    <w:rsid w:val="00E611C3"/>
    <w:rsid w:val="00E66CBA"/>
    <w:rsid w:val="00E7193B"/>
    <w:rsid w:val="00E77735"/>
    <w:rsid w:val="00E86A63"/>
    <w:rsid w:val="00EA6FB3"/>
    <w:rsid w:val="00EB219C"/>
    <w:rsid w:val="00EC163B"/>
    <w:rsid w:val="00EC48F3"/>
    <w:rsid w:val="00ED4322"/>
    <w:rsid w:val="00ED6465"/>
    <w:rsid w:val="00EE21A4"/>
    <w:rsid w:val="00EF06A8"/>
    <w:rsid w:val="00F03D05"/>
    <w:rsid w:val="00F04171"/>
    <w:rsid w:val="00F06EF8"/>
    <w:rsid w:val="00F12119"/>
    <w:rsid w:val="00F128C2"/>
    <w:rsid w:val="00F2062D"/>
    <w:rsid w:val="00F25553"/>
    <w:rsid w:val="00F27D9A"/>
    <w:rsid w:val="00F34589"/>
    <w:rsid w:val="00F3638B"/>
    <w:rsid w:val="00F5550F"/>
    <w:rsid w:val="00F60754"/>
    <w:rsid w:val="00F61436"/>
    <w:rsid w:val="00F619AE"/>
    <w:rsid w:val="00F70B0F"/>
    <w:rsid w:val="00F84653"/>
    <w:rsid w:val="00F9050C"/>
    <w:rsid w:val="00F94824"/>
    <w:rsid w:val="00F95767"/>
    <w:rsid w:val="00FA0060"/>
    <w:rsid w:val="00FA39B8"/>
    <w:rsid w:val="00FA6B59"/>
    <w:rsid w:val="00FC342A"/>
    <w:rsid w:val="00FC4CE6"/>
    <w:rsid w:val="00FC5B4E"/>
    <w:rsid w:val="00FC693F"/>
    <w:rsid w:val="00FD3ED5"/>
    <w:rsid w:val="00FD51F2"/>
    <w:rsid w:val="00FE1968"/>
    <w:rsid w:val="00FE6AAC"/>
    <w:rsid w:val="00FF487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062061"/>
  <w14:defaultImageDpi w14:val="300"/>
  <w15:docId w15:val="{FFCA076D-A01D-45E1-8177-E43D6D8963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lang w:val="en-GB"/>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4"/>
      </w:numPr>
      <w:contextualSpacing/>
    </w:pPr>
  </w:style>
  <w:style w:type="paragraph" w:styleId="ListNumber2">
    <w:name w:val="List Number 2"/>
    <w:basedOn w:val="Normal"/>
    <w:uiPriority w:val="99"/>
    <w:unhideWhenUsed/>
    <w:rsid w:val="0029639D"/>
    <w:pPr>
      <w:numPr>
        <w:numId w:val="5"/>
      </w:numPr>
      <w:tabs>
        <w:tab w:val="clear" w:pos="720"/>
        <w:tab w:val="num" w:pos="360"/>
      </w:tabs>
      <w:ind w:left="0" w:firstLine="0"/>
      <w:contextualSpacing/>
    </w:pPr>
  </w:style>
  <w:style w:type="paragraph" w:styleId="ListNumber3">
    <w:name w:val="List Number 3"/>
    <w:basedOn w:val="Normal"/>
    <w:uiPriority w:val="99"/>
    <w:unhideWhenUsed/>
    <w:rsid w:val="0029639D"/>
    <w:pPr>
      <w:numPr>
        <w:numId w:val="6"/>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B6428B"/>
    <w:rPr>
      <w:color w:val="0000FF" w:themeColor="hyperlink"/>
      <w:u w:val="single"/>
    </w:rPr>
  </w:style>
  <w:style w:type="character" w:styleId="UnresolvedMention">
    <w:name w:val="Unresolved Mention"/>
    <w:basedOn w:val="DefaultParagraphFont"/>
    <w:uiPriority w:val="99"/>
    <w:semiHidden/>
    <w:unhideWhenUsed/>
    <w:rsid w:val="00713378"/>
    <w:rPr>
      <w:color w:val="605E5C"/>
      <w:shd w:val="clear" w:color="auto" w:fill="E1DFDD"/>
    </w:rPr>
  </w:style>
  <w:style w:type="character" w:styleId="FollowedHyperlink">
    <w:name w:val="FollowedHyperlink"/>
    <w:basedOn w:val="DefaultParagraphFont"/>
    <w:uiPriority w:val="99"/>
    <w:semiHidden/>
    <w:unhideWhenUsed/>
    <w:rsid w:val="002B0977"/>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38/s41893-022-00909-5" TargetMode="External" /><Relationship Id="rId13" Type="http://schemas.openxmlformats.org/officeDocument/2006/relationships/hyperlink" Target="https://www.globalelectricity.org/nuclear-energy/" TargetMode="External" /><Relationship Id="rId18" Type="http://schemas.openxmlformats.org/officeDocument/2006/relationships/hyperlink" Target="https://www.oecd.org/gov/infrastructure-governance/" TargetMode="External" /><Relationship Id="rId26" Type="http://schemas.openxmlformats.org/officeDocument/2006/relationships/hyperlink" Target="https://doi.org/10.1111/j.1539-6924.2012.01861.x" TargetMode="External" /><Relationship Id="rId3" Type="http://schemas.openxmlformats.org/officeDocument/2006/relationships/styles" Target="styles.xml" /><Relationship Id="rId21" Type="http://schemas.openxmlformats.org/officeDocument/2006/relationships/hyperlink" Target="https://www.oecd.org/gov/infrastructure-governance/" TargetMode="External" /><Relationship Id="rId34" Type="http://schemas.openxmlformats.org/officeDocument/2006/relationships/theme" Target="theme/theme1.xml" /><Relationship Id="rId7" Type="http://schemas.openxmlformats.org/officeDocument/2006/relationships/endnotes" Target="endnotes.xml" /><Relationship Id="rId12" Type="http://schemas.openxmlformats.org/officeDocument/2006/relationships/hyperlink" Target="https://doi.org/10.1080/20430795.2015.1118917" TargetMode="External" /><Relationship Id="rId17" Type="http://schemas.openxmlformats.org/officeDocument/2006/relationships/hyperlink" Target="https://www.iea.org/reports/electricity-2025" TargetMode="External" /><Relationship Id="rId25" Type="http://schemas.openxmlformats.org/officeDocument/2006/relationships/hyperlink" Target="https://doi.org/10.1007/s11301-022-00299-5" TargetMode="External" /><Relationship Id="rId33"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hyperlink" Target="https://www.iea.org/reports/world-energy-outlook-2024" TargetMode="External" /><Relationship Id="rId20" Type="http://schemas.openxmlformats.org/officeDocument/2006/relationships/hyperlink" Target="https://doi.org/10.1787/ed750b30-en" TargetMode="External" /><Relationship Id="rId29" Type="http://schemas.openxmlformats.org/officeDocument/2006/relationships/header" Target="head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frc.org.uk/library/standards-codes-policy/corporate-governance/uk-corporate-governance-code/" TargetMode="External" /><Relationship Id="rId24" Type="http://schemas.openxmlformats.org/officeDocument/2006/relationships/hyperlink" Target="https://sdgs.un.org/2030agenda" TargetMode="External" /><Relationship Id="rId32" Type="http://schemas.openxmlformats.org/officeDocument/2006/relationships/footer" Target="footer3.xml" /><Relationship Id="rId5" Type="http://schemas.openxmlformats.org/officeDocument/2006/relationships/webSettings" Target="webSettings.xml" /><Relationship Id="rId15" Type="http://schemas.openxmlformats.org/officeDocument/2006/relationships/hyperlink" Target="https://doi.org/10.61092/iaea.3o4h-svum" TargetMode="External" /><Relationship Id="rId23" Type="http://schemas.openxmlformats.org/officeDocument/2006/relationships/hyperlink" Target="https://doi.org/10.1787/ed750b30-en" TargetMode="External" /><Relationship Id="rId28" Type="http://schemas.openxmlformats.org/officeDocument/2006/relationships/hyperlink" Target="https://world-nuclear.org/information-library/economic-aspects/economics-of-nuclear-power.aspx" TargetMode="External" /><Relationship Id="rId10" Type="http://schemas.openxmlformats.org/officeDocument/2006/relationships/hyperlink" Target="https://www.gov.uk/government/publications/civil-nuclear-roadmap-to-2050" TargetMode="External" /><Relationship Id="rId19" Type="http://schemas.openxmlformats.org/officeDocument/2006/relationships/hyperlink" Target="https://www.oecd.org/gov/building-trust-and-reinforcing-democracy-9efc7775-en.htm" TargetMode="External" /><Relationship Id="rId31" Type="http://schemas.openxmlformats.org/officeDocument/2006/relationships/footer" Target="footer2.xml" /><Relationship Id="rId4" Type="http://schemas.openxmlformats.org/officeDocument/2006/relationships/settings" Target="settings.xml" /><Relationship Id="rId9" Type="http://schemas.openxmlformats.org/officeDocument/2006/relationships/hyperlink" Target="https://www.icaew.com/technical/corporate-governance/codes-and-reports/cadbury-report" TargetMode="External" /><Relationship Id="rId14" Type="http://schemas.openxmlformats.org/officeDocument/2006/relationships/hyperlink" Target="https://www.iaea.org/publications/14885/stakeholder-engagement-in-nuclear-programmes" TargetMode="External" /><Relationship Id="rId22" Type="http://schemas.openxmlformats.org/officeDocument/2006/relationships/hyperlink" Target="https://www.oecd.org/gov/building-trust-and-reinforcing-democracy-9efc7775-en.htm" TargetMode="External" /><Relationship Id="rId27" Type="http://schemas.openxmlformats.org/officeDocument/2006/relationships/hyperlink" Target="https://www.worldenergy.org/publications/entry/world-energy-trilemma-report-2024" TargetMode="External" /><Relationship Id="rId30"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Metadata/LabelInfo.xml><?xml version="1.0" encoding="utf-8"?>
<clbl:labelList xmlns:clbl="http://schemas.microsoft.com/office/2020/mipLabelMetadata">
  <clbl:label id="{1694209e-4d56-4240-837d-92803b030f7f}" enabled="1" method="Privileged" siteId="{593eb8de-b372-4efe-aaa5-2e59bb9dfe9f}" removed="0"/>
</clbl:labelList>
</file>

<file path=docProps/app.xml><?xml version="1.0" encoding="utf-8"?>
<Properties xmlns="http://schemas.openxmlformats.org/officeDocument/2006/extended-properties" xmlns:vt="http://schemas.openxmlformats.org/officeDocument/2006/docPropsVTypes">
  <Template>Normal</Template>
  <TotalTime>1</TotalTime>
  <Pages>1</Pages>
  <Words>8911</Words>
  <Characters>50794</Characters>
  <Application>Microsoft Office Word</Application>
  <DocSecurity>0</DocSecurity>
  <Lines>423</Lines>
  <Paragraphs>119</Paragraphs>
  <ScaleCrop>false</ScaleCrop>
  <Manager/>
  <Company/>
  <LinksUpToDate>false</LinksUpToDate>
  <CharactersWithSpaces>59586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McCulloch, Emma</dc:creator>
  <cp:keywords/>
  <dc:description>generated by python-docx</dc:description>
  <cp:lastModifiedBy>Emma-Louise McCulloch</cp:lastModifiedBy>
  <cp:revision>2</cp:revision>
  <dcterms:created xsi:type="dcterms:W3CDTF">2026-09-11T14:55:00Z</dcterms:created>
  <dcterms:modified xsi:type="dcterms:W3CDTF">2026-09-11T14:55:00Z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2c381224,1e37def3,68d144cc</vt:lpwstr>
  </property>
  <property fmtid="{D5CDD505-2E9C-101B-9397-08002B2CF9AE}" pid="3" name="ClassificationContentMarkingFooterFontProps">
    <vt:lpwstr>#000000,7,Aptos</vt:lpwstr>
  </property>
  <property fmtid="{D5CDD505-2E9C-101B-9397-08002B2CF9AE}" pid="4" name="ClassificationContentMarkingFooterText">
    <vt:lpwstr>Private – Not Listed – Not Subject to Export Controls</vt:lpwstr>
  </property>
</Properties>
</file>