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standalone="yes"?><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rPr>
          <w:b w:val="1"/>
          <w:bCs w:val="1"/>
          <w:sz w:val="48"/>
          <w:szCs w:val="48"/>
        </w:rPr>
      </w:pPr>
      <w:r>
        <w:rPr>
          <w:b w:val="1"/>
          <w:bCs w:val="1"/>
          <w:sz w:val="48"/>
          <w:szCs w:val="48"/>
          <w:rtl w:val="0"/>
          <w:lang w:val="en-US"/>
        </w:rPr>
        <w:t>Community Project Proposal</w:t>
      </w:r>
    </w:p>
    <w:p>
      <w:pPr>
        <w:pStyle w:val="Body"/>
        <w:bidi w:val="0"/>
      </w:pPr>
    </w:p>
    <w:p>
      <w:pPr>
        <w:pStyle w:val="Body"/>
        <w:bidi w:val="0"/>
      </w:pPr>
    </w:p>
    <w:p>
      <w:pPr>
        <w:pStyle w:val="Body"/>
        <w:bidi w:val="0"/>
      </w:pPr>
    </w:p>
    <w:p>
      <w:pPr>
        <w:pStyle w:val="Body"/>
        <w:bidi w:val="0"/>
      </w:pPr>
    </w:p>
    <w:p>
      <w:pPr>
        <w:pStyle w:val="Body"/>
        <w:rPr>
          <w:sz w:val="36"/>
          <w:szCs w:val="36"/>
        </w:rPr>
      </w:pPr>
    </w:p>
    <w:p>
      <w:pPr>
        <w:pStyle w:val="Body"/>
        <w:rPr>
          <w:sz w:val="36"/>
          <w:szCs w:val="36"/>
        </w:rPr>
      </w:pPr>
      <w:r>
        <w:rPr>
          <w:sz w:val="36"/>
          <w:szCs w:val="36"/>
          <w:rtl w:val="0"/>
          <w:lang w:val="en-US"/>
        </w:rPr>
        <w:t>1 Introduction pg. 2-4</w:t>
      </w:r>
    </w:p>
    <w:p>
      <w:pPr>
        <w:pStyle w:val="Body"/>
        <w:rPr>
          <w:sz w:val="36"/>
          <w:szCs w:val="36"/>
        </w:rPr>
      </w:pPr>
    </w:p>
    <w:p>
      <w:pPr>
        <w:pStyle w:val="Body"/>
        <w:rPr>
          <w:sz w:val="36"/>
          <w:szCs w:val="36"/>
        </w:rPr>
      </w:pPr>
    </w:p>
    <w:p>
      <w:pPr>
        <w:pStyle w:val="Body"/>
        <w:rPr>
          <w:sz w:val="36"/>
          <w:szCs w:val="36"/>
        </w:rPr>
      </w:pPr>
      <w:r>
        <w:rPr>
          <w:sz w:val="36"/>
          <w:szCs w:val="36"/>
          <w:rtl w:val="0"/>
          <w:lang w:val="en-US"/>
        </w:rPr>
        <w:t>2 The Project Implementation pg. 4-6</w:t>
      </w:r>
    </w:p>
    <w:p>
      <w:pPr>
        <w:pStyle w:val="Body"/>
        <w:rPr>
          <w:sz w:val="36"/>
          <w:szCs w:val="36"/>
        </w:rPr>
      </w:pPr>
    </w:p>
    <w:p>
      <w:pPr>
        <w:pStyle w:val="Body"/>
        <w:rPr>
          <w:sz w:val="36"/>
          <w:szCs w:val="36"/>
        </w:rPr>
      </w:pPr>
    </w:p>
    <w:p>
      <w:pPr>
        <w:pStyle w:val="Body"/>
        <w:rPr>
          <w:sz w:val="36"/>
          <w:szCs w:val="36"/>
        </w:rPr>
      </w:pPr>
      <w:r>
        <w:rPr>
          <w:sz w:val="36"/>
          <w:szCs w:val="36"/>
          <w:rtl w:val="0"/>
          <w:lang w:val="en-US"/>
        </w:rPr>
        <w:t>3 Evaluation and Possible Challenges pg. 6-7</w:t>
      </w:r>
    </w:p>
    <w:p>
      <w:pPr>
        <w:pStyle w:val="Body"/>
        <w:rPr>
          <w:sz w:val="36"/>
          <w:szCs w:val="36"/>
        </w:rPr>
      </w:pPr>
    </w:p>
    <w:p>
      <w:pPr>
        <w:pStyle w:val="Body"/>
        <w:rPr>
          <w:sz w:val="36"/>
          <w:szCs w:val="36"/>
        </w:rPr>
      </w:pPr>
      <w:r>
        <w:rPr>
          <w:sz w:val="36"/>
          <w:szCs w:val="36"/>
          <w:rtl w:val="0"/>
          <w:lang w:val="en-US"/>
        </w:rPr>
        <w:t>4 References (refer to the Needs Analysis) pg. 9</w:t>
      </w:r>
    </w:p>
    <w:p>
      <w:pPr>
        <w:pStyle w:val="Body"/>
        <w:rPr>
          <w:sz w:val="36"/>
          <w:szCs w:val="36"/>
        </w:rPr>
      </w:pPr>
    </w:p>
    <w:p>
      <w:pPr>
        <w:pStyle w:val="Body"/>
        <w:rPr>
          <w:sz w:val="36"/>
          <w:szCs w:val="36"/>
        </w:rPr>
      </w:pPr>
      <w:r>
        <w:rPr>
          <w:sz w:val="36"/>
          <w:szCs w:val="36"/>
          <w:rtl w:val="0"/>
          <w:lang w:val="en-US"/>
        </w:rPr>
        <w:t>5 Appendix 1 pg. 10</w:t>
      </w:r>
    </w:p>
    <w:p>
      <w:pPr>
        <w:pStyle w:val="Body"/>
        <w:rPr>
          <w:sz w:val="36"/>
          <w:szCs w:val="36"/>
        </w:rPr>
      </w:pPr>
    </w:p>
    <w:p>
      <w:pPr>
        <w:pStyle w:val="Body"/>
        <w:rPr>
          <w:sz w:val="36"/>
          <w:szCs w:val="36"/>
        </w:rPr>
      </w:pPr>
      <w:r>
        <w:rPr>
          <w:sz w:val="36"/>
          <w:szCs w:val="36"/>
          <w:rtl w:val="0"/>
          <w:lang w:val="en-US"/>
        </w:rPr>
        <w:t>5 Appendix 2 pg. 11</w:t>
      </w:r>
    </w:p>
    <w:p>
      <w:pPr>
        <w:pStyle w:val="Body"/>
        <w:rPr>
          <w:sz w:val="36"/>
          <w:szCs w:val="36"/>
        </w:rPr>
      </w:pPr>
    </w:p>
    <w:p>
      <w:pPr>
        <w:pStyle w:val="Body"/>
        <w:rPr>
          <w:sz w:val="36"/>
          <w:szCs w:val="36"/>
        </w:rPr>
      </w:pPr>
    </w:p>
    <w:p>
      <w:pPr>
        <w:pStyle w:val="Body"/>
        <w:rPr>
          <w:sz w:val="36"/>
          <w:szCs w:val="36"/>
        </w:rPr>
      </w:pPr>
    </w:p>
    <w:p>
      <w:pPr>
        <w:pStyle w:val="Body"/>
        <w:rPr>
          <w:sz w:val="36"/>
          <w:szCs w:val="36"/>
        </w:rPr>
      </w:pPr>
    </w:p>
    <w:p>
      <w:pPr>
        <w:pStyle w:val="Body"/>
        <w:rPr>
          <w:sz w:val="36"/>
          <w:szCs w:val="36"/>
        </w:rPr>
      </w:pPr>
    </w:p>
    <w:p>
      <w:pPr>
        <w:pStyle w:val="Body"/>
        <w:rPr>
          <w:sz w:val="36"/>
          <w:szCs w:val="36"/>
        </w:rPr>
      </w:pPr>
    </w:p>
    <w:p>
      <w:pPr>
        <w:pStyle w:val="Body"/>
        <w:rPr>
          <w:sz w:val="36"/>
          <w:szCs w:val="36"/>
        </w:rPr>
      </w:pPr>
    </w:p>
    <w:p>
      <w:pPr>
        <w:pStyle w:val="Body"/>
        <w:rPr>
          <w:sz w:val="36"/>
          <w:szCs w:val="36"/>
        </w:rPr>
      </w:pPr>
    </w:p>
    <w:p>
      <w:pPr>
        <w:pStyle w:val="Body"/>
        <w:rPr>
          <w:sz w:val="36"/>
          <w:szCs w:val="36"/>
        </w:rPr>
      </w:pPr>
    </w:p>
    <w:p>
      <w:pPr>
        <w:pStyle w:val="Body"/>
        <w:rPr>
          <w:sz w:val="36"/>
          <w:szCs w:val="36"/>
        </w:rPr>
      </w:pPr>
    </w:p>
    <w:p>
      <w:pPr>
        <w:pStyle w:val="Body"/>
        <w:rPr>
          <w:sz w:val="36"/>
          <w:szCs w:val="36"/>
        </w:rPr>
      </w:pPr>
    </w:p>
    <w:p>
      <w:pPr>
        <w:pStyle w:val="Body"/>
        <w:rPr>
          <w:sz w:val="36"/>
          <w:szCs w:val="36"/>
        </w:rPr>
      </w:pPr>
    </w:p>
    <w:p>
      <w:pPr>
        <w:pStyle w:val="Body"/>
        <w:rPr>
          <w:sz w:val="36"/>
          <w:szCs w:val="36"/>
        </w:rPr>
      </w:pPr>
    </w:p>
    <w:p>
      <w:pPr>
        <w:pStyle w:val="Body"/>
        <w:rPr>
          <w:sz w:val="36"/>
          <w:szCs w:val="36"/>
        </w:rPr>
      </w:pPr>
    </w:p>
    <w:p>
      <w:pPr>
        <w:pStyle w:val="Body"/>
        <w:rPr>
          <w:sz w:val="36"/>
          <w:szCs w:val="36"/>
        </w:rPr>
      </w:pPr>
    </w:p>
    <w:p>
      <w:pPr>
        <w:pStyle w:val="Body"/>
        <w:bidi w:val="0"/>
      </w:pPr>
      <w:r>
        <w:rPr>
          <w:rtl w:val="0"/>
        </w:rPr>
        <w:t>By Daria Bajkowska, P148148</w:t>
      </w:r>
      <w:r>
        <w:rPr>
          <w:rFonts w:ascii="Arial Unicode MS" w:cs="Arial Unicode MS" w:hAnsi="Arial Unicode MS" w:eastAsia="Arial Unicode MS"/>
          <w:b w:val="0"/>
          <w:bCs w:val="0"/>
          <w:i w:val="0"/>
          <w:iCs w:val="0"/>
        </w:rPr>
        <w:br w:type="page"/>
      </w:r>
    </w:p>
    <w:p>
      <w:pPr>
        <w:pStyle w:val="Body"/>
        <w:rPr>
          <w:sz w:val="36"/>
          <w:szCs w:val="36"/>
          <w:u w:val="single"/>
        </w:rPr>
      </w:pPr>
      <w:r>
        <w:rPr>
          <w:sz w:val="36"/>
          <w:szCs w:val="36"/>
          <w:u w:val="single"/>
          <w:rtl w:val="0"/>
          <w:lang w:val="en-US"/>
        </w:rPr>
        <w:t>Introduction</w:t>
      </w:r>
    </w:p>
    <w:p>
      <w:pPr>
        <w:pStyle w:val="Body"/>
        <w:bidi w:val="0"/>
      </w:pPr>
    </w:p>
    <w:p>
      <w:pPr>
        <w:pStyle w:val="Body"/>
        <w:bidi w:val="0"/>
      </w:pPr>
      <w:r>
        <w:rPr>
          <w:rtl w:val="0"/>
        </w:rPr>
        <w:t>This project proposal has been developed to better the lives of children and their surrounding families where poverty is apparent and affects families</w:t>
      </w:r>
      <w:r>
        <w:rPr>
          <w:rtl w:val="0"/>
        </w:rPr>
        <w:t xml:space="preserve">’ </w:t>
      </w:r>
      <w:r>
        <w:rPr>
          <w:rtl w:val="0"/>
        </w:rPr>
        <w:t>lives. The research from the Needs Assessment shows there is a strong link between poverty and children</w:t>
      </w:r>
      <w:r>
        <w:rPr>
          <w:rtl w:val="0"/>
        </w:rPr>
        <w:t>’</w:t>
      </w:r>
      <w:r>
        <w:rPr>
          <w:rtl w:val="0"/>
        </w:rPr>
        <w:t>s quality of life, including the stability within their home, their achievements at school, their health and it is evident that children from less prosperous backgrounds are more likely to need additional learning support in order to receive equal quality education and benefit from it. This is a large scale project designed for Wales, however before providing its services all around Wales there would have to be one unit set up in a random location in Wales as a trial run to collect enough evidence of the expected benefits and diagnose possible challenges it may face during its course to navigate towards further improvement of the project. The project aims to counteract a wide variety of issues that have a link to poverty. The issues include, but are not limited to: children</w:t>
      </w:r>
      <w:r>
        <w:rPr>
          <w:rtl w:val="0"/>
        </w:rPr>
        <w:t>’</w:t>
      </w:r>
      <w:r>
        <w:rPr>
          <w:rtl w:val="0"/>
        </w:rPr>
        <w:t>s mental and physical wellbeing (such as specialist support), lack of additional support within school and outside of school, lack of life opportunities for children, lack of stability and support within a household, social acceptance, exposure to advanced harmful side effects caused by substance abuse, poor parent-child interactions and relationships, and even homelessness. Children whose education has been jeopardised due to some of the issues linked to poverty are likely to struggle financially in the future as in depended adults. All the issues linked to poverty have a hefty effect on the quality of education that child receives and affects the equal opportunities for their development. This was recognised by the Joseph Rowntree Foundation in 2016.</w:t>
      </w:r>
    </w:p>
    <w:p>
      <w:pPr>
        <w:pStyle w:val="Body"/>
        <w:bidi w:val="0"/>
      </w:pPr>
    </w:p>
    <w:p>
      <w:pPr>
        <w:pStyle w:val="Body"/>
        <w:bidi w:val="0"/>
      </w:pPr>
      <w:r>
        <w:rPr>
          <w:rtl w:val="0"/>
        </w:rPr>
        <w:t>An NHS report (2013) found that over 20% of young individuals (aged 0-20 years of age) live in poverty. That is more than one fifth of the youth population in Wales. Most of those children were born in families who already face poverty. This means that the families of each of those children also face long term poverty and have directly experienced all the effects poverty has on person</w:t>
      </w:r>
      <w:r>
        <w:rPr>
          <w:rtl w:val="0"/>
        </w:rPr>
        <w:t>’</w:t>
      </w:r>
      <w:r>
        <w:rPr>
          <w:rtl w:val="0"/>
        </w:rPr>
        <w:t>s life causing them to face a disadvantaged life. It is a high number that is of concern especially considering that young individuals aged 0-24 form on average 30% of the overall population across the UK.</w:t>
      </w:r>
    </w:p>
    <w:p>
      <w:pPr>
        <w:pStyle w:val="Body"/>
        <w:bidi w:val="0"/>
      </w:pPr>
    </w:p>
    <w:p>
      <w:pPr>
        <w:pStyle w:val="Body"/>
        <w:bidi w:val="0"/>
      </w:pPr>
      <w:r>
        <w:rPr>
          <w:rtl w:val="0"/>
        </w:rPr>
        <w:t xml:space="preserve">The project will work by setting up a gathering group for parents and children to enjoy in a non formal, social environment. The fun, socialising approach should eliminate some of the stigma that can be associated with community projects. The social gatherings would run in the early evenings, with some snacks and drinks provided. There would be activities for everyone to get involved in if interested. The specialists that offer their help and knowledge would only act as facilitators and guides. The project will attempt to strengthen family units as it is proven that the more stable a family unit is, the better the child develops. This project recognises the amount of funding it requires not even for a long term duration but for a start up of the trial phase in year one. If the project is accepted it will require full support from the government. The importance of </w:t>
      </w:r>
    </w:p>
    <w:p>
      <w:pPr>
        <w:pStyle w:val="Body"/>
        <w:bidi w:val="0"/>
      </w:pPr>
      <w:r>
        <w:rPr>
          <w:rtl w:val="0"/>
        </w:rPr>
        <w:t>running the project as informal social gatherings cannot be underestimated. Very often the formality of projects, the amount of commitment expected disheartens potential part takers, and in this scenario presence of family members coming to the gatherings is as vital as the presence of children. The building facility where the social meeting are held will provide a variety of children friendly facilities so they can follow their interests and are provided with plenty of opportunities that they would not be able to encounter otherwise. In addition all the staff will be trained how to address issues of bullying, yet for further mental wellbeing the building where the project is based will have a number of psychologists available who will part take in the social gatherings but will also be available for private sessions outside of the social gatherings. During the social gathering hours children will be able to either take part in group sessions with their parents or get involved in children development friendly activities indoors or outdoors. There will be appropriate staff spread around the building - child  minders- to ensure children</w:t>
      </w:r>
      <w:r>
        <w:rPr>
          <w:rtl w:val="0"/>
        </w:rPr>
        <w:t>’</w:t>
      </w:r>
      <w:r>
        <w:rPr>
          <w:rtl w:val="0"/>
        </w:rPr>
        <w:t>s safety. There will also be warm snacks and beverages available free of charge.</w:t>
      </w:r>
    </w:p>
    <w:p>
      <w:pPr>
        <w:pStyle w:val="Body"/>
        <w:bidi w:val="0"/>
      </w:pPr>
    </w:p>
    <w:p>
      <w:pPr>
        <w:pStyle w:val="Body"/>
        <w:bidi w:val="0"/>
      </w:pPr>
      <w:r>
        <w:rPr>
          <w:rtl w:val="0"/>
        </w:rPr>
        <w:t xml:space="preserve">Poverty means that many families lack in financial resources to equip family members in appropriate clothing, stationery or other school equipment and so within the building there will be a storage space with donated clothes, cloths, blankets, toys and stationary. The storage will be managed by a </w:t>
      </w:r>
      <w:r>
        <w:rPr>
          <w:rtl w:val="0"/>
        </w:rPr>
        <w:t>“</w:t>
      </w:r>
      <w:r>
        <w:rPr>
          <w:rtl w:val="0"/>
        </w:rPr>
        <w:t>storage keeper</w:t>
      </w:r>
      <w:r>
        <w:rPr>
          <w:rtl w:val="0"/>
        </w:rPr>
        <w:t xml:space="preserve">” </w:t>
      </w:r>
      <w:r>
        <w:rPr>
          <w:rtl w:val="0"/>
        </w:rPr>
        <w:t xml:space="preserve">who will dispense the donated items to individuals. This will ensure that children (and adults, yet children are the priority) are appropriately clothed throughout the seasons of the year and will ensure children have access to appropriate tools and stationary to do their school work having equal chances. There will be some children welfare representatives on duty during the social gatherings no provide parents with further guidance on how to care for their children and also to give them a hand with some of the work (especially to the less able parents who struggle with their own day to day wellbeing) such as head lice prevention and treatment, dental hygiene maintenance, overall hygiene maintenance and grooming eg. nail clipping. </w:t>
      </w:r>
    </w:p>
    <w:p>
      <w:pPr>
        <w:pStyle w:val="Body"/>
        <w:bidi w:val="0"/>
      </w:pPr>
      <w:r>
        <w:rPr>
          <w:rtl w:val="0"/>
        </w:rPr>
        <w:t>In my experience working with children from less privileged families grooming and hygiene can be too often overlooked by children parents or carers. Provision of such services within the project building will enhance children</w:t>
      </w:r>
      <w:r>
        <w:rPr>
          <w:rtl w:val="0"/>
        </w:rPr>
        <w:t>’</w:t>
      </w:r>
      <w:r>
        <w:rPr>
          <w:rtl w:val="0"/>
        </w:rPr>
        <w:t xml:space="preserve">s knowledge, understanding and own ability to look after themselves hygiene wise even if it is not reinforced by their parents/ carers at home. </w:t>
      </w:r>
    </w:p>
    <w:p>
      <w:pPr>
        <w:pStyle w:val="Body"/>
        <w:bidi w:val="0"/>
      </w:pPr>
      <w:r>
        <w:rPr>
          <w:rtl w:val="0"/>
        </w:rPr>
        <w:t xml:space="preserve">Addressing poverty relates issues is critical if we want to improve the lives of communities we live in or the ones surrounding us. Unless we enhance the lives of families and children who face poverty, we will not be able to find a sense of belonging and security, there will be a lack of mutual understating and communication but also the economy within our country will not thrive. Heathy, happy communities provide mental health benefits to all members of community and strengthen overall people relationships. </w:t>
      </w:r>
    </w:p>
    <w:p>
      <w:pPr>
        <w:pStyle w:val="Body"/>
        <w:bidi w:val="0"/>
      </w:pPr>
      <w:r>
        <w:rPr>
          <w:rtl w:val="0"/>
        </w:rPr>
        <w:t>The only possible way this project will work is if the local funding in children</w:t>
      </w:r>
      <w:r>
        <w:rPr>
          <w:rtl w:val="0"/>
        </w:rPr>
        <w:t>’</w:t>
      </w:r>
      <w:r>
        <w:rPr>
          <w:rtl w:val="0"/>
        </w:rPr>
        <w:t>s provision is restored in addition to further government funding to meet all the needs of the project. The project has potential to work only if sufficient funding is provided, enough staff trained and employed, the site at which the meetings will take place is sufficiently adapted or built specifically for the project and the support of locals and charities will also be detrimental especially in the aspect of providing enough donated clothes, toys and stationary equipment. The main argument for the project</w:t>
      </w:r>
      <w:r>
        <w:rPr>
          <w:rtl w:val="0"/>
        </w:rPr>
        <w:t>’</w:t>
      </w:r>
      <w:r>
        <w:rPr>
          <w:rtl w:val="0"/>
        </w:rPr>
        <w:t xml:space="preserve">s expected success is providing participants with enough familiarisation and comfort which will draw them back to the project centre long term. The more comfortable the participants feel within the set up the higher the chances of them visiting regularly and becoming more interested in what the programme has to offer turning them into </w:t>
      </w:r>
      <w:r>
        <w:rPr>
          <w:u w:val="single"/>
          <w:rtl w:val="0"/>
          <w:lang w:val="en-US"/>
        </w:rPr>
        <w:t>active participants</w:t>
      </w:r>
      <w:r>
        <w:rPr>
          <w:rtl w:val="0"/>
        </w:rPr>
        <w:t xml:space="preserve"> over time. </w:t>
      </w:r>
    </w:p>
    <w:p>
      <w:pPr>
        <w:pStyle w:val="Body"/>
        <w:bidi w:val="0"/>
      </w:pPr>
    </w:p>
    <w:p>
      <w:pPr>
        <w:pStyle w:val="Body"/>
        <w:bidi w:val="0"/>
      </w:pPr>
    </w:p>
    <w:p>
      <w:pPr>
        <w:pStyle w:val="Body"/>
        <w:bidi w:val="0"/>
      </w:pPr>
      <w:r>
        <w:rPr>
          <w:rtl w:val="0"/>
        </w:rPr>
        <w:t>The goals of the project are:</w:t>
      </w:r>
    </w:p>
    <w:p>
      <w:pPr>
        <w:pStyle w:val="Body"/>
        <w:bidi w:val="0"/>
      </w:pPr>
    </w:p>
    <w:p>
      <w:pPr>
        <w:pStyle w:val="Body"/>
        <w:bidi w:val="0"/>
      </w:pPr>
      <w:r>
        <w:rPr>
          <w:rtl w:val="0"/>
        </w:rPr>
        <w:t>-to provide a safe, warm, comfortable place for children to spend time at after school</w:t>
      </w:r>
    </w:p>
    <w:p>
      <w:pPr>
        <w:pStyle w:val="Body"/>
        <w:bidi w:val="0"/>
      </w:pPr>
    </w:p>
    <w:p>
      <w:pPr>
        <w:pStyle w:val="Body"/>
        <w:bidi w:val="0"/>
      </w:pPr>
      <w:r>
        <w:rPr>
          <w:rtl w:val="0"/>
        </w:rPr>
        <w:t>-to encourage community part taking and strengthening the community while limiting the feeling of competitiveness within the community</w:t>
      </w:r>
    </w:p>
    <w:p>
      <w:pPr>
        <w:pStyle w:val="Body"/>
        <w:bidi w:val="0"/>
      </w:pPr>
    </w:p>
    <w:p>
      <w:pPr>
        <w:pStyle w:val="Body"/>
        <w:bidi w:val="0"/>
      </w:pPr>
      <w:r>
        <w:rPr>
          <w:rtl w:val="0"/>
        </w:rPr>
        <w:t>-to provide enough adequate and useful resources for children which will promote equal opportunities for all and narrow the gap between the disadvantaged and advantaged children</w:t>
      </w:r>
    </w:p>
    <w:p>
      <w:pPr>
        <w:pStyle w:val="Body"/>
        <w:bidi w:val="0"/>
      </w:pPr>
    </w:p>
    <w:p>
      <w:pPr>
        <w:pStyle w:val="Body"/>
        <w:bidi w:val="0"/>
      </w:pPr>
      <w:r>
        <w:rPr>
          <w:rtl w:val="0"/>
        </w:rPr>
        <w:t>-to provide adequate guidance for parents on how to care for their children and the rest of family members</w:t>
      </w:r>
    </w:p>
    <w:p>
      <w:pPr>
        <w:pStyle w:val="Body"/>
        <w:bidi w:val="0"/>
      </w:pPr>
    </w:p>
    <w:p>
      <w:pPr>
        <w:pStyle w:val="Body"/>
        <w:bidi w:val="0"/>
      </w:pPr>
      <w:r>
        <w:rPr>
          <w:rtl w:val="0"/>
        </w:rPr>
        <w:t>-to introduce a fresh positive attitude towards community life where all adults feel responsible for all children (whether they are related or not)</w:t>
      </w:r>
    </w:p>
    <w:p>
      <w:pPr>
        <w:pStyle w:val="Body"/>
        <w:bidi w:val="0"/>
      </w:pPr>
    </w:p>
    <w:p>
      <w:pPr>
        <w:pStyle w:val="Body"/>
        <w:bidi w:val="0"/>
      </w:pPr>
      <w:r>
        <w:rPr>
          <w:rtl w:val="0"/>
        </w:rPr>
        <w:t>-to provide basic necessities to all who need it, ie. summer and/ or winter attire, footwear, blankets, socks, toothbrushes, hairbrushes and any daily essentials</w:t>
      </w:r>
    </w:p>
    <w:p>
      <w:pPr>
        <w:pStyle w:val="Body"/>
        <w:bidi w:val="0"/>
      </w:pPr>
    </w:p>
    <w:p>
      <w:pPr>
        <w:pStyle w:val="Body"/>
        <w:bidi w:val="0"/>
      </w:pPr>
      <w:r>
        <w:rPr>
          <w:rtl w:val="0"/>
        </w:rPr>
        <w:t>-to offer sense of belonging and security without feeling judged</w:t>
      </w:r>
    </w:p>
    <w:p>
      <w:pPr>
        <w:pStyle w:val="Body"/>
        <w:bidi w:val="0"/>
      </w:pPr>
    </w:p>
    <w:p>
      <w:pPr>
        <w:pStyle w:val="Body"/>
        <w:bidi w:val="0"/>
      </w:pPr>
    </w:p>
    <w:p>
      <w:pPr>
        <w:pStyle w:val="Body"/>
        <w:bidi w:val="0"/>
      </w:pPr>
    </w:p>
    <w:p>
      <w:pPr>
        <w:pStyle w:val="Body"/>
        <w:bidi w:val="0"/>
      </w:pPr>
      <w:r>
        <w:rPr>
          <w:rtl w:val="0"/>
        </w:rPr>
        <w:t>Expected outcomes of the project:</w:t>
      </w:r>
    </w:p>
    <w:p>
      <w:pPr>
        <w:pStyle w:val="Body"/>
        <w:bidi w:val="0"/>
      </w:pPr>
    </w:p>
    <w:p>
      <w:pPr>
        <w:pStyle w:val="Body"/>
        <w:numPr>
          <w:ilvl w:val="0"/>
          <w:numId w:val="2"/>
        </w:numPr>
        <w:bidi w:val="0"/>
      </w:pPr>
      <w:r>
        <w:rPr>
          <w:rtl w:val="0"/>
        </w:rPr>
        <w:t>enhanced lives of children and families who have once struggled to get by and create meaningful, enjoyable lives for themselves</w:t>
      </w:r>
    </w:p>
    <w:p>
      <w:pPr>
        <w:pStyle w:val="Body"/>
        <w:bidi w:val="0"/>
      </w:pPr>
    </w:p>
    <w:p>
      <w:pPr>
        <w:pStyle w:val="Body"/>
        <w:numPr>
          <w:ilvl w:val="0"/>
          <w:numId w:val="2"/>
        </w:numPr>
        <w:bidi w:val="0"/>
      </w:pPr>
      <w:r>
        <w:rPr>
          <w:rtl w:val="0"/>
        </w:rPr>
        <w:t>Sense of belonging, accomplishment and self worth</w:t>
      </w:r>
    </w:p>
    <w:p>
      <w:pPr>
        <w:pStyle w:val="Body"/>
        <w:bidi w:val="0"/>
      </w:pPr>
    </w:p>
    <w:p>
      <w:pPr>
        <w:pStyle w:val="Body"/>
        <w:numPr>
          <w:ilvl w:val="0"/>
          <w:numId w:val="2"/>
        </w:numPr>
        <w:bidi w:val="0"/>
      </w:pPr>
      <w:r>
        <w:rPr>
          <w:rtl w:val="0"/>
        </w:rPr>
        <w:t xml:space="preserve">Feeling of importance and belief in ones own abilities </w:t>
      </w:r>
    </w:p>
    <w:p>
      <w:pPr>
        <w:pStyle w:val="Body"/>
        <w:bidi w:val="0"/>
      </w:pPr>
    </w:p>
    <w:p>
      <w:pPr>
        <w:pStyle w:val="Body"/>
        <w:numPr>
          <w:ilvl w:val="0"/>
          <w:numId w:val="2"/>
        </w:numPr>
        <w:bidi w:val="0"/>
      </w:pPr>
      <w:r>
        <w:rPr>
          <w:rtl w:val="0"/>
        </w:rPr>
        <w:t>more balanced, peaceful lives</w:t>
      </w:r>
    </w:p>
    <w:p>
      <w:pPr>
        <w:pStyle w:val="Body"/>
        <w:bidi w:val="0"/>
      </w:pPr>
    </w:p>
    <w:p>
      <w:pPr>
        <w:pStyle w:val="Body"/>
        <w:numPr>
          <w:ilvl w:val="0"/>
          <w:numId w:val="2"/>
        </w:numPr>
        <w:bidi w:val="0"/>
      </w:pPr>
      <w:r>
        <w:rPr>
          <w:rtl w:val="0"/>
        </w:rPr>
        <w:t>better understanding of importance of family unit and stability, hygiene, emotional support</w:t>
      </w:r>
    </w:p>
    <w:p>
      <w:pPr>
        <w:pStyle w:val="Body"/>
        <w:bidi w:val="0"/>
      </w:pPr>
    </w:p>
    <w:p>
      <w:pPr>
        <w:pStyle w:val="Body"/>
        <w:numPr>
          <w:ilvl w:val="0"/>
          <w:numId w:val="2"/>
        </w:numPr>
        <w:bidi w:val="0"/>
      </w:pPr>
      <w:r>
        <w:rPr>
          <w:rtl w:val="0"/>
        </w:rPr>
        <w:t>more family involvement into child</w:t>
      </w:r>
      <w:r>
        <w:rPr>
          <w:rtl w:val="0"/>
        </w:rPr>
        <w:t>’</w:t>
      </w:r>
      <w:r>
        <w:rPr>
          <w:rtl w:val="0"/>
        </w:rPr>
        <w:t>s education</w:t>
      </w:r>
    </w:p>
    <w:p>
      <w:pPr>
        <w:pStyle w:val="Body"/>
        <w:bidi w:val="0"/>
      </w:pPr>
    </w:p>
    <w:p>
      <w:pPr>
        <w:pStyle w:val="Body"/>
        <w:numPr>
          <w:ilvl w:val="0"/>
          <w:numId w:val="2"/>
        </w:numPr>
        <w:bidi w:val="0"/>
      </w:pPr>
      <w:r>
        <w:rPr>
          <w:rtl w:val="0"/>
        </w:rPr>
        <w:t>more children involved in extra curricular activities, after school clubs, sports and hobby clubs</w:t>
      </w:r>
    </w:p>
    <w:p>
      <w:pPr>
        <w:pStyle w:val="Body"/>
        <w:bidi w:val="0"/>
      </w:pPr>
    </w:p>
    <w:p>
      <w:pPr>
        <w:pStyle w:val="Body"/>
        <w:bidi w:val="0"/>
      </w:pPr>
      <w:r>
        <w:rPr>
          <w:rtl w:val="0"/>
        </w:rPr>
        <w:t>- improved school attendance, grades and motivation and well as enjoyment in part taking</w:t>
      </w:r>
    </w:p>
    <w:p>
      <w:pPr>
        <w:pStyle w:val="Body"/>
        <w:bidi w:val="0"/>
      </w:pPr>
    </w:p>
    <w:p>
      <w:pPr>
        <w:pStyle w:val="Body"/>
        <w:bidi w:val="0"/>
      </w:pPr>
      <w:r>
        <w:rPr>
          <w:rtl w:val="0"/>
        </w:rPr>
        <w:t>- improved children</w:t>
      </w:r>
      <w:r>
        <w:rPr>
          <w:rtl w:val="0"/>
        </w:rPr>
        <w:t>’</w:t>
      </w:r>
      <w:r>
        <w:rPr>
          <w:rtl w:val="0"/>
        </w:rPr>
        <w:t>s overall behaviour and attitudes</w:t>
      </w:r>
    </w:p>
    <w:p>
      <w:pPr>
        <w:pStyle w:val="Body"/>
        <w:bidi w:val="0"/>
      </w:pPr>
    </w:p>
    <w:p>
      <w:pPr>
        <w:pStyle w:val="Body"/>
        <w:numPr>
          <w:ilvl w:val="0"/>
          <w:numId w:val="2"/>
        </w:numPr>
        <w:bidi w:val="0"/>
      </w:pPr>
      <w:r>
        <w:rPr>
          <w:rtl w:val="0"/>
        </w:rPr>
        <w:t>improved parents behaviour and attitudes</w:t>
      </w:r>
    </w:p>
    <w:p>
      <w:pPr>
        <w:pStyle w:val="Body"/>
        <w:bidi w:val="0"/>
      </w:pPr>
    </w:p>
    <w:p>
      <w:pPr>
        <w:pStyle w:val="Body"/>
        <w:numPr>
          <w:ilvl w:val="0"/>
          <w:numId w:val="2"/>
        </w:numPr>
        <w:bidi w:val="0"/>
      </w:pPr>
      <w:r>
        <w:rPr>
          <w:rtl w:val="0"/>
        </w:rPr>
        <w:t>reduced aggression</w:t>
      </w:r>
    </w:p>
    <w:p>
      <w:pPr>
        <w:pStyle w:val="Body"/>
        <w:bidi w:val="0"/>
      </w:pPr>
    </w:p>
    <w:p>
      <w:pPr>
        <w:pStyle w:val="Body"/>
        <w:bidi w:val="0"/>
      </w:pPr>
      <w:r>
        <w:rPr>
          <w:rtl w:val="0"/>
        </w:rPr>
        <w:t>- reduced side effects form alcohol misuse in adults and teenagers</w:t>
      </w:r>
    </w:p>
    <w:p>
      <w:pPr>
        <w:pStyle w:val="Body"/>
        <w:bidi w:val="0"/>
      </w:pPr>
    </w:p>
    <w:p>
      <w:pPr>
        <w:pStyle w:val="Body"/>
        <w:numPr>
          <w:ilvl w:val="0"/>
          <w:numId w:val="2"/>
        </w:numPr>
        <w:bidi w:val="0"/>
      </w:pPr>
      <w:r>
        <w:rPr>
          <w:rtl w:val="0"/>
        </w:rPr>
        <w:t>development of morals, values and etiquette in children and parents</w:t>
      </w:r>
    </w:p>
    <w:p>
      <w:pPr>
        <w:pStyle w:val="Body"/>
        <w:bidi w:val="0"/>
      </w:pPr>
    </w:p>
    <w:p>
      <w:pPr>
        <w:pStyle w:val="Body"/>
        <w:numPr>
          <w:ilvl w:val="0"/>
          <w:numId w:val="2"/>
        </w:numPr>
        <w:bidi w:val="0"/>
      </w:pPr>
      <w:r>
        <w:rPr>
          <w:rtl w:val="0"/>
        </w:rPr>
        <w:t>healthier outlook on life and future prospects</w:t>
      </w:r>
    </w:p>
    <w:p>
      <w:pPr>
        <w:pStyle w:val="Body"/>
        <w:bidi w:val="0"/>
      </w:pPr>
    </w:p>
    <w:p>
      <w:pPr>
        <w:pStyle w:val="Body"/>
        <w:bidi w:val="0"/>
      </w:pPr>
    </w:p>
    <w:p>
      <w:pPr>
        <w:pStyle w:val="Body"/>
        <w:bidi w:val="0"/>
      </w:pPr>
    </w:p>
    <w:p>
      <w:pPr>
        <w:pStyle w:val="Body"/>
        <w:bidi w:val="0"/>
      </w:pPr>
    </w:p>
    <w:p>
      <w:pPr>
        <w:pStyle w:val="Body"/>
        <w:rPr>
          <w:sz w:val="32"/>
          <w:szCs w:val="32"/>
        </w:rPr>
      </w:pPr>
      <w:r>
        <w:rPr>
          <w:sz w:val="32"/>
          <w:szCs w:val="32"/>
          <w:u w:val="single"/>
          <w:rtl w:val="0"/>
          <w:lang w:val="en-US"/>
        </w:rPr>
        <w:t>Project Implementation</w:t>
      </w:r>
      <w:r>
        <w:rPr>
          <w:sz w:val="32"/>
          <w:szCs w:val="32"/>
          <w:rtl w:val="0"/>
          <w:lang w:val="en-US"/>
        </w:rPr>
        <w:t>: plan of work</w:t>
      </w:r>
    </w:p>
    <w:p>
      <w:pPr>
        <w:pStyle w:val="Body"/>
        <w:bidi w:val="0"/>
      </w:pPr>
    </w:p>
    <w:p>
      <w:pPr>
        <w:pStyle w:val="Body"/>
        <w:bidi w:val="0"/>
      </w:pPr>
    </w:p>
    <w:p>
      <w:pPr>
        <w:pStyle w:val="Body"/>
        <w:bidi w:val="0"/>
      </w:pPr>
      <w:r>
        <w:rPr>
          <w:rtl w:val="0"/>
        </w:rPr>
        <w:t xml:space="preserve">During the trial year the project would be set up at the Blaen-y-Maes Family Centre. The location was chosen simply on the current circumstances of the building as it is not being used and so the project can breathe another life into it. Saying this the outdoor area which is a part of the Family Centre would have to be adapted into a much more children friendly, safe, play encouraging environment. This of course will cost some money yet put into a perspective it will not be as financially exhausting as setting up a brand new building from the ground up, especially considering the first year of the project will only be a trial run. The Blaen-y-Maes Family Centre is owned by the government and therefore this reduces the cost of the project as the building will not be rent out to us by a private profit organisation. Another practical benefit of the Family Centre being owned by the government is we will not need to seek authorisation of the land owners to alter the outdoor area. An average cost of building a playground for children is </w:t>
      </w:r>
      <w:r>
        <w:rPr>
          <w:rtl w:val="0"/>
        </w:rPr>
        <w:t>£</w:t>
      </w:r>
      <w:r>
        <w:rPr>
          <w:rtl w:val="0"/>
        </w:rPr>
        <w:t xml:space="preserve">30 000. There will of  course be gas, electricity and water bills. Since the Family Centre will be available to all people during a week, 6 full days a week, the cost will be on average </w:t>
      </w:r>
      <w:r>
        <w:rPr>
          <w:rtl w:val="0"/>
        </w:rPr>
        <w:t>£</w:t>
      </w:r>
      <w:r>
        <w:rPr>
          <w:rtl w:val="0"/>
        </w:rPr>
        <w:t xml:space="preserve">20 000 per annum. The centre has to have water, electricity and heating available 24/7 as it would be in any household. There should be no cut baks on heating or hot water as this will negatively affect the community participants and the aim of this project is to provide them with a comforting homely feel within the Family Centre to promote participation and commitment to the project. Log term we would have to consider a budget for maintenance and repairs within the family centre. It should not be an issue within the first year however there shall be a pot of around </w:t>
      </w:r>
      <w:r>
        <w:rPr>
          <w:rtl w:val="0"/>
        </w:rPr>
        <w:t>£</w:t>
      </w:r>
      <w:r>
        <w:rPr>
          <w:rtl w:val="0"/>
        </w:rPr>
        <w:t>20 000 available as emergency repair and maintenance fund for the future.</w:t>
      </w:r>
    </w:p>
    <w:p>
      <w:pPr>
        <w:pStyle w:val="Body"/>
        <w:bidi w:val="0"/>
      </w:pPr>
      <w:r>
        <w:rPr>
          <w:rtl w:val="0"/>
        </w:rPr>
        <w:t xml:space="preserve">To work out the cost of basic warm snacks and beverages for a year we have used a figure from the government website which suggests an average family spend on school lunches per child is </w:t>
      </w:r>
      <w:r>
        <w:rPr>
          <w:rtl w:val="0"/>
        </w:rPr>
        <w:t>£</w:t>
      </w:r>
      <w:r>
        <w:rPr>
          <w:rtl w:val="0"/>
        </w:rPr>
        <w:t>437. There is an average of 300 pupils in the Primary Blaen-y-Maes school. Let</w:t>
      </w:r>
      <w:r>
        <w:rPr>
          <w:rtl w:val="0"/>
        </w:rPr>
        <w:t>’</w:t>
      </w:r>
      <w:r>
        <w:rPr>
          <w:rtl w:val="0"/>
        </w:rPr>
        <w:t xml:space="preserve">s issue there is another 300 secondary age children within the Blaen-y-Maes area. That is 600 school children under the age of 16 within the area. The snacks and beverages will also be available for adolescent children and adults. If we assume that each mum and dad have two children each on average, and there is 600 school children in the area then there is 600 parents too. If we use this average to calculate the cost of snacks and drinks to be provided within reason for each person, annually it adds up to </w:t>
      </w:r>
      <w:r>
        <w:rPr>
          <w:rtl w:val="0"/>
        </w:rPr>
        <w:t>£</w:t>
      </w:r>
      <w:r>
        <w:rPr>
          <w:rtl w:val="0"/>
        </w:rPr>
        <w:t xml:space="preserve">524,400 (1200 individuals x </w:t>
      </w:r>
      <w:r>
        <w:rPr>
          <w:rtl w:val="0"/>
        </w:rPr>
        <w:t>£</w:t>
      </w:r>
      <w:r>
        <w:rPr>
          <w:rtl w:val="0"/>
        </w:rPr>
        <w:t>437). Staffing will be another significant cost for this project. Naturally participants would come and go as they please most of the time (unless there are specific activities penciled into a timetable) based on people</w:t>
      </w:r>
      <w:r>
        <w:rPr>
          <w:rtl w:val="0"/>
        </w:rPr>
        <w:t>’</w:t>
      </w:r>
      <w:r>
        <w:rPr>
          <w:rtl w:val="0"/>
        </w:rPr>
        <w:t xml:space="preserve">s personal schedules so not everyone would turn up at the same time. On average the highest amount of participant turning up at a time would be 50%, so 600 participants. The best ratio to ensure full engagement, safety and organisation would be 15:1, 15 being the number of participants and 1 being the staff member. This works out 40 staff members for 600 participants. The opening hours would be long (15hrs), and so there would be one staffing change half way through the day. This means 80 staff members contracted to work 7.5 hrs a day, 6 days a week. To ensure quality of care and professionalism all the staff will be paid above the national minimum wage ensuring everyone receives at least the minimum living wage which currently estimated to be </w:t>
      </w:r>
      <w:r>
        <w:rPr>
          <w:rtl w:val="0"/>
        </w:rPr>
        <w:t>£</w:t>
      </w:r>
      <w:r>
        <w:rPr>
          <w:rtl w:val="0"/>
        </w:rPr>
        <w:t xml:space="preserve">8.25. Our aim is to pay at lest 15% above the minimum living wage to ensure quality life to our employers but also to ensure their motivation and precision during their work hours. We believe that only happy, satisfied employees and good, reliable employees. Minimum living wage plus the 15% works out as </w:t>
      </w:r>
      <w:r>
        <w:rPr>
          <w:rtl w:val="0"/>
        </w:rPr>
        <w:t>£</w:t>
      </w:r>
      <w:r>
        <w:rPr>
          <w:rtl w:val="0"/>
        </w:rPr>
        <w:t>9.49 per hour (8.25 + 1.24). Each employee will work 7.5 hrs a day for 6 days a week: (7.5 x 6)</w:t>
      </w:r>
    </w:p>
    <w:p>
      <w:pPr>
        <w:pStyle w:val="Body"/>
        <w:bidi w:val="0"/>
      </w:pPr>
      <w:r>
        <w:rPr>
          <w:rtl w:val="0"/>
        </w:rPr>
        <w:t xml:space="preserve"> x </w:t>
      </w:r>
      <w:r>
        <w:rPr>
          <w:rtl w:val="0"/>
        </w:rPr>
        <w:t>£</w:t>
      </w:r>
      <w:r>
        <w:rPr>
          <w:rtl w:val="0"/>
        </w:rPr>
        <w:t xml:space="preserve">9.49 = </w:t>
      </w:r>
      <w:r>
        <w:rPr>
          <w:rtl w:val="0"/>
        </w:rPr>
        <w:t>£</w:t>
      </w:r>
      <w:r>
        <w:rPr>
          <w:rtl w:val="0"/>
        </w:rPr>
        <w:t xml:space="preserve">427.05 per week of work per employee. There are 52.14 weeks in a year, so annually an employee will earn </w:t>
      </w:r>
      <w:r>
        <w:rPr>
          <w:rtl w:val="0"/>
        </w:rPr>
        <w:t>£</w:t>
      </w:r>
      <w:r>
        <w:rPr>
          <w:rtl w:val="0"/>
        </w:rPr>
        <w:t xml:space="preserve">22,266 per annum. Assuming we will have 80 employees working for us, the total cost of wages per year will work out as </w:t>
      </w:r>
      <w:r>
        <w:rPr>
          <w:rtl w:val="0"/>
        </w:rPr>
        <w:t>£</w:t>
      </w:r>
      <w:r>
        <w:rPr>
          <w:rtl w:val="0"/>
        </w:rPr>
        <w:t>1,781,280. The project will not provide any free transport to and back from the family centre as we are aiming to focus on providing the service in the most vulnerable areas, where the centre is a walking distance from where the community lives. It may turn out that the Family Centre does not provide enough space and facilities for the amount of people participating in the project. As a back up plan the project could use the Blaen-y-maes Community Centre situated further down the main road, very close to the Blaen-y-maes Primary school. Naturally using another building will acquire additional bills such as utility bills and also staffing, however since the Community Centre building would not be ours to use 24/7 the costs would be lower. The amount of staff required there would probably be halved if not quartered depending on the Project</w:t>
      </w:r>
      <w:r>
        <w:rPr>
          <w:rtl w:val="0"/>
        </w:rPr>
        <w:t>’</w:t>
      </w:r>
      <w:r>
        <w:rPr>
          <w:rtl w:val="0"/>
        </w:rPr>
        <w:t xml:space="preserve">s popularity and the need for additional space and activities within the Community Centre. If the project gains a lot of participants then the likelihood of the costs raising from quarter to half of those costs in the Family Centre is more likely. The Community Centre building was chosen as the back up plan for additional space due to the facilities it has to offer and therefore will not need major adjustments. The building offers: </w:t>
      </w:r>
    </w:p>
    <w:p>
      <w:pPr>
        <w:pStyle w:val="Body"/>
        <w:bidi w:val="0"/>
      </w:pPr>
    </w:p>
    <w:p>
      <w:pPr>
        <w:pStyle w:val="Body"/>
        <w:bidi w:val="0"/>
      </w:pPr>
      <w:r>
        <w:rPr>
          <w:rtl w:val="0"/>
        </w:rPr>
        <w:t>-main hall ( with a stage)</w:t>
      </w:r>
    </w:p>
    <w:p>
      <w:pPr>
        <w:pStyle w:val="Body"/>
        <w:bidi w:val="0"/>
      </w:pPr>
      <w:r>
        <w:rPr>
          <w:rtl w:val="0"/>
        </w:rPr>
        <w:t>-sports hall</w:t>
      </w:r>
    </w:p>
    <w:p>
      <w:pPr>
        <w:pStyle w:val="Body"/>
        <w:bidi w:val="0"/>
      </w:pPr>
      <w:r>
        <w:rPr>
          <w:rtl w:val="0"/>
        </w:rPr>
        <w:t>-meeting room</w:t>
      </w:r>
    </w:p>
    <w:p>
      <w:pPr>
        <w:pStyle w:val="Body"/>
        <w:bidi w:val="0"/>
      </w:pPr>
      <w:r>
        <w:rPr>
          <w:rtl w:val="0"/>
        </w:rPr>
        <w:t>-kitchen</w:t>
      </w:r>
    </w:p>
    <w:p>
      <w:pPr>
        <w:pStyle w:val="Body"/>
        <w:bidi w:val="0"/>
      </w:pPr>
      <w:r>
        <w:rPr>
          <w:rtl w:val="0"/>
        </w:rPr>
        <w:t>-toilets</w:t>
      </w:r>
    </w:p>
    <w:p>
      <w:pPr>
        <w:pStyle w:val="Body"/>
        <w:bidi w:val="0"/>
      </w:pPr>
      <w:r>
        <w:rPr>
          <w:rtl w:val="0"/>
        </w:rPr>
        <w:t>-changing rooms with showers</w:t>
      </w:r>
    </w:p>
    <w:p>
      <w:pPr>
        <w:pStyle w:val="Body"/>
        <w:bidi w:val="0"/>
      </w:pPr>
      <w:r>
        <w:rPr>
          <w:rtl w:val="0"/>
        </w:rPr>
        <w:t>-easy access</w:t>
      </w:r>
    </w:p>
    <w:p>
      <w:pPr>
        <w:pStyle w:val="Body"/>
        <w:bidi w:val="0"/>
      </w:pPr>
      <w:r>
        <w:rPr>
          <w:rtl w:val="0"/>
        </w:rPr>
        <w:t>-free parking</w:t>
      </w:r>
    </w:p>
    <w:p>
      <w:pPr>
        <w:pStyle w:val="Body"/>
        <w:bidi w:val="0"/>
      </w:pPr>
    </w:p>
    <w:p>
      <w:pPr>
        <w:pStyle w:val="Body"/>
        <w:bidi w:val="0"/>
      </w:pPr>
    </w:p>
    <w:p>
      <w:pPr>
        <w:pStyle w:val="Body"/>
        <w:bidi w:val="0"/>
      </w:pPr>
      <w:r>
        <w:rPr>
          <w:rtl w:val="0"/>
        </w:rPr>
        <w:t>The Community Centre runs its own activities and clubs and so it would be necessary to rewrite the schedule making sure none of the project activities and meetings clash or affect the Community Centre</w:t>
      </w:r>
      <w:r>
        <w:rPr>
          <w:rtl w:val="0"/>
        </w:rPr>
        <w:t>’</w:t>
      </w:r>
      <w:r>
        <w:rPr>
          <w:rtl w:val="0"/>
        </w:rPr>
        <w:t xml:space="preserve">s regular activity. </w:t>
      </w:r>
    </w:p>
    <w:p>
      <w:pPr>
        <w:pStyle w:val="Body"/>
        <w:bidi w:val="0"/>
      </w:pPr>
    </w:p>
    <w:p>
      <w:pPr>
        <w:pStyle w:val="Body"/>
        <w:bidi w:val="0"/>
      </w:pPr>
    </w:p>
    <w:p>
      <w:pPr>
        <w:pStyle w:val="Body"/>
        <w:bidi w:val="0"/>
      </w:pPr>
    </w:p>
    <w:p>
      <w:pPr>
        <w:pStyle w:val="Body"/>
        <w:bidi w:val="0"/>
      </w:pPr>
      <w:r>
        <w:rPr>
          <w:rtl w:val="0"/>
        </w:rPr>
        <w:t>TABLE OF ESTIMATES available in Appendix 1.</w:t>
      </w:r>
    </w:p>
    <w:p>
      <w:pPr>
        <w:pStyle w:val="Body"/>
        <w:bidi w:val="0"/>
      </w:pPr>
    </w:p>
    <w:p>
      <w:pPr>
        <w:pStyle w:val="Body"/>
        <w:bidi w:val="0"/>
      </w:pPr>
    </w:p>
    <w:p>
      <w:pPr>
        <w:pStyle w:val="Body"/>
        <w:bidi w:val="0"/>
      </w:pPr>
    </w:p>
    <w:p>
      <w:pPr>
        <w:pStyle w:val="Body"/>
        <w:bidi w:val="0"/>
      </w:pPr>
    </w:p>
    <w:p>
      <w:pPr>
        <w:pStyle w:val="Body"/>
        <w:bidi w:val="0"/>
      </w:pPr>
    </w:p>
    <w:p>
      <w:pPr>
        <w:pStyle w:val="Body"/>
        <w:bidi w:val="0"/>
      </w:pPr>
      <w:r>
        <w:rPr>
          <w:rFonts w:ascii="Arial Unicode MS" w:cs="Arial Unicode MS" w:hAnsi="Arial Unicode MS" w:eastAsia="Arial Unicode MS"/>
          <w:b w:val="0"/>
          <w:bCs w:val="0"/>
          <w:i w:val="0"/>
          <w:iCs w:val="0"/>
        </w:rPr>
        <w:br w:type="page"/>
      </w:r>
    </w:p>
    <w:p>
      <w:pPr>
        <w:pStyle w:val="Body"/>
        <w:bidi w:val="0"/>
      </w:pPr>
      <w:r>
        <w:rPr>
          <w:rtl w:val="0"/>
        </w:rPr>
        <w:t>FUNDING</w:t>
      </w:r>
    </w:p>
    <w:p>
      <w:pPr>
        <w:pStyle w:val="Body"/>
        <w:bidi w:val="0"/>
      </w:pPr>
    </w:p>
    <w:p>
      <w:pPr>
        <w:pStyle w:val="Body"/>
        <w:bidi w:val="0"/>
      </w:pPr>
      <w:r>
        <w:rPr>
          <w:rtl w:val="0"/>
        </w:rPr>
        <w:t xml:space="preserve">Funding plays an essential role in this project, without it the community project cannot be run. The challenge here will be highlighting the importance of all aspects of the project without having to cut back on any of the suggested needs such as free food and drink. These may seem to be unnecessary costs however without the project environment being homely, comforting, easily accessible and meeting all human needs of the participants the project will not succeed as the participants will not feel comfortable enough in the project set up in order to take part in the project and overlook any stigma or pre existing stereotypes. Due to the high cost of this project, it can only take place if we receive EU funding. Local grants would not be able to cover even the basic costs of this project. It is therefore important to act on this proposal as soon as possible to ensure the European Union funding before the UK leaves the EU in two years time.  One of the available funds for this community project is European Social Fund which is available for projects and programmes that promote social inclusion, good governance and employment. There are also two types of European Union funding for the youth: Erasmus+ which encourages education and training, and Youth which provides encouragement for civic and community involvement, and multi-cultural diversity. Welsh Grants are also available although they certainly would not be the main source to cover the costs of our community project, for example the Prince of Wales Charitable Foundation, which offers two types of grants: small grants - between </w:t>
      </w:r>
      <w:r>
        <w:rPr>
          <w:rtl w:val="0"/>
        </w:rPr>
        <w:t>£</w:t>
      </w:r>
      <w:r>
        <w:rPr>
          <w:rtl w:val="0"/>
        </w:rPr>
        <w:t xml:space="preserve">1500 and </w:t>
      </w:r>
      <w:r>
        <w:rPr>
          <w:rtl w:val="0"/>
        </w:rPr>
        <w:t>£</w:t>
      </w:r>
      <w:r>
        <w:rPr>
          <w:rtl w:val="0"/>
        </w:rPr>
        <w:t xml:space="preserve">5000 and major grants which offer over </w:t>
      </w:r>
      <w:r>
        <w:rPr>
          <w:rtl w:val="0"/>
        </w:rPr>
        <w:t>£</w:t>
      </w:r>
      <w:r>
        <w:rPr>
          <w:rtl w:val="0"/>
        </w:rPr>
        <w:t xml:space="preserve">5000.  </w:t>
      </w:r>
    </w:p>
    <w:p>
      <w:pPr>
        <w:pStyle w:val="Body"/>
        <w:bidi w:val="0"/>
      </w:pPr>
      <w:r>
        <w:rPr>
          <w:rtl w:val="0"/>
        </w:rPr>
        <w:t>Look at Appendix 2.</w:t>
      </w:r>
    </w:p>
    <w:p>
      <w:pPr>
        <w:pStyle w:val="Body"/>
        <w:bidi w:val="0"/>
      </w:pPr>
    </w:p>
    <w:p>
      <w:pPr>
        <w:pStyle w:val="Body"/>
        <w:bidi w:val="0"/>
      </w:pPr>
    </w:p>
    <w:p>
      <w:pPr>
        <w:pStyle w:val="Body"/>
        <w:bidi w:val="0"/>
      </w:pPr>
    </w:p>
    <w:p>
      <w:pPr>
        <w:pStyle w:val="Body"/>
        <w:bidi w:val="0"/>
      </w:pPr>
    </w:p>
    <w:p>
      <w:pPr>
        <w:pStyle w:val="Body"/>
        <w:bidi w:val="0"/>
      </w:pPr>
      <w:r>
        <w:rPr>
          <w:rtl w:val="0"/>
        </w:rPr>
        <w:t>EVALUATION</w:t>
      </w:r>
    </w:p>
    <w:p>
      <w:pPr>
        <w:pStyle w:val="Body"/>
        <w:bidi w:val="0"/>
      </w:pPr>
    </w:p>
    <w:p>
      <w:pPr>
        <w:pStyle w:val="Body"/>
        <w:bidi w:val="0"/>
      </w:pPr>
      <w:r>
        <w:rPr>
          <w:rtl w:val="0"/>
        </w:rPr>
        <w:t xml:space="preserve">The way in which success can be measured long term includes school grade statistics, children and adults mental and physical well-being, reduced health determination caused by alcohol and other substances, more population living within the area being employed, more stable family life. </w:t>
      </w:r>
    </w:p>
    <w:p>
      <w:pPr>
        <w:pStyle w:val="Body"/>
        <w:bidi w:val="0"/>
      </w:pPr>
      <w:r>
        <w:rPr>
          <w:rtl w:val="0"/>
        </w:rPr>
        <w:t>During the first year of the project - the Trial Run- the only visible outcomes that can count towards the overall success of the project are the amount of locals who actively became involved in the project throughout that year, amount of children being involved I extracurricular activities, peoples social involvement and interactions, rating peoples overall happiness possibly by conducting a questionnaire first when the participants join the project and then another questionnaire at the end of the year to see if their mental wellbeing has improved in any way.</w:t>
      </w:r>
    </w:p>
    <w:p>
      <w:pPr>
        <w:pStyle w:val="Body"/>
        <w:bidi w:val="0"/>
      </w:pPr>
    </w:p>
    <w:p>
      <w:pPr>
        <w:pStyle w:val="Body"/>
        <w:bidi w:val="0"/>
      </w:pPr>
      <w:r>
        <w:rPr>
          <w:rtl w:val="0"/>
        </w:rPr>
        <w:t xml:space="preserve">One of the biggest problems will be limiting the stigma that comes with being involved in a community project as it is not highly valued within community lives. One of the ways in which we will try to reduce that stigma is by making the project as informal as possible. We will make sure that the project building is viewed as a home to all, available to everyone and considered a safe haven. Some community projects fail by building an invisible wall between participants and the staff. Our project will make sure everyone is equal by giving everyone equal authority. Participants must be as valued as our highly trained staff. We will enforce it by running monthly meetings where anyone can address any issues and propose possible resolutions which will be voted for. </w:t>
      </w:r>
    </w:p>
    <w:p>
      <w:pPr>
        <w:pStyle w:val="Body"/>
        <w:bidi w:val="0"/>
      </w:pPr>
    </w:p>
    <w:p>
      <w:pPr>
        <w:pStyle w:val="Body"/>
        <w:bidi w:val="0"/>
      </w:pPr>
      <w:r>
        <w:rPr>
          <w:rtl w:val="0"/>
        </w:rPr>
        <w:t xml:space="preserve">Providing free food and drinks will certainly cause some issues at first because there is no monitoring in distributing snacks and drinks equally between participants. The reason for it is so everyone learns consideration and sharing long term. This is an issue that will soon resolve itself once participants see that they are all equally important and once they recognise that it is their responsibility to look after one another, not simply looking after oneself. </w:t>
      </w:r>
    </w:p>
    <w:p>
      <w:pPr>
        <w:pStyle w:val="Body"/>
        <w:bidi w:val="0"/>
      </w:pPr>
    </w:p>
    <w:p>
      <w:pPr>
        <w:pStyle w:val="Body"/>
        <w:bidi w:val="0"/>
      </w:pPr>
      <w:r>
        <w:rPr>
          <w:rtl w:val="0"/>
        </w:rPr>
        <w:t>Another challenge may be how the locals perceive the staff at the Family Centre at first. There will certainly be some fight for the highest status initially within the project between the participants and the running staff, however once the participants understand that the staff are only as valued as the participants and regardless of the staff</w:t>
      </w:r>
      <w:r>
        <w:rPr>
          <w:rtl w:val="0"/>
        </w:rPr>
        <w:t>’</w:t>
      </w:r>
      <w:r>
        <w:rPr>
          <w:rtl w:val="0"/>
        </w:rPr>
        <w:t>s training and social status they are equally valuable and essential to the projects success the attitude will quickly change and all parties will learn to be part of the same team. To limit the initial instinct of the participants fighting for they status all staff will be trained before the start of the project so they know how to hold themselves and interact in a way that is non threatening to the community and the participants. Long term there is a possibility of employing some of the adults living locally within the community by providing them with adequate trining. This will also narrow the status gap between staff and participants as well as creating more employment within the area.</w:t>
      </w:r>
    </w:p>
    <w:p>
      <w:pPr>
        <w:pStyle w:val="Body"/>
        <w:bidi w:val="0"/>
      </w:pPr>
      <w:r>
        <w:rPr>
          <w:rtl w:val="0"/>
        </w:rPr>
        <w:t>This Project can bring outstanding success and improve people</w:t>
      </w:r>
      <w:r>
        <w:rPr>
          <w:rtl w:val="0"/>
        </w:rPr>
        <w:t>’</w:t>
      </w:r>
      <w:r>
        <w:rPr>
          <w:rtl w:val="0"/>
        </w:rPr>
        <w:t>s lives tremendously if we are given this fair opportunity that requires a lot of funding, further planning building permissions to adjust the Family Centre building accordingly and most of all enough participants to make a lasting change with their community lives.</w:t>
      </w:r>
      <w:r>
        <w:rPr>
          <w:rFonts w:ascii="Arial Unicode MS" w:cs="Arial Unicode MS" w:hAnsi="Arial Unicode MS" w:eastAsia="Arial Unicode MS"/>
          <w:b w:val="0"/>
          <w:bCs w:val="0"/>
          <w:i w:val="0"/>
          <w:iCs w:val="0"/>
        </w:rPr>
        <w:br w:type="page"/>
      </w:r>
    </w:p>
    <w:p>
      <w:pPr>
        <w:pStyle w:val="Body"/>
        <w:bidi w:val="0"/>
      </w:pPr>
      <w:r>
        <w:rPr>
          <w:rtl w:val="0"/>
        </w:rPr>
        <w:t>References:</w:t>
      </w:r>
    </w:p>
    <w:p>
      <w:pPr>
        <w:pStyle w:val="Body"/>
        <w:bidi w:val="0"/>
      </w:pPr>
    </w:p>
    <w:p>
      <w:pPr>
        <w:pStyle w:val="Body"/>
        <w:bidi w:val="0"/>
      </w:pPr>
      <w:r>
        <w:rPr>
          <w:rtl w:val="0"/>
        </w:rPr>
        <w:t>All references available in The Needs Analysis (submitted separately).</w:t>
      </w:r>
      <w:r>
        <w:rPr>
          <w:rFonts w:ascii="Arial Unicode MS" w:cs="Arial Unicode MS" w:hAnsi="Arial Unicode MS" w:eastAsia="Arial Unicode MS"/>
          <w:b w:val="0"/>
          <w:bCs w:val="0"/>
          <w:i w:val="0"/>
          <w:iCs w:val="0"/>
        </w:rPr>
        <w:br w:type="page"/>
      </w:r>
    </w:p>
    <w:p>
      <w:pPr>
        <w:pStyle w:val="Body"/>
        <w:bidi w:val="0"/>
      </w:pPr>
      <w:r>
        <w:rPr>
          <w:rtl w:val="0"/>
        </w:rPr>
        <w:t>Appendix 1</w:t>
      </w:r>
    </w:p>
    <w:p>
      <w:pPr>
        <w:pStyle w:val="Body"/>
        <w:bidi w:val="0"/>
      </w:pPr>
    </w:p>
    <w:p>
      <w:pPr>
        <w:pStyle w:val="Body"/>
        <w:bidi w:val="0"/>
      </w:pPr>
    </w:p>
    <w:tbl>
      <w:tblPr>
        <w:tblW w:w="9632" w:type="dxa"/>
        <w:jc w:val="left"/>
        <w:tblInd w:w="108" w:type="dxa"/>
        <w:tblBorders>
          <w:top w:val="single" w:color="000000" w:sz="2" w:space="0" w:shadow="0" w:frame="0"/>
          <w:left w:val="single" w:color="000000" w:sz="2" w:space="0" w:shadow="0" w:frame="0"/>
          <w:bottom w:val="single" w:color="000000" w:sz="2" w:space="0" w:shadow="0" w:frame="0"/>
          <w:right w:val="single" w:color="000000" w:sz="2" w:space="0" w:shadow="0" w:frame="0"/>
          <w:insideH w:val="single" w:color="000000" w:sz="2" w:space="0" w:shadow="0" w:frame="0"/>
          <w:insideV w:val="single" w:color="000000" w:sz="2" w:space="0" w:shadow="0" w:frame="0"/>
        </w:tblBorders>
        <w:shd w:val="clear" w:color="auto" w:fill="auto"/>
        <w:tblLayout w:type="fixed"/>
      </w:tblPr>
      <w:tblGrid>
        <w:gridCol w:w="1926"/>
        <w:gridCol w:w="1927"/>
        <w:gridCol w:w="1926"/>
        <w:gridCol w:w="1927"/>
        <w:gridCol w:w="1926"/>
      </w:tblGrid>
      <w:tr>
        <w:tblPrEx>
          <w:shd w:val="clear" w:color="auto" w:fill="auto"/>
        </w:tblPrEx>
        <w:trPr>
          <w:trHeight w:val="719" w:hRule="atLeast"/>
        </w:trPr>
        <w:tc>
          <w:tcPr>
            <w:tcW w:type="dxa" w:w="1926"/>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tc>
        <w:tc>
          <w:tcPr>
            <w:tcW w:type="dxa" w:w="1926"/>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bidi w:val="0"/>
            </w:pPr>
            <w:r>
              <w:rPr>
                <w:rFonts w:ascii="Helvetica Neue" w:cs="Arial Unicode MS" w:hAnsi="Helvetica Neue" w:eastAsia="Arial Unicode MS"/>
                <w:rtl w:val="0"/>
              </w:rPr>
              <w:t>Annual Utility Costs</w:t>
            </w:r>
          </w:p>
        </w:tc>
        <w:tc>
          <w:tcPr>
            <w:tcW w:type="dxa" w:w="1926"/>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bidi w:val="0"/>
            </w:pPr>
            <w:r>
              <w:rPr>
                <w:rFonts w:ascii="Helvetica Neue" w:cs="Arial Unicode MS" w:hAnsi="Helvetica Neue" w:eastAsia="Arial Unicode MS"/>
                <w:rtl w:val="0"/>
              </w:rPr>
              <w:t>Annual Staff Wages</w:t>
            </w:r>
          </w:p>
        </w:tc>
        <w:tc>
          <w:tcPr>
            <w:tcW w:type="dxa" w:w="1926"/>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bidi w:val="0"/>
            </w:pPr>
            <w:r>
              <w:rPr>
                <w:rFonts w:ascii="Helvetica Neue" w:cs="Arial Unicode MS" w:hAnsi="Helvetica Neue" w:eastAsia="Arial Unicode MS"/>
                <w:rtl w:val="0"/>
              </w:rPr>
              <w:t>Annual food/drink expenses</w:t>
            </w:r>
          </w:p>
        </w:tc>
        <w:tc>
          <w:tcPr>
            <w:tcW w:type="dxa" w:w="1926"/>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bidi w:val="0"/>
            </w:pPr>
            <w:r>
              <w:rPr>
                <w:rFonts w:ascii="Helvetica Neue" w:cs="Arial Unicode MS" w:hAnsi="Helvetica Neue" w:eastAsia="Arial Unicode MS"/>
                <w:rtl w:val="0"/>
              </w:rPr>
              <w:t>Total annual expenses per building</w:t>
            </w:r>
          </w:p>
        </w:tc>
      </w:tr>
      <w:tr>
        <w:tblPrEx>
          <w:shd w:val="clear" w:color="auto" w:fill="auto"/>
        </w:tblPrEx>
        <w:trPr>
          <w:trHeight w:val="279" w:hRule="atLeast"/>
        </w:trPr>
        <w:tc>
          <w:tcPr>
            <w:tcW w:type="dxa" w:w="1926"/>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Table Style 2"/>
              <w:bidi w:val="0"/>
            </w:pPr>
            <w:r>
              <w:rPr>
                <w:rFonts w:ascii="Helvetica Neue" w:cs="Arial Unicode MS" w:hAnsi="Helvetica Neue" w:eastAsia="Arial Unicode MS"/>
                <w:rtl w:val="0"/>
              </w:rPr>
              <w:t>Family Centre</w:t>
            </w:r>
          </w:p>
        </w:tc>
        <w:tc>
          <w:tcPr>
            <w:tcW w:type="dxa" w:w="1926"/>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Neue" w:cs="Arial Unicode MS" w:hAnsi="Helvetica Neue" w:eastAsia="Arial Unicode MS" w:hint="default"/>
                <w:b w:val="0"/>
                <w:bCs w:val="0"/>
                <w:i w:val="0"/>
                <w:iCs w:val="0"/>
                <w:caps w:val="0"/>
                <w:smallCaps w:val="0"/>
                <w:strike w:val="0"/>
                <w:dstrike w:val="0"/>
                <w:outline w:val="0"/>
                <w:color w:val="000000"/>
                <w:spacing w:val="0"/>
                <w:kern w:val="0"/>
                <w:position w:val="0"/>
                <w:sz w:val="20"/>
                <w:szCs w:val="20"/>
                <w:u w:val="none"/>
                <w:vertAlign w:val="baseline"/>
                <w:rtl w:val="0"/>
              </w:rPr>
              <w:t>£</w:t>
            </w:r>
            <w: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0"/>
                <w:szCs w:val="20"/>
                <w:u w:val="none"/>
                <w:vertAlign w:val="baseline"/>
                <w:rtl w:val="0"/>
              </w:rPr>
              <w:t>20,000</w:t>
            </w:r>
          </w:p>
        </w:tc>
        <w:tc>
          <w:tcPr>
            <w:tcW w:type="dxa" w:w="1926"/>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Neue" w:cs="Arial Unicode MS" w:hAnsi="Helvetica Neue" w:eastAsia="Arial Unicode MS" w:hint="default"/>
                <w:b w:val="0"/>
                <w:bCs w:val="0"/>
                <w:i w:val="0"/>
                <w:iCs w:val="0"/>
                <w:caps w:val="0"/>
                <w:smallCaps w:val="0"/>
                <w:strike w:val="0"/>
                <w:dstrike w:val="0"/>
                <w:outline w:val="0"/>
                <w:color w:val="000000"/>
                <w:spacing w:val="0"/>
                <w:kern w:val="0"/>
                <w:position w:val="0"/>
                <w:sz w:val="20"/>
                <w:szCs w:val="20"/>
                <w:u w:val="none"/>
                <w:vertAlign w:val="baseline"/>
                <w:rtl w:val="0"/>
              </w:rPr>
              <w:t>£</w:t>
            </w:r>
            <w: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0"/>
                <w:szCs w:val="20"/>
                <w:u w:val="none"/>
                <w:vertAlign w:val="baseline"/>
                <w:rtl w:val="0"/>
              </w:rPr>
              <w:t>1,781,280</w:t>
            </w:r>
          </w:p>
        </w:tc>
        <w:tc>
          <w:tcPr>
            <w:tcW w:type="dxa" w:w="1926"/>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Neue" w:cs="Arial Unicode MS" w:hAnsi="Helvetica Neue" w:eastAsia="Arial Unicode MS" w:hint="default"/>
                <w:b w:val="0"/>
                <w:bCs w:val="0"/>
                <w:i w:val="0"/>
                <w:iCs w:val="0"/>
                <w:caps w:val="0"/>
                <w:smallCaps w:val="0"/>
                <w:strike w:val="0"/>
                <w:dstrike w:val="0"/>
                <w:outline w:val="0"/>
                <w:color w:val="000000"/>
                <w:spacing w:val="0"/>
                <w:kern w:val="0"/>
                <w:position w:val="0"/>
                <w:sz w:val="20"/>
                <w:szCs w:val="20"/>
                <w:u w:val="none"/>
                <w:vertAlign w:val="baseline"/>
                <w:rtl w:val="0"/>
              </w:rPr>
              <w:t>£</w:t>
            </w:r>
            <w: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0"/>
                <w:szCs w:val="20"/>
                <w:u w:val="none"/>
                <w:vertAlign w:val="baseline"/>
                <w:rtl w:val="0"/>
              </w:rPr>
              <w:t>524,400</w:t>
            </w:r>
          </w:p>
        </w:tc>
        <w:tc>
          <w:tcPr>
            <w:tcW w:type="dxa" w:w="1926"/>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Neue" w:cs="Arial Unicode MS" w:hAnsi="Helvetica Neue" w:eastAsia="Arial Unicode MS" w:hint="default"/>
                <w:b w:val="0"/>
                <w:bCs w:val="0"/>
                <w:i w:val="0"/>
                <w:iCs w:val="0"/>
                <w:caps w:val="0"/>
                <w:smallCaps w:val="0"/>
                <w:strike w:val="0"/>
                <w:dstrike w:val="0"/>
                <w:outline w:val="0"/>
                <w:color w:val="000000"/>
                <w:spacing w:val="0"/>
                <w:kern w:val="0"/>
                <w:position w:val="0"/>
                <w:sz w:val="20"/>
                <w:szCs w:val="20"/>
                <w:u w:val="none"/>
                <w:vertAlign w:val="baseline"/>
                <w:rtl w:val="0"/>
              </w:rPr>
              <w:t>£</w:t>
            </w:r>
            <w: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0"/>
                <w:szCs w:val="20"/>
                <w:u w:val="none"/>
                <w:vertAlign w:val="baseline"/>
                <w:rtl w:val="0"/>
              </w:rPr>
              <w:t>2,325,680</w:t>
            </w:r>
          </w:p>
        </w:tc>
      </w:tr>
      <w:tr>
        <w:tblPrEx>
          <w:shd w:val="clear" w:color="auto" w:fill="auto"/>
        </w:tblPrEx>
        <w:trPr>
          <w:trHeight w:val="1199" w:hRule="atLeast"/>
        </w:trPr>
        <w:tc>
          <w:tcPr>
            <w:tcW w:type="dxa" w:w="1926"/>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bidi w:val="0"/>
            </w:pPr>
            <w:r>
              <w:rPr>
                <w:rFonts w:ascii="Helvetica Neue" w:cs="Arial Unicode MS" w:hAnsi="Helvetica Neue" w:eastAsia="Arial Unicode MS"/>
                <w:rtl w:val="0"/>
              </w:rPr>
              <w:t>Community Centre (if not busy all week: quarter of the Family centre costs)</w:t>
            </w:r>
          </w:p>
        </w:tc>
        <w:tc>
          <w:tcPr>
            <w:tcW w:type="dxa" w:w="1926"/>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Neue" w:cs="Arial Unicode MS" w:hAnsi="Helvetica Neue" w:eastAsia="Arial Unicode MS" w:hint="default"/>
                <w:b w:val="0"/>
                <w:bCs w:val="0"/>
                <w:i w:val="0"/>
                <w:iCs w:val="0"/>
                <w:caps w:val="0"/>
                <w:smallCaps w:val="0"/>
                <w:strike w:val="0"/>
                <w:dstrike w:val="0"/>
                <w:outline w:val="0"/>
                <w:color w:val="000000"/>
                <w:spacing w:val="0"/>
                <w:kern w:val="0"/>
                <w:position w:val="0"/>
                <w:sz w:val="20"/>
                <w:szCs w:val="20"/>
                <w:u w:val="none"/>
                <w:vertAlign w:val="baseline"/>
                <w:rtl w:val="0"/>
              </w:rPr>
              <w:t>£</w:t>
            </w:r>
            <w: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0"/>
                <w:szCs w:val="20"/>
                <w:u w:val="none"/>
                <w:vertAlign w:val="baseline"/>
                <w:rtl w:val="0"/>
              </w:rPr>
              <w:t>5,000</w:t>
            </w:r>
          </w:p>
        </w:tc>
        <w:tc>
          <w:tcPr>
            <w:tcW w:type="dxa" w:w="1926"/>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Neue" w:cs="Arial Unicode MS" w:hAnsi="Helvetica Neue" w:eastAsia="Arial Unicode MS" w:hint="default"/>
                <w:b w:val="0"/>
                <w:bCs w:val="0"/>
                <w:i w:val="0"/>
                <w:iCs w:val="0"/>
                <w:caps w:val="0"/>
                <w:smallCaps w:val="0"/>
                <w:strike w:val="0"/>
                <w:dstrike w:val="0"/>
                <w:outline w:val="0"/>
                <w:color w:val="000000"/>
                <w:spacing w:val="0"/>
                <w:kern w:val="0"/>
                <w:position w:val="0"/>
                <w:sz w:val="20"/>
                <w:szCs w:val="20"/>
                <w:u w:val="none"/>
                <w:vertAlign w:val="baseline"/>
                <w:rtl w:val="0"/>
              </w:rPr>
              <w:t>£</w:t>
            </w:r>
            <w: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0"/>
                <w:szCs w:val="20"/>
                <w:u w:val="none"/>
                <w:vertAlign w:val="baseline"/>
                <w:rtl w:val="0"/>
              </w:rPr>
              <w:t>445,320</w:t>
            </w:r>
          </w:p>
        </w:tc>
        <w:tc>
          <w:tcPr>
            <w:tcW w:type="dxa" w:w="1926"/>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Neue" w:cs="Arial Unicode MS" w:hAnsi="Helvetica Neue" w:eastAsia="Arial Unicode MS" w:hint="default"/>
                <w:b w:val="0"/>
                <w:bCs w:val="0"/>
                <w:i w:val="0"/>
                <w:iCs w:val="0"/>
                <w:caps w:val="0"/>
                <w:smallCaps w:val="0"/>
                <w:strike w:val="0"/>
                <w:dstrike w:val="0"/>
                <w:outline w:val="0"/>
                <w:color w:val="000000"/>
                <w:spacing w:val="0"/>
                <w:kern w:val="0"/>
                <w:position w:val="0"/>
                <w:sz w:val="20"/>
                <w:szCs w:val="20"/>
                <w:u w:val="none"/>
                <w:vertAlign w:val="baseline"/>
                <w:rtl w:val="0"/>
              </w:rPr>
              <w:t>£</w:t>
            </w:r>
            <w: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0"/>
                <w:szCs w:val="20"/>
                <w:u w:val="none"/>
                <w:vertAlign w:val="baseline"/>
                <w:rtl w:val="0"/>
              </w:rPr>
              <w:t>131,100</w:t>
            </w:r>
          </w:p>
        </w:tc>
        <w:tc>
          <w:tcPr>
            <w:tcW w:type="dxa" w:w="1926"/>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Neue" w:cs="Arial Unicode MS" w:hAnsi="Helvetica Neue" w:eastAsia="Arial Unicode MS" w:hint="default"/>
                <w:b w:val="0"/>
                <w:bCs w:val="0"/>
                <w:i w:val="0"/>
                <w:iCs w:val="0"/>
                <w:caps w:val="0"/>
                <w:smallCaps w:val="0"/>
                <w:strike w:val="0"/>
                <w:dstrike w:val="0"/>
                <w:outline w:val="0"/>
                <w:color w:val="000000"/>
                <w:spacing w:val="0"/>
                <w:kern w:val="0"/>
                <w:position w:val="0"/>
                <w:sz w:val="20"/>
                <w:szCs w:val="20"/>
                <w:u w:val="none"/>
                <w:vertAlign w:val="baseline"/>
                <w:rtl w:val="0"/>
              </w:rPr>
              <w:t>£</w:t>
            </w:r>
            <w: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0"/>
                <w:szCs w:val="20"/>
                <w:u w:val="none"/>
                <w:vertAlign w:val="baseline"/>
                <w:rtl w:val="0"/>
              </w:rPr>
              <w:t>581,420</w:t>
            </w:r>
          </w:p>
        </w:tc>
      </w:tr>
      <w:tr>
        <w:tblPrEx>
          <w:shd w:val="clear" w:color="auto" w:fill="auto"/>
        </w:tblPrEx>
        <w:trPr>
          <w:trHeight w:val="959" w:hRule="atLeast"/>
        </w:trPr>
        <w:tc>
          <w:tcPr>
            <w:tcW w:type="dxa" w:w="1926"/>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Table Style 2"/>
              <w:bidi w:val="0"/>
            </w:pPr>
            <w:r>
              <w:rPr>
                <w:rFonts w:ascii="Helvetica Neue" w:cs="Arial Unicode MS" w:hAnsi="Helvetica Neue" w:eastAsia="Arial Unicode MS"/>
                <w:rtl w:val="0"/>
              </w:rPr>
              <w:t>Community Centre ( if busy: half of the Family Centre Cost)</w:t>
            </w:r>
          </w:p>
        </w:tc>
        <w:tc>
          <w:tcPr>
            <w:tcW w:type="dxa" w:w="1926"/>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Neue" w:cs="Arial Unicode MS" w:hAnsi="Helvetica Neue" w:eastAsia="Arial Unicode MS" w:hint="default"/>
                <w:b w:val="0"/>
                <w:bCs w:val="0"/>
                <w:i w:val="0"/>
                <w:iCs w:val="0"/>
                <w:caps w:val="0"/>
                <w:smallCaps w:val="0"/>
                <w:strike w:val="0"/>
                <w:dstrike w:val="0"/>
                <w:outline w:val="0"/>
                <w:color w:val="000000"/>
                <w:spacing w:val="0"/>
                <w:kern w:val="0"/>
                <w:position w:val="0"/>
                <w:sz w:val="20"/>
                <w:szCs w:val="20"/>
                <w:u w:val="none"/>
                <w:vertAlign w:val="baseline"/>
                <w:rtl w:val="0"/>
              </w:rPr>
              <w:t>£</w:t>
            </w:r>
            <w: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0"/>
                <w:szCs w:val="20"/>
                <w:u w:val="none"/>
                <w:vertAlign w:val="baseline"/>
                <w:rtl w:val="0"/>
              </w:rPr>
              <w:t>10,000</w:t>
            </w:r>
          </w:p>
        </w:tc>
        <w:tc>
          <w:tcPr>
            <w:tcW w:type="dxa" w:w="1926"/>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Neue" w:cs="Arial Unicode MS" w:hAnsi="Helvetica Neue" w:eastAsia="Arial Unicode MS" w:hint="default"/>
                <w:b w:val="0"/>
                <w:bCs w:val="0"/>
                <w:i w:val="0"/>
                <w:iCs w:val="0"/>
                <w:caps w:val="0"/>
                <w:smallCaps w:val="0"/>
                <w:strike w:val="0"/>
                <w:dstrike w:val="0"/>
                <w:outline w:val="0"/>
                <w:color w:val="000000"/>
                <w:spacing w:val="0"/>
                <w:kern w:val="0"/>
                <w:position w:val="0"/>
                <w:sz w:val="20"/>
                <w:szCs w:val="20"/>
                <w:u w:val="none"/>
                <w:vertAlign w:val="baseline"/>
                <w:rtl w:val="0"/>
              </w:rPr>
              <w:t>£</w:t>
            </w:r>
            <w: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0"/>
                <w:szCs w:val="20"/>
                <w:u w:val="none"/>
                <w:vertAlign w:val="baseline"/>
                <w:rtl w:val="0"/>
              </w:rPr>
              <w:t>890,640</w:t>
            </w:r>
          </w:p>
        </w:tc>
        <w:tc>
          <w:tcPr>
            <w:tcW w:type="dxa" w:w="1926"/>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Neue" w:cs="Arial Unicode MS" w:hAnsi="Helvetica Neue" w:eastAsia="Arial Unicode MS" w:hint="default"/>
                <w:b w:val="0"/>
                <w:bCs w:val="0"/>
                <w:i w:val="0"/>
                <w:iCs w:val="0"/>
                <w:caps w:val="0"/>
                <w:smallCaps w:val="0"/>
                <w:strike w:val="0"/>
                <w:dstrike w:val="0"/>
                <w:outline w:val="0"/>
                <w:color w:val="000000"/>
                <w:spacing w:val="0"/>
                <w:kern w:val="0"/>
                <w:position w:val="0"/>
                <w:sz w:val="20"/>
                <w:szCs w:val="20"/>
                <w:u w:val="none"/>
                <w:vertAlign w:val="baseline"/>
                <w:rtl w:val="0"/>
              </w:rPr>
              <w:t>£</w:t>
            </w:r>
            <w: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0"/>
                <w:szCs w:val="20"/>
                <w:u w:val="none"/>
                <w:vertAlign w:val="baseline"/>
                <w:rtl w:val="0"/>
              </w:rPr>
              <w:t>262,200</w:t>
            </w:r>
          </w:p>
        </w:tc>
        <w:tc>
          <w:tcPr>
            <w:tcW w:type="dxa" w:w="1926"/>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Neue" w:cs="Arial Unicode MS" w:hAnsi="Helvetica Neue" w:eastAsia="Arial Unicode MS" w:hint="default"/>
                <w:b w:val="0"/>
                <w:bCs w:val="0"/>
                <w:i w:val="0"/>
                <w:iCs w:val="0"/>
                <w:caps w:val="0"/>
                <w:smallCaps w:val="0"/>
                <w:strike w:val="0"/>
                <w:dstrike w:val="0"/>
                <w:outline w:val="0"/>
                <w:color w:val="000000"/>
                <w:spacing w:val="0"/>
                <w:kern w:val="0"/>
                <w:position w:val="0"/>
                <w:sz w:val="20"/>
                <w:szCs w:val="20"/>
                <w:u w:val="none"/>
                <w:vertAlign w:val="baseline"/>
                <w:rtl w:val="0"/>
              </w:rPr>
              <w:t>£</w:t>
            </w:r>
            <w: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0"/>
                <w:szCs w:val="20"/>
                <w:u w:val="none"/>
                <w:vertAlign w:val="baseline"/>
                <w:rtl w:val="0"/>
              </w:rPr>
              <w:t>1,162,840</w:t>
            </w:r>
          </w:p>
        </w:tc>
      </w:tr>
    </w:tbl>
    <w:p>
      <w:pPr>
        <w:pStyle w:val="Body"/>
        <w:bidi w:val="0"/>
      </w:pPr>
    </w:p>
    <w:p>
      <w:pPr>
        <w:pStyle w:val="Body"/>
        <w:bidi w:val="0"/>
      </w:pPr>
    </w:p>
    <w:p>
      <w:pPr>
        <w:pStyle w:val="Body"/>
        <w:bidi w:val="0"/>
      </w:pPr>
    </w:p>
    <w:p>
      <w:pPr>
        <w:pStyle w:val="Body"/>
        <w:bidi w:val="0"/>
      </w:pPr>
      <w:r>
        <w:rPr>
          <w:rtl w:val="0"/>
        </w:rPr>
        <w:t>Additional Expenses:</w:t>
      </w:r>
    </w:p>
    <w:p>
      <w:pPr>
        <w:pStyle w:val="Body"/>
        <w:bidi w:val="0"/>
      </w:pPr>
    </w:p>
    <w:tbl>
      <w:tblPr>
        <w:tblW w:w="9632" w:type="dxa"/>
        <w:jc w:val="left"/>
        <w:tblInd w:w="108" w:type="dxa"/>
        <w:tblBorders>
          <w:top w:val="single" w:color="000000" w:sz="2" w:space="0" w:shadow="0" w:frame="0"/>
          <w:left w:val="single" w:color="000000" w:sz="2" w:space="0" w:shadow="0" w:frame="0"/>
          <w:bottom w:val="single" w:color="000000" w:sz="2" w:space="0" w:shadow="0" w:frame="0"/>
          <w:right w:val="single" w:color="000000" w:sz="2" w:space="0" w:shadow="0" w:frame="0"/>
          <w:insideH w:val="single" w:color="000000" w:sz="2" w:space="0" w:shadow="0" w:frame="0"/>
          <w:insideV w:val="single" w:color="000000" w:sz="2" w:space="0" w:shadow="0" w:frame="0"/>
        </w:tblBorders>
        <w:shd w:val="clear" w:color="auto" w:fill="auto"/>
        <w:tblLayout w:type="fixed"/>
      </w:tblPr>
      <w:tblGrid>
        <w:gridCol w:w="2408"/>
        <w:gridCol w:w="2408"/>
        <w:gridCol w:w="2408"/>
        <w:gridCol w:w="2408"/>
      </w:tblGrid>
      <w:tr>
        <w:tblPrEx>
          <w:shd w:val="clear" w:color="auto" w:fill="bdc0bf"/>
        </w:tblPrEx>
        <w:trPr>
          <w:trHeight w:val="1442" w:hRule="atLeast"/>
          <w:tblHeader/>
        </w:trPr>
        <w:tc>
          <w:tcPr>
            <w:tcW w:type="dxa" w:w="2408"/>
            <w:tcBorders>
              <w:top w:val="single" w:color="000000" w:sz="2" w:space="0" w:shadow="0" w:frame="0"/>
              <w:left w:val="single" w:color="000000" w:sz="2" w:space="0" w:shadow="0" w:frame="0"/>
              <w:bottom w:val="single" w:color="000000" w:sz="4" w:space="0" w:shadow="0" w:frame="0"/>
              <w:right w:val="single" w:color="000000" w:sz="2" w:space="0" w:shadow="0" w:frame="0"/>
            </w:tcBorders>
            <w:shd w:val="clear" w:color="auto" w:fill="bdc0bf"/>
            <w:tcMar>
              <w:top w:type="dxa" w:w="80"/>
              <w:left w:type="dxa" w:w="80"/>
              <w:bottom w:type="dxa" w:w="80"/>
              <w:right w:type="dxa" w:w="80"/>
            </w:tcMar>
            <w:vAlign w:val="top"/>
          </w:tcPr>
          <w:p>
            <w:pPr>
              <w:pStyle w:val="Table Style 1"/>
              <w:bidi w:val="0"/>
            </w:pPr>
            <w:r>
              <w:rPr>
                <w:rFonts w:ascii="Helvetica Neue" w:cs="Arial Unicode MS" w:hAnsi="Helvetica Neue" w:eastAsia="Arial Unicode MS"/>
                <w:rtl w:val="0"/>
              </w:rPr>
              <w:t>Single costs</w:t>
            </w:r>
          </w:p>
        </w:tc>
        <w:tc>
          <w:tcPr>
            <w:tcW w:type="dxa" w:w="2408"/>
            <w:tcBorders>
              <w:top w:val="single" w:color="000000" w:sz="2" w:space="0" w:shadow="0" w:frame="0"/>
              <w:left w:val="single" w:color="000000" w:sz="2" w:space="0" w:shadow="0" w:frame="0"/>
              <w:bottom w:val="single" w:color="000000" w:sz="4" w:space="0" w:shadow="0" w:frame="0"/>
              <w:right w:val="single" w:color="000000" w:sz="2" w:space="0" w:shadow="0" w:frame="0"/>
            </w:tcBorders>
            <w:shd w:val="clear" w:color="auto" w:fill="bdc0bf"/>
            <w:tcMar>
              <w:top w:type="dxa" w:w="80"/>
              <w:left w:type="dxa" w:w="80"/>
              <w:bottom w:type="dxa" w:w="80"/>
              <w:right w:type="dxa" w:w="80"/>
            </w:tcMar>
            <w:vAlign w:val="top"/>
          </w:tcPr>
          <w:p>
            <w:pPr>
              <w:pStyle w:val="Table Style 1"/>
              <w:bidi w:val="0"/>
            </w:pPr>
            <w:r>
              <w:rPr>
                <w:rFonts w:ascii="Helvetica Neue" w:cs="Arial Unicode MS" w:hAnsi="Helvetica Neue" w:eastAsia="Arial Unicode MS"/>
                <w:rtl w:val="0"/>
              </w:rPr>
              <w:t>Maintenance and Repairs : Fixed Emergency Float ( will need topping up now and again, every few years)</w:t>
            </w:r>
          </w:p>
        </w:tc>
        <w:tc>
          <w:tcPr>
            <w:tcW w:type="dxa" w:w="2408"/>
            <w:tcBorders>
              <w:top w:val="single" w:color="000000" w:sz="2" w:space="0" w:shadow="0" w:frame="0"/>
              <w:left w:val="single" w:color="000000" w:sz="2" w:space="0" w:shadow="0" w:frame="0"/>
              <w:bottom w:val="single" w:color="000000" w:sz="4" w:space="0" w:shadow="0" w:frame="0"/>
              <w:right w:val="single" w:color="000000" w:sz="2" w:space="0" w:shadow="0" w:frame="0"/>
            </w:tcBorders>
            <w:shd w:val="clear" w:color="auto" w:fill="bdc0bf"/>
            <w:tcMar>
              <w:top w:type="dxa" w:w="80"/>
              <w:left w:type="dxa" w:w="80"/>
              <w:bottom w:type="dxa" w:w="80"/>
              <w:right w:type="dxa" w:w="80"/>
            </w:tcMar>
            <w:vAlign w:val="top"/>
          </w:tcPr>
          <w:p>
            <w:pPr>
              <w:pStyle w:val="Table Style 1"/>
              <w:bidi w:val="0"/>
            </w:pPr>
            <w:r>
              <w:rPr>
                <w:rFonts w:ascii="Helvetica Neue" w:cs="Arial Unicode MS" w:hAnsi="Helvetica Neue" w:eastAsia="Arial Unicode MS"/>
                <w:rtl w:val="0"/>
              </w:rPr>
              <w:t>Playground/ Outdoor Setup : single cost</w:t>
            </w:r>
          </w:p>
        </w:tc>
        <w:tc>
          <w:tcPr>
            <w:tcW w:type="dxa" w:w="2408"/>
            <w:tcBorders>
              <w:top w:val="single" w:color="000000" w:sz="2" w:space="0" w:shadow="0" w:frame="0"/>
              <w:left w:val="single" w:color="000000" w:sz="2" w:space="0" w:shadow="0" w:frame="0"/>
              <w:bottom w:val="single" w:color="000000" w:sz="4" w:space="0" w:shadow="0" w:frame="0"/>
              <w:right w:val="single" w:color="000000" w:sz="2" w:space="0" w:shadow="0" w:frame="0"/>
            </w:tcBorders>
            <w:shd w:val="clear" w:color="auto" w:fill="bdc0bf"/>
            <w:tcMar>
              <w:top w:type="dxa" w:w="80"/>
              <w:left w:type="dxa" w:w="80"/>
              <w:bottom w:type="dxa" w:w="80"/>
              <w:right w:type="dxa" w:w="80"/>
            </w:tcMar>
            <w:vAlign w:val="top"/>
          </w:tcPr>
          <w:p>
            <w:pPr>
              <w:pStyle w:val="Table Style 1"/>
              <w:bidi w:val="0"/>
            </w:pPr>
            <w:r>
              <w:rPr>
                <w:rFonts w:ascii="Helvetica Neue" w:cs="Arial Unicode MS" w:hAnsi="Helvetica Neue" w:eastAsia="Arial Unicode MS"/>
                <w:rtl w:val="0"/>
              </w:rPr>
              <w:t>Total</w:t>
            </w:r>
          </w:p>
        </w:tc>
      </w:tr>
      <w:tr>
        <w:tblPrEx>
          <w:shd w:val="clear" w:color="auto" w:fill="auto"/>
        </w:tblPrEx>
        <w:trPr>
          <w:trHeight w:val="279" w:hRule="atLeast"/>
        </w:trPr>
        <w:tc>
          <w:tcPr>
            <w:tcW w:type="dxa" w:w="2408"/>
            <w:tcBorders>
              <w:top w:val="single" w:color="000000" w:sz="4"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bidi w:val="0"/>
            </w:pPr>
            <w:r>
              <w:rPr>
                <w:rFonts w:ascii="Helvetica Neue" w:cs="Arial Unicode MS" w:hAnsi="Helvetica Neue" w:eastAsia="Arial Unicode MS"/>
                <w:rtl w:val="0"/>
              </w:rPr>
              <w:t>Family Centre</w:t>
            </w:r>
          </w:p>
        </w:tc>
        <w:tc>
          <w:tcPr>
            <w:tcW w:type="dxa" w:w="2408"/>
            <w:tcBorders>
              <w:top w:val="single" w:color="000000" w:sz="4"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Neue" w:cs="Arial Unicode MS" w:hAnsi="Helvetica Neue" w:eastAsia="Arial Unicode MS" w:hint="default"/>
                <w:b w:val="0"/>
                <w:bCs w:val="0"/>
                <w:i w:val="0"/>
                <w:iCs w:val="0"/>
                <w:caps w:val="0"/>
                <w:smallCaps w:val="0"/>
                <w:strike w:val="0"/>
                <w:dstrike w:val="0"/>
                <w:outline w:val="0"/>
                <w:color w:val="000000"/>
                <w:spacing w:val="0"/>
                <w:kern w:val="0"/>
                <w:position w:val="0"/>
                <w:sz w:val="20"/>
                <w:szCs w:val="20"/>
                <w:u w:val="none"/>
                <w:vertAlign w:val="baseline"/>
                <w:rtl w:val="0"/>
              </w:rPr>
              <w:t>£</w:t>
            </w:r>
            <w: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0"/>
                <w:szCs w:val="20"/>
                <w:u w:val="none"/>
                <w:vertAlign w:val="baseline"/>
                <w:rtl w:val="0"/>
              </w:rPr>
              <w:t>20,000</w:t>
            </w:r>
          </w:p>
        </w:tc>
        <w:tc>
          <w:tcPr>
            <w:tcW w:type="dxa" w:w="2408"/>
            <w:tcBorders>
              <w:top w:val="single" w:color="000000" w:sz="4"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Neue" w:cs="Arial Unicode MS" w:hAnsi="Helvetica Neue" w:eastAsia="Arial Unicode MS" w:hint="default"/>
                <w:b w:val="0"/>
                <w:bCs w:val="0"/>
                <w:i w:val="0"/>
                <w:iCs w:val="0"/>
                <w:caps w:val="0"/>
                <w:smallCaps w:val="0"/>
                <w:strike w:val="0"/>
                <w:dstrike w:val="0"/>
                <w:outline w:val="0"/>
                <w:color w:val="000000"/>
                <w:spacing w:val="0"/>
                <w:kern w:val="0"/>
                <w:position w:val="0"/>
                <w:sz w:val="20"/>
                <w:szCs w:val="20"/>
                <w:u w:val="none"/>
                <w:vertAlign w:val="baseline"/>
                <w:rtl w:val="0"/>
              </w:rPr>
              <w:t>£</w:t>
            </w:r>
            <w: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0"/>
                <w:szCs w:val="20"/>
                <w:u w:val="none"/>
                <w:vertAlign w:val="baseline"/>
                <w:rtl w:val="0"/>
              </w:rPr>
              <w:t>30,000</w:t>
            </w:r>
          </w:p>
        </w:tc>
        <w:tc>
          <w:tcPr>
            <w:tcW w:type="dxa" w:w="2408"/>
            <w:tcBorders>
              <w:top w:val="single" w:color="000000" w:sz="4"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Neue" w:cs="Arial Unicode MS" w:hAnsi="Helvetica Neue" w:eastAsia="Arial Unicode MS" w:hint="default"/>
                <w:b w:val="0"/>
                <w:bCs w:val="0"/>
                <w:i w:val="0"/>
                <w:iCs w:val="0"/>
                <w:caps w:val="0"/>
                <w:smallCaps w:val="0"/>
                <w:strike w:val="0"/>
                <w:dstrike w:val="0"/>
                <w:outline w:val="0"/>
                <w:color w:val="000000"/>
                <w:spacing w:val="0"/>
                <w:kern w:val="0"/>
                <w:position w:val="0"/>
                <w:sz w:val="20"/>
                <w:szCs w:val="20"/>
                <w:u w:val="none"/>
                <w:vertAlign w:val="baseline"/>
                <w:rtl w:val="0"/>
              </w:rPr>
              <w:t>£</w:t>
            </w:r>
            <w: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0"/>
                <w:szCs w:val="20"/>
                <w:u w:val="none"/>
                <w:vertAlign w:val="baseline"/>
                <w:rtl w:val="0"/>
              </w:rPr>
              <w:t>50,000</w:t>
            </w:r>
          </w:p>
        </w:tc>
      </w:tr>
      <w:tr>
        <w:tblPrEx>
          <w:shd w:val="clear" w:color="auto" w:fill="auto"/>
        </w:tblPrEx>
        <w:trPr>
          <w:trHeight w:val="959" w:hRule="atLeast"/>
        </w:trPr>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Table Style 2"/>
              <w:bidi w:val="0"/>
            </w:pPr>
            <w:r>
              <w:rPr>
                <w:rFonts w:ascii="Helvetica Neue" w:cs="Arial Unicode MS" w:hAnsi="Helvetica Neue" w:eastAsia="Arial Unicode MS"/>
                <w:rtl w:val="0"/>
              </w:rPr>
              <w:t>Community Centre ( if not busy all week: quarter of the Family Centre Costs)</w:t>
            </w:r>
          </w:p>
        </w:tc>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Neue" w:cs="Arial Unicode MS" w:hAnsi="Helvetica Neue" w:eastAsia="Arial Unicode MS" w:hint="default"/>
                <w:b w:val="0"/>
                <w:bCs w:val="0"/>
                <w:i w:val="0"/>
                <w:iCs w:val="0"/>
                <w:caps w:val="0"/>
                <w:smallCaps w:val="0"/>
                <w:strike w:val="0"/>
                <w:dstrike w:val="0"/>
                <w:outline w:val="0"/>
                <w:color w:val="000000"/>
                <w:spacing w:val="0"/>
                <w:kern w:val="0"/>
                <w:position w:val="0"/>
                <w:sz w:val="20"/>
                <w:szCs w:val="20"/>
                <w:u w:val="none"/>
                <w:vertAlign w:val="baseline"/>
                <w:rtl w:val="0"/>
              </w:rPr>
              <w:t>£</w:t>
            </w:r>
            <w: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0"/>
                <w:szCs w:val="20"/>
                <w:u w:val="none"/>
                <w:vertAlign w:val="baseline"/>
                <w:rtl w:val="0"/>
              </w:rPr>
              <w:t>5,000</w:t>
            </w:r>
          </w:p>
        </w:tc>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Table Style 2"/>
              <w:bidi w:val="0"/>
            </w:pPr>
            <w:r>
              <w:rPr>
                <w:rFonts w:ascii="Helvetica Neue" w:cs="Arial Unicode MS" w:hAnsi="Helvetica Neue" w:eastAsia="Arial Unicode MS"/>
                <w:rtl w:val="0"/>
              </w:rPr>
              <w:t>n/a</w:t>
            </w:r>
          </w:p>
        </w:tc>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Neue" w:cs="Arial Unicode MS" w:hAnsi="Helvetica Neue" w:eastAsia="Arial Unicode MS" w:hint="default"/>
                <w:b w:val="0"/>
                <w:bCs w:val="0"/>
                <w:i w:val="0"/>
                <w:iCs w:val="0"/>
                <w:caps w:val="0"/>
                <w:smallCaps w:val="0"/>
                <w:strike w:val="0"/>
                <w:dstrike w:val="0"/>
                <w:outline w:val="0"/>
                <w:color w:val="000000"/>
                <w:spacing w:val="0"/>
                <w:kern w:val="0"/>
                <w:position w:val="0"/>
                <w:sz w:val="20"/>
                <w:szCs w:val="20"/>
                <w:u w:val="none"/>
                <w:vertAlign w:val="baseline"/>
                <w:rtl w:val="0"/>
              </w:rPr>
              <w:t>£</w:t>
            </w:r>
            <w: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0"/>
                <w:szCs w:val="20"/>
                <w:u w:val="none"/>
                <w:vertAlign w:val="baseline"/>
                <w:rtl w:val="0"/>
              </w:rPr>
              <w:t>5,000</w:t>
            </w:r>
          </w:p>
        </w:tc>
      </w:tr>
      <w:tr>
        <w:tblPrEx>
          <w:shd w:val="clear" w:color="auto" w:fill="auto"/>
        </w:tblPrEx>
        <w:trPr>
          <w:trHeight w:val="719" w:hRule="atLeast"/>
        </w:trPr>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bidi w:val="0"/>
            </w:pPr>
            <w:r>
              <w:rPr>
                <w:rFonts w:ascii="Helvetica Neue" w:cs="Arial Unicode MS" w:hAnsi="Helvetica Neue" w:eastAsia="Arial Unicode MS"/>
                <w:rtl w:val="0"/>
              </w:rPr>
              <w:t>Community Centre ( if busy: half of the Family Centre Costs)</w:t>
            </w:r>
          </w:p>
        </w:tc>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Neue" w:cs="Arial Unicode MS" w:hAnsi="Helvetica Neue" w:eastAsia="Arial Unicode MS" w:hint="default"/>
                <w:b w:val="0"/>
                <w:bCs w:val="0"/>
                <w:i w:val="0"/>
                <w:iCs w:val="0"/>
                <w:caps w:val="0"/>
                <w:smallCaps w:val="0"/>
                <w:strike w:val="0"/>
                <w:dstrike w:val="0"/>
                <w:outline w:val="0"/>
                <w:color w:val="000000"/>
                <w:spacing w:val="0"/>
                <w:kern w:val="0"/>
                <w:position w:val="0"/>
                <w:sz w:val="20"/>
                <w:szCs w:val="20"/>
                <w:u w:val="none"/>
                <w:vertAlign w:val="baseline"/>
                <w:rtl w:val="0"/>
              </w:rPr>
              <w:t>£</w:t>
            </w:r>
            <w: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0"/>
                <w:szCs w:val="20"/>
                <w:u w:val="none"/>
                <w:vertAlign w:val="baseline"/>
                <w:rtl w:val="0"/>
              </w:rPr>
              <w:t>10,000</w:t>
            </w:r>
          </w:p>
        </w:tc>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bidi w:val="0"/>
            </w:pPr>
            <w:r>
              <w:rPr>
                <w:rFonts w:ascii="Helvetica Neue" w:cs="Arial Unicode MS" w:hAnsi="Helvetica Neue" w:eastAsia="Arial Unicode MS"/>
                <w:rtl w:val="0"/>
              </w:rPr>
              <w:t>n/a</w:t>
            </w:r>
          </w:p>
        </w:tc>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Helvetica Neue" w:cs="Arial Unicode MS" w:hAnsi="Helvetica Neue" w:eastAsia="Arial Unicode MS" w:hint="default"/>
                <w:b w:val="0"/>
                <w:bCs w:val="0"/>
                <w:i w:val="0"/>
                <w:iCs w:val="0"/>
                <w:caps w:val="0"/>
                <w:smallCaps w:val="0"/>
                <w:strike w:val="0"/>
                <w:dstrike w:val="0"/>
                <w:outline w:val="0"/>
                <w:color w:val="000000"/>
                <w:spacing w:val="0"/>
                <w:kern w:val="0"/>
                <w:position w:val="0"/>
                <w:sz w:val="20"/>
                <w:szCs w:val="20"/>
                <w:u w:val="none"/>
                <w:vertAlign w:val="baseline"/>
                <w:rtl w:val="0"/>
              </w:rPr>
              <w:t>£</w:t>
            </w:r>
            <w: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0"/>
                <w:szCs w:val="20"/>
                <w:u w:val="none"/>
                <w:vertAlign w:val="baseline"/>
                <w:rtl w:val="0"/>
              </w:rPr>
              <w:t>10,000</w:t>
            </w:r>
          </w:p>
        </w:tc>
      </w:tr>
    </w:tbl>
    <w:p>
      <w:pPr>
        <w:pStyle w:val="Body"/>
        <w:bidi w:val="0"/>
      </w:pPr>
      <w:r>
        <w:rPr>
          <w:rFonts w:ascii="Arial Unicode MS" w:cs="Arial Unicode MS" w:hAnsi="Arial Unicode MS" w:eastAsia="Arial Unicode MS"/>
          <w:b w:val="0"/>
          <w:bCs w:val="0"/>
          <w:i w:val="0"/>
          <w:iCs w:val="0"/>
        </w:rPr>
        <w:br w:type="page"/>
      </w:r>
    </w:p>
    <w:p>
      <w:pPr>
        <w:pStyle w:val="Body"/>
        <w:bidi w:val="0"/>
      </w:pPr>
      <w:r>
        <w:rPr>
          <w:rtl w:val="0"/>
        </w:rPr>
        <w:t>Appendix 2</w:t>
      </w:r>
    </w:p>
    <w:p>
      <w:pPr>
        <w:pStyle w:val="Body"/>
        <w:bidi w:val="0"/>
      </w:pPr>
    </w:p>
    <w:p>
      <w:pPr>
        <w:pStyle w:val="Body"/>
        <w:bidi w:val="0"/>
      </w:pPr>
      <w:r>
        <w:rPr>
          <w:rtl w:val="0"/>
        </w:rPr>
        <w:t xml:space="preserve">A copy of an application form can be found online at </w:t>
      </w:r>
    </w:p>
    <w:p>
      <w:pPr>
        <w:pStyle w:val="Body"/>
        <w:bidi w:val="0"/>
      </w:pPr>
      <w:r>
        <w:rPr>
          <w:rStyle w:val="Hyperlink.0"/>
        </w:rPr>
        <w:fldChar w:fldCharType="begin" w:fldLock="0"/>
      </w:r>
      <w:r>
        <w:rPr>
          <w:rStyle w:val="Hyperlink.0"/>
        </w:rPr>
        <w:instrText xml:space="preserve"> HYPERLINK "http://www.princeofwalescharitablefoundation.org.uk/apply-for-a-grant"</w:instrText>
      </w:r>
      <w:r>
        <w:rPr>
          <w:rStyle w:val="Hyperlink.0"/>
        </w:rPr>
        <w:fldChar w:fldCharType="separate" w:fldLock="0"/>
      </w:r>
      <w:r>
        <w:rPr>
          <w:rStyle w:val="Hyperlink.0"/>
          <w:rtl w:val="0"/>
        </w:rPr>
        <w:t>http://www.princeofwalescharitablefoundation.org.uk/apply-for-a-grant</w:t>
      </w:r>
      <w:r>
        <w:rPr/>
        <w:fldChar w:fldCharType="end" w:fldLock="0"/>
      </w:r>
      <w:r>
        <w:rPr>
          <w:rtl w:val="0"/>
        </w:rPr>
        <w:t>. (accessed: 18/01/2018)</w:t>
      </w:r>
    </w:p>
    <w:p>
      <w:pPr>
        <w:pStyle w:val="Body"/>
        <w:bidi w:val="0"/>
      </w:pPr>
    </w:p>
    <w:p>
      <w:pPr>
        <w:pStyle w:val="Body"/>
        <w:bidi w:val="0"/>
      </w:pPr>
      <w:r>
        <w:rPr>
          <w:rtl w:val="0"/>
        </w:rPr>
        <w:t xml:space="preserve">Unfortunately the application could not be downloaded and can only be filled out online. </w:t>
      </w:r>
    </w:p>
    <w:p>
      <w:pPr>
        <w:pStyle w:val="Body"/>
        <w:bidi w:val="0"/>
      </w:pPr>
    </w:p>
    <w:p>
      <w:pPr>
        <w:pStyle w:val="Body"/>
        <w:bidi w:val="0"/>
      </w:pPr>
    </w:p>
    <w:p>
      <w:pPr>
        <w:pStyle w:val="Body"/>
        <w:bidi w:val="0"/>
      </w:pPr>
    </w:p>
    <w:p>
      <w:pPr>
        <w:pStyle w:val="Body"/>
        <w:bidi w:val="0"/>
      </w:pPr>
    </w:p>
    <w:p>
      <w:pPr>
        <w:pStyle w:val="Body"/>
        <w:bidi w:val="0"/>
      </w:pPr>
    </w:p>
    <w:p>
      <w:pPr>
        <w:pStyle w:val="Body"/>
        <w:bidi w:val="0"/>
      </w:pPr>
      <w:r>
        <w:rPr>
          <w:rtl w:val="0"/>
        </w:rPr>
        <w:t xml:space="preserve">European Union Grants: </w:t>
      </w:r>
      <w:r>
        <w:rPr>
          <w:rtl w:val="0"/>
        </w:rPr>
        <w:t>https://europa.eu/european-union/about-eu/funding-grants_en</w:t>
      </w:r>
    </w:p>
    <w:sectPr>
      <w:headerReference w:type="default" r:id="rId4"/>
      <w:footerReference w:type="default" r:id="rId5"/>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tabs>
        <w:tab w:val="center" w:pos="4819"/>
        <w:tab w:val="right" w:pos="9638"/>
        <w:tab w:val="clear" w:pos="9020"/>
      </w:tabs>
      <w:jc w:val="left"/>
    </w:pPr>
    <w:r>
      <w:tab/>
    </w:r>
    <w:r>
      <w:rPr/>
      <w:fldChar w:fldCharType="begin" w:fldLock="0"/>
    </w:r>
    <w:r>
      <w:instrText xml:space="preserve"> PAGE </w:instrText>
    </w:r>
    <w:r>
      <w:rPr/>
      <w:fldChar w:fldCharType="separate" w:fldLock="0"/>
    </w:r>
    <w:r>
      <w:t>8</w:t>
    </w:r>
    <w:r>
      <w:rPr/>
      <w:fldChar w:fldCharType="end" w:fldLock="0"/>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Dash"/>
  </w:abstractNum>
  <w:abstractNum w:abstractNumId="1">
    <w:multiLevelType w:val="hybridMultilevel"/>
    <w:styleLink w:val="Dash"/>
    <w:lvl w:ilvl="0">
      <w:start w:val="1"/>
      <w:numFmt w:val="bullet"/>
      <w:suff w:val="tab"/>
      <w:lvlText w:val="-"/>
      <w:lvlJc w:val="left"/>
      <w:pPr>
        <w:ind w:left="240" w:hanging="240"/>
      </w:pPr>
      <w:rPr>
        <w:rFonts w:hAnsi="Arial Unicode MS"/>
        <w:caps w:val="0"/>
        <w:smallCaps w:val="0"/>
        <w:strike w:val="0"/>
        <w:dstrike w:val="0"/>
        <w:outline w:val="0"/>
        <w:emboss w:val="0"/>
        <w:imprint w:val="0"/>
        <w:spacing w:val="0"/>
        <w:w w:val="100"/>
        <w:kern w:val="0"/>
        <w:position w:val="4"/>
        <w:sz w:val="26"/>
        <w:szCs w:val="26"/>
        <w:highlight w:val="none"/>
        <w:vertAlign w:val="baseline"/>
      </w:rPr>
    </w:lvl>
    <w:lvl w:ilvl="1">
      <w:start w:val="1"/>
      <w:numFmt w:val="bullet"/>
      <w:suff w:val="tab"/>
      <w:lvlText w:val="-"/>
      <w:lvlJc w:val="left"/>
      <w:pPr>
        <w:ind w:left="480" w:hanging="240"/>
      </w:pPr>
      <w:rPr>
        <w:rFonts w:hAnsi="Arial Unicode MS"/>
        <w:caps w:val="0"/>
        <w:smallCaps w:val="0"/>
        <w:strike w:val="0"/>
        <w:dstrike w:val="0"/>
        <w:outline w:val="0"/>
        <w:emboss w:val="0"/>
        <w:imprint w:val="0"/>
        <w:spacing w:val="0"/>
        <w:w w:val="100"/>
        <w:kern w:val="0"/>
        <w:position w:val="4"/>
        <w:sz w:val="26"/>
        <w:szCs w:val="26"/>
        <w:highlight w:val="none"/>
        <w:vertAlign w:val="baseline"/>
      </w:rPr>
    </w:lvl>
    <w:lvl w:ilvl="2">
      <w:start w:val="1"/>
      <w:numFmt w:val="bullet"/>
      <w:suff w:val="tab"/>
      <w:lvlText w:val="-"/>
      <w:lvlJc w:val="left"/>
      <w:pPr>
        <w:ind w:left="720" w:hanging="240"/>
      </w:pPr>
      <w:rPr>
        <w:rFonts w:hAnsi="Arial Unicode MS"/>
        <w:caps w:val="0"/>
        <w:smallCaps w:val="0"/>
        <w:strike w:val="0"/>
        <w:dstrike w:val="0"/>
        <w:outline w:val="0"/>
        <w:emboss w:val="0"/>
        <w:imprint w:val="0"/>
        <w:spacing w:val="0"/>
        <w:w w:val="100"/>
        <w:kern w:val="0"/>
        <w:position w:val="4"/>
        <w:sz w:val="26"/>
        <w:szCs w:val="26"/>
        <w:highlight w:val="none"/>
        <w:vertAlign w:val="baseline"/>
      </w:rPr>
    </w:lvl>
    <w:lvl w:ilvl="3">
      <w:start w:val="1"/>
      <w:numFmt w:val="bullet"/>
      <w:suff w:val="tab"/>
      <w:lvlText w:val="-"/>
      <w:lvlJc w:val="left"/>
      <w:pPr>
        <w:ind w:left="960" w:hanging="240"/>
      </w:pPr>
      <w:rPr>
        <w:rFonts w:hAnsi="Arial Unicode MS"/>
        <w:caps w:val="0"/>
        <w:smallCaps w:val="0"/>
        <w:strike w:val="0"/>
        <w:dstrike w:val="0"/>
        <w:outline w:val="0"/>
        <w:emboss w:val="0"/>
        <w:imprint w:val="0"/>
        <w:spacing w:val="0"/>
        <w:w w:val="100"/>
        <w:kern w:val="0"/>
        <w:position w:val="4"/>
        <w:sz w:val="26"/>
        <w:szCs w:val="26"/>
        <w:highlight w:val="none"/>
        <w:vertAlign w:val="baseline"/>
      </w:rPr>
    </w:lvl>
    <w:lvl w:ilvl="4">
      <w:start w:val="1"/>
      <w:numFmt w:val="bullet"/>
      <w:suff w:val="tab"/>
      <w:lvlText w:val="-"/>
      <w:lvlJc w:val="left"/>
      <w:pPr>
        <w:ind w:left="1200" w:hanging="240"/>
      </w:pPr>
      <w:rPr>
        <w:rFonts w:hAnsi="Arial Unicode MS"/>
        <w:caps w:val="0"/>
        <w:smallCaps w:val="0"/>
        <w:strike w:val="0"/>
        <w:dstrike w:val="0"/>
        <w:outline w:val="0"/>
        <w:emboss w:val="0"/>
        <w:imprint w:val="0"/>
        <w:spacing w:val="0"/>
        <w:w w:val="100"/>
        <w:kern w:val="0"/>
        <w:position w:val="4"/>
        <w:sz w:val="26"/>
        <w:szCs w:val="26"/>
        <w:highlight w:val="none"/>
        <w:vertAlign w:val="baseline"/>
      </w:rPr>
    </w:lvl>
    <w:lvl w:ilvl="5">
      <w:start w:val="1"/>
      <w:numFmt w:val="bullet"/>
      <w:suff w:val="tab"/>
      <w:lvlText w:val="-"/>
      <w:lvlJc w:val="left"/>
      <w:pPr>
        <w:ind w:left="1440" w:hanging="240"/>
      </w:pPr>
      <w:rPr>
        <w:rFonts w:hAnsi="Arial Unicode MS"/>
        <w:caps w:val="0"/>
        <w:smallCaps w:val="0"/>
        <w:strike w:val="0"/>
        <w:dstrike w:val="0"/>
        <w:outline w:val="0"/>
        <w:emboss w:val="0"/>
        <w:imprint w:val="0"/>
        <w:spacing w:val="0"/>
        <w:w w:val="100"/>
        <w:kern w:val="0"/>
        <w:position w:val="4"/>
        <w:sz w:val="26"/>
        <w:szCs w:val="26"/>
        <w:highlight w:val="none"/>
        <w:vertAlign w:val="baseline"/>
      </w:rPr>
    </w:lvl>
    <w:lvl w:ilvl="6">
      <w:start w:val="1"/>
      <w:numFmt w:val="bullet"/>
      <w:suff w:val="tab"/>
      <w:lvlText w:val="-"/>
      <w:lvlJc w:val="left"/>
      <w:pPr>
        <w:ind w:left="1680" w:hanging="240"/>
      </w:pPr>
      <w:rPr>
        <w:rFonts w:hAnsi="Arial Unicode MS"/>
        <w:caps w:val="0"/>
        <w:smallCaps w:val="0"/>
        <w:strike w:val="0"/>
        <w:dstrike w:val="0"/>
        <w:outline w:val="0"/>
        <w:emboss w:val="0"/>
        <w:imprint w:val="0"/>
        <w:spacing w:val="0"/>
        <w:w w:val="100"/>
        <w:kern w:val="0"/>
        <w:position w:val="4"/>
        <w:sz w:val="26"/>
        <w:szCs w:val="26"/>
        <w:highlight w:val="none"/>
        <w:vertAlign w:val="baseline"/>
      </w:rPr>
    </w:lvl>
    <w:lvl w:ilvl="7">
      <w:start w:val="1"/>
      <w:numFmt w:val="bullet"/>
      <w:suff w:val="tab"/>
      <w:lvlText w:val="-"/>
      <w:lvlJc w:val="left"/>
      <w:pPr>
        <w:ind w:left="1920" w:hanging="240"/>
      </w:pPr>
      <w:rPr>
        <w:rFonts w:hAnsi="Arial Unicode MS"/>
        <w:caps w:val="0"/>
        <w:smallCaps w:val="0"/>
        <w:strike w:val="0"/>
        <w:dstrike w:val="0"/>
        <w:outline w:val="0"/>
        <w:emboss w:val="0"/>
        <w:imprint w:val="0"/>
        <w:spacing w:val="0"/>
        <w:w w:val="100"/>
        <w:kern w:val="0"/>
        <w:position w:val="4"/>
        <w:sz w:val="26"/>
        <w:szCs w:val="26"/>
        <w:highlight w:val="none"/>
        <w:vertAlign w:val="baseline"/>
      </w:rPr>
    </w:lvl>
    <w:lvl w:ilvl="8">
      <w:start w:val="1"/>
      <w:numFmt w:val="bullet"/>
      <w:suff w:val="tab"/>
      <w:lvlText w:val="-"/>
      <w:lvlJc w:val="left"/>
      <w:pPr>
        <w:ind w:left="2160" w:hanging="240"/>
      </w:pPr>
      <w:rPr>
        <w:rFonts w:hAnsi="Arial Unicode MS"/>
        <w:caps w:val="0"/>
        <w:smallCaps w:val="0"/>
        <w:strike w:val="0"/>
        <w:dstrike w:val="0"/>
        <w:outline w:val="0"/>
        <w:emboss w:val="0"/>
        <w:imprint w:val="0"/>
        <w:spacing w:val="0"/>
        <w:w w:val="100"/>
        <w:kern w:val="0"/>
        <w:position w:val="4"/>
        <w:sz w:val="26"/>
        <w:szCs w:val="26"/>
        <w:highlight w:val="none"/>
        <w:vertAlign w:val="baseli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vertAlign w:val="baseline"/>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vertAlign w:val="baseline"/>
      <w:lang w:val="en-US"/>
    </w:rPr>
  </w:style>
  <w:style w:type="numbering" w:styleId="Dash">
    <w:name w:val="Dash"/>
    <w:pPr>
      <w:numPr>
        <w:numId w:val="1"/>
      </w:numPr>
    </w:pPr>
  </w:style>
  <w:style w:type="paragraph" w:styleId="Table Style 2">
    <w:name w:val="Table Style 2"/>
    <w:next w:val="Table Style 2"/>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0"/>
      <w:szCs w:val="20"/>
      <w:u w:val="none"/>
      <w:vertAlign w:val="baseline"/>
    </w:rPr>
  </w:style>
  <w:style w:type="paragraph" w:styleId="Table Style 1">
    <w:name w:val="Table Style 1"/>
    <w:next w:val="Table Style 1"/>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1"/>
      <w:bCs w:val="1"/>
      <w:i w:val="0"/>
      <w:iCs w:val="0"/>
      <w:caps w:val="0"/>
      <w:smallCaps w:val="0"/>
      <w:strike w:val="0"/>
      <w:dstrike w:val="0"/>
      <w:outline w:val="0"/>
      <w:color w:val="000000"/>
      <w:spacing w:val="0"/>
      <w:kern w:val="0"/>
      <w:position w:val="0"/>
      <w:sz w:val="20"/>
      <w:szCs w:val="20"/>
      <w:u w:val="none"/>
      <w:vertAlign w:val="baseline"/>
    </w:rPr>
  </w:style>
  <w:style w:type="character" w:styleId="Hyperlink.0">
    <w:name w:val="Hyperlink.0"/>
    <w:basedOn w:val="Hyperlink"/>
    <w:next w:val="Hyperlink.0"/>
    <w:rPr>
      <w:u w:val="single"/>
    </w:rPr>
  </w:style>
</w:styles>
</file>

<file path=word/_rels/document.xml.rels><?xml version="1.0" encoding="UTF-8" standalone="yes"?><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numbering" Target="numbering.xml"/><Relationship Id="rId7"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6D5D5"/>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chemeClr val="accent1"/>
        </a:solidFill>
        <a:ln w="12700" cap="flat">
          <a:noFill/>
          <a:miter lim="400000"/>
        </a:ln>
        <a:effectLst/>
        <a:sp3d/>
      </a:spPr>
      <a:bodyPr rot="0" spcFirstLastPara="1" vertOverflow="overflow" horzOverflow="overflow" vert="horz" wrap="square" lIns="101600" tIns="101600" rIns="101600" bIns="101600" numCol="1" spcCol="38100" rtlCol="0" anchor="ctr" upright="0">
        <a:spAutoFit/>
      </a:bodyPr>
      <a:lstStyle>
        <a:defPPr marL="0" marR="0" indent="0" algn="ctr" defTabSz="457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