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5439D0CF" w:rsidR="004A7D3D" w:rsidRPr="004A1148" w:rsidRDefault="001C1FC1" w:rsidP="00F5276B">
            <w:pPr>
              <w:pStyle w:val="TableText"/>
              <w:ind w:left="284"/>
              <w:rPr>
                <w:rFonts w:cs="Arial"/>
              </w:rPr>
            </w:pPr>
            <w:r>
              <w:rPr>
                <w:rFonts w:cs="Arial"/>
              </w:rPr>
              <w:t>A</w:t>
            </w:r>
          </w:p>
        </w:tc>
        <w:tc>
          <w:tcPr>
            <w:tcW w:w="2561" w:type="dxa"/>
            <w:vAlign w:val="bottom"/>
          </w:tcPr>
          <w:p w14:paraId="325D5AA6" w14:textId="6D8723D4" w:rsidR="004A7D3D" w:rsidRPr="004A1148" w:rsidRDefault="001C1FC1" w:rsidP="00F5276B">
            <w:pPr>
              <w:pStyle w:val="TableText"/>
              <w:rPr>
                <w:rFonts w:cs="Arial"/>
              </w:rPr>
            </w:pPr>
            <w:r>
              <w:rPr>
                <w:rFonts w:cs="Arial"/>
              </w:rPr>
              <w:t>172.16.13.64/27</w:t>
            </w:r>
          </w:p>
        </w:tc>
        <w:tc>
          <w:tcPr>
            <w:tcW w:w="2552" w:type="dxa"/>
          </w:tcPr>
          <w:p w14:paraId="64D79944" w14:textId="40430BD1" w:rsidR="004A7D3D" w:rsidRPr="004A1148" w:rsidRDefault="001C1FC1" w:rsidP="00F5276B">
            <w:pPr>
              <w:pStyle w:val="TableText"/>
              <w:rPr>
                <w:rFonts w:cs="Arial"/>
              </w:rPr>
            </w:pPr>
            <w:r>
              <w:rPr>
                <w:rFonts w:cs="Arial"/>
              </w:rPr>
              <w:t>255.255.255.224</w:t>
            </w:r>
          </w:p>
        </w:tc>
        <w:tc>
          <w:tcPr>
            <w:tcW w:w="2724" w:type="dxa"/>
            <w:vAlign w:val="bottom"/>
          </w:tcPr>
          <w:p w14:paraId="426B55D1" w14:textId="0A9C8F57" w:rsidR="004A7D3D" w:rsidRPr="004A1148" w:rsidRDefault="001C1FC1" w:rsidP="00F5276B">
            <w:pPr>
              <w:pStyle w:val="TableText"/>
              <w:rPr>
                <w:rFonts w:cs="Arial"/>
              </w:rPr>
            </w:pPr>
            <w:r>
              <w:rPr>
                <w:rFonts w:cs="Arial"/>
              </w:rPr>
              <w:t>172.16.13.65</w:t>
            </w:r>
          </w:p>
        </w:tc>
        <w:tc>
          <w:tcPr>
            <w:tcW w:w="2922" w:type="dxa"/>
            <w:vAlign w:val="bottom"/>
          </w:tcPr>
          <w:p w14:paraId="2AC7FFA7" w14:textId="44B90BF1" w:rsidR="004A7D3D" w:rsidRPr="004A1148" w:rsidRDefault="001C1FC1" w:rsidP="00F5276B">
            <w:pPr>
              <w:pStyle w:val="TableText"/>
              <w:rPr>
                <w:rFonts w:cs="Arial"/>
              </w:rPr>
            </w:pPr>
            <w:r>
              <w:rPr>
                <w:rFonts w:cs="Arial"/>
              </w:rPr>
              <w:t>172.16.13.94</w:t>
            </w:r>
          </w:p>
        </w:tc>
        <w:tc>
          <w:tcPr>
            <w:tcW w:w="2905" w:type="dxa"/>
            <w:vAlign w:val="bottom"/>
          </w:tcPr>
          <w:p w14:paraId="55A78382" w14:textId="019A036A" w:rsidR="004A7D3D" w:rsidRPr="004A1148" w:rsidRDefault="001C1FC1" w:rsidP="00F5276B">
            <w:pPr>
              <w:pStyle w:val="TableText"/>
              <w:ind w:left="284"/>
              <w:rPr>
                <w:rFonts w:cs="Arial"/>
              </w:rPr>
            </w:pPr>
            <w:r>
              <w:rPr>
                <w:rFonts w:cs="Arial"/>
              </w:rPr>
              <w:t>172.16.13.95</w:t>
            </w:r>
          </w:p>
        </w:tc>
      </w:tr>
      <w:tr w:rsidR="004A7D3D" w:rsidRPr="004A1148" w14:paraId="25431512" w14:textId="77777777" w:rsidTr="005554AB">
        <w:trPr>
          <w:cantSplit/>
          <w:trHeight w:val="510"/>
          <w:jc w:val="center"/>
        </w:trPr>
        <w:tc>
          <w:tcPr>
            <w:tcW w:w="1412" w:type="dxa"/>
            <w:vAlign w:val="bottom"/>
          </w:tcPr>
          <w:p w14:paraId="6A6FC7F1" w14:textId="490C88D0" w:rsidR="004A7D3D" w:rsidRPr="004A1148" w:rsidRDefault="001C1FC1" w:rsidP="00F5276B">
            <w:pPr>
              <w:pStyle w:val="TableText"/>
              <w:ind w:left="284"/>
              <w:rPr>
                <w:rFonts w:cs="Arial"/>
              </w:rPr>
            </w:pPr>
            <w:r>
              <w:rPr>
                <w:rFonts w:cs="Arial"/>
              </w:rPr>
              <w:t>B</w:t>
            </w:r>
          </w:p>
        </w:tc>
        <w:tc>
          <w:tcPr>
            <w:tcW w:w="2561" w:type="dxa"/>
            <w:vAlign w:val="bottom"/>
          </w:tcPr>
          <w:p w14:paraId="5D565D23" w14:textId="0E361743" w:rsidR="004A7D3D" w:rsidRPr="004A1148" w:rsidRDefault="001C1FC1" w:rsidP="00F5276B">
            <w:pPr>
              <w:pStyle w:val="TableText"/>
              <w:rPr>
                <w:rFonts w:cs="Arial"/>
              </w:rPr>
            </w:pPr>
            <w:r>
              <w:rPr>
                <w:rFonts w:cs="Arial"/>
              </w:rPr>
              <w:t>172.16.2.0/21</w:t>
            </w:r>
          </w:p>
        </w:tc>
        <w:tc>
          <w:tcPr>
            <w:tcW w:w="2552" w:type="dxa"/>
          </w:tcPr>
          <w:p w14:paraId="5E77A652" w14:textId="4768948F" w:rsidR="004A7D3D" w:rsidRPr="004A1148" w:rsidRDefault="001C1FC1" w:rsidP="00F5276B">
            <w:pPr>
              <w:pStyle w:val="TableText"/>
              <w:rPr>
                <w:rFonts w:cs="Arial"/>
              </w:rPr>
            </w:pPr>
            <w:r>
              <w:rPr>
                <w:rFonts w:cs="Arial"/>
              </w:rPr>
              <w:t>255.255.248.0</w:t>
            </w:r>
          </w:p>
        </w:tc>
        <w:tc>
          <w:tcPr>
            <w:tcW w:w="2724" w:type="dxa"/>
            <w:vAlign w:val="bottom"/>
          </w:tcPr>
          <w:p w14:paraId="553FF9D4" w14:textId="00898BBD" w:rsidR="004A7D3D" w:rsidRPr="004A1148" w:rsidRDefault="001C1FC1" w:rsidP="00F5276B">
            <w:pPr>
              <w:pStyle w:val="TableText"/>
              <w:rPr>
                <w:rFonts w:cs="Arial"/>
              </w:rPr>
            </w:pPr>
            <w:r>
              <w:rPr>
                <w:rFonts w:cs="Arial"/>
              </w:rPr>
              <w:t>172.16.2.1</w:t>
            </w:r>
          </w:p>
        </w:tc>
        <w:tc>
          <w:tcPr>
            <w:tcW w:w="2922" w:type="dxa"/>
            <w:vAlign w:val="bottom"/>
          </w:tcPr>
          <w:p w14:paraId="12602C5C" w14:textId="454E388A" w:rsidR="004A7D3D" w:rsidRPr="004A1148" w:rsidRDefault="001C1FC1" w:rsidP="00F5276B">
            <w:pPr>
              <w:pStyle w:val="TableText"/>
              <w:rPr>
                <w:rFonts w:cs="Arial"/>
              </w:rPr>
            </w:pPr>
            <w:r>
              <w:rPr>
                <w:rFonts w:cs="Arial"/>
              </w:rPr>
              <w:t>172.16.9.254</w:t>
            </w:r>
          </w:p>
        </w:tc>
        <w:tc>
          <w:tcPr>
            <w:tcW w:w="2905" w:type="dxa"/>
            <w:vAlign w:val="bottom"/>
          </w:tcPr>
          <w:p w14:paraId="0E927FF2" w14:textId="3A1E6051" w:rsidR="004A7D3D" w:rsidRPr="004A1148" w:rsidRDefault="001C1FC1" w:rsidP="00F5276B">
            <w:pPr>
              <w:pStyle w:val="TableText"/>
              <w:ind w:left="284"/>
              <w:rPr>
                <w:rFonts w:cs="Arial"/>
              </w:rPr>
            </w:pPr>
            <w:r>
              <w:rPr>
                <w:rFonts w:cs="Arial"/>
              </w:rPr>
              <w:t>172.16.9.255</w:t>
            </w:r>
          </w:p>
        </w:tc>
      </w:tr>
      <w:tr w:rsidR="004A7D3D" w:rsidRPr="004A1148" w14:paraId="1804910C" w14:textId="77777777" w:rsidTr="005554AB">
        <w:trPr>
          <w:cantSplit/>
          <w:trHeight w:val="510"/>
          <w:jc w:val="center"/>
        </w:trPr>
        <w:tc>
          <w:tcPr>
            <w:tcW w:w="1412" w:type="dxa"/>
            <w:vAlign w:val="bottom"/>
          </w:tcPr>
          <w:p w14:paraId="198C292F" w14:textId="00E977D2" w:rsidR="004A7D3D" w:rsidRPr="004A1148" w:rsidRDefault="001C1FC1" w:rsidP="00F5276B">
            <w:pPr>
              <w:pStyle w:val="TableText"/>
              <w:ind w:left="284"/>
              <w:rPr>
                <w:rFonts w:cs="Arial"/>
              </w:rPr>
            </w:pPr>
            <w:r>
              <w:rPr>
                <w:rFonts w:cs="Arial"/>
              </w:rPr>
              <w:t>C</w:t>
            </w:r>
          </w:p>
        </w:tc>
        <w:tc>
          <w:tcPr>
            <w:tcW w:w="2561" w:type="dxa"/>
            <w:vAlign w:val="bottom"/>
          </w:tcPr>
          <w:p w14:paraId="3114BB27" w14:textId="2D5BD6B2" w:rsidR="004A7D3D" w:rsidRPr="004A1148" w:rsidRDefault="001C1FC1" w:rsidP="00F5276B">
            <w:pPr>
              <w:pStyle w:val="TableText"/>
              <w:rPr>
                <w:rFonts w:cs="Arial"/>
              </w:rPr>
            </w:pPr>
            <w:r>
              <w:rPr>
                <w:rFonts w:cs="Arial"/>
              </w:rPr>
              <w:t>172.16.13.96/29</w:t>
            </w:r>
          </w:p>
        </w:tc>
        <w:tc>
          <w:tcPr>
            <w:tcW w:w="2552" w:type="dxa"/>
          </w:tcPr>
          <w:p w14:paraId="0D8FD5C7" w14:textId="1EB8CEDD" w:rsidR="004A7D3D" w:rsidRPr="004A1148" w:rsidRDefault="001C1FC1" w:rsidP="00F5276B">
            <w:pPr>
              <w:pStyle w:val="TableText"/>
              <w:rPr>
                <w:rFonts w:cs="Arial"/>
              </w:rPr>
            </w:pPr>
            <w:r>
              <w:rPr>
                <w:rFonts w:cs="Arial"/>
              </w:rPr>
              <w:t>255.255.255.248</w:t>
            </w:r>
          </w:p>
        </w:tc>
        <w:tc>
          <w:tcPr>
            <w:tcW w:w="2724" w:type="dxa"/>
            <w:vAlign w:val="bottom"/>
          </w:tcPr>
          <w:p w14:paraId="035CA129" w14:textId="3373C45E" w:rsidR="004A7D3D" w:rsidRPr="004A1148" w:rsidRDefault="001C1FC1" w:rsidP="00F5276B">
            <w:pPr>
              <w:pStyle w:val="TableText"/>
              <w:rPr>
                <w:rFonts w:cs="Arial"/>
              </w:rPr>
            </w:pPr>
            <w:r>
              <w:rPr>
                <w:rFonts w:cs="Arial"/>
              </w:rPr>
              <w:t>172.16.13.97</w:t>
            </w:r>
          </w:p>
        </w:tc>
        <w:tc>
          <w:tcPr>
            <w:tcW w:w="2922" w:type="dxa"/>
            <w:vAlign w:val="bottom"/>
          </w:tcPr>
          <w:p w14:paraId="139F5B25" w14:textId="6E48663D" w:rsidR="004A7D3D" w:rsidRPr="004A1148" w:rsidRDefault="001C1FC1" w:rsidP="00F5276B">
            <w:pPr>
              <w:pStyle w:val="TableText"/>
              <w:rPr>
                <w:rFonts w:cs="Arial"/>
              </w:rPr>
            </w:pPr>
            <w:r>
              <w:rPr>
                <w:rFonts w:cs="Arial"/>
              </w:rPr>
              <w:t>172.16.13.102</w:t>
            </w:r>
          </w:p>
        </w:tc>
        <w:tc>
          <w:tcPr>
            <w:tcW w:w="2905" w:type="dxa"/>
            <w:vAlign w:val="bottom"/>
          </w:tcPr>
          <w:p w14:paraId="63784539" w14:textId="40BE7ACE" w:rsidR="004A7D3D" w:rsidRPr="004A1148" w:rsidRDefault="001C1FC1" w:rsidP="00F5276B">
            <w:pPr>
              <w:pStyle w:val="TableText"/>
              <w:ind w:left="284"/>
              <w:rPr>
                <w:rFonts w:cs="Arial"/>
              </w:rPr>
            </w:pPr>
            <w:r>
              <w:rPr>
                <w:rFonts w:cs="Arial"/>
              </w:rPr>
              <w:t>172.16.13.103</w:t>
            </w:r>
          </w:p>
        </w:tc>
      </w:tr>
      <w:tr w:rsidR="004A7D3D" w:rsidRPr="004A1148" w14:paraId="6FCEA750" w14:textId="77777777" w:rsidTr="005554AB">
        <w:trPr>
          <w:cantSplit/>
          <w:trHeight w:val="510"/>
          <w:jc w:val="center"/>
        </w:trPr>
        <w:tc>
          <w:tcPr>
            <w:tcW w:w="1412" w:type="dxa"/>
            <w:vAlign w:val="bottom"/>
          </w:tcPr>
          <w:p w14:paraId="023D3E13" w14:textId="17A6681E" w:rsidR="004A7D3D" w:rsidRPr="004A1148" w:rsidRDefault="001C1FC1" w:rsidP="00F5276B">
            <w:pPr>
              <w:pStyle w:val="TableText"/>
              <w:ind w:left="284"/>
              <w:rPr>
                <w:rFonts w:cs="Arial"/>
              </w:rPr>
            </w:pPr>
            <w:r>
              <w:rPr>
                <w:rFonts w:cs="Arial"/>
              </w:rPr>
              <w:t>D</w:t>
            </w:r>
          </w:p>
        </w:tc>
        <w:tc>
          <w:tcPr>
            <w:tcW w:w="2561" w:type="dxa"/>
            <w:vAlign w:val="bottom"/>
          </w:tcPr>
          <w:p w14:paraId="028301AC" w14:textId="5D8A5E77" w:rsidR="004A7D3D" w:rsidRPr="004A1148" w:rsidRDefault="001C1FC1" w:rsidP="00F5276B">
            <w:pPr>
              <w:pStyle w:val="TableText"/>
              <w:rPr>
                <w:rFonts w:cs="Arial"/>
              </w:rPr>
            </w:pPr>
            <w:r>
              <w:rPr>
                <w:rFonts w:cs="Arial"/>
              </w:rPr>
              <w:t>172.16.10.0/23</w:t>
            </w:r>
          </w:p>
        </w:tc>
        <w:tc>
          <w:tcPr>
            <w:tcW w:w="2552" w:type="dxa"/>
          </w:tcPr>
          <w:p w14:paraId="0E107CA2" w14:textId="5B2BEC12" w:rsidR="004A7D3D" w:rsidRPr="004A1148" w:rsidRDefault="001C1FC1" w:rsidP="00F5276B">
            <w:pPr>
              <w:pStyle w:val="TableText"/>
              <w:rPr>
                <w:rFonts w:cs="Arial"/>
              </w:rPr>
            </w:pPr>
            <w:r>
              <w:rPr>
                <w:rFonts w:cs="Arial"/>
              </w:rPr>
              <w:t>255.255.254.0</w:t>
            </w:r>
          </w:p>
        </w:tc>
        <w:tc>
          <w:tcPr>
            <w:tcW w:w="2724" w:type="dxa"/>
            <w:vAlign w:val="bottom"/>
          </w:tcPr>
          <w:p w14:paraId="76E3E1C0" w14:textId="2BE7AC91" w:rsidR="004A7D3D" w:rsidRPr="004A1148" w:rsidRDefault="001C1FC1" w:rsidP="00F5276B">
            <w:pPr>
              <w:pStyle w:val="TableText"/>
              <w:rPr>
                <w:rFonts w:cs="Arial"/>
              </w:rPr>
            </w:pPr>
            <w:r>
              <w:rPr>
                <w:rFonts w:cs="Arial"/>
              </w:rPr>
              <w:t>172.16.10.1</w:t>
            </w:r>
          </w:p>
        </w:tc>
        <w:tc>
          <w:tcPr>
            <w:tcW w:w="2922" w:type="dxa"/>
            <w:vAlign w:val="bottom"/>
          </w:tcPr>
          <w:p w14:paraId="1F58716B" w14:textId="65E996E2" w:rsidR="004A7D3D" w:rsidRPr="004A1148" w:rsidRDefault="001C1FC1" w:rsidP="00F5276B">
            <w:pPr>
              <w:pStyle w:val="TableText"/>
              <w:rPr>
                <w:rFonts w:cs="Arial"/>
              </w:rPr>
            </w:pPr>
            <w:r>
              <w:rPr>
                <w:rFonts w:cs="Arial"/>
              </w:rPr>
              <w:t>172.16.11.254</w:t>
            </w:r>
          </w:p>
        </w:tc>
        <w:tc>
          <w:tcPr>
            <w:tcW w:w="2905" w:type="dxa"/>
            <w:vAlign w:val="bottom"/>
          </w:tcPr>
          <w:p w14:paraId="1F03CCA5" w14:textId="2BE9E984" w:rsidR="004A7D3D" w:rsidRPr="004A1148" w:rsidRDefault="001C1FC1" w:rsidP="00F5276B">
            <w:pPr>
              <w:pStyle w:val="TableText"/>
              <w:ind w:left="284"/>
              <w:rPr>
                <w:rFonts w:cs="Arial"/>
              </w:rPr>
            </w:pPr>
            <w:r>
              <w:rPr>
                <w:rFonts w:cs="Arial"/>
              </w:rPr>
              <w:t>172.16.11.255</w:t>
            </w:r>
          </w:p>
        </w:tc>
      </w:tr>
      <w:tr w:rsidR="004A7D3D" w:rsidRPr="004A1148" w14:paraId="6B34B8B1" w14:textId="77777777" w:rsidTr="005554AB">
        <w:trPr>
          <w:cantSplit/>
          <w:trHeight w:val="510"/>
          <w:jc w:val="center"/>
        </w:trPr>
        <w:tc>
          <w:tcPr>
            <w:tcW w:w="1412" w:type="dxa"/>
            <w:vAlign w:val="bottom"/>
          </w:tcPr>
          <w:p w14:paraId="65F58BF1" w14:textId="65F4FC8C" w:rsidR="004A7D3D" w:rsidRPr="004A1148" w:rsidRDefault="001C1FC1" w:rsidP="00F5276B">
            <w:pPr>
              <w:pStyle w:val="TableText"/>
              <w:ind w:left="284"/>
              <w:rPr>
                <w:rFonts w:cs="Arial"/>
              </w:rPr>
            </w:pPr>
            <w:r>
              <w:rPr>
                <w:rFonts w:cs="Arial"/>
              </w:rPr>
              <w:t>E</w:t>
            </w:r>
          </w:p>
        </w:tc>
        <w:tc>
          <w:tcPr>
            <w:tcW w:w="2561" w:type="dxa"/>
            <w:vAlign w:val="bottom"/>
          </w:tcPr>
          <w:p w14:paraId="18067B56" w14:textId="5A0F3EDA" w:rsidR="004A7D3D" w:rsidRPr="004A1148" w:rsidRDefault="001C1FC1" w:rsidP="00F5276B">
            <w:pPr>
              <w:pStyle w:val="TableText"/>
              <w:rPr>
                <w:rFonts w:cs="Arial"/>
              </w:rPr>
            </w:pPr>
            <w:r>
              <w:rPr>
                <w:rFonts w:cs="Arial"/>
              </w:rPr>
              <w:t>172.16.13.0/26</w:t>
            </w:r>
          </w:p>
        </w:tc>
        <w:tc>
          <w:tcPr>
            <w:tcW w:w="2552" w:type="dxa"/>
          </w:tcPr>
          <w:p w14:paraId="309D051E" w14:textId="7081BBC2" w:rsidR="004A7D3D" w:rsidRPr="004A1148" w:rsidRDefault="001C1FC1" w:rsidP="00F5276B">
            <w:pPr>
              <w:pStyle w:val="TableText"/>
              <w:rPr>
                <w:rFonts w:cs="Arial"/>
              </w:rPr>
            </w:pPr>
            <w:r>
              <w:rPr>
                <w:rFonts w:cs="Arial"/>
              </w:rPr>
              <w:t>255.255.255.192</w:t>
            </w:r>
          </w:p>
        </w:tc>
        <w:tc>
          <w:tcPr>
            <w:tcW w:w="2724" w:type="dxa"/>
            <w:vAlign w:val="bottom"/>
          </w:tcPr>
          <w:p w14:paraId="4BB66377" w14:textId="545BEDAB" w:rsidR="004A7D3D" w:rsidRPr="004A1148" w:rsidRDefault="001C1FC1" w:rsidP="00F5276B">
            <w:pPr>
              <w:pStyle w:val="TableText"/>
              <w:rPr>
                <w:rFonts w:cs="Arial"/>
              </w:rPr>
            </w:pPr>
            <w:r>
              <w:rPr>
                <w:rFonts w:cs="Arial"/>
              </w:rPr>
              <w:t>172.16.13.1</w:t>
            </w:r>
          </w:p>
        </w:tc>
        <w:tc>
          <w:tcPr>
            <w:tcW w:w="2922" w:type="dxa"/>
            <w:vAlign w:val="bottom"/>
          </w:tcPr>
          <w:p w14:paraId="2F12A22D" w14:textId="79BF5EA6" w:rsidR="004A7D3D" w:rsidRPr="004A1148" w:rsidRDefault="001C1FC1" w:rsidP="00F5276B">
            <w:pPr>
              <w:pStyle w:val="TableText"/>
              <w:rPr>
                <w:rFonts w:cs="Arial"/>
              </w:rPr>
            </w:pPr>
            <w:r>
              <w:rPr>
                <w:rFonts w:cs="Arial"/>
              </w:rPr>
              <w:t>172.16.13.62</w:t>
            </w:r>
          </w:p>
        </w:tc>
        <w:tc>
          <w:tcPr>
            <w:tcW w:w="2905" w:type="dxa"/>
            <w:vAlign w:val="bottom"/>
          </w:tcPr>
          <w:p w14:paraId="78E458EF" w14:textId="544D4676" w:rsidR="004A7D3D" w:rsidRPr="004A1148" w:rsidRDefault="001C1FC1" w:rsidP="00F5276B">
            <w:pPr>
              <w:pStyle w:val="TableText"/>
              <w:ind w:left="284"/>
              <w:rPr>
                <w:rFonts w:cs="Arial"/>
              </w:rPr>
            </w:pPr>
            <w:r>
              <w:rPr>
                <w:rFonts w:cs="Arial"/>
              </w:rPr>
              <w:t>172.16.13.63</w:t>
            </w:r>
          </w:p>
        </w:tc>
      </w:tr>
      <w:tr w:rsidR="004A7D3D" w:rsidRPr="004A1148" w14:paraId="0B4ED2B0" w14:textId="77777777" w:rsidTr="005554AB">
        <w:trPr>
          <w:cantSplit/>
          <w:trHeight w:val="510"/>
          <w:jc w:val="center"/>
        </w:trPr>
        <w:tc>
          <w:tcPr>
            <w:tcW w:w="1412" w:type="dxa"/>
            <w:vAlign w:val="bottom"/>
          </w:tcPr>
          <w:p w14:paraId="609E3F7B" w14:textId="02896E4D" w:rsidR="004A7D3D" w:rsidRPr="004A1148" w:rsidRDefault="001C1FC1" w:rsidP="00F5276B">
            <w:pPr>
              <w:pStyle w:val="TableText"/>
              <w:ind w:left="284"/>
              <w:rPr>
                <w:rFonts w:cs="Arial"/>
              </w:rPr>
            </w:pPr>
            <w:r>
              <w:rPr>
                <w:rFonts w:cs="Arial"/>
              </w:rPr>
              <w:t>F</w:t>
            </w:r>
          </w:p>
        </w:tc>
        <w:tc>
          <w:tcPr>
            <w:tcW w:w="2561" w:type="dxa"/>
            <w:vAlign w:val="bottom"/>
          </w:tcPr>
          <w:p w14:paraId="31F64227" w14:textId="066AB53A" w:rsidR="004A7D3D" w:rsidRPr="004A1148" w:rsidRDefault="001C1FC1" w:rsidP="00F5276B">
            <w:pPr>
              <w:pStyle w:val="TableText"/>
              <w:rPr>
                <w:rFonts w:cs="Arial"/>
              </w:rPr>
            </w:pPr>
            <w:r>
              <w:rPr>
                <w:rFonts w:cs="Arial"/>
              </w:rPr>
              <w:t>172.16.12.0/24</w:t>
            </w:r>
          </w:p>
        </w:tc>
        <w:tc>
          <w:tcPr>
            <w:tcW w:w="2552" w:type="dxa"/>
          </w:tcPr>
          <w:p w14:paraId="55665601" w14:textId="469ED97A" w:rsidR="004A7D3D" w:rsidRPr="004A1148" w:rsidRDefault="001C1FC1" w:rsidP="00F5276B">
            <w:pPr>
              <w:pStyle w:val="TableText"/>
              <w:rPr>
                <w:rFonts w:cs="Arial"/>
              </w:rPr>
            </w:pPr>
            <w:r>
              <w:rPr>
                <w:rFonts w:cs="Arial"/>
              </w:rPr>
              <w:t>255.255.255.0</w:t>
            </w:r>
          </w:p>
        </w:tc>
        <w:tc>
          <w:tcPr>
            <w:tcW w:w="2724" w:type="dxa"/>
            <w:vAlign w:val="bottom"/>
          </w:tcPr>
          <w:p w14:paraId="4F549E4B" w14:textId="5FDB7E0A" w:rsidR="004A7D3D" w:rsidRPr="004A1148" w:rsidRDefault="001C1FC1" w:rsidP="00F5276B">
            <w:pPr>
              <w:pStyle w:val="TableText"/>
              <w:rPr>
                <w:rFonts w:cs="Arial"/>
              </w:rPr>
            </w:pPr>
            <w:r>
              <w:rPr>
                <w:rFonts w:cs="Arial"/>
              </w:rPr>
              <w:t>172.16.13.97</w:t>
            </w:r>
          </w:p>
        </w:tc>
        <w:tc>
          <w:tcPr>
            <w:tcW w:w="2922" w:type="dxa"/>
            <w:vAlign w:val="bottom"/>
          </w:tcPr>
          <w:p w14:paraId="7C499210" w14:textId="7725C900" w:rsidR="004A7D3D" w:rsidRPr="004A1148" w:rsidRDefault="001C1FC1" w:rsidP="00F5276B">
            <w:pPr>
              <w:pStyle w:val="TableText"/>
              <w:rPr>
                <w:rFonts w:cs="Arial"/>
              </w:rPr>
            </w:pPr>
            <w:r>
              <w:rPr>
                <w:rFonts w:cs="Arial"/>
              </w:rPr>
              <w:t>172.16.12.254</w:t>
            </w:r>
          </w:p>
        </w:tc>
        <w:tc>
          <w:tcPr>
            <w:tcW w:w="2905" w:type="dxa"/>
            <w:vAlign w:val="bottom"/>
          </w:tcPr>
          <w:p w14:paraId="2D756274" w14:textId="5DE8794F" w:rsidR="004A7D3D" w:rsidRPr="004A1148" w:rsidRDefault="001C1FC1" w:rsidP="00F5276B">
            <w:pPr>
              <w:pStyle w:val="TableText"/>
              <w:ind w:left="284"/>
              <w:rPr>
                <w:rFonts w:cs="Arial"/>
              </w:rPr>
            </w:pPr>
            <w:r>
              <w:rPr>
                <w:rFonts w:cs="Arial"/>
              </w:rPr>
              <w:t>172.16.12.255</w:t>
            </w: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3A5EB91F" w:rsidR="006D5DA8" w:rsidRDefault="00E65336" w:rsidP="00E65336">
      <w:pPr>
        <w:jc w:val="center"/>
        <w:rPr>
          <w:rFonts w:ascii="Arial" w:hAnsi="Arial" w:cs="Arial"/>
          <w:bCs/>
          <w:sz w:val="32"/>
          <w:szCs w:val="22"/>
        </w:rPr>
      </w:pPr>
      <w:r w:rsidRPr="00E65336">
        <w:rPr>
          <w:rFonts w:ascii="Arial" w:hAnsi="Arial" w:cs="Arial"/>
          <w:bCs/>
          <w:sz w:val="32"/>
          <w:szCs w:val="22"/>
        </w:rPr>
        <w:lastRenderedPageBreak/>
        <w:t>Features of IPv6</w:t>
      </w:r>
    </w:p>
    <w:p w14:paraId="5EF09AA0" w14:textId="77777777" w:rsidR="00E65336" w:rsidRDefault="00E65336" w:rsidP="00E65336">
      <w:pPr>
        <w:jc w:val="center"/>
        <w:rPr>
          <w:rFonts w:ascii="Arial" w:hAnsi="Arial" w:cs="Arial"/>
          <w:bCs/>
          <w:sz w:val="32"/>
          <w:szCs w:val="22"/>
        </w:rPr>
      </w:pPr>
    </w:p>
    <w:p w14:paraId="07AAFC5C" w14:textId="0536823E" w:rsidR="00E65336" w:rsidRDefault="00E65336" w:rsidP="00E65336">
      <w:pPr>
        <w:rPr>
          <w:rFonts w:ascii="Arial" w:hAnsi="Arial" w:cs="Arial"/>
          <w:bCs/>
          <w:sz w:val="24"/>
          <w:szCs w:val="18"/>
        </w:rPr>
      </w:pPr>
      <w:r>
        <w:rPr>
          <w:rFonts w:ascii="Arial" w:hAnsi="Arial" w:cs="Arial"/>
          <w:bCs/>
          <w:sz w:val="24"/>
          <w:szCs w:val="18"/>
        </w:rPr>
        <w:t>Internet protocols can be described as a set of rules that govern the exchange of data between devices across networks. Two of the primary protocol features are addressing and routing. Addressing is essential to ensure packets of data are sent to or received by the intended device, whereas routing is about ensuring (or trying to ensure) the best routes are taken between networks to deliver packets/data in the most efficient way possible.</w:t>
      </w:r>
    </w:p>
    <w:p w14:paraId="172F2B30" w14:textId="329E807A" w:rsidR="00E65336" w:rsidRDefault="00E65336" w:rsidP="00E65336">
      <w:pPr>
        <w:rPr>
          <w:rFonts w:ascii="Arial" w:hAnsi="Arial" w:cs="Arial"/>
          <w:bCs/>
          <w:sz w:val="24"/>
          <w:szCs w:val="18"/>
        </w:rPr>
      </w:pPr>
    </w:p>
    <w:p w14:paraId="0536C993" w14:textId="703A9B2A" w:rsidR="00E65336" w:rsidRDefault="00147684" w:rsidP="00E65336">
      <w:pPr>
        <w:rPr>
          <w:rFonts w:ascii="Arial" w:hAnsi="Arial" w:cs="Arial"/>
          <w:bCs/>
          <w:sz w:val="24"/>
          <w:szCs w:val="18"/>
        </w:rPr>
      </w:pPr>
      <w:r>
        <w:rPr>
          <w:rFonts w:ascii="Arial" w:hAnsi="Arial" w:cs="Arial"/>
          <w:bCs/>
          <w:sz w:val="24"/>
          <w:szCs w:val="18"/>
        </w:rPr>
        <w:t xml:space="preserve">IPv4 is perhaps the most well-known version of internet protocol. IPv4 utilises 32-bit addresses; the root cause of its biggest flaw – there simply aren’t enough available. There are </w:t>
      </w:r>
      <w:r w:rsidR="00D408CB">
        <w:rPr>
          <w:rFonts w:ascii="Arial" w:hAnsi="Arial" w:cs="Arial"/>
          <w:bCs/>
          <w:sz w:val="24"/>
          <w:szCs w:val="18"/>
        </w:rPr>
        <w:t>between 4.2 and</w:t>
      </w:r>
      <w:r>
        <w:rPr>
          <w:rFonts w:ascii="Arial" w:hAnsi="Arial" w:cs="Arial"/>
          <w:bCs/>
          <w:sz w:val="24"/>
          <w:szCs w:val="18"/>
        </w:rPr>
        <w:t xml:space="preserve"> 4.3 billion IPv4 addresse</w:t>
      </w:r>
      <w:r w:rsidR="00D408CB">
        <w:rPr>
          <w:rFonts w:ascii="Arial" w:hAnsi="Arial" w:cs="Arial"/>
          <w:bCs/>
          <w:sz w:val="24"/>
          <w:szCs w:val="18"/>
        </w:rPr>
        <w:t>s</w:t>
      </w:r>
      <w:r>
        <w:rPr>
          <w:rFonts w:ascii="Arial" w:hAnsi="Arial" w:cs="Arial"/>
          <w:bCs/>
          <w:sz w:val="24"/>
          <w:szCs w:val="18"/>
        </w:rPr>
        <w:t xml:space="preserve"> in total which quite simply isn’t enough in modern society with personal computers, smartphones and smart devices. This address shortage </w:t>
      </w:r>
      <w:r w:rsidR="00D408CB">
        <w:rPr>
          <w:rFonts w:ascii="Arial" w:hAnsi="Arial" w:cs="Arial"/>
          <w:bCs/>
          <w:sz w:val="24"/>
          <w:szCs w:val="18"/>
        </w:rPr>
        <w:t>is</w:t>
      </w:r>
      <w:r>
        <w:rPr>
          <w:rFonts w:ascii="Arial" w:hAnsi="Arial" w:cs="Arial"/>
          <w:bCs/>
          <w:sz w:val="24"/>
          <w:szCs w:val="18"/>
        </w:rPr>
        <w:t xml:space="preserve"> the primary reason that IP</w:t>
      </w:r>
      <w:r w:rsidR="00F0453C">
        <w:rPr>
          <w:rFonts w:ascii="Arial" w:hAnsi="Arial" w:cs="Arial"/>
          <w:bCs/>
          <w:sz w:val="24"/>
          <w:szCs w:val="18"/>
        </w:rPr>
        <w:t>v</w:t>
      </w:r>
      <w:r>
        <w:rPr>
          <w:rFonts w:ascii="Arial" w:hAnsi="Arial" w:cs="Arial"/>
          <w:bCs/>
          <w:sz w:val="24"/>
          <w:szCs w:val="18"/>
        </w:rPr>
        <w:t>6 was developed.</w:t>
      </w:r>
      <w:r w:rsidR="00F0453C">
        <w:rPr>
          <w:rFonts w:ascii="Arial" w:hAnsi="Arial" w:cs="Arial"/>
          <w:bCs/>
          <w:sz w:val="24"/>
          <w:szCs w:val="18"/>
        </w:rPr>
        <w:t xml:space="preserve"> Using 128-bit addressing, and using hexadecimals rather than ordinary decimals, IPv6 will support around 340 undecillion (340 trillion, trillion, trillion) addresses</w:t>
      </w:r>
      <w:sdt>
        <w:sdtPr>
          <w:rPr>
            <w:rFonts w:ascii="Arial" w:hAnsi="Arial" w:cs="Arial"/>
            <w:bCs/>
            <w:sz w:val="24"/>
            <w:szCs w:val="18"/>
          </w:rPr>
          <w:id w:val="1926840081"/>
          <w:citation/>
        </w:sdtPr>
        <w:sdtContent>
          <w:r w:rsidR="00C22ADD">
            <w:rPr>
              <w:rFonts w:ascii="Arial" w:hAnsi="Arial" w:cs="Arial"/>
              <w:bCs/>
              <w:sz w:val="24"/>
              <w:szCs w:val="18"/>
            </w:rPr>
            <w:fldChar w:fldCharType="begin"/>
          </w:r>
          <w:r w:rsidR="00C22ADD">
            <w:rPr>
              <w:rFonts w:ascii="Arial" w:hAnsi="Arial" w:cs="Arial"/>
              <w:bCs/>
              <w:sz w:val="24"/>
              <w:szCs w:val="18"/>
            </w:rPr>
            <w:instrText xml:space="preserve"> CITATION IET17 \l 2057 </w:instrText>
          </w:r>
          <w:r w:rsidR="00C22ADD">
            <w:rPr>
              <w:rFonts w:ascii="Arial" w:hAnsi="Arial" w:cs="Arial"/>
              <w:bCs/>
              <w:sz w:val="24"/>
              <w:szCs w:val="18"/>
            </w:rPr>
            <w:fldChar w:fldCharType="separate"/>
          </w:r>
          <w:r w:rsidR="00C22ADD">
            <w:rPr>
              <w:rFonts w:ascii="Arial" w:hAnsi="Arial" w:cs="Arial"/>
              <w:bCs/>
              <w:noProof/>
              <w:sz w:val="24"/>
              <w:szCs w:val="18"/>
            </w:rPr>
            <w:t xml:space="preserve"> </w:t>
          </w:r>
          <w:r w:rsidR="00C22ADD" w:rsidRPr="00C22ADD">
            <w:rPr>
              <w:rFonts w:ascii="Arial" w:hAnsi="Arial" w:cs="Arial"/>
              <w:noProof/>
              <w:sz w:val="24"/>
              <w:szCs w:val="18"/>
            </w:rPr>
            <w:t>[1]</w:t>
          </w:r>
          <w:r w:rsidR="00C22ADD">
            <w:rPr>
              <w:rFonts w:ascii="Arial" w:hAnsi="Arial" w:cs="Arial"/>
              <w:bCs/>
              <w:sz w:val="24"/>
              <w:szCs w:val="18"/>
            </w:rPr>
            <w:fldChar w:fldCharType="end"/>
          </w:r>
        </w:sdtContent>
      </w:sdt>
      <w:r w:rsidR="00F0453C">
        <w:rPr>
          <w:rFonts w:ascii="Arial" w:hAnsi="Arial" w:cs="Arial"/>
          <w:bCs/>
          <w:sz w:val="24"/>
          <w:szCs w:val="18"/>
        </w:rPr>
        <w:t>.</w:t>
      </w:r>
      <w:r w:rsidR="00D408CB">
        <w:rPr>
          <w:rFonts w:ascii="Arial" w:hAnsi="Arial" w:cs="Arial"/>
          <w:bCs/>
          <w:sz w:val="24"/>
          <w:szCs w:val="18"/>
        </w:rPr>
        <w:t xml:space="preserve"> </w:t>
      </w:r>
      <w:r w:rsidR="002E71AE">
        <w:rPr>
          <w:rFonts w:ascii="Arial" w:hAnsi="Arial" w:cs="Arial"/>
          <w:bCs/>
          <w:sz w:val="24"/>
          <w:szCs w:val="18"/>
        </w:rPr>
        <w:t>To put this figure into some perspective; IPv6 will provide approximately 667 sextillion addresses per square meter of the earth’s surface area.</w:t>
      </w:r>
    </w:p>
    <w:p w14:paraId="2EF07C3B" w14:textId="5ADABE52" w:rsidR="002E71AE" w:rsidRDefault="002E71AE" w:rsidP="00E65336">
      <w:pPr>
        <w:rPr>
          <w:rFonts w:ascii="Arial" w:hAnsi="Arial" w:cs="Arial"/>
          <w:bCs/>
          <w:sz w:val="24"/>
          <w:szCs w:val="18"/>
        </w:rPr>
      </w:pPr>
    </w:p>
    <w:p w14:paraId="14C4364B" w14:textId="0582705F" w:rsidR="002E71AE" w:rsidRDefault="002E71AE" w:rsidP="00E65336">
      <w:pPr>
        <w:rPr>
          <w:rFonts w:ascii="Arial" w:hAnsi="Arial" w:cs="Arial"/>
          <w:bCs/>
          <w:sz w:val="24"/>
          <w:szCs w:val="18"/>
        </w:rPr>
      </w:pPr>
      <w:r>
        <w:rPr>
          <w:rFonts w:ascii="Arial" w:hAnsi="Arial" w:cs="Arial"/>
          <w:bCs/>
          <w:sz w:val="24"/>
          <w:szCs w:val="18"/>
        </w:rPr>
        <w:t xml:space="preserve">In 2014, the internet and television association (NCTA) </w:t>
      </w:r>
      <w:r w:rsidR="00C63702">
        <w:rPr>
          <w:rFonts w:ascii="Arial" w:hAnsi="Arial" w:cs="Arial"/>
          <w:bCs/>
          <w:sz w:val="24"/>
          <w:szCs w:val="18"/>
        </w:rPr>
        <w:t>produced a graphic</w:t>
      </w:r>
      <w:sdt>
        <w:sdtPr>
          <w:rPr>
            <w:rFonts w:ascii="Arial" w:hAnsi="Arial" w:cs="Arial"/>
            <w:bCs/>
            <w:sz w:val="24"/>
            <w:szCs w:val="18"/>
          </w:rPr>
          <w:id w:val="822627624"/>
          <w:citation/>
        </w:sdtPr>
        <w:sdtContent>
          <w:r w:rsidR="00C22ADD">
            <w:rPr>
              <w:rFonts w:ascii="Arial" w:hAnsi="Arial" w:cs="Arial"/>
              <w:bCs/>
              <w:sz w:val="24"/>
              <w:szCs w:val="18"/>
            </w:rPr>
            <w:fldChar w:fldCharType="begin"/>
          </w:r>
          <w:r w:rsidR="00C22ADD">
            <w:rPr>
              <w:rFonts w:ascii="Arial" w:hAnsi="Arial" w:cs="Arial"/>
              <w:bCs/>
              <w:sz w:val="24"/>
              <w:szCs w:val="18"/>
            </w:rPr>
            <w:instrText xml:space="preserve"> CITATION NCT14 \l 2057 </w:instrText>
          </w:r>
          <w:r w:rsidR="00C22ADD">
            <w:rPr>
              <w:rFonts w:ascii="Arial" w:hAnsi="Arial" w:cs="Arial"/>
              <w:bCs/>
              <w:sz w:val="24"/>
              <w:szCs w:val="18"/>
            </w:rPr>
            <w:fldChar w:fldCharType="separate"/>
          </w:r>
          <w:r w:rsidR="00C22ADD">
            <w:rPr>
              <w:rFonts w:ascii="Arial" w:hAnsi="Arial" w:cs="Arial"/>
              <w:bCs/>
              <w:noProof/>
              <w:sz w:val="24"/>
              <w:szCs w:val="18"/>
            </w:rPr>
            <w:t xml:space="preserve"> </w:t>
          </w:r>
          <w:r w:rsidR="00C22ADD" w:rsidRPr="00C22ADD">
            <w:rPr>
              <w:rFonts w:ascii="Arial" w:hAnsi="Arial" w:cs="Arial"/>
              <w:noProof/>
              <w:sz w:val="24"/>
              <w:szCs w:val="18"/>
            </w:rPr>
            <w:t>[2]</w:t>
          </w:r>
          <w:r w:rsidR="00C22ADD">
            <w:rPr>
              <w:rFonts w:ascii="Arial" w:hAnsi="Arial" w:cs="Arial"/>
              <w:bCs/>
              <w:sz w:val="24"/>
              <w:szCs w:val="18"/>
            </w:rPr>
            <w:fldChar w:fldCharType="end"/>
          </w:r>
        </w:sdtContent>
      </w:sdt>
      <w:r w:rsidR="00C63702">
        <w:rPr>
          <w:rFonts w:ascii="Arial" w:hAnsi="Arial" w:cs="Arial"/>
          <w:bCs/>
          <w:sz w:val="24"/>
          <w:szCs w:val="18"/>
        </w:rPr>
        <w:t xml:space="preserve"> (see below) that demonstrates the exponential growth in internet connected devices over time and </w:t>
      </w:r>
      <w:r w:rsidR="005D6B45">
        <w:rPr>
          <w:rFonts w:ascii="Arial" w:hAnsi="Arial" w:cs="Arial"/>
          <w:bCs/>
          <w:sz w:val="24"/>
          <w:szCs w:val="18"/>
        </w:rPr>
        <w:t>a forecast (2014-2020) for the future number of devices.</w:t>
      </w:r>
    </w:p>
    <w:p w14:paraId="6D71472E" w14:textId="2DC49EAE" w:rsidR="002E71AE" w:rsidRDefault="002E71AE" w:rsidP="00E65336">
      <w:pPr>
        <w:rPr>
          <w:rFonts w:ascii="Arial" w:hAnsi="Arial" w:cs="Arial"/>
          <w:bCs/>
          <w:sz w:val="24"/>
          <w:szCs w:val="18"/>
        </w:rPr>
      </w:pPr>
    </w:p>
    <w:p w14:paraId="6B08537F" w14:textId="01B2C830" w:rsidR="002E71AE" w:rsidRDefault="002E71AE" w:rsidP="00E65336">
      <w:pPr>
        <w:rPr>
          <w:rFonts w:ascii="Arial" w:hAnsi="Arial" w:cs="Arial"/>
          <w:bCs/>
          <w:sz w:val="24"/>
          <w:szCs w:val="18"/>
        </w:rPr>
      </w:pPr>
      <w:r>
        <w:rPr>
          <w:noProof/>
        </w:rPr>
        <w:drawing>
          <wp:inline distT="0" distB="0" distL="0" distR="0" wp14:anchorId="1A61A579" wp14:editId="04D26912">
            <wp:extent cx="6210935" cy="3493770"/>
            <wp:effectExtent l="0" t="0" r="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10935" cy="3493770"/>
                    </a:xfrm>
                    <a:prstGeom prst="rect">
                      <a:avLst/>
                    </a:prstGeom>
                    <a:noFill/>
                    <a:ln>
                      <a:noFill/>
                    </a:ln>
                  </pic:spPr>
                </pic:pic>
              </a:graphicData>
            </a:graphic>
          </wp:inline>
        </w:drawing>
      </w:r>
    </w:p>
    <w:p w14:paraId="1B0AF3D3" w14:textId="77777777" w:rsidR="00C63702" w:rsidRDefault="00C63702" w:rsidP="00E65336">
      <w:pPr>
        <w:rPr>
          <w:rFonts w:ascii="Arial" w:hAnsi="Arial" w:cs="Arial"/>
          <w:bCs/>
          <w:sz w:val="24"/>
          <w:szCs w:val="18"/>
        </w:rPr>
      </w:pPr>
    </w:p>
    <w:p w14:paraId="5CF0C334" w14:textId="77777777" w:rsidR="005D6B45" w:rsidRDefault="005D6B45" w:rsidP="00E65336">
      <w:pPr>
        <w:rPr>
          <w:rFonts w:ascii="Arial" w:hAnsi="Arial" w:cs="Arial"/>
          <w:bCs/>
          <w:sz w:val="24"/>
          <w:szCs w:val="18"/>
        </w:rPr>
      </w:pPr>
    </w:p>
    <w:p w14:paraId="3C4AAC35" w14:textId="77777777" w:rsidR="005D6B45" w:rsidRDefault="005D6B45" w:rsidP="00E65336">
      <w:pPr>
        <w:rPr>
          <w:rFonts w:ascii="Arial" w:hAnsi="Arial" w:cs="Arial"/>
          <w:bCs/>
          <w:sz w:val="24"/>
          <w:szCs w:val="18"/>
        </w:rPr>
      </w:pPr>
    </w:p>
    <w:p w14:paraId="51BC6824" w14:textId="77777777" w:rsidR="005D6B45" w:rsidRDefault="005D6B45" w:rsidP="00E65336">
      <w:pPr>
        <w:rPr>
          <w:rFonts w:ascii="Arial" w:hAnsi="Arial" w:cs="Arial"/>
          <w:bCs/>
          <w:sz w:val="24"/>
          <w:szCs w:val="18"/>
        </w:rPr>
      </w:pPr>
    </w:p>
    <w:p w14:paraId="06F8F1AC" w14:textId="77777777" w:rsidR="005D6B45" w:rsidRDefault="005D6B45" w:rsidP="00E65336">
      <w:pPr>
        <w:rPr>
          <w:rFonts w:ascii="Arial" w:hAnsi="Arial" w:cs="Arial"/>
          <w:bCs/>
          <w:sz w:val="24"/>
          <w:szCs w:val="18"/>
        </w:rPr>
      </w:pPr>
    </w:p>
    <w:p w14:paraId="403080CA" w14:textId="77777777" w:rsidR="005D6B45" w:rsidRDefault="005D6B45" w:rsidP="00E65336">
      <w:pPr>
        <w:rPr>
          <w:rFonts w:ascii="Arial" w:hAnsi="Arial" w:cs="Arial"/>
          <w:bCs/>
          <w:sz w:val="24"/>
          <w:szCs w:val="18"/>
        </w:rPr>
      </w:pPr>
    </w:p>
    <w:p w14:paraId="15867887" w14:textId="77777777" w:rsidR="005D6B45" w:rsidRDefault="005D6B45" w:rsidP="00E65336">
      <w:pPr>
        <w:rPr>
          <w:rFonts w:ascii="Arial" w:hAnsi="Arial" w:cs="Arial"/>
          <w:bCs/>
          <w:sz w:val="24"/>
          <w:szCs w:val="18"/>
        </w:rPr>
      </w:pPr>
    </w:p>
    <w:p w14:paraId="4D1B90FB" w14:textId="77777777" w:rsidR="005D6B45" w:rsidRDefault="005D6B45" w:rsidP="00E65336">
      <w:pPr>
        <w:rPr>
          <w:rFonts w:ascii="Arial" w:hAnsi="Arial" w:cs="Arial"/>
          <w:bCs/>
          <w:sz w:val="24"/>
          <w:szCs w:val="18"/>
        </w:rPr>
      </w:pPr>
    </w:p>
    <w:p w14:paraId="55460BAA" w14:textId="1CD6C018" w:rsidR="005D6B45" w:rsidRDefault="005D6B45" w:rsidP="00E65336">
      <w:pPr>
        <w:rPr>
          <w:rFonts w:ascii="Arial" w:hAnsi="Arial" w:cs="Arial"/>
          <w:bCs/>
          <w:sz w:val="24"/>
          <w:szCs w:val="18"/>
        </w:rPr>
      </w:pPr>
      <w:r>
        <w:rPr>
          <w:rFonts w:ascii="Arial" w:hAnsi="Arial" w:cs="Arial"/>
          <w:bCs/>
          <w:sz w:val="24"/>
          <w:szCs w:val="18"/>
        </w:rPr>
        <w:lastRenderedPageBreak/>
        <w:t>Contradictory to these claims/forecasts, IOT Analytics (2018) released an infographic</w:t>
      </w:r>
      <w:sdt>
        <w:sdtPr>
          <w:rPr>
            <w:rFonts w:ascii="Arial" w:hAnsi="Arial" w:cs="Arial"/>
            <w:bCs/>
            <w:sz w:val="24"/>
            <w:szCs w:val="18"/>
          </w:rPr>
          <w:id w:val="157360789"/>
          <w:citation/>
        </w:sdtPr>
        <w:sdtContent>
          <w:r w:rsidR="00C22ADD">
            <w:rPr>
              <w:rFonts w:ascii="Arial" w:hAnsi="Arial" w:cs="Arial"/>
              <w:bCs/>
              <w:sz w:val="24"/>
              <w:szCs w:val="18"/>
            </w:rPr>
            <w:fldChar w:fldCharType="begin"/>
          </w:r>
          <w:r w:rsidR="00C22ADD">
            <w:rPr>
              <w:rFonts w:ascii="Arial" w:hAnsi="Arial" w:cs="Arial"/>
              <w:bCs/>
              <w:sz w:val="24"/>
              <w:szCs w:val="18"/>
            </w:rPr>
            <w:instrText xml:space="preserve"> CITATION IOT18 \l 2057 </w:instrText>
          </w:r>
          <w:r w:rsidR="00C22ADD">
            <w:rPr>
              <w:rFonts w:ascii="Arial" w:hAnsi="Arial" w:cs="Arial"/>
              <w:bCs/>
              <w:sz w:val="24"/>
              <w:szCs w:val="18"/>
            </w:rPr>
            <w:fldChar w:fldCharType="separate"/>
          </w:r>
          <w:r w:rsidR="00C22ADD">
            <w:rPr>
              <w:rFonts w:ascii="Arial" w:hAnsi="Arial" w:cs="Arial"/>
              <w:bCs/>
              <w:noProof/>
              <w:sz w:val="24"/>
              <w:szCs w:val="18"/>
            </w:rPr>
            <w:t xml:space="preserve"> </w:t>
          </w:r>
          <w:r w:rsidR="00C22ADD" w:rsidRPr="00C22ADD">
            <w:rPr>
              <w:rFonts w:ascii="Arial" w:hAnsi="Arial" w:cs="Arial"/>
              <w:noProof/>
              <w:sz w:val="24"/>
              <w:szCs w:val="18"/>
            </w:rPr>
            <w:t>[3]</w:t>
          </w:r>
          <w:r w:rsidR="00C22ADD">
            <w:rPr>
              <w:rFonts w:ascii="Arial" w:hAnsi="Arial" w:cs="Arial"/>
              <w:bCs/>
              <w:sz w:val="24"/>
              <w:szCs w:val="18"/>
            </w:rPr>
            <w:fldChar w:fldCharType="end"/>
          </w:r>
        </w:sdtContent>
      </w:sdt>
      <w:r>
        <w:rPr>
          <w:rFonts w:ascii="Arial" w:hAnsi="Arial" w:cs="Arial"/>
          <w:bCs/>
          <w:sz w:val="24"/>
          <w:szCs w:val="18"/>
        </w:rPr>
        <w:t xml:space="preserve"> that provides an entirely different picture, demonstrating staggeringly lower figures. It should be noted that, a prediction produced in 2014 should generally be considered far less reliable than </w:t>
      </w:r>
      <w:r w:rsidR="006A3AFA">
        <w:rPr>
          <w:rFonts w:ascii="Arial" w:hAnsi="Arial" w:cs="Arial"/>
          <w:bCs/>
          <w:sz w:val="24"/>
          <w:szCs w:val="18"/>
        </w:rPr>
        <w:t>information</w:t>
      </w:r>
      <w:r>
        <w:rPr>
          <w:rFonts w:ascii="Arial" w:hAnsi="Arial" w:cs="Arial"/>
          <w:bCs/>
          <w:sz w:val="24"/>
          <w:szCs w:val="18"/>
        </w:rPr>
        <w:t xml:space="preserve"> produced in 2018</w:t>
      </w:r>
      <w:r w:rsidR="006A3AFA">
        <w:rPr>
          <w:rFonts w:ascii="Arial" w:hAnsi="Arial" w:cs="Arial"/>
          <w:bCs/>
          <w:sz w:val="24"/>
          <w:szCs w:val="18"/>
        </w:rPr>
        <w:t xml:space="preserve">. </w:t>
      </w:r>
    </w:p>
    <w:p w14:paraId="50AA4433" w14:textId="2F0746AC" w:rsidR="005D6B45" w:rsidRDefault="005D6B45" w:rsidP="00E65336">
      <w:pPr>
        <w:rPr>
          <w:rFonts w:ascii="Arial" w:hAnsi="Arial" w:cs="Arial"/>
          <w:bCs/>
          <w:sz w:val="24"/>
          <w:szCs w:val="18"/>
        </w:rPr>
      </w:pPr>
    </w:p>
    <w:p w14:paraId="452F0EC6" w14:textId="5DACB48D" w:rsidR="005D6B45" w:rsidRDefault="005D6B45" w:rsidP="00E65336">
      <w:pPr>
        <w:rPr>
          <w:rFonts w:ascii="Arial" w:hAnsi="Arial" w:cs="Arial"/>
          <w:bCs/>
          <w:sz w:val="24"/>
          <w:szCs w:val="18"/>
        </w:rPr>
      </w:pPr>
      <w:r>
        <w:rPr>
          <w:noProof/>
        </w:rPr>
        <w:drawing>
          <wp:inline distT="0" distB="0" distL="0" distR="0" wp14:anchorId="3EC41148" wp14:editId="2890691B">
            <wp:extent cx="6210935" cy="3983355"/>
            <wp:effectExtent l="0" t="0" r="0" b="0"/>
            <wp:docPr id="5" name="Picture 5" descr="Number of global device connections 2015-2025 - Number of IoT De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umber of global device connections 2015-2025 - Number of IoT Devic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210935" cy="3983355"/>
                    </a:xfrm>
                    <a:prstGeom prst="rect">
                      <a:avLst/>
                    </a:prstGeom>
                    <a:noFill/>
                    <a:ln>
                      <a:noFill/>
                    </a:ln>
                  </pic:spPr>
                </pic:pic>
              </a:graphicData>
            </a:graphic>
          </wp:inline>
        </w:drawing>
      </w:r>
    </w:p>
    <w:p w14:paraId="0A87A657" w14:textId="77777777" w:rsidR="005D6B45" w:rsidRDefault="005D6B45" w:rsidP="00E65336">
      <w:pPr>
        <w:rPr>
          <w:rFonts w:ascii="Arial" w:hAnsi="Arial" w:cs="Arial"/>
          <w:bCs/>
          <w:sz w:val="24"/>
          <w:szCs w:val="18"/>
        </w:rPr>
      </w:pPr>
    </w:p>
    <w:p w14:paraId="0F4B21C0" w14:textId="7F235DDC" w:rsidR="006A3AFA" w:rsidRDefault="006A3AFA" w:rsidP="00E65336">
      <w:pPr>
        <w:rPr>
          <w:rFonts w:ascii="Arial" w:hAnsi="Arial" w:cs="Arial"/>
          <w:bCs/>
          <w:sz w:val="24"/>
          <w:szCs w:val="18"/>
        </w:rPr>
      </w:pPr>
      <w:r>
        <w:rPr>
          <w:rFonts w:ascii="Arial" w:hAnsi="Arial" w:cs="Arial"/>
          <w:bCs/>
          <w:sz w:val="24"/>
          <w:szCs w:val="18"/>
        </w:rPr>
        <w:t xml:space="preserve">Although the infographics demonstrating wildly different figures and predictions, and their reliability as highly accurate citations can easily be brought into question, they do clearly demonstrate the biggest perceived positive associated with IPv6 and greatest weakness of IPv4; the 4.3 billion IP addresses provided by the 32-bit IPv4 is not nearly enough, we have already greatly exceeded this number. It also demonstrates that, even when factoring in the potential for exponential growth; the 667 sextillion IP addresses per square meter of land on earth provided by IPv6 provides the internet with substantial and virtually limitless room to grow. </w:t>
      </w:r>
    </w:p>
    <w:p w14:paraId="397380DF" w14:textId="77777777" w:rsidR="006A3AFA" w:rsidRDefault="006A3AFA" w:rsidP="00E65336">
      <w:pPr>
        <w:rPr>
          <w:rFonts w:ascii="Arial" w:hAnsi="Arial" w:cs="Arial"/>
          <w:bCs/>
          <w:sz w:val="24"/>
          <w:szCs w:val="18"/>
        </w:rPr>
      </w:pPr>
    </w:p>
    <w:p w14:paraId="5F86C8F0" w14:textId="19E1B775" w:rsidR="00D408CB" w:rsidRDefault="00D408CB" w:rsidP="00E65336">
      <w:pPr>
        <w:rPr>
          <w:rFonts w:ascii="Arial" w:hAnsi="Arial" w:cs="Arial"/>
          <w:bCs/>
          <w:sz w:val="24"/>
          <w:szCs w:val="18"/>
        </w:rPr>
      </w:pPr>
      <w:r>
        <w:rPr>
          <w:rFonts w:ascii="Arial" w:hAnsi="Arial" w:cs="Arial"/>
          <w:bCs/>
          <w:sz w:val="24"/>
          <w:szCs w:val="18"/>
        </w:rPr>
        <w:t xml:space="preserve">While necessity (in a lack of available addresses) ultimately ensured IPv6 became a reality, there are several advantages and disadvantages to the new protocol too. </w:t>
      </w:r>
      <w:r w:rsidR="003D1E56">
        <w:rPr>
          <w:rFonts w:ascii="Arial" w:hAnsi="Arial" w:cs="Arial"/>
          <w:bCs/>
          <w:sz w:val="24"/>
          <w:szCs w:val="18"/>
        </w:rPr>
        <w:t xml:space="preserve">Firstly, IPv6 no longer routinely utilises broadcast messages; instead, multi-cast functionality has been upscaled to meet user needs. </w:t>
      </w:r>
      <w:r w:rsidR="00C661D1">
        <w:rPr>
          <w:rFonts w:ascii="Arial" w:hAnsi="Arial" w:cs="Arial"/>
          <w:bCs/>
          <w:sz w:val="24"/>
          <w:szCs w:val="18"/>
        </w:rPr>
        <w:t>A new type of casting, ‘anycast’, also launched with IPv6 which allows for far more efficient routing than was previously available. Another major advantage of IPv6 pertains to the structure of the addresses themselves. Contiguous and hierarchical in nature, the hexadecimal, 128-bit addresses are routed far more efficiently than their 32-bit IPv4 counterparts. The contiguous format also lends itself to enhanced readability, when considering the addresses are 128-bit, compared to the IPv4 format.</w:t>
      </w:r>
      <w:r w:rsidR="00F84F95">
        <w:rPr>
          <w:rFonts w:ascii="Arial" w:hAnsi="Arial" w:cs="Arial"/>
          <w:bCs/>
          <w:sz w:val="24"/>
          <w:szCs w:val="18"/>
        </w:rPr>
        <w:t xml:space="preserve"> Network masks are also less complex; the sheer volume of IPv6 addresses means there is less need to be conscientious with IP addresses. </w:t>
      </w:r>
      <w:r w:rsidR="00655F5C">
        <w:rPr>
          <w:rFonts w:ascii="Arial" w:hAnsi="Arial" w:cs="Arial"/>
          <w:bCs/>
          <w:sz w:val="24"/>
          <w:szCs w:val="18"/>
        </w:rPr>
        <w:t xml:space="preserve">Hosts are always assigned 64 bits, and 64 bits are always assigned to the network, of these,16 bits are generally attributable to a subnet, and the remaining 48 are generally a global routing prefix. </w:t>
      </w:r>
    </w:p>
    <w:p w14:paraId="2934466A" w14:textId="557E1930" w:rsidR="00655F5C" w:rsidRDefault="00655F5C" w:rsidP="00E65336">
      <w:pPr>
        <w:rPr>
          <w:rFonts w:ascii="Arial" w:hAnsi="Arial" w:cs="Arial"/>
          <w:bCs/>
          <w:sz w:val="24"/>
          <w:szCs w:val="18"/>
        </w:rPr>
      </w:pPr>
    </w:p>
    <w:p w14:paraId="32D0D8E8" w14:textId="05BAD6ED" w:rsidR="00655F5C" w:rsidRDefault="00655F5C" w:rsidP="00E65336">
      <w:pPr>
        <w:rPr>
          <w:rFonts w:ascii="Arial" w:hAnsi="Arial" w:cs="Arial"/>
          <w:bCs/>
          <w:sz w:val="24"/>
          <w:szCs w:val="18"/>
        </w:rPr>
      </w:pPr>
      <w:r>
        <w:rPr>
          <w:rFonts w:ascii="Arial" w:hAnsi="Arial" w:cs="Arial"/>
          <w:bCs/>
          <w:sz w:val="24"/>
          <w:szCs w:val="18"/>
        </w:rPr>
        <w:lastRenderedPageBreak/>
        <w:t>Enhanced integrated security, when compared with IPv4, is also a feature of IPv6.</w:t>
      </w:r>
      <w:r w:rsidR="00E73EF0">
        <w:rPr>
          <w:rFonts w:ascii="Arial" w:hAnsi="Arial" w:cs="Arial"/>
          <w:bCs/>
          <w:sz w:val="24"/>
          <w:szCs w:val="18"/>
        </w:rPr>
        <w:t xml:space="preserve"> </w:t>
      </w:r>
      <w:r w:rsidR="002248F8">
        <w:rPr>
          <w:rFonts w:ascii="Arial" w:hAnsi="Arial" w:cs="Arial"/>
          <w:bCs/>
          <w:sz w:val="24"/>
          <w:szCs w:val="18"/>
        </w:rPr>
        <w:t xml:space="preserve">IPsec is a protocol developed by the Internet Engineering Task Force (IETF) and is a suite of security protocols. IPsec is a feature that ensures authentication, integrity and confidentiality. While it was available in IPv4, it was an optional feature. IPsec is a mandatory part of IPv6 and is reserved in the header. </w:t>
      </w:r>
    </w:p>
    <w:p w14:paraId="72BA89FD" w14:textId="794CB0FC" w:rsidR="00E73EF0" w:rsidRDefault="00E73EF0" w:rsidP="00E65336">
      <w:pPr>
        <w:rPr>
          <w:rFonts w:ascii="Arial" w:hAnsi="Arial" w:cs="Arial"/>
          <w:bCs/>
          <w:sz w:val="24"/>
          <w:szCs w:val="18"/>
        </w:rPr>
      </w:pPr>
    </w:p>
    <w:p w14:paraId="6BE78E4E" w14:textId="77777777" w:rsidR="00804D20" w:rsidRDefault="00E73EF0" w:rsidP="00E65336">
      <w:pPr>
        <w:rPr>
          <w:rFonts w:ascii="Arial" w:hAnsi="Arial" w:cs="Arial"/>
          <w:bCs/>
          <w:sz w:val="24"/>
          <w:szCs w:val="18"/>
        </w:rPr>
      </w:pPr>
      <w:r>
        <w:rPr>
          <w:rFonts w:ascii="Arial" w:hAnsi="Arial" w:cs="Arial"/>
          <w:bCs/>
          <w:sz w:val="24"/>
          <w:szCs w:val="18"/>
        </w:rPr>
        <w:t>There have also been, however, several security risks associated with IPv6. These are, or were, chiefly related to the maturity of the protocol itself, rather than flaws in the protocol when compared with IPv4. Security products, for example, were perceived to have had less support on the IPv6 protocol, leaving users with less robust firewalls or network intrusion detection systems. This factor has decreased over time and will continue to decrease over time as security products become better equipped to service users</w:t>
      </w:r>
      <w:r w:rsidR="00804D20">
        <w:rPr>
          <w:rFonts w:ascii="Arial" w:hAnsi="Arial" w:cs="Arial"/>
          <w:bCs/>
          <w:sz w:val="24"/>
          <w:szCs w:val="18"/>
        </w:rPr>
        <w:t xml:space="preserve"> utilising IPv6</w:t>
      </w:r>
      <w:r>
        <w:rPr>
          <w:rFonts w:ascii="Arial" w:hAnsi="Arial" w:cs="Arial"/>
          <w:bCs/>
          <w:sz w:val="24"/>
          <w:szCs w:val="18"/>
        </w:rPr>
        <w:t>.</w:t>
      </w:r>
    </w:p>
    <w:p w14:paraId="3BD54E31" w14:textId="0125938F" w:rsidR="00804D20" w:rsidRDefault="00804D20" w:rsidP="00E65336">
      <w:pPr>
        <w:rPr>
          <w:rFonts w:ascii="Arial" w:hAnsi="Arial" w:cs="Arial"/>
          <w:bCs/>
          <w:sz w:val="24"/>
          <w:szCs w:val="18"/>
        </w:rPr>
      </w:pPr>
    </w:p>
    <w:p w14:paraId="199A7BB1" w14:textId="71FEC283" w:rsidR="00804D20" w:rsidRDefault="00804D20" w:rsidP="00E65336">
      <w:pPr>
        <w:rPr>
          <w:rFonts w:ascii="Arial" w:hAnsi="Arial" w:cs="Arial"/>
          <w:bCs/>
          <w:sz w:val="24"/>
          <w:szCs w:val="18"/>
        </w:rPr>
      </w:pPr>
      <w:r>
        <w:rPr>
          <w:rFonts w:ascii="Arial" w:hAnsi="Arial" w:cs="Arial"/>
          <w:bCs/>
          <w:sz w:val="24"/>
          <w:szCs w:val="18"/>
        </w:rPr>
        <w:t>IPv6 is not backwards compatible with IPv4, which poses an issue as to this very day, less than 30% of traffic that was routed through google was routed via IPv6 (see below).</w:t>
      </w:r>
    </w:p>
    <w:p w14:paraId="70049706" w14:textId="7B22A68E" w:rsidR="00804D20" w:rsidRDefault="00804D20" w:rsidP="00E65336">
      <w:pPr>
        <w:rPr>
          <w:rFonts w:ascii="Arial" w:hAnsi="Arial" w:cs="Arial"/>
          <w:bCs/>
          <w:sz w:val="24"/>
          <w:szCs w:val="18"/>
        </w:rPr>
      </w:pPr>
    </w:p>
    <w:p w14:paraId="7B5C8CA5" w14:textId="68ED9374" w:rsidR="00804D20" w:rsidRDefault="00804D20" w:rsidP="00E65336">
      <w:pPr>
        <w:rPr>
          <w:rFonts w:ascii="Arial" w:hAnsi="Arial" w:cs="Arial"/>
          <w:bCs/>
          <w:sz w:val="24"/>
          <w:szCs w:val="18"/>
        </w:rPr>
      </w:pPr>
      <w:r>
        <w:rPr>
          <w:rFonts w:ascii="Arial" w:hAnsi="Arial" w:cs="Arial"/>
          <w:bCs/>
          <w:noProof/>
          <w:sz w:val="24"/>
          <w:szCs w:val="18"/>
        </w:rPr>
        <w:drawing>
          <wp:inline distT="0" distB="0" distL="0" distR="0" wp14:anchorId="5636D49A" wp14:editId="5C317FC0">
            <wp:extent cx="5924550" cy="352565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2" cy="3536989"/>
                    </a:xfrm>
                    <a:prstGeom prst="rect">
                      <a:avLst/>
                    </a:prstGeom>
                    <a:noFill/>
                    <a:ln>
                      <a:noFill/>
                    </a:ln>
                  </pic:spPr>
                </pic:pic>
              </a:graphicData>
            </a:graphic>
          </wp:inline>
        </w:drawing>
      </w:r>
    </w:p>
    <w:p w14:paraId="4A243357" w14:textId="55790CA8" w:rsidR="00E73EF0" w:rsidRDefault="00E73EF0" w:rsidP="00E65336">
      <w:pPr>
        <w:rPr>
          <w:rFonts w:ascii="Arial" w:hAnsi="Arial" w:cs="Arial"/>
          <w:bCs/>
          <w:sz w:val="24"/>
          <w:szCs w:val="18"/>
        </w:rPr>
      </w:pPr>
      <w:r>
        <w:rPr>
          <w:rFonts w:ascii="Arial" w:hAnsi="Arial" w:cs="Arial"/>
          <w:bCs/>
          <w:sz w:val="24"/>
          <w:szCs w:val="18"/>
        </w:rPr>
        <w:t xml:space="preserve"> </w:t>
      </w:r>
    </w:p>
    <w:p w14:paraId="1FE7669E" w14:textId="6716FBB9" w:rsidR="00804D20" w:rsidRDefault="00804D20" w:rsidP="00E65336">
      <w:pPr>
        <w:rPr>
          <w:rFonts w:ascii="Arial" w:hAnsi="Arial" w:cs="Arial"/>
          <w:bCs/>
          <w:sz w:val="24"/>
          <w:szCs w:val="18"/>
        </w:rPr>
      </w:pPr>
      <w:r>
        <w:rPr>
          <w:rFonts w:ascii="Arial" w:hAnsi="Arial" w:cs="Arial"/>
          <w:bCs/>
          <w:sz w:val="24"/>
          <w:szCs w:val="18"/>
        </w:rPr>
        <w:t>This issue of non-backwards compatibility has forced internet service providers (ISPs) to utilise a ‘dual-stack’ approach to internet service provision. That is, IPv4 and IPv6 services must be operable simultaneously, in parallel to one another. It is quite easy to appreciate why ISPs were so reluctant to roll-out IPv6 when consideration is given to the fact that a dual-stack approach requires network administrators to configure two sets of protocols, network security administrators to configure two sets of protocols and so on. Network complexity is clearly considerably greater under dual-stack operation</w:t>
      </w:r>
      <w:sdt>
        <w:sdtPr>
          <w:rPr>
            <w:rFonts w:ascii="Arial" w:hAnsi="Arial" w:cs="Arial"/>
            <w:bCs/>
            <w:sz w:val="24"/>
            <w:szCs w:val="18"/>
          </w:rPr>
          <w:id w:val="37254153"/>
          <w:citation/>
        </w:sdtPr>
        <w:sdtContent>
          <w:r w:rsidR="00C22ADD">
            <w:rPr>
              <w:rFonts w:ascii="Arial" w:hAnsi="Arial" w:cs="Arial"/>
              <w:bCs/>
              <w:sz w:val="24"/>
              <w:szCs w:val="18"/>
            </w:rPr>
            <w:fldChar w:fldCharType="begin"/>
          </w:r>
          <w:r w:rsidR="00C22ADD">
            <w:rPr>
              <w:rFonts w:ascii="Arial" w:hAnsi="Arial" w:cs="Arial"/>
              <w:bCs/>
              <w:sz w:val="24"/>
              <w:szCs w:val="18"/>
            </w:rPr>
            <w:instrText xml:space="preserve"> CITATION Bar13 \l 2057 </w:instrText>
          </w:r>
          <w:r w:rsidR="00C22ADD">
            <w:rPr>
              <w:rFonts w:ascii="Arial" w:hAnsi="Arial" w:cs="Arial"/>
              <w:bCs/>
              <w:sz w:val="24"/>
              <w:szCs w:val="18"/>
            </w:rPr>
            <w:fldChar w:fldCharType="separate"/>
          </w:r>
          <w:r w:rsidR="00C22ADD">
            <w:rPr>
              <w:rFonts w:ascii="Arial" w:hAnsi="Arial" w:cs="Arial"/>
              <w:bCs/>
              <w:noProof/>
              <w:sz w:val="24"/>
              <w:szCs w:val="18"/>
            </w:rPr>
            <w:t xml:space="preserve"> </w:t>
          </w:r>
          <w:r w:rsidR="00C22ADD" w:rsidRPr="00C22ADD">
            <w:rPr>
              <w:rFonts w:ascii="Arial" w:hAnsi="Arial" w:cs="Arial"/>
              <w:noProof/>
              <w:sz w:val="24"/>
              <w:szCs w:val="18"/>
            </w:rPr>
            <w:t>[4]</w:t>
          </w:r>
          <w:r w:rsidR="00C22ADD">
            <w:rPr>
              <w:rFonts w:ascii="Arial" w:hAnsi="Arial" w:cs="Arial"/>
              <w:bCs/>
              <w:sz w:val="24"/>
              <w:szCs w:val="18"/>
            </w:rPr>
            <w:fldChar w:fldCharType="end"/>
          </w:r>
        </w:sdtContent>
      </w:sdt>
      <w:r>
        <w:rPr>
          <w:rFonts w:ascii="Arial" w:hAnsi="Arial" w:cs="Arial"/>
          <w:bCs/>
          <w:sz w:val="24"/>
          <w:szCs w:val="18"/>
        </w:rPr>
        <w:t xml:space="preserve"> and naturally increases ‘attack-surface’, potentially increasing vulnerability. </w:t>
      </w:r>
      <w:r w:rsidR="002248F8">
        <w:rPr>
          <w:rFonts w:ascii="Arial" w:hAnsi="Arial" w:cs="Arial"/>
          <w:bCs/>
          <w:sz w:val="24"/>
          <w:szCs w:val="18"/>
        </w:rPr>
        <w:t>The tunnelling paradigm is utilised to enable communication between networks of different protocols (IPv4 and IPv6). This technology is essential while IPv4 is still in use, however it does yet again increase complexity by providing black-hat hackers with opportunity in the form of denial of service attack vectors.</w:t>
      </w:r>
    </w:p>
    <w:p w14:paraId="0E2E99FA" w14:textId="3CC8E25A" w:rsidR="00E73EF0" w:rsidRDefault="00E73EF0" w:rsidP="00E65336">
      <w:pPr>
        <w:rPr>
          <w:rFonts w:ascii="Arial" w:hAnsi="Arial" w:cs="Arial"/>
          <w:bCs/>
          <w:sz w:val="24"/>
          <w:szCs w:val="18"/>
        </w:rPr>
      </w:pPr>
    </w:p>
    <w:p w14:paraId="01A06B71" w14:textId="2B467890" w:rsidR="002248F8" w:rsidRDefault="002248F8" w:rsidP="00E65336">
      <w:pPr>
        <w:rPr>
          <w:rFonts w:ascii="Arial" w:hAnsi="Arial" w:cs="Arial"/>
          <w:bCs/>
          <w:sz w:val="24"/>
          <w:szCs w:val="18"/>
        </w:rPr>
      </w:pPr>
      <w:r>
        <w:rPr>
          <w:rFonts w:ascii="Arial" w:hAnsi="Arial" w:cs="Arial"/>
          <w:bCs/>
          <w:sz w:val="24"/>
          <w:szCs w:val="18"/>
        </w:rPr>
        <w:t xml:space="preserve">Ultimately, the transition to IPv6 was an essential one. The need for more space (addresses) super-ceded all other factors and ensured that the rollout of IPv6 took place. </w:t>
      </w:r>
      <w:r>
        <w:rPr>
          <w:rFonts w:ascii="Arial" w:hAnsi="Arial" w:cs="Arial"/>
          <w:bCs/>
          <w:sz w:val="24"/>
          <w:szCs w:val="18"/>
        </w:rPr>
        <w:lastRenderedPageBreak/>
        <w:t>Many of the negative factors associated with IPv6 are only so because there is no backwards compatibility and IPv4 is still highly prevalent across the globe. Dual-stack operations create complexity and vulnerability while IPv4 addresses dominate, this will surely change over time as IPv4 are potentially ultimately phased out and IPv6 is the sole internet protocol in operation across the globe.</w:t>
      </w:r>
    </w:p>
    <w:p w14:paraId="029A98B4" w14:textId="7FE0EC6E" w:rsidR="00D408CB" w:rsidRDefault="00D408CB" w:rsidP="00E65336">
      <w:pPr>
        <w:rPr>
          <w:rFonts w:ascii="Arial" w:hAnsi="Arial" w:cs="Arial"/>
          <w:bCs/>
          <w:sz w:val="24"/>
          <w:szCs w:val="18"/>
        </w:rPr>
      </w:pPr>
    </w:p>
    <w:p w14:paraId="72DB3D42" w14:textId="577CD32B" w:rsidR="00D408CB" w:rsidRPr="00C22ADD" w:rsidRDefault="002248F8" w:rsidP="00E65336">
      <w:pPr>
        <w:rPr>
          <w:rFonts w:ascii="Arial" w:hAnsi="Arial" w:cs="Arial"/>
          <w:b/>
          <w:szCs w:val="14"/>
        </w:rPr>
      </w:pPr>
      <w:r w:rsidRPr="00C22ADD">
        <w:rPr>
          <w:rFonts w:ascii="Arial" w:hAnsi="Arial" w:cs="Arial"/>
          <w:b/>
          <w:szCs w:val="14"/>
        </w:rPr>
        <w:t>944 Words</w:t>
      </w:r>
    </w:p>
    <w:p w14:paraId="6ABE0C15" w14:textId="77777777" w:rsidR="00C22ADD" w:rsidRPr="002248F8" w:rsidRDefault="00C22ADD" w:rsidP="00E65336">
      <w:pPr>
        <w:rPr>
          <w:rFonts w:ascii="Arial" w:hAnsi="Arial" w:cs="Arial"/>
          <w:b/>
          <w:sz w:val="24"/>
          <w:szCs w:val="18"/>
        </w:rPr>
      </w:pPr>
    </w:p>
    <w:sdt>
      <w:sdtPr>
        <w:id w:val="1718855228"/>
        <w:docPartObj>
          <w:docPartGallery w:val="Bibliographies"/>
          <w:docPartUnique/>
        </w:docPartObj>
      </w:sdtPr>
      <w:sdtEndPr>
        <w:rPr>
          <w:b w:val="0"/>
          <w:sz w:val="20"/>
        </w:rPr>
      </w:sdtEndPr>
      <w:sdtContent>
        <w:p w14:paraId="3C325696" w14:textId="4B9877D5" w:rsidR="00C22ADD" w:rsidRDefault="00C22ADD">
          <w:pPr>
            <w:pStyle w:val="Heading1"/>
          </w:pPr>
          <w:r>
            <w:t>References</w:t>
          </w:r>
        </w:p>
        <w:sdt>
          <w:sdtPr>
            <w:id w:val="-573587230"/>
            <w:bibliography/>
          </w:sdtPr>
          <w:sdtContent>
            <w:p w14:paraId="7A7A0B28" w14:textId="77777777" w:rsidR="00C22ADD" w:rsidRDefault="00C22ADD">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472"/>
              </w:tblGrid>
              <w:tr w:rsidR="00C22ADD" w14:paraId="593347E9" w14:textId="77777777">
                <w:trPr>
                  <w:divId w:val="1401517616"/>
                  <w:tblCellSpacing w:w="15" w:type="dxa"/>
                </w:trPr>
                <w:tc>
                  <w:tcPr>
                    <w:tcW w:w="50" w:type="pct"/>
                    <w:hideMark/>
                  </w:tcPr>
                  <w:p w14:paraId="42B7EB00" w14:textId="3E310AD9" w:rsidR="00C22ADD" w:rsidRDefault="00C22ADD">
                    <w:pPr>
                      <w:pStyle w:val="Bibliography"/>
                      <w:rPr>
                        <w:noProof/>
                        <w:sz w:val="24"/>
                        <w:szCs w:val="24"/>
                      </w:rPr>
                    </w:pPr>
                    <w:r>
                      <w:rPr>
                        <w:noProof/>
                      </w:rPr>
                      <w:t xml:space="preserve">[1] </w:t>
                    </w:r>
                  </w:p>
                </w:tc>
                <w:tc>
                  <w:tcPr>
                    <w:tcW w:w="0" w:type="auto"/>
                    <w:hideMark/>
                  </w:tcPr>
                  <w:p w14:paraId="24BF47D4" w14:textId="77777777" w:rsidR="00C22ADD" w:rsidRDefault="00C22ADD">
                    <w:pPr>
                      <w:pStyle w:val="Bibliography"/>
                      <w:rPr>
                        <w:noProof/>
                      </w:rPr>
                    </w:pPr>
                    <w:r>
                      <w:rPr>
                        <w:noProof/>
                      </w:rPr>
                      <w:t>IETF, “RFC 8200,” IETF, July 2017. [Online]. Available: https://tools.ietf.org/html/rfc8200. [Accessed 12 12 2019].</w:t>
                    </w:r>
                  </w:p>
                </w:tc>
              </w:tr>
              <w:tr w:rsidR="00C22ADD" w14:paraId="6C587906" w14:textId="77777777">
                <w:trPr>
                  <w:divId w:val="1401517616"/>
                  <w:tblCellSpacing w:w="15" w:type="dxa"/>
                </w:trPr>
                <w:tc>
                  <w:tcPr>
                    <w:tcW w:w="50" w:type="pct"/>
                    <w:hideMark/>
                  </w:tcPr>
                  <w:p w14:paraId="1F5AA2D1" w14:textId="77777777" w:rsidR="00C22ADD" w:rsidRDefault="00C22ADD">
                    <w:pPr>
                      <w:pStyle w:val="Bibliography"/>
                      <w:rPr>
                        <w:noProof/>
                      </w:rPr>
                    </w:pPr>
                    <w:r>
                      <w:rPr>
                        <w:noProof/>
                      </w:rPr>
                      <w:t xml:space="preserve">[2] </w:t>
                    </w:r>
                  </w:p>
                </w:tc>
                <w:tc>
                  <w:tcPr>
                    <w:tcW w:w="0" w:type="auto"/>
                    <w:hideMark/>
                  </w:tcPr>
                  <w:p w14:paraId="7324F85A" w14:textId="77777777" w:rsidR="00C22ADD" w:rsidRDefault="00C22ADD">
                    <w:pPr>
                      <w:pStyle w:val="Bibliography"/>
                      <w:rPr>
                        <w:noProof/>
                      </w:rPr>
                    </w:pPr>
                    <w:r>
                      <w:rPr>
                        <w:noProof/>
                      </w:rPr>
                      <w:t>NCTA, “Growth of the internet of things,” NCTA, 05 May 2014. [Online]. Available: https://www.ncta.com/whats-new/infographic-the-growth-of-the-internet-of-things. [Accessed 12 12 2019].</w:t>
                    </w:r>
                  </w:p>
                </w:tc>
              </w:tr>
              <w:tr w:rsidR="00C22ADD" w14:paraId="4D32926D" w14:textId="77777777">
                <w:trPr>
                  <w:divId w:val="1401517616"/>
                  <w:tblCellSpacing w:w="15" w:type="dxa"/>
                </w:trPr>
                <w:tc>
                  <w:tcPr>
                    <w:tcW w:w="50" w:type="pct"/>
                    <w:hideMark/>
                  </w:tcPr>
                  <w:p w14:paraId="1927BD6A" w14:textId="77777777" w:rsidR="00C22ADD" w:rsidRDefault="00C22ADD">
                    <w:pPr>
                      <w:pStyle w:val="Bibliography"/>
                      <w:rPr>
                        <w:noProof/>
                      </w:rPr>
                    </w:pPr>
                    <w:r>
                      <w:rPr>
                        <w:noProof/>
                      </w:rPr>
                      <w:t xml:space="preserve">[3] </w:t>
                    </w:r>
                  </w:p>
                </w:tc>
                <w:tc>
                  <w:tcPr>
                    <w:tcW w:w="0" w:type="auto"/>
                    <w:hideMark/>
                  </w:tcPr>
                  <w:p w14:paraId="249A4415" w14:textId="77777777" w:rsidR="00C22ADD" w:rsidRDefault="00C22ADD">
                    <w:pPr>
                      <w:pStyle w:val="Bibliography"/>
                      <w:rPr>
                        <w:noProof/>
                      </w:rPr>
                    </w:pPr>
                    <w:r>
                      <w:rPr>
                        <w:noProof/>
                      </w:rPr>
                      <w:t>IOT Analytics, “State of the IoT 2018: Number of IoT devices now at 7B – Market accelerating,” IOT Analytics, 8 August 2018. [Online]. Available: https://iot-analytics.com/state-of-the-iot-update-q1-q2-2018-number-of-iot-devices-now-7b/. [Accessed 12 12 2019].</w:t>
                    </w:r>
                  </w:p>
                </w:tc>
              </w:tr>
              <w:tr w:rsidR="00C22ADD" w14:paraId="51D25386" w14:textId="77777777">
                <w:trPr>
                  <w:divId w:val="1401517616"/>
                  <w:tblCellSpacing w:w="15" w:type="dxa"/>
                </w:trPr>
                <w:tc>
                  <w:tcPr>
                    <w:tcW w:w="50" w:type="pct"/>
                    <w:hideMark/>
                  </w:tcPr>
                  <w:p w14:paraId="28282D4D" w14:textId="77777777" w:rsidR="00C22ADD" w:rsidRDefault="00C22ADD">
                    <w:pPr>
                      <w:pStyle w:val="Bibliography"/>
                      <w:rPr>
                        <w:noProof/>
                      </w:rPr>
                    </w:pPr>
                    <w:r>
                      <w:rPr>
                        <w:noProof/>
                      </w:rPr>
                      <w:t xml:space="preserve">[4] </w:t>
                    </w:r>
                  </w:p>
                </w:tc>
                <w:tc>
                  <w:tcPr>
                    <w:tcW w:w="0" w:type="auto"/>
                    <w:hideMark/>
                  </w:tcPr>
                  <w:p w14:paraId="285EA450" w14:textId="77777777" w:rsidR="00C22ADD" w:rsidRDefault="00C22ADD">
                    <w:pPr>
                      <w:pStyle w:val="Bibliography"/>
                      <w:rPr>
                        <w:noProof/>
                      </w:rPr>
                    </w:pPr>
                    <w:r>
                      <w:rPr>
                        <w:noProof/>
                      </w:rPr>
                      <w:t xml:space="preserve">K. Barker, “The security implications of IPv6,” </w:t>
                    </w:r>
                    <w:r>
                      <w:rPr>
                        <w:i/>
                        <w:iCs/>
                        <w:noProof/>
                      </w:rPr>
                      <w:t xml:space="preserve">Network Security, </w:t>
                    </w:r>
                    <w:r>
                      <w:rPr>
                        <w:noProof/>
                      </w:rPr>
                      <w:t xml:space="preserve">vol. 2013, no. 6, pp. 5-9, 2013. </w:t>
                    </w:r>
                  </w:p>
                </w:tc>
              </w:tr>
            </w:tbl>
            <w:p w14:paraId="0CDB19F1" w14:textId="77777777" w:rsidR="00C22ADD" w:rsidRDefault="00C22ADD">
              <w:pPr>
                <w:divId w:val="1401517616"/>
                <w:rPr>
                  <w:noProof/>
                </w:rPr>
              </w:pPr>
            </w:p>
            <w:p w14:paraId="723086DD" w14:textId="429E3D0A" w:rsidR="00C22ADD" w:rsidRDefault="00C22ADD">
              <w:r>
                <w:rPr>
                  <w:b/>
                  <w:bCs/>
                  <w:noProof/>
                </w:rPr>
                <w:fldChar w:fldCharType="end"/>
              </w:r>
            </w:p>
          </w:sdtContent>
        </w:sdt>
      </w:sdtContent>
    </w:sdt>
    <w:p w14:paraId="40080119" w14:textId="0E1EF52D" w:rsidR="002E71AE" w:rsidRDefault="002E71AE" w:rsidP="00E65336">
      <w:pPr>
        <w:rPr>
          <w:rFonts w:ascii="Arial" w:hAnsi="Arial" w:cs="Arial"/>
          <w:bCs/>
          <w:sz w:val="24"/>
          <w:szCs w:val="18"/>
        </w:rPr>
      </w:pPr>
      <w:bookmarkStart w:id="0" w:name="_GoBack"/>
      <w:bookmarkEnd w:id="0"/>
    </w:p>
    <w:sectPr w:rsidR="002E71AE"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799FA8" w14:textId="77777777" w:rsidR="0096168D" w:rsidRDefault="0096168D">
      <w:r>
        <w:separator/>
      </w:r>
    </w:p>
  </w:endnote>
  <w:endnote w:type="continuationSeparator" w:id="0">
    <w:p w14:paraId="02C75221" w14:textId="77777777" w:rsidR="0096168D" w:rsidRDefault="009616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43AF18" w14:textId="77777777" w:rsidR="0096168D" w:rsidRDefault="0096168D">
      <w:r>
        <w:separator/>
      </w:r>
    </w:p>
  </w:footnote>
  <w:footnote w:type="continuationSeparator" w:id="0">
    <w:p w14:paraId="3A0B31D8" w14:textId="77777777" w:rsidR="0096168D" w:rsidRDefault="009616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5F8"/>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47684"/>
    <w:rsid w:val="00150F11"/>
    <w:rsid w:val="0015335F"/>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1FC1"/>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48F8"/>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E71AE"/>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24FE"/>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D1E56"/>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D6B4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5F5C"/>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AFA"/>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4D20"/>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68D"/>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ADD"/>
    <w:rsid w:val="00C22E3B"/>
    <w:rsid w:val="00C22FFB"/>
    <w:rsid w:val="00C319EB"/>
    <w:rsid w:val="00C324AE"/>
    <w:rsid w:val="00C3574B"/>
    <w:rsid w:val="00C37189"/>
    <w:rsid w:val="00C40BC6"/>
    <w:rsid w:val="00C431A6"/>
    <w:rsid w:val="00C46149"/>
    <w:rsid w:val="00C50DC2"/>
    <w:rsid w:val="00C519BA"/>
    <w:rsid w:val="00C63702"/>
    <w:rsid w:val="00C661D1"/>
    <w:rsid w:val="00C66B33"/>
    <w:rsid w:val="00C75DF8"/>
    <w:rsid w:val="00C7673E"/>
    <w:rsid w:val="00C803C6"/>
    <w:rsid w:val="00C80527"/>
    <w:rsid w:val="00C82D8F"/>
    <w:rsid w:val="00C868FA"/>
    <w:rsid w:val="00C92323"/>
    <w:rsid w:val="00C93A58"/>
    <w:rsid w:val="00C93B79"/>
    <w:rsid w:val="00C93BCB"/>
    <w:rsid w:val="00C94B3B"/>
    <w:rsid w:val="00CA0B03"/>
    <w:rsid w:val="00CA7EB4"/>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08CB"/>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5336"/>
    <w:rsid w:val="00E66CC0"/>
    <w:rsid w:val="00E67885"/>
    <w:rsid w:val="00E7050F"/>
    <w:rsid w:val="00E72F65"/>
    <w:rsid w:val="00E73EF0"/>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0453C"/>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84F95"/>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customStyle="1" w:styleId="Heading1Char">
    <w:name w:val="Heading 1 Char"/>
    <w:basedOn w:val="DefaultParagraphFont"/>
    <w:link w:val="Heading1"/>
    <w:uiPriority w:val="9"/>
    <w:rsid w:val="00C22ADD"/>
    <w:rPr>
      <w:b/>
      <w:sz w:val="36"/>
      <w:shd w:val="pct15" w:color="auto" w:fill="auto"/>
      <w:lang w:eastAsia="en-GB"/>
    </w:rPr>
  </w:style>
  <w:style w:type="paragraph" w:styleId="Bibliography">
    <w:name w:val="Bibliography"/>
    <w:basedOn w:val="Normal"/>
    <w:next w:val="Normal"/>
    <w:uiPriority w:val="37"/>
    <w:unhideWhenUsed/>
    <w:rsid w:val="00C22A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48966447">
      <w:bodyDiv w:val="1"/>
      <w:marLeft w:val="0"/>
      <w:marRight w:val="0"/>
      <w:marTop w:val="0"/>
      <w:marBottom w:val="0"/>
      <w:divBdr>
        <w:top w:val="none" w:sz="0" w:space="0" w:color="auto"/>
        <w:left w:val="none" w:sz="0" w:space="0" w:color="auto"/>
        <w:bottom w:val="none" w:sz="0" w:space="0" w:color="auto"/>
        <w:right w:val="none" w:sz="0" w:space="0" w:color="auto"/>
      </w:divBdr>
    </w:div>
    <w:div w:id="246808614">
      <w:bodyDiv w:val="1"/>
      <w:marLeft w:val="0"/>
      <w:marRight w:val="0"/>
      <w:marTop w:val="0"/>
      <w:marBottom w:val="0"/>
      <w:divBdr>
        <w:top w:val="none" w:sz="0" w:space="0" w:color="auto"/>
        <w:left w:val="none" w:sz="0" w:space="0" w:color="auto"/>
        <w:bottom w:val="none" w:sz="0" w:space="0" w:color="auto"/>
        <w:right w:val="none" w:sz="0" w:space="0" w:color="auto"/>
      </w:divBdr>
    </w:div>
    <w:div w:id="361175274">
      <w:bodyDiv w:val="1"/>
      <w:marLeft w:val="0"/>
      <w:marRight w:val="0"/>
      <w:marTop w:val="0"/>
      <w:marBottom w:val="0"/>
      <w:divBdr>
        <w:top w:val="none" w:sz="0" w:space="0" w:color="auto"/>
        <w:left w:val="none" w:sz="0" w:space="0" w:color="auto"/>
        <w:bottom w:val="none" w:sz="0" w:space="0" w:color="auto"/>
        <w:right w:val="none" w:sz="0" w:space="0" w:color="auto"/>
      </w:divBdr>
    </w:div>
    <w:div w:id="548418276">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841578896">
      <w:bodyDiv w:val="1"/>
      <w:marLeft w:val="0"/>
      <w:marRight w:val="0"/>
      <w:marTop w:val="0"/>
      <w:marBottom w:val="0"/>
      <w:divBdr>
        <w:top w:val="none" w:sz="0" w:space="0" w:color="auto"/>
        <w:left w:val="none" w:sz="0" w:space="0" w:color="auto"/>
        <w:bottom w:val="none" w:sz="0" w:space="0" w:color="auto"/>
        <w:right w:val="none" w:sz="0" w:space="0" w:color="auto"/>
      </w:divBdr>
    </w:div>
    <w:div w:id="866793094">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213539049">
      <w:bodyDiv w:val="1"/>
      <w:marLeft w:val="0"/>
      <w:marRight w:val="0"/>
      <w:marTop w:val="0"/>
      <w:marBottom w:val="0"/>
      <w:divBdr>
        <w:top w:val="none" w:sz="0" w:space="0" w:color="auto"/>
        <w:left w:val="none" w:sz="0" w:space="0" w:color="auto"/>
        <w:bottom w:val="none" w:sz="0" w:space="0" w:color="auto"/>
        <w:right w:val="none" w:sz="0" w:space="0" w:color="auto"/>
      </w:divBdr>
    </w:div>
    <w:div w:id="1257983563">
      <w:bodyDiv w:val="1"/>
      <w:marLeft w:val="0"/>
      <w:marRight w:val="0"/>
      <w:marTop w:val="0"/>
      <w:marBottom w:val="0"/>
      <w:divBdr>
        <w:top w:val="none" w:sz="0" w:space="0" w:color="auto"/>
        <w:left w:val="none" w:sz="0" w:space="0" w:color="auto"/>
        <w:bottom w:val="none" w:sz="0" w:space="0" w:color="auto"/>
        <w:right w:val="none" w:sz="0" w:space="0" w:color="auto"/>
      </w:divBdr>
    </w:div>
    <w:div w:id="1306471670">
      <w:bodyDiv w:val="1"/>
      <w:marLeft w:val="0"/>
      <w:marRight w:val="0"/>
      <w:marTop w:val="0"/>
      <w:marBottom w:val="0"/>
      <w:divBdr>
        <w:top w:val="none" w:sz="0" w:space="0" w:color="auto"/>
        <w:left w:val="none" w:sz="0" w:space="0" w:color="auto"/>
        <w:bottom w:val="none" w:sz="0" w:space="0" w:color="auto"/>
        <w:right w:val="none" w:sz="0" w:space="0" w:color="auto"/>
      </w:divBdr>
    </w:div>
    <w:div w:id="1307054132">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379664576">
      <w:bodyDiv w:val="1"/>
      <w:marLeft w:val="0"/>
      <w:marRight w:val="0"/>
      <w:marTop w:val="0"/>
      <w:marBottom w:val="0"/>
      <w:divBdr>
        <w:top w:val="none" w:sz="0" w:space="0" w:color="auto"/>
        <w:left w:val="none" w:sz="0" w:space="0" w:color="auto"/>
        <w:bottom w:val="none" w:sz="0" w:space="0" w:color="auto"/>
        <w:right w:val="none" w:sz="0" w:space="0" w:color="auto"/>
      </w:divBdr>
    </w:div>
    <w:div w:id="1401517616">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2596363">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586837275">
      <w:bodyDiv w:val="1"/>
      <w:marLeft w:val="0"/>
      <w:marRight w:val="0"/>
      <w:marTop w:val="0"/>
      <w:marBottom w:val="0"/>
      <w:divBdr>
        <w:top w:val="none" w:sz="0" w:space="0" w:color="auto"/>
        <w:left w:val="none" w:sz="0" w:space="0" w:color="auto"/>
        <w:bottom w:val="none" w:sz="0" w:space="0" w:color="auto"/>
        <w:right w:val="none" w:sz="0" w:space="0" w:color="auto"/>
      </w:divBdr>
    </w:div>
    <w:div w:id="1615096024">
      <w:bodyDiv w:val="1"/>
      <w:marLeft w:val="0"/>
      <w:marRight w:val="0"/>
      <w:marTop w:val="0"/>
      <w:marBottom w:val="0"/>
      <w:divBdr>
        <w:top w:val="none" w:sz="0" w:space="0" w:color="auto"/>
        <w:left w:val="none" w:sz="0" w:space="0" w:color="auto"/>
        <w:bottom w:val="none" w:sz="0" w:space="0" w:color="auto"/>
        <w:right w:val="none" w:sz="0" w:space="0" w:color="auto"/>
      </w:divBdr>
    </w:div>
    <w:div w:id="1637029707">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12483153">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25264246">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Bar13</b:Tag>
    <b:SourceType>JournalArticle</b:SourceType>
    <b:Guid>{B8224C35-986D-4E88-8F8F-2F82A7DB1EC8}</b:Guid>
    <b:Title>The security implications of IPv6</b:Title>
    <b:Year>2013</b:Year>
    <b:Author>
      <b:Author>
        <b:NameList>
          <b:Person>
            <b:Last>Barker</b:Last>
            <b:First>K.</b:First>
          </b:Person>
        </b:NameList>
      </b:Author>
    </b:Author>
    <b:JournalName>Network Security</b:JournalName>
    <b:Pages>5-9</b:Pages>
    <b:Volume>2013</b:Volume>
    <b:Issue>6</b:Issue>
    <b:RefOrder>4</b:RefOrder>
  </b:Source>
  <b:Source>
    <b:Tag>NCT14</b:Tag>
    <b:SourceType>InternetSite</b:SourceType>
    <b:Guid>{802BBC66-E14F-4E59-B537-64B31EA842F6}</b:Guid>
    <b:Title>Growth of the internet of things</b:Title>
    <b:Year>2014</b:Year>
    <b:Author>
      <b:Author>
        <b:Corporate>NCTA</b:Corporate>
      </b:Author>
    </b:Author>
    <b:ProductionCompany>NCTA</b:ProductionCompany>
    <b:Month>May</b:Month>
    <b:Day>05</b:Day>
    <b:YearAccessed>2019</b:YearAccessed>
    <b:MonthAccessed>12</b:MonthAccessed>
    <b:DayAccessed>12</b:DayAccessed>
    <b:URL>https://www.ncta.com/whats-new/infographic-the-growth-of-the-internet-of-things</b:URL>
    <b:RefOrder>2</b:RefOrder>
  </b:Source>
  <b:Source>
    <b:Tag>IET17</b:Tag>
    <b:SourceType>InternetSite</b:SourceType>
    <b:Guid>{51F06AC7-6639-4C69-9731-EF192A2AB74D}</b:Guid>
    <b:Author>
      <b:Author>
        <b:Corporate>IETF</b:Corporate>
      </b:Author>
    </b:Author>
    <b:Title>RFC 8200</b:Title>
    <b:ProductionCompany>IETF</b:ProductionCompany>
    <b:Year>2017</b:Year>
    <b:Month>July</b:Month>
    <b:YearAccessed>2019</b:YearAccessed>
    <b:MonthAccessed>12</b:MonthAccessed>
    <b:DayAccessed>12</b:DayAccessed>
    <b:URL>https://tools.ietf.org/html/rfc8200</b:URL>
    <b:RefOrder>1</b:RefOrder>
  </b:Source>
  <b:Source>
    <b:Tag>IOT18</b:Tag>
    <b:SourceType>InternetSite</b:SourceType>
    <b:Guid>{3017FDAA-D60F-40F1-95F8-1175395EFC7C}</b:Guid>
    <b:Author>
      <b:Author>
        <b:Corporate>IOT Analytics</b:Corporate>
      </b:Author>
    </b:Author>
    <b:Title>State of the IoT 2018: Number of IoT devices now at 7B – Market accelerating</b:Title>
    <b:ProductionCompany>IOT Analytics</b:ProductionCompany>
    <b:Year>2018</b:Year>
    <b:Month>August</b:Month>
    <b:Day>8</b:Day>
    <b:YearAccessed>2019</b:YearAccessed>
    <b:MonthAccessed>12</b:MonthAccessed>
    <b:DayAccessed>12</b:DayAccessed>
    <b:URL>https://iot-analytics.com/state-of-the-iot-update-q1-q2-2018-number-of-iot-devices-now-7b/</b:URL>
    <b:RefOrder>3</b:RefOrder>
  </b:Source>
</b:Sources>
</file>

<file path=customXml/itemProps1.xml><?xml version="1.0" encoding="utf-8"?>
<ds:datastoreItem xmlns:ds="http://schemas.openxmlformats.org/officeDocument/2006/customXml" ds:itemID="{8A3C82BC-6B5A-4CCD-B5FF-083F68BA4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1532</TotalTime>
  <Pages>6</Pages>
  <Words>1245</Words>
  <Characters>7100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8329</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 Moore (1004334)</cp:lastModifiedBy>
  <cp:revision>10</cp:revision>
  <cp:lastPrinted>2014-11-07T14:47:00Z</cp:lastPrinted>
  <dcterms:created xsi:type="dcterms:W3CDTF">2019-12-11T18:38:00Z</dcterms:created>
  <dcterms:modified xsi:type="dcterms:W3CDTF">2019-12-12T23:39:00Z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