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3E598" w14:textId="77777777" w:rsidR="00546EFB" w:rsidRPr="006B620D" w:rsidRDefault="00546EFB" w:rsidP="00874E41">
      <w:pPr>
        <w:rPr>
          <w:rFonts w:eastAsia="Arial"/>
          <w:b/>
          <w:bCs/>
        </w:rPr>
      </w:pPr>
    </w:p>
    <w:p w14:paraId="2DC824B7" w14:textId="22D97681" w:rsidR="002F4815" w:rsidRPr="006B620D" w:rsidRDefault="002F20B2" w:rsidP="00874E41">
      <w:pPr>
        <w:rPr>
          <w:rFonts w:eastAsia="Arial"/>
          <w:b/>
          <w:bCs/>
        </w:rPr>
      </w:pPr>
      <w:r w:rsidRPr="006B620D">
        <w:rPr>
          <w:rFonts w:eastAsia="Arial"/>
          <w:b/>
          <w:bCs/>
        </w:rPr>
        <w:t>STUDENT NAME</w:t>
      </w:r>
      <w:r w:rsidR="007F7C5A" w:rsidRPr="006B620D">
        <w:rPr>
          <w:rFonts w:eastAsia="Arial"/>
          <w:b/>
          <w:bCs/>
        </w:rPr>
        <w:t xml:space="preserve">: </w:t>
      </w:r>
      <w:r w:rsidR="00000000" w:rsidRPr="006B620D">
        <w:rPr>
          <w:rFonts w:eastAsia="Arial"/>
          <w:b/>
          <w:bCs/>
        </w:rPr>
        <w:t xml:space="preserve"> </w:t>
      </w:r>
      <w:r w:rsidR="00E9488C" w:rsidRPr="006B620D">
        <w:rPr>
          <w:rFonts w:eastAsia="Arial"/>
          <w:b/>
          <w:bCs/>
        </w:rPr>
        <w:t>Laurent Felix</w:t>
      </w:r>
      <w:r w:rsidR="002F4815" w:rsidRPr="006B620D">
        <w:rPr>
          <w:rFonts w:eastAsia="Arial"/>
          <w:b/>
          <w:bCs/>
        </w:rPr>
        <w:t xml:space="preserve"> Ilboudo</w:t>
      </w:r>
    </w:p>
    <w:p w14:paraId="2ED0FF28" w14:textId="77777777" w:rsidR="00546EFB" w:rsidRPr="006B620D" w:rsidRDefault="00546EFB" w:rsidP="00874E41">
      <w:pPr>
        <w:rPr>
          <w:rFonts w:eastAsia="Arial"/>
          <w:b/>
          <w:bCs/>
        </w:rPr>
      </w:pPr>
    </w:p>
    <w:p w14:paraId="07CD7228" w14:textId="59550C98" w:rsidR="001F4904" w:rsidRPr="006B620D" w:rsidRDefault="002F4815" w:rsidP="00874E41">
      <w:pPr>
        <w:rPr>
          <w:rFonts w:eastAsia="Arial"/>
          <w:b/>
          <w:bCs/>
        </w:rPr>
      </w:pPr>
      <w:r w:rsidRPr="006B620D">
        <w:rPr>
          <w:rFonts w:eastAsia="Arial"/>
          <w:b/>
          <w:bCs/>
        </w:rPr>
        <w:t>STUDENT NUMBER: 2425696</w:t>
      </w:r>
    </w:p>
    <w:p w14:paraId="39BB7F47" w14:textId="77777777" w:rsidR="00546EFB" w:rsidRPr="0001546F" w:rsidRDefault="00546EFB" w:rsidP="0001546F">
      <w:pPr>
        <w:spacing w:line="360" w:lineRule="auto"/>
        <w:rPr>
          <w:rFonts w:ascii="Arial" w:eastAsia="Arial" w:hAnsi="Arial" w:cs="Arial"/>
          <w:b/>
          <w:bCs/>
          <w:sz w:val="22"/>
          <w:szCs w:val="22"/>
        </w:rPr>
      </w:pPr>
    </w:p>
    <w:p w14:paraId="027F4398" w14:textId="29ABAA92" w:rsidR="00FC2A0B" w:rsidRPr="006B620D" w:rsidRDefault="007D1F78" w:rsidP="00FC2A0B">
      <w:pPr>
        <w:rPr>
          <w:rFonts w:eastAsia="Arial"/>
          <w:b/>
          <w:bCs/>
        </w:rPr>
      </w:pPr>
      <w:r w:rsidRPr="006B620D">
        <w:rPr>
          <w:rFonts w:eastAsia="Arial"/>
          <w:b/>
          <w:bCs/>
        </w:rPr>
        <w:t>LECTURER NAME:</w:t>
      </w:r>
      <w:r w:rsidR="00BA3EF7" w:rsidRPr="006B620D">
        <w:rPr>
          <w:rFonts w:eastAsia="Arial"/>
          <w:b/>
          <w:bCs/>
        </w:rPr>
        <w:t xml:space="preserve"> </w:t>
      </w:r>
      <w:r w:rsidR="00E8200C" w:rsidRPr="006B620D">
        <w:rPr>
          <w:rFonts w:eastAsia="Arial"/>
          <w:b/>
          <w:bCs/>
        </w:rPr>
        <w:t xml:space="preserve">Precious </w:t>
      </w:r>
      <w:proofErr w:type="spellStart"/>
      <w:r w:rsidR="00E6611D" w:rsidRPr="006B620D">
        <w:rPr>
          <w:rFonts w:eastAsia="Arial"/>
          <w:b/>
          <w:bCs/>
        </w:rPr>
        <w:t>I</w:t>
      </w:r>
      <w:r w:rsidR="00B9785C" w:rsidRPr="006B620D">
        <w:rPr>
          <w:rFonts w:eastAsia="Arial"/>
          <w:b/>
          <w:bCs/>
        </w:rPr>
        <w:t>gbinigie</w:t>
      </w:r>
      <w:proofErr w:type="spellEnd"/>
    </w:p>
    <w:p w14:paraId="6EE7F308" w14:textId="77777777" w:rsidR="00546EFB" w:rsidRPr="006B620D" w:rsidRDefault="00546EFB" w:rsidP="00FE3175">
      <w:pPr>
        <w:rPr>
          <w:b/>
          <w:bCs/>
        </w:rPr>
      </w:pPr>
    </w:p>
    <w:p w14:paraId="2A5EB533" w14:textId="77777777" w:rsidR="00546EFB" w:rsidRPr="006B620D" w:rsidRDefault="00546EFB" w:rsidP="00FE3175">
      <w:pPr>
        <w:rPr>
          <w:b/>
          <w:bCs/>
        </w:rPr>
      </w:pPr>
    </w:p>
    <w:p w14:paraId="349B2FDC" w14:textId="53637A7B" w:rsidR="0028071E" w:rsidRPr="006B620D" w:rsidRDefault="00FE3175" w:rsidP="00FE3175">
      <w:pPr>
        <w:rPr>
          <w:b/>
          <w:bCs/>
        </w:rPr>
      </w:pPr>
      <w:r w:rsidRPr="006B620D">
        <w:rPr>
          <w:b/>
          <w:bCs/>
        </w:rPr>
        <w:t>MODULE</w:t>
      </w:r>
      <w:r w:rsidR="00391139" w:rsidRPr="006B620D">
        <w:rPr>
          <w:b/>
          <w:bCs/>
        </w:rPr>
        <w:t xml:space="preserve"> CODE:</w:t>
      </w:r>
      <w:r w:rsidR="001B61F4" w:rsidRPr="006B620D">
        <w:rPr>
          <w:b/>
          <w:bCs/>
        </w:rPr>
        <w:t xml:space="preserve"> BMHP5016</w:t>
      </w:r>
    </w:p>
    <w:p w14:paraId="6BB9F99D" w14:textId="77777777" w:rsidR="006B620D" w:rsidRPr="006B620D" w:rsidRDefault="006B620D" w:rsidP="00FE3175">
      <w:pPr>
        <w:rPr>
          <w:b/>
          <w:bCs/>
        </w:rPr>
      </w:pPr>
    </w:p>
    <w:p w14:paraId="00000001" w14:textId="1D48A8E1" w:rsidR="00B0336D" w:rsidRPr="005F2ACB" w:rsidRDefault="0028071E" w:rsidP="00FE3175">
      <w:pPr>
        <w:rPr>
          <w:rFonts w:ascii="Arial" w:eastAsia="Arial" w:hAnsi="Arial" w:cs="Arial"/>
          <w:color w:val="000000"/>
        </w:rPr>
      </w:pPr>
      <w:r w:rsidRPr="006B620D">
        <w:rPr>
          <w:b/>
          <w:bCs/>
        </w:rPr>
        <w:t>ASIGNMENT TILE:</w:t>
      </w:r>
      <w:r w:rsidR="0080475A" w:rsidRPr="006B620D">
        <w:rPr>
          <w:b/>
          <w:bCs/>
        </w:rPr>
        <w:t xml:space="preserve"> </w:t>
      </w:r>
      <w:r w:rsidR="006B620D" w:rsidRPr="006B620D">
        <w:rPr>
          <w:b/>
          <w:bCs/>
        </w:rPr>
        <w:t>Report,</w:t>
      </w:r>
      <w:r w:rsidR="00846BF3" w:rsidRPr="006B620D">
        <w:rPr>
          <w:b/>
          <w:bCs/>
        </w:rPr>
        <w:t xml:space="preserve"> </w:t>
      </w:r>
      <w:r w:rsidR="00910C8E">
        <w:rPr>
          <w:b/>
          <w:bCs/>
        </w:rPr>
        <w:t>P</w:t>
      </w:r>
      <w:r w:rsidR="00846BF3" w:rsidRPr="006B620D">
        <w:rPr>
          <w:b/>
          <w:bCs/>
        </w:rPr>
        <w:t xml:space="preserve">erson </w:t>
      </w:r>
      <w:r w:rsidR="00910C8E">
        <w:rPr>
          <w:b/>
          <w:bCs/>
        </w:rPr>
        <w:t>C</w:t>
      </w:r>
      <w:r w:rsidR="006B620D" w:rsidRPr="006B620D">
        <w:rPr>
          <w:b/>
          <w:bCs/>
        </w:rPr>
        <w:t xml:space="preserve">entred </w:t>
      </w:r>
      <w:r w:rsidR="00910C8E">
        <w:rPr>
          <w:b/>
          <w:bCs/>
        </w:rPr>
        <w:t>C</w:t>
      </w:r>
      <w:r w:rsidR="006B620D" w:rsidRPr="006B620D">
        <w:rPr>
          <w:b/>
          <w:bCs/>
        </w:rPr>
        <w:t>are</w:t>
      </w:r>
      <w:r w:rsidR="00910C8E">
        <w:rPr>
          <w:b/>
          <w:bCs/>
        </w:rPr>
        <w:t xml:space="preserve"> and </w:t>
      </w:r>
      <w:r w:rsidR="00910C8E" w:rsidRPr="00910C8E">
        <w:rPr>
          <w:b/>
          <w:bCs/>
        </w:rPr>
        <w:t>Partnership Working</w:t>
      </w:r>
      <w:r w:rsidR="00000000" w:rsidRPr="005F2ACB">
        <w:br w:type="page"/>
      </w:r>
    </w:p>
    <w:p w14:paraId="00000002" w14:textId="77777777" w:rsidR="00B0336D" w:rsidRPr="005F2ACB" w:rsidRDefault="00B0336D">
      <w:pPr>
        <w:pStyle w:val="Heading1"/>
        <w:keepNext w:val="0"/>
        <w:keepLines w:val="0"/>
        <w:spacing w:after="240"/>
        <w:jc w:val="both"/>
        <w:rPr>
          <w:rFonts w:ascii="Arial" w:eastAsia="Arial" w:hAnsi="Arial" w:cs="Arial"/>
          <w:sz w:val="24"/>
          <w:szCs w:val="24"/>
        </w:rPr>
      </w:pPr>
    </w:p>
    <w:p w14:paraId="00000003" w14:textId="77777777" w:rsidR="00B0336D" w:rsidRPr="005F2ACB" w:rsidRDefault="00B0336D">
      <w:pPr>
        <w:pStyle w:val="Heading1"/>
        <w:keepNext w:val="0"/>
        <w:keepLines w:val="0"/>
        <w:spacing w:after="240"/>
        <w:jc w:val="both"/>
        <w:rPr>
          <w:rFonts w:ascii="Arial" w:eastAsia="Arial" w:hAnsi="Arial" w:cs="Arial"/>
          <w:sz w:val="24"/>
          <w:szCs w:val="24"/>
        </w:rPr>
      </w:pPr>
    </w:p>
    <w:p w14:paraId="00000004" w14:textId="77777777" w:rsidR="00B0336D" w:rsidRPr="005F2ACB" w:rsidRDefault="00000000">
      <w:pPr>
        <w:pStyle w:val="Heading1"/>
        <w:keepNext w:val="0"/>
        <w:keepLines w:val="0"/>
        <w:spacing w:after="240"/>
        <w:jc w:val="center"/>
        <w:rPr>
          <w:rFonts w:ascii="Arial" w:eastAsia="Arial" w:hAnsi="Arial" w:cs="Arial"/>
          <w:color w:val="000000"/>
          <w:sz w:val="24"/>
          <w:szCs w:val="24"/>
        </w:rPr>
      </w:pPr>
      <w:r w:rsidRPr="005F2ACB">
        <w:rPr>
          <w:rFonts w:ascii="Arial" w:eastAsia="Arial" w:hAnsi="Arial" w:cs="Arial"/>
          <w:color w:val="000000"/>
          <w:sz w:val="24"/>
          <w:szCs w:val="24"/>
        </w:rPr>
        <w:t>Table of Content</w:t>
      </w:r>
    </w:p>
    <w:sdt>
      <w:sdtPr>
        <w:id w:val="-1474455013"/>
        <w:docPartObj>
          <w:docPartGallery w:val="Table of Contents"/>
          <w:docPartUnique/>
        </w:docPartObj>
      </w:sdtPr>
      <w:sdtContent>
        <w:p w14:paraId="00000005" w14:textId="726A739F" w:rsidR="00B0336D" w:rsidRPr="005F2ACB" w:rsidRDefault="00000000">
          <w:pPr>
            <w:widowControl w:val="0"/>
            <w:tabs>
              <w:tab w:val="right" w:pos="9360"/>
            </w:tabs>
            <w:spacing w:before="60"/>
            <w:rPr>
              <w:b/>
              <w:bCs/>
              <w:color w:val="000000"/>
            </w:rPr>
          </w:pPr>
          <w:r w:rsidRPr="005F2ACB">
            <w:fldChar w:fldCharType="begin"/>
          </w:r>
          <w:r w:rsidRPr="005F2ACB">
            <w:instrText xml:space="preserve"> TOC \h \u \z \t "Heading 1,1,Heading 2,2,Heading 3,3,Heading 4,4,Heading 5,5,Heading 6,6,"</w:instrText>
          </w:r>
          <w:r w:rsidRPr="005F2ACB">
            <w:fldChar w:fldCharType="separate"/>
          </w:r>
          <w:hyperlink w:anchor="_heading=">
            <w:r w:rsidRPr="005F2ACB">
              <w:rPr>
                <w:b/>
                <w:bCs/>
                <w:color w:val="000000"/>
              </w:rPr>
              <w:t>1. Introduction</w:t>
            </w:r>
            <w:r w:rsidRPr="005F2ACB">
              <w:rPr>
                <w:b/>
                <w:bCs/>
                <w:color w:val="000000"/>
              </w:rPr>
              <w:tab/>
            </w:r>
          </w:hyperlink>
          <w:r w:rsidR="005C533E" w:rsidRPr="005F2ACB">
            <w:t>1</w:t>
          </w:r>
        </w:p>
        <w:p w14:paraId="00000006" w14:textId="27ECCCA7" w:rsidR="00B0336D" w:rsidRPr="005F2ACB" w:rsidRDefault="00000000">
          <w:pPr>
            <w:widowControl w:val="0"/>
            <w:tabs>
              <w:tab w:val="right" w:pos="9360"/>
            </w:tabs>
            <w:spacing w:before="60"/>
            <w:rPr>
              <w:b/>
              <w:bCs/>
              <w:color w:val="000000"/>
            </w:rPr>
          </w:pPr>
          <w:hyperlink w:anchor="_heading=">
            <w:r w:rsidRPr="005F2ACB">
              <w:rPr>
                <w:b/>
                <w:bCs/>
                <w:color w:val="000000"/>
              </w:rPr>
              <w:t>2. Report Body</w:t>
            </w:r>
            <w:r w:rsidRPr="005F2ACB">
              <w:rPr>
                <w:b/>
                <w:bCs/>
                <w:color w:val="000000"/>
              </w:rPr>
              <w:tab/>
            </w:r>
          </w:hyperlink>
          <w:r w:rsidR="005C533E" w:rsidRPr="005F2ACB">
            <w:t>2</w:t>
          </w:r>
        </w:p>
        <w:p w14:paraId="00000007" w14:textId="77777777" w:rsidR="00B0336D" w:rsidRPr="005F2ACB" w:rsidRDefault="00000000">
          <w:pPr>
            <w:widowControl w:val="0"/>
            <w:tabs>
              <w:tab w:val="right" w:pos="9360"/>
            </w:tabs>
            <w:spacing w:before="60"/>
            <w:ind w:left="360"/>
            <w:rPr>
              <w:color w:val="000000"/>
            </w:rPr>
          </w:pPr>
          <w:hyperlink w:anchor="_heading=">
            <w:r w:rsidRPr="005F2ACB">
              <w:rPr>
                <w:color w:val="000000"/>
              </w:rPr>
              <w:t>2.1 Person-Centred Care: Definition, Benefits and Limitations</w:t>
            </w:r>
            <w:r w:rsidRPr="005F2ACB">
              <w:rPr>
                <w:color w:val="000000"/>
              </w:rPr>
              <w:tab/>
            </w:r>
          </w:hyperlink>
          <w:r w:rsidRPr="005F2ACB">
            <w:fldChar w:fldCharType="begin"/>
          </w:r>
          <w:r w:rsidRPr="005F2ACB">
            <w:instrText xml:space="preserve"> PAGEREF _heading= \h </w:instrText>
          </w:r>
          <w:r w:rsidRPr="005F2ACB">
            <w:fldChar w:fldCharType="separate"/>
          </w:r>
          <w:r w:rsidRPr="005F2ACB">
            <w:t>3</w:t>
          </w:r>
          <w:r w:rsidRPr="005F2ACB">
            <w:fldChar w:fldCharType="end"/>
          </w:r>
        </w:p>
        <w:p w14:paraId="00000008" w14:textId="77777777" w:rsidR="00B0336D" w:rsidRPr="005F2ACB" w:rsidRDefault="00000000">
          <w:pPr>
            <w:widowControl w:val="0"/>
            <w:tabs>
              <w:tab w:val="right" w:pos="9360"/>
            </w:tabs>
            <w:spacing w:before="60"/>
            <w:ind w:left="360"/>
            <w:rPr>
              <w:color w:val="000000"/>
            </w:rPr>
          </w:pPr>
          <w:hyperlink w:anchor="_heading=">
            <w:r w:rsidRPr="005F2ACB">
              <w:rPr>
                <w:color w:val="000000"/>
              </w:rPr>
              <w:t>2.3 Theoretical Framework Underpinning Person-Centred Care</w:t>
            </w:r>
            <w:r w:rsidRPr="005F2ACB">
              <w:rPr>
                <w:color w:val="000000"/>
              </w:rPr>
              <w:tab/>
            </w:r>
          </w:hyperlink>
          <w:r w:rsidRPr="005F2ACB">
            <w:fldChar w:fldCharType="begin"/>
          </w:r>
          <w:r w:rsidRPr="005F2ACB">
            <w:instrText xml:space="preserve"> PAGEREF _heading= \h </w:instrText>
          </w:r>
          <w:r w:rsidRPr="005F2ACB">
            <w:fldChar w:fldCharType="separate"/>
          </w:r>
          <w:r w:rsidRPr="005F2ACB">
            <w:t>4</w:t>
          </w:r>
          <w:r w:rsidRPr="005F2ACB">
            <w:fldChar w:fldCharType="end"/>
          </w:r>
        </w:p>
        <w:p w14:paraId="00000009" w14:textId="739CFC12" w:rsidR="00B0336D" w:rsidRPr="005F2ACB" w:rsidRDefault="00000000">
          <w:pPr>
            <w:widowControl w:val="0"/>
            <w:tabs>
              <w:tab w:val="right" w:pos="9360"/>
            </w:tabs>
            <w:spacing w:before="60"/>
            <w:ind w:left="360"/>
            <w:rPr>
              <w:color w:val="000000"/>
            </w:rPr>
          </w:pPr>
          <w:hyperlink w:anchor="_heading=">
            <w:r w:rsidRPr="005F2ACB">
              <w:rPr>
                <w:color w:val="000000"/>
              </w:rPr>
              <w:t>2.4. Ethical Foundations of Health and Social Care Practice</w:t>
            </w:r>
            <w:r w:rsidRPr="005F2ACB">
              <w:rPr>
                <w:color w:val="000000"/>
              </w:rPr>
              <w:tab/>
            </w:r>
          </w:hyperlink>
          <w:r w:rsidR="005C533E" w:rsidRPr="005F2ACB">
            <w:t>5</w:t>
          </w:r>
        </w:p>
        <w:p w14:paraId="0000000A" w14:textId="75C7830F" w:rsidR="00B0336D" w:rsidRPr="005F2ACB" w:rsidRDefault="00000000">
          <w:pPr>
            <w:widowControl w:val="0"/>
            <w:tabs>
              <w:tab w:val="right" w:pos="9360"/>
            </w:tabs>
            <w:spacing w:before="60"/>
            <w:ind w:left="360"/>
            <w:rPr>
              <w:color w:val="000000"/>
            </w:rPr>
          </w:pPr>
          <w:hyperlink w:anchor="_heading=">
            <w:r w:rsidRPr="005F2ACB">
              <w:rPr>
                <w:color w:val="000000"/>
              </w:rPr>
              <w:t>2.5. Practical Application of Partnership Working: Integrated Care for Older Adults</w:t>
            </w:r>
            <w:r w:rsidRPr="005F2ACB">
              <w:rPr>
                <w:color w:val="000000"/>
              </w:rPr>
              <w:tab/>
            </w:r>
          </w:hyperlink>
          <w:r w:rsidR="005C533E" w:rsidRPr="005F2ACB">
            <w:t>6</w:t>
          </w:r>
        </w:p>
        <w:p w14:paraId="0000000B" w14:textId="342784B2" w:rsidR="00B0336D" w:rsidRPr="005F2ACB" w:rsidRDefault="00000000">
          <w:pPr>
            <w:widowControl w:val="0"/>
            <w:tabs>
              <w:tab w:val="right" w:pos="9360"/>
            </w:tabs>
            <w:spacing w:before="60"/>
            <w:ind w:left="360"/>
            <w:rPr>
              <w:color w:val="000000"/>
            </w:rPr>
          </w:pPr>
          <w:hyperlink w:anchor="_heading=">
            <w:r w:rsidRPr="005F2ACB">
              <w:rPr>
                <w:color w:val="000000"/>
              </w:rPr>
              <w:t>2.7. Policy and Legislation Supporting Person-Centred Care and Partnership Working</w:t>
            </w:r>
            <w:r w:rsidRPr="005F2ACB">
              <w:rPr>
                <w:color w:val="000000"/>
              </w:rPr>
              <w:tab/>
            </w:r>
          </w:hyperlink>
          <w:r w:rsidR="005C533E" w:rsidRPr="005F2ACB">
            <w:t>7</w:t>
          </w:r>
        </w:p>
        <w:p w14:paraId="0000000C" w14:textId="7159355B" w:rsidR="00B0336D" w:rsidRPr="005F2ACB" w:rsidRDefault="00000000">
          <w:pPr>
            <w:widowControl w:val="0"/>
            <w:tabs>
              <w:tab w:val="right" w:pos="9360"/>
            </w:tabs>
            <w:spacing w:before="60"/>
            <w:ind w:left="360"/>
            <w:rPr>
              <w:color w:val="000000"/>
            </w:rPr>
          </w:pPr>
          <w:hyperlink w:anchor="_heading=">
            <w:r w:rsidRPr="005F2ACB">
              <w:rPr>
                <w:color w:val="000000"/>
              </w:rPr>
              <w:t>2.8. Recommendations for Future Development</w:t>
            </w:r>
            <w:r w:rsidRPr="005F2ACB">
              <w:rPr>
                <w:color w:val="000000"/>
              </w:rPr>
              <w:tab/>
            </w:r>
          </w:hyperlink>
          <w:r w:rsidR="005C533E" w:rsidRPr="005F2ACB">
            <w:t>8</w:t>
          </w:r>
        </w:p>
        <w:p w14:paraId="0000000D" w14:textId="4BC04B81" w:rsidR="00B0336D" w:rsidRPr="005F2ACB" w:rsidRDefault="00000000">
          <w:pPr>
            <w:widowControl w:val="0"/>
            <w:tabs>
              <w:tab w:val="right" w:pos="9360"/>
            </w:tabs>
            <w:spacing w:before="60"/>
            <w:rPr>
              <w:b/>
              <w:bCs/>
              <w:color w:val="000000"/>
            </w:rPr>
          </w:pPr>
          <w:hyperlink w:anchor="_heading=">
            <w:r w:rsidRPr="005F2ACB">
              <w:rPr>
                <w:b/>
                <w:bCs/>
                <w:color w:val="000000"/>
              </w:rPr>
              <w:t>3. Conclusion</w:t>
            </w:r>
            <w:r w:rsidRPr="005F2ACB">
              <w:rPr>
                <w:b/>
                <w:bCs/>
                <w:color w:val="000000"/>
              </w:rPr>
              <w:tab/>
            </w:r>
          </w:hyperlink>
          <w:r w:rsidR="005C533E" w:rsidRPr="005F2ACB">
            <w:t>9</w:t>
          </w:r>
        </w:p>
        <w:p w14:paraId="0000000E" w14:textId="5AC5E4F3" w:rsidR="00B0336D" w:rsidRPr="005F2ACB" w:rsidRDefault="00000000">
          <w:pPr>
            <w:widowControl w:val="0"/>
            <w:tabs>
              <w:tab w:val="right" w:pos="9360"/>
            </w:tabs>
            <w:spacing w:before="60"/>
            <w:rPr>
              <w:b/>
              <w:bCs/>
              <w:color w:val="000000"/>
            </w:rPr>
          </w:pPr>
          <w:hyperlink w:anchor="_heading=">
            <w:r w:rsidRPr="005F2ACB">
              <w:rPr>
                <w:b/>
                <w:bCs/>
                <w:color w:val="000000"/>
              </w:rPr>
              <w:t>References</w:t>
            </w:r>
            <w:r w:rsidRPr="005F2ACB">
              <w:rPr>
                <w:b/>
                <w:bCs/>
                <w:color w:val="000000"/>
              </w:rPr>
              <w:tab/>
            </w:r>
          </w:hyperlink>
          <w:r w:rsidRPr="005F2ACB">
            <w:fldChar w:fldCharType="end"/>
          </w:r>
          <w:r w:rsidR="005C533E" w:rsidRPr="005F2ACB">
            <w:t>10</w:t>
          </w:r>
        </w:p>
      </w:sdtContent>
    </w:sdt>
    <w:p w14:paraId="0000000F" w14:textId="77777777" w:rsidR="00B0336D" w:rsidRPr="005F2ACB" w:rsidRDefault="00B0336D"/>
    <w:p w14:paraId="00000010" w14:textId="77777777" w:rsidR="00B0336D" w:rsidRPr="005F2ACB" w:rsidRDefault="00B0336D">
      <w:pPr>
        <w:jc w:val="both"/>
      </w:pPr>
    </w:p>
    <w:p w14:paraId="00000011" w14:textId="77777777" w:rsidR="00B0336D" w:rsidRPr="00E8388A" w:rsidRDefault="00B0336D" w:rsidP="00A538A4">
      <w:pPr>
        <w:spacing w:before="120" w:after="120" w:line="360" w:lineRule="auto"/>
        <w:jc w:val="both"/>
        <w:rPr>
          <w:rFonts w:ascii="Arial" w:eastAsia="Arial" w:hAnsi="Arial" w:cs="Arial"/>
          <w:sz w:val="22"/>
          <w:szCs w:val="22"/>
        </w:rPr>
      </w:pPr>
    </w:p>
    <w:p w14:paraId="00000012"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sz w:val="22"/>
          <w:szCs w:val="22"/>
        </w:rPr>
        <w:br w:type="page"/>
      </w:r>
    </w:p>
    <w:p w14:paraId="00000013" w14:textId="77777777" w:rsidR="00B0336D" w:rsidRPr="00E8388A" w:rsidRDefault="00B0336D" w:rsidP="00A538A4">
      <w:pPr>
        <w:spacing w:before="120" w:after="120" w:line="360" w:lineRule="auto"/>
        <w:jc w:val="both"/>
        <w:rPr>
          <w:rFonts w:ascii="Arial" w:eastAsia="Arial" w:hAnsi="Arial" w:cs="Arial"/>
          <w:sz w:val="22"/>
          <w:szCs w:val="22"/>
        </w:rPr>
      </w:pPr>
    </w:p>
    <w:p w14:paraId="00000014" w14:textId="77777777" w:rsidR="00B0336D" w:rsidRPr="00E8388A" w:rsidRDefault="00B0336D" w:rsidP="00A538A4">
      <w:pPr>
        <w:spacing w:before="120" w:after="120" w:line="360" w:lineRule="auto"/>
        <w:jc w:val="both"/>
        <w:rPr>
          <w:rFonts w:ascii="Arial" w:eastAsia="Arial" w:hAnsi="Arial" w:cs="Arial"/>
          <w:sz w:val="22"/>
          <w:szCs w:val="22"/>
        </w:rPr>
      </w:pPr>
    </w:p>
    <w:p w14:paraId="00000015" w14:textId="77777777" w:rsidR="00B0336D" w:rsidRPr="00E8388A" w:rsidRDefault="00000000" w:rsidP="00A538A4">
      <w:pPr>
        <w:pStyle w:val="Heading1"/>
        <w:keepNext w:val="0"/>
        <w:keepLines w:val="0"/>
        <w:spacing w:before="480" w:after="240" w:line="360" w:lineRule="auto"/>
        <w:jc w:val="both"/>
        <w:rPr>
          <w:rFonts w:ascii="Arial" w:eastAsia="Arial" w:hAnsi="Arial" w:cs="Arial"/>
          <w:sz w:val="22"/>
          <w:szCs w:val="22"/>
        </w:rPr>
      </w:pPr>
      <w:r w:rsidRPr="00E8388A">
        <w:rPr>
          <w:rFonts w:ascii="Arial" w:eastAsia="Arial" w:hAnsi="Arial" w:cs="Arial"/>
          <w:color w:val="000000"/>
          <w:sz w:val="22"/>
          <w:szCs w:val="22"/>
        </w:rPr>
        <w:t xml:space="preserve">1. Introduction </w:t>
      </w:r>
    </w:p>
    <w:p w14:paraId="00000016"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Person-centred care (PCC) and partnership working (PW) are the two pillars of the current policy and practice in health and social care in the United Kingdom. These methods focus on teamwork in decision-making, holistic service, and respect towards people, their interests and needs, and values. The growing sophistication of healthcare is forcing cohesive management, which would combine ethical performance, legislative adherence, and multidisciplinary group growth. The theoretical frameworks of PCC and PW, as well as the implementation and evaluation of PCC and PW, are critically interrogated in this report in accordance with relevant legislation and policy frameworks in the UK. It also explores ethical issues and practice in both health and social care contexts that end in the concluding recommendations about the future development, which should strengthen quality, safety, and service-user outcomes.</w:t>
      </w:r>
    </w:p>
    <w:p w14:paraId="00000017" w14:textId="77777777" w:rsidR="00B0336D" w:rsidRPr="00E8388A" w:rsidRDefault="00B0336D" w:rsidP="00A538A4">
      <w:pPr>
        <w:spacing w:before="120" w:after="120" w:line="360" w:lineRule="auto"/>
        <w:jc w:val="both"/>
        <w:rPr>
          <w:rFonts w:ascii="Arial" w:eastAsia="Arial" w:hAnsi="Arial" w:cs="Arial"/>
          <w:sz w:val="22"/>
          <w:szCs w:val="22"/>
        </w:rPr>
      </w:pPr>
    </w:p>
    <w:p w14:paraId="00000018" w14:textId="77777777" w:rsidR="00B0336D" w:rsidRPr="00E8388A" w:rsidRDefault="00000000" w:rsidP="00A538A4">
      <w:pPr>
        <w:pStyle w:val="Heading1"/>
        <w:keepNext w:val="0"/>
        <w:keepLines w:val="0"/>
        <w:spacing w:before="480" w:after="240" w:line="360" w:lineRule="auto"/>
        <w:jc w:val="both"/>
        <w:rPr>
          <w:rFonts w:ascii="Arial" w:eastAsia="Arial" w:hAnsi="Arial" w:cs="Arial"/>
          <w:sz w:val="22"/>
          <w:szCs w:val="22"/>
        </w:rPr>
      </w:pPr>
      <w:r w:rsidRPr="00E8388A">
        <w:rPr>
          <w:rFonts w:ascii="Arial" w:eastAsia="Arial" w:hAnsi="Arial" w:cs="Arial"/>
          <w:color w:val="000000"/>
          <w:sz w:val="22"/>
          <w:szCs w:val="22"/>
        </w:rPr>
        <w:t>2. Report Body</w:t>
      </w:r>
    </w:p>
    <w:p w14:paraId="00000019" w14:textId="77777777" w:rsidR="00B0336D" w:rsidRPr="00E8388A" w:rsidRDefault="00000000" w:rsidP="00A538A4">
      <w:pPr>
        <w:pStyle w:val="Heading2"/>
        <w:keepNext w:val="0"/>
        <w:keepLines w:val="0"/>
        <w:spacing w:before="180" w:after="180" w:line="360" w:lineRule="auto"/>
        <w:jc w:val="both"/>
        <w:rPr>
          <w:rFonts w:ascii="Arial" w:eastAsia="Arial" w:hAnsi="Arial" w:cs="Arial"/>
          <w:sz w:val="22"/>
          <w:szCs w:val="22"/>
        </w:rPr>
      </w:pPr>
      <w:r w:rsidRPr="00E8388A">
        <w:rPr>
          <w:rFonts w:ascii="Arial" w:eastAsia="Arial" w:hAnsi="Arial" w:cs="Arial"/>
          <w:color w:val="000000"/>
          <w:sz w:val="22"/>
          <w:szCs w:val="22"/>
        </w:rPr>
        <w:t>2.1 Person-Centred Care: Definition, Benefits and Limitations</w:t>
      </w:r>
    </w:p>
    <w:p w14:paraId="0000001A" w14:textId="00226BD8"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Person-Centred Care (PCC) is one systemic principle that is considered a universal resource in the present health and social care practice. It refers to a strategy where people take an active role in deciding about their treatment and support, therefore making care tailored according to preferences, values and needs. The idea goes beyond the conventional biomedical paradigm in focusing on holistic health as well as recognising service users as equal partners, and not passive receivers. Nolte, E. and Pitchforth (2016), asserted that PCC requires the incorporation of professional competence, attention to patient relationships, and conducive care settings. The benefits of PCC are enormous and have been documented extensively in the literature of health research, such as positive relationships with patient satisfaction, better adherence to treatment regimes, and psychological well-being. According </w:t>
      </w:r>
      <w:r w:rsidR="00EE578F" w:rsidRPr="00E8388A">
        <w:rPr>
          <w:rFonts w:ascii="Arial" w:eastAsia="Arial" w:hAnsi="Arial" w:cs="Arial"/>
          <w:sz w:val="22"/>
          <w:szCs w:val="22"/>
        </w:rPr>
        <w:t>to McCormack</w:t>
      </w:r>
      <w:r w:rsidRPr="00E8388A">
        <w:rPr>
          <w:rFonts w:ascii="Arial" w:eastAsia="Arial" w:hAnsi="Arial" w:cs="Arial"/>
          <w:sz w:val="22"/>
          <w:szCs w:val="22"/>
        </w:rPr>
        <w:t xml:space="preserve"> and McCance (2017), respect and involvement promote positive involvement in healthcare interventions. Additionally, PCC helps in reducing harm since the professionals and service users can communicate freely, thereby reducing the chances of medical error </w:t>
      </w:r>
      <w:r w:rsidR="00EE578F" w:rsidRPr="00E8388A">
        <w:rPr>
          <w:rFonts w:ascii="Arial" w:eastAsia="Arial" w:hAnsi="Arial" w:cs="Arial"/>
          <w:sz w:val="22"/>
          <w:szCs w:val="22"/>
        </w:rPr>
        <w:t>occurrence</w:t>
      </w:r>
      <w:r w:rsidRPr="00E8388A">
        <w:rPr>
          <w:rFonts w:ascii="Arial" w:eastAsia="Arial" w:hAnsi="Arial" w:cs="Arial"/>
          <w:sz w:val="22"/>
          <w:szCs w:val="22"/>
        </w:rPr>
        <w:t xml:space="preserve"> promotes independence and empowerment in </w:t>
      </w:r>
      <w:r w:rsidRPr="00E8388A">
        <w:rPr>
          <w:rFonts w:ascii="Arial" w:eastAsia="Arial" w:hAnsi="Arial" w:cs="Arial"/>
          <w:sz w:val="22"/>
          <w:szCs w:val="22"/>
        </w:rPr>
        <w:lastRenderedPageBreak/>
        <w:t>social care contexts, specifically during work with vulnerable populations, including older adults and persons with disabilities.</w:t>
      </w:r>
    </w:p>
    <w:p w14:paraId="0000001B"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Even with these advantages, the adoption of PCC is fraught with a lot of difficulties. The continuous provision of person-centred practices may be hampered by organisational factors, including a lack of workforce, excessive workloads and resource inadequacy. In their review, Paparella (2016) notes that healthcare systems tend to concur efficiency and standardisation, thus operating in a way that is inconsistent with the individualism of PCC. Also, ethical complexities may be created due to inequity in the ability of the users of the services to participate in decision-making. A case in point is the cognitively impaired persons, who might need a modified communication approach </w:t>
      </w:r>
      <w:proofErr w:type="gramStart"/>
      <w:r w:rsidRPr="00E8388A">
        <w:rPr>
          <w:rFonts w:ascii="Arial" w:eastAsia="Arial" w:hAnsi="Arial" w:cs="Arial"/>
          <w:sz w:val="22"/>
          <w:szCs w:val="22"/>
        </w:rPr>
        <w:t>in order to</w:t>
      </w:r>
      <w:proofErr w:type="gramEnd"/>
      <w:r w:rsidRPr="00E8388A">
        <w:rPr>
          <w:rFonts w:ascii="Arial" w:eastAsia="Arial" w:hAnsi="Arial" w:cs="Arial"/>
          <w:sz w:val="22"/>
          <w:szCs w:val="22"/>
        </w:rPr>
        <w:t xml:space="preserve"> have them meaningfully engaged. Therefore, although PCC is a promising model of care, its performance strongly depends on the organisational culture, leadership, and workforce development.</w:t>
      </w:r>
    </w:p>
    <w:p w14:paraId="0000001C" w14:textId="77777777" w:rsidR="00B0336D" w:rsidRPr="00E8388A" w:rsidRDefault="00000000" w:rsidP="00A538A4">
      <w:pPr>
        <w:pStyle w:val="Heading2"/>
        <w:keepNext w:val="0"/>
        <w:keepLines w:val="0"/>
        <w:spacing w:before="360" w:after="180" w:line="360" w:lineRule="auto"/>
        <w:jc w:val="both"/>
        <w:rPr>
          <w:rFonts w:ascii="Arial" w:eastAsia="Arial" w:hAnsi="Arial" w:cs="Arial"/>
          <w:sz w:val="22"/>
          <w:szCs w:val="22"/>
        </w:rPr>
      </w:pPr>
      <w:r w:rsidRPr="00E8388A">
        <w:rPr>
          <w:rFonts w:ascii="Arial" w:eastAsia="Arial" w:hAnsi="Arial" w:cs="Arial"/>
          <w:color w:val="000000"/>
          <w:sz w:val="22"/>
          <w:szCs w:val="22"/>
        </w:rPr>
        <w:t>2.3 Theoretical Framework Underpinning Person-Centred Care</w:t>
      </w:r>
    </w:p>
    <w:p w14:paraId="0000001D" w14:textId="321DA53F"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Humanistic psychology, especially the person-centred theory by Carl Rogers, is a very potent influence in the theoretical underpinnings of PCC. Beauchamp and Childress (2019) have highlighted the critical importance of empathy, unconditional positive regard and authenticity in building up therapeutic relationships. The view has been modified in the healthcare sector to encourage caring interactions and holistic evaluation of the needs of service </w:t>
      </w:r>
      <w:r w:rsidR="0008542A" w:rsidRPr="00E8388A">
        <w:rPr>
          <w:rFonts w:ascii="Arial" w:eastAsia="Arial" w:hAnsi="Arial" w:cs="Arial"/>
          <w:sz w:val="22"/>
          <w:szCs w:val="22"/>
        </w:rPr>
        <w:t>users. McCormack</w:t>
      </w:r>
      <w:r w:rsidRPr="00E8388A">
        <w:rPr>
          <w:rFonts w:ascii="Arial" w:eastAsia="Arial" w:hAnsi="Arial" w:cs="Arial"/>
          <w:sz w:val="22"/>
          <w:szCs w:val="22"/>
        </w:rPr>
        <w:t xml:space="preserve"> and McCance elaborated the Person-Centred Nursing Framework based on the work of Rogers and proposed a systematic framework for applying PCC in clinical settings. The framework outlines some of the essential </w:t>
      </w:r>
      <w:r w:rsidR="003D7F8C" w:rsidRPr="00E8388A">
        <w:rPr>
          <w:rFonts w:ascii="Arial" w:eastAsia="Arial" w:hAnsi="Arial" w:cs="Arial"/>
          <w:sz w:val="22"/>
          <w:szCs w:val="22"/>
        </w:rPr>
        <w:t>elements</w:t>
      </w:r>
      <w:r w:rsidRPr="00E8388A">
        <w:rPr>
          <w:rFonts w:ascii="Arial" w:eastAsia="Arial" w:hAnsi="Arial" w:cs="Arial"/>
          <w:sz w:val="22"/>
          <w:szCs w:val="22"/>
        </w:rPr>
        <w:t xml:space="preserve"> which include professional competence, shared decision-making and supportive organisational systems.</w:t>
      </w:r>
    </w:p>
    <w:p w14:paraId="0000001E"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The model gives a holistic method of increasing the quality of care by including both theoretical concepts and practical processes. Most importantly, although these structures are useful, they might be limited in their practice due to systemic conditions. Policies in institutions, financial constraints, and workforce strains may hinder the process of transferring the theory into practice (Paparella, 2016). Other researchers assume that a focus on relations is potentially dangerous when not carefully balanced, as it may overshadow clinical efficiency. However, the person-centred theories are still shaping the professional standards and the formulation of policies, which, in turn, contribute to the need to provide care based on compassion and at the individual level.</w:t>
      </w:r>
    </w:p>
    <w:p w14:paraId="0000001F" w14:textId="77777777" w:rsidR="00B0336D" w:rsidRPr="00E8388A" w:rsidRDefault="00B0336D" w:rsidP="00A538A4">
      <w:pPr>
        <w:spacing w:before="120" w:after="120" w:line="360" w:lineRule="auto"/>
        <w:jc w:val="both"/>
        <w:rPr>
          <w:rFonts w:ascii="Arial" w:eastAsia="Arial" w:hAnsi="Arial" w:cs="Arial"/>
          <w:sz w:val="22"/>
          <w:szCs w:val="22"/>
        </w:rPr>
      </w:pPr>
    </w:p>
    <w:p w14:paraId="00000020" w14:textId="77777777" w:rsidR="00B0336D" w:rsidRPr="00E8388A" w:rsidRDefault="00000000" w:rsidP="00A538A4">
      <w:pPr>
        <w:pStyle w:val="Heading2"/>
        <w:keepNext w:val="0"/>
        <w:keepLines w:val="0"/>
        <w:spacing w:before="360" w:after="180" w:line="360" w:lineRule="auto"/>
        <w:jc w:val="both"/>
        <w:rPr>
          <w:rFonts w:ascii="Arial" w:eastAsia="Arial" w:hAnsi="Arial" w:cs="Arial"/>
          <w:sz w:val="22"/>
          <w:szCs w:val="22"/>
        </w:rPr>
      </w:pPr>
      <w:r w:rsidRPr="00E8388A">
        <w:rPr>
          <w:rFonts w:ascii="Arial" w:eastAsia="Arial" w:hAnsi="Arial" w:cs="Arial"/>
          <w:color w:val="000000"/>
          <w:sz w:val="22"/>
          <w:szCs w:val="22"/>
        </w:rPr>
        <w:lastRenderedPageBreak/>
        <w:t>2.4. Ethical Foundations of Health and Social Care Practice</w:t>
      </w:r>
    </w:p>
    <w:p w14:paraId="00000021" w14:textId="08338231"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The core of PCC and partnership in health and social care lies in ethical principles. According to Sharma et al (2015), the core ethical principles include autonomy, beneficence, non-maleficence, and justice, the adherence to which by the professionals ensures compliance with the rights of individuals and prevents risks to their life, along with providing equal opportunity in accessing </w:t>
      </w:r>
      <w:r w:rsidR="00AB5704" w:rsidRPr="00E8388A">
        <w:rPr>
          <w:rFonts w:ascii="Arial" w:eastAsia="Arial" w:hAnsi="Arial" w:cs="Arial"/>
          <w:sz w:val="22"/>
          <w:szCs w:val="22"/>
        </w:rPr>
        <w:t>services</w:t>
      </w:r>
      <w:r w:rsidR="00780233" w:rsidRPr="00E8388A">
        <w:rPr>
          <w:rFonts w:ascii="Arial" w:eastAsia="Arial" w:hAnsi="Arial" w:cs="Arial"/>
          <w:sz w:val="22"/>
          <w:szCs w:val="22"/>
        </w:rPr>
        <w:t>. PCC</w:t>
      </w:r>
      <w:r w:rsidRPr="00E8388A">
        <w:rPr>
          <w:rFonts w:ascii="Arial" w:eastAsia="Arial" w:hAnsi="Arial" w:cs="Arial"/>
          <w:sz w:val="22"/>
          <w:szCs w:val="22"/>
        </w:rPr>
        <w:t xml:space="preserve"> is closely connected with autonomy, as it is based on the right of people to make informed decisions about their care. Acknowledging the autonomy involves the ability to communicate effectively, be culturally aware and provide readily available information (Edvardsson et al, 2016). Beneficence and non-maleficence oblige the professionals to serve the best interests of the service users and to reduce the risks of harm; in real life, the same could mean weighing the harm and the benefits when executing the course of treatment or protecting vulnerable people. Justice focuses on the issue of equity and equal distribution of resources and access to services. In the UK, the ethical practice is supported by professional regulatory institutions, e.g. the Nursing and Midwifery Council (NMC) and the Health and Care Professions Council (HCPC) (Moore et al, 2017). However, the problem of ethical dilemma is common in intricate care settings, especially in scenarios where organisational limitations limit the resources that can be used. To be able to manage the conflicting priorities effectively, professionals should therefore conduct themselves through a reflective practice and ethical reasoning. Implementing ethical frameworks into the daily practice improves accountability, trust, and quality of care in general.</w:t>
      </w:r>
    </w:p>
    <w:p w14:paraId="00000022"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b/>
          <w:bCs/>
          <w:sz w:val="22"/>
          <w:szCs w:val="22"/>
        </w:rPr>
        <w:t>2.5 Partnership Working in Health and Social Care</w:t>
      </w:r>
    </w:p>
    <w:p w14:paraId="00000023" w14:textId="1A6963D5"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Partnership working (PW) is joint action among healthcare professionals, social care providers, service users, and community organisations to achieve shared goals. It is seen as critical for addressing complex and varied health needs. Glasby and Dickinson (2014) state that partnership working enables more integrated service delivery. This can reduce fragmentation and improve continuity of care. The advantages of PW are clear in multidisciplinary team (MDT) strategies. Here, specialists from various fields cooperate to create detailed care plans. Such teamwork improves information sharing, encourages holistic assessments, and ensures interventions meet both medical and social needs. A study by Ham and Walsh (2013) shows that the integrated care model can reduce hospitalisations and benefit patients with chronic conditions over time. </w:t>
      </w:r>
      <w:r w:rsidR="00A13C02" w:rsidRPr="00E8388A">
        <w:rPr>
          <w:rFonts w:ascii="Arial" w:eastAsia="Arial" w:hAnsi="Arial" w:cs="Arial"/>
          <w:sz w:val="22"/>
          <w:szCs w:val="22"/>
        </w:rPr>
        <w:t>Yet</w:t>
      </w:r>
      <w:r w:rsidRPr="00E8388A">
        <w:rPr>
          <w:rFonts w:ascii="Arial" w:eastAsia="Arial" w:hAnsi="Arial" w:cs="Arial"/>
          <w:sz w:val="22"/>
          <w:szCs w:val="22"/>
        </w:rPr>
        <w:t xml:space="preserve"> partnership working also faces obstacles. Differences in organisational cultures, communication barriers, and opposing professional priorities can hinder collaboration. Structural inequalities and funding gaps may make these challenges worse. Ambiguous governance can create </w:t>
      </w:r>
      <w:r w:rsidRPr="00E8388A">
        <w:rPr>
          <w:rFonts w:ascii="Arial" w:eastAsia="Arial" w:hAnsi="Arial" w:cs="Arial"/>
          <w:sz w:val="22"/>
          <w:szCs w:val="22"/>
        </w:rPr>
        <w:lastRenderedPageBreak/>
        <w:t>accountability problems, undermining service quality. To address these issues, organisations should foster unity, respect, shared responsibility, and open communication.</w:t>
      </w:r>
    </w:p>
    <w:p w14:paraId="00000024" w14:textId="77777777" w:rsidR="00B0336D" w:rsidRPr="00E8388A" w:rsidRDefault="00B0336D" w:rsidP="00A538A4">
      <w:pPr>
        <w:spacing w:before="120" w:after="120" w:line="360" w:lineRule="auto"/>
        <w:jc w:val="both"/>
        <w:rPr>
          <w:rFonts w:ascii="Arial" w:eastAsia="Arial" w:hAnsi="Arial" w:cs="Arial"/>
          <w:sz w:val="22"/>
          <w:szCs w:val="22"/>
        </w:rPr>
      </w:pPr>
    </w:p>
    <w:p w14:paraId="00000025" w14:textId="77777777" w:rsidR="00B0336D" w:rsidRPr="00E8388A" w:rsidRDefault="00000000" w:rsidP="00A538A4">
      <w:pPr>
        <w:pStyle w:val="Heading2"/>
        <w:keepNext w:val="0"/>
        <w:keepLines w:val="0"/>
        <w:spacing w:before="360" w:after="180" w:line="360" w:lineRule="auto"/>
        <w:jc w:val="both"/>
        <w:rPr>
          <w:rFonts w:ascii="Arial" w:eastAsia="Arial" w:hAnsi="Arial" w:cs="Arial"/>
          <w:sz w:val="22"/>
          <w:szCs w:val="22"/>
        </w:rPr>
      </w:pPr>
      <w:r w:rsidRPr="00E8388A">
        <w:rPr>
          <w:rFonts w:ascii="Arial" w:eastAsia="Arial" w:hAnsi="Arial" w:cs="Arial"/>
          <w:color w:val="000000"/>
          <w:sz w:val="22"/>
          <w:szCs w:val="22"/>
        </w:rPr>
        <w:t>2.5. Practical Application of Partnership Working: Integrated Care for Older Adults</w:t>
      </w:r>
    </w:p>
    <w:p w14:paraId="00000026"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A demonstrative example of the practical use of partnership working is integrated care services, which strive to address older adults in the community context. These services prompt collaboration among the healthcare providers, social workers, voluntary organisations and the informal caregivers. The general aim is to provide coordinated services which will promote independence, reduce hospitalisation, and enhance quality of life. In operational practice, multidisciplinary meetings are used to develop individualised plans of care to meet the needs of the individual. Goodwin et al. (2016) present the evidence that integrated care initiatives have already shown positive results in the context of chronic condition management and the reduction of inequalities in ageing groups and their health. By way of example, community-based rehabilitation programmes may help to accelerate early discharges </w:t>
      </w:r>
      <w:proofErr w:type="gramStart"/>
      <w:r w:rsidRPr="00E8388A">
        <w:rPr>
          <w:rFonts w:ascii="Arial" w:eastAsia="Arial" w:hAnsi="Arial" w:cs="Arial"/>
          <w:sz w:val="22"/>
          <w:szCs w:val="22"/>
        </w:rPr>
        <w:t>and also</w:t>
      </w:r>
      <w:proofErr w:type="gramEnd"/>
      <w:r w:rsidRPr="00E8388A">
        <w:rPr>
          <w:rFonts w:ascii="Arial" w:eastAsia="Arial" w:hAnsi="Arial" w:cs="Arial"/>
          <w:sz w:val="22"/>
          <w:szCs w:val="22"/>
        </w:rPr>
        <w:t xml:space="preserve"> continuity of care. However, there is a complex nature to the application of integrated care to be implemented (Glasby and Dickinson, 2021). Efforts to protect the sharing of data, workforce limitations, and geographical inequalities in service delivery are some of the constraints that may limit effectiveness. Effective collaboration in the workplace requires effective leadership, clarity in roles and performance indices. With such aspects considered, health and social care systems will be able to improve the sustainability and effectiveness of integrated care models.</w:t>
      </w:r>
    </w:p>
    <w:p w14:paraId="00000027" w14:textId="77777777" w:rsidR="00B0336D" w:rsidRPr="00E8388A" w:rsidRDefault="00000000" w:rsidP="00A538A4">
      <w:pPr>
        <w:pStyle w:val="Heading2"/>
        <w:keepNext w:val="0"/>
        <w:keepLines w:val="0"/>
        <w:spacing w:before="360" w:after="180" w:line="360" w:lineRule="auto"/>
        <w:jc w:val="both"/>
        <w:rPr>
          <w:rFonts w:ascii="Arial" w:eastAsia="Arial" w:hAnsi="Arial" w:cs="Arial"/>
          <w:sz w:val="22"/>
          <w:szCs w:val="22"/>
        </w:rPr>
      </w:pPr>
      <w:r w:rsidRPr="00E8388A">
        <w:rPr>
          <w:rFonts w:ascii="Arial" w:eastAsia="Arial" w:hAnsi="Arial" w:cs="Arial"/>
          <w:color w:val="000000"/>
          <w:sz w:val="22"/>
          <w:szCs w:val="22"/>
        </w:rPr>
        <w:t>2.7. Policy and Legislation Supporting Person-Centred Care and Partnership Working</w:t>
      </w:r>
    </w:p>
    <w:p w14:paraId="00000028" w14:textId="287FFFFD"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The system of legislation, policy, and professional advice has a wide-ranging influence on person-centred care (PCC) and partnership working (PW) in the United Kingdom. These models are aimed at ensuring that health and social care services are provided in ways that help in promoting dignity, autonomy, safety, and integrated support (</w:t>
      </w:r>
      <w:proofErr w:type="spellStart"/>
      <w:r w:rsidRPr="00E8388A">
        <w:rPr>
          <w:rFonts w:ascii="Arial" w:eastAsia="Arial" w:hAnsi="Arial" w:cs="Arial"/>
          <w:sz w:val="22"/>
          <w:szCs w:val="22"/>
        </w:rPr>
        <w:t>Ocloo</w:t>
      </w:r>
      <w:proofErr w:type="spellEnd"/>
      <w:r w:rsidRPr="00E8388A">
        <w:rPr>
          <w:rFonts w:ascii="Arial" w:eastAsia="Arial" w:hAnsi="Arial" w:cs="Arial"/>
          <w:sz w:val="22"/>
          <w:szCs w:val="22"/>
        </w:rPr>
        <w:t xml:space="preserve"> et al, 2020). The Care Act 2014 forms the most important legislative breakthrough of its kind, where the individual's well-being is the centre of care delivery and the development of the local authorities and the care providers to involve changes of service users in decision-making as well as promote the integration of operations of health, social care, and voluntary sectors (Dickinson and Glasby, 2016). This aligns with the fundamental principles of PCC and validates the requirement of team-based strategies in the achievement of complex care requirements. On the same note, the Health and Social Care </w:t>
      </w:r>
      <w:r w:rsidRPr="00E8388A">
        <w:rPr>
          <w:rFonts w:ascii="Arial" w:eastAsia="Arial" w:hAnsi="Arial" w:cs="Arial"/>
          <w:sz w:val="22"/>
          <w:szCs w:val="22"/>
        </w:rPr>
        <w:lastRenderedPageBreak/>
        <w:t>Act 2012 enacted structural reforms that aim at raising the level of service integration and accountability. The creation of Clinical Commissioning Groups and, later, Integrated Care Systems was to enhance the coordination between organisations and therefore make sure that fragmentation is less and continuity of care increases. Additionally, Doyle, Lennox, and Bell (2013) highlight the importance of individualised care models, prevention, and intersectoral approaches in tackling the problem of population health. Acts like the Equality Act 2010 also provide and promise fair access to services, which is consistent with non-discriminatory and ethical standards of justice.</w:t>
      </w:r>
      <w:r w:rsidR="00AE6E25" w:rsidRPr="00E8388A">
        <w:rPr>
          <w:rFonts w:ascii="Arial" w:eastAsia="Arial" w:hAnsi="Arial" w:cs="Arial"/>
          <w:sz w:val="22"/>
          <w:szCs w:val="22"/>
        </w:rPr>
        <w:t xml:space="preserve"> D</w:t>
      </w:r>
      <w:r w:rsidRPr="00E8388A">
        <w:rPr>
          <w:rFonts w:ascii="Arial" w:eastAsia="Arial" w:hAnsi="Arial" w:cs="Arial"/>
          <w:sz w:val="22"/>
          <w:szCs w:val="22"/>
        </w:rPr>
        <w:t>espite the commitment made by the firm's policy, challenges in implementation persist due to limited funds available, a shortage of workforce, and intricacies within the organisation. Therefore, the long-term assessment and policy development are inevitable to transform the legislative dreams into real modifications in the sphere of delivering person-centred and collaborative care.</w:t>
      </w:r>
    </w:p>
    <w:p w14:paraId="00000029" w14:textId="77777777" w:rsidR="00B0336D" w:rsidRPr="00E8388A" w:rsidRDefault="00000000" w:rsidP="00A538A4">
      <w:pPr>
        <w:pStyle w:val="Heading2"/>
        <w:keepNext w:val="0"/>
        <w:keepLines w:val="0"/>
        <w:spacing w:before="360" w:after="180" w:line="360" w:lineRule="auto"/>
        <w:jc w:val="both"/>
        <w:rPr>
          <w:rFonts w:ascii="Arial" w:eastAsia="Arial" w:hAnsi="Arial" w:cs="Arial"/>
          <w:sz w:val="22"/>
          <w:szCs w:val="22"/>
        </w:rPr>
      </w:pPr>
      <w:r w:rsidRPr="00E8388A">
        <w:rPr>
          <w:rFonts w:ascii="Arial" w:eastAsia="Arial" w:hAnsi="Arial" w:cs="Arial"/>
          <w:color w:val="000000"/>
          <w:sz w:val="22"/>
          <w:szCs w:val="22"/>
        </w:rPr>
        <w:t>2.8. Recommendations for Future Development</w:t>
      </w:r>
    </w:p>
    <w:p w14:paraId="0000002A"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The novel development of person-centred care and partnering work in the United Kingdom requires a strategic and systemic process that will involve organisational and professional practices. One of the top-level priorities should be the enhancement of workforce education and training to facilitate health and social care professionals in terms of competencies that would be necessary to provide collaborative and individualistic care (Beauchamp and Childress, 2019). An interprofessional learning programme has the potential to improve the understanding of different roles and encourage shared responsibility to reduce coordination and service fragmentation.</w:t>
      </w:r>
    </w:p>
    <w:p w14:paraId="0000002B"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Digital infrastructure also needs to be invested in to facilitate effective and efficient collaboration. The use of an integrated electronic health record alongside data-sharing systems can enable organisations to communicate fairly and promptly, which will result in a high level of continuity and less duplication of services (Ham et al, 2018). However, the introduction of technology should be accompanied by effective governance models that limit the anxieties that involve confidentiality and data safety.</w:t>
      </w:r>
    </w:p>
    <w:p w14:paraId="0000002C" w14:textId="0311CBD4"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 xml:space="preserve">Sustainable funding models should also be a priority for policymakers. The shift of the current system towards a more proactive approach of health promotion rather than reactive, through the establishment of hospitals, has the potential to increase the long-term sustainability of the entire system, as well as to improve the health outcomes of the populations. </w:t>
      </w:r>
    </w:p>
    <w:p w14:paraId="12DDC63F" w14:textId="77777777" w:rsidR="00B961E9" w:rsidRPr="00E8388A" w:rsidRDefault="00B961E9" w:rsidP="00A538A4">
      <w:pPr>
        <w:pStyle w:val="Heading1"/>
        <w:keepNext w:val="0"/>
        <w:keepLines w:val="0"/>
        <w:spacing w:before="480" w:after="240" w:line="360" w:lineRule="auto"/>
        <w:jc w:val="both"/>
        <w:rPr>
          <w:rFonts w:ascii="Arial" w:eastAsia="Arial" w:hAnsi="Arial" w:cs="Arial"/>
          <w:color w:val="000000"/>
          <w:sz w:val="22"/>
          <w:szCs w:val="22"/>
        </w:rPr>
      </w:pPr>
    </w:p>
    <w:p w14:paraId="0000002D" w14:textId="5CC529B4" w:rsidR="00B0336D" w:rsidRPr="00E8388A" w:rsidRDefault="00000000" w:rsidP="00A538A4">
      <w:pPr>
        <w:pStyle w:val="Heading1"/>
        <w:keepNext w:val="0"/>
        <w:keepLines w:val="0"/>
        <w:spacing w:before="480" w:after="240" w:line="360" w:lineRule="auto"/>
        <w:jc w:val="both"/>
        <w:rPr>
          <w:rFonts w:ascii="Arial" w:eastAsia="Arial" w:hAnsi="Arial" w:cs="Arial"/>
          <w:sz w:val="22"/>
          <w:szCs w:val="22"/>
        </w:rPr>
      </w:pPr>
      <w:r w:rsidRPr="00E8388A">
        <w:rPr>
          <w:rFonts w:ascii="Arial" w:eastAsia="Arial" w:hAnsi="Arial" w:cs="Arial"/>
          <w:color w:val="000000"/>
          <w:sz w:val="22"/>
          <w:szCs w:val="22"/>
        </w:rPr>
        <w:lastRenderedPageBreak/>
        <w:t xml:space="preserve">3. Conclusion </w:t>
      </w:r>
    </w:p>
    <w:p w14:paraId="0000002E" w14:textId="77777777" w:rsidR="00B0336D" w:rsidRPr="00E8388A" w:rsidRDefault="00000000" w:rsidP="00A538A4">
      <w:pPr>
        <w:spacing w:before="120" w:after="120" w:line="360" w:lineRule="auto"/>
        <w:jc w:val="both"/>
        <w:rPr>
          <w:rFonts w:ascii="Arial" w:eastAsia="Arial" w:hAnsi="Arial" w:cs="Arial"/>
          <w:sz w:val="22"/>
          <w:szCs w:val="22"/>
        </w:rPr>
      </w:pPr>
      <w:r w:rsidRPr="00E8388A">
        <w:rPr>
          <w:rFonts w:ascii="Arial" w:eastAsia="Arial" w:hAnsi="Arial" w:cs="Arial"/>
          <w:sz w:val="22"/>
          <w:szCs w:val="22"/>
        </w:rPr>
        <w:t>Person-centred care and partnership working are the concepts that are pronounced in the delivery of integrity, ethical and high-quality health and social care in the United Kingdom. Although legislative policies and theoretical bases have solid foundations, successful implementation presupposes organisational dedication, available resources, and shared leadership. The practice of both methods is based on ethical principles, which guarantee equality in the care delivered and responsiveness to needs. Irrespective of the prevailing challenges, continued expenditure on training, policy formulation and integrated service models can improve service users. Through synchronising PCC and partnership working with the changing healthcare needs, the United Kingdom has an opportunity to underpin its commitment towards total, inclusive, and sustainable care delivery.</w:t>
      </w:r>
    </w:p>
    <w:p w14:paraId="0000002F" w14:textId="77777777" w:rsidR="00B0336D" w:rsidRPr="005F2ACB" w:rsidRDefault="00B0336D">
      <w:pPr>
        <w:spacing w:before="120" w:after="120"/>
        <w:jc w:val="both"/>
        <w:rPr>
          <w:rFonts w:ascii="Arial" w:eastAsia="Arial" w:hAnsi="Arial" w:cs="Arial"/>
        </w:rPr>
      </w:pPr>
    </w:p>
    <w:p w14:paraId="00000030" w14:textId="77777777" w:rsidR="00B0336D" w:rsidRPr="005F2ACB" w:rsidRDefault="00B0336D">
      <w:pPr>
        <w:spacing w:before="120" w:after="120"/>
        <w:jc w:val="both"/>
        <w:rPr>
          <w:rFonts w:ascii="Arial" w:eastAsia="Arial" w:hAnsi="Arial" w:cs="Arial"/>
        </w:rPr>
      </w:pPr>
    </w:p>
    <w:p w14:paraId="00000031" w14:textId="77777777" w:rsidR="00B0336D" w:rsidRPr="005F2ACB" w:rsidRDefault="00B0336D">
      <w:pPr>
        <w:spacing w:before="120" w:after="120"/>
        <w:jc w:val="both"/>
        <w:rPr>
          <w:rFonts w:ascii="Arial" w:eastAsia="Arial" w:hAnsi="Arial" w:cs="Arial"/>
        </w:rPr>
      </w:pPr>
    </w:p>
    <w:p w14:paraId="00000032" w14:textId="77777777" w:rsidR="00B0336D" w:rsidRPr="005F2ACB" w:rsidRDefault="00000000">
      <w:pPr>
        <w:pStyle w:val="Heading1"/>
        <w:keepNext w:val="0"/>
        <w:keepLines w:val="0"/>
        <w:spacing w:before="480" w:after="240"/>
        <w:jc w:val="both"/>
        <w:rPr>
          <w:rFonts w:ascii="Arial" w:eastAsia="Arial" w:hAnsi="Arial" w:cs="Arial"/>
          <w:color w:val="000000"/>
          <w:sz w:val="24"/>
          <w:szCs w:val="24"/>
        </w:rPr>
      </w:pPr>
      <w:r w:rsidRPr="005F2ACB">
        <w:br w:type="page"/>
      </w:r>
    </w:p>
    <w:p w14:paraId="00000033" w14:textId="77777777" w:rsidR="00B0336D" w:rsidRPr="005F2ACB" w:rsidRDefault="00000000">
      <w:pPr>
        <w:pStyle w:val="Heading1"/>
        <w:keepNext w:val="0"/>
        <w:keepLines w:val="0"/>
        <w:spacing w:before="480" w:after="240"/>
        <w:jc w:val="both"/>
        <w:rPr>
          <w:rFonts w:ascii="Arial" w:eastAsia="Arial" w:hAnsi="Arial" w:cs="Arial"/>
          <w:sz w:val="24"/>
          <w:szCs w:val="24"/>
        </w:rPr>
      </w:pPr>
      <w:r w:rsidRPr="005F2ACB">
        <w:rPr>
          <w:rFonts w:ascii="Arial" w:eastAsia="Arial" w:hAnsi="Arial" w:cs="Arial"/>
          <w:color w:val="000000"/>
          <w:sz w:val="24"/>
          <w:szCs w:val="24"/>
        </w:rPr>
        <w:lastRenderedPageBreak/>
        <w:t>References</w:t>
      </w:r>
    </w:p>
    <w:p w14:paraId="00000034" w14:textId="77777777" w:rsidR="00B0336D" w:rsidRPr="005F2ACB" w:rsidRDefault="00B0336D">
      <w:pPr>
        <w:spacing w:before="120" w:after="120"/>
        <w:jc w:val="both"/>
        <w:rPr>
          <w:rFonts w:ascii="Arial" w:eastAsia="Arial" w:hAnsi="Arial" w:cs="Arial"/>
        </w:rPr>
      </w:pPr>
    </w:p>
    <w:p w14:paraId="00000035"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Beauchamp, T.L. and Childress, J.F. (2019). </w:t>
      </w:r>
      <w:r w:rsidRPr="005F2ACB">
        <w:rPr>
          <w:rFonts w:ascii="Arial" w:eastAsia="Arial" w:hAnsi="Arial" w:cs="Arial"/>
          <w:i/>
          <w:iCs/>
        </w:rPr>
        <w:t>Principles of biomedical ethics</w:t>
      </w:r>
      <w:r w:rsidRPr="005F2ACB">
        <w:rPr>
          <w:rFonts w:ascii="Arial" w:eastAsia="Arial" w:hAnsi="Arial" w:cs="Arial"/>
        </w:rPr>
        <w:t xml:space="preserve">. 8th </w:t>
      </w:r>
      <w:proofErr w:type="spellStart"/>
      <w:r w:rsidRPr="005F2ACB">
        <w:rPr>
          <w:rFonts w:ascii="Arial" w:eastAsia="Arial" w:hAnsi="Arial" w:cs="Arial"/>
        </w:rPr>
        <w:t>edn</w:t>
      </w:r>
      <w:proofErr w:type="spellEnd"/>
      <w:r w:rsidRPr="005F2ACB">
        <w:rPr>
          <w:rFonts w:ascii="Arial" w:eastAsia="Arial" w:hAnsi="Arial" w:cs="Arial"/>
        </w:rPr>
        <w:t>. New York: Oxford University Press.</w:t>
      </w:r>
    </w:p>
    <w:p w14:paraId="00000036"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Dickinson, H. and Glasby, J. (2016). </w:t>
      </w:r>
      <w:r w:rsidRPr="005F2ACB">
        <w:rPr>
          <w:rFonts w:ascii="Arial" w:eastAsia="Arial" w:hAnsi="Arial" w:cs="Arial"/>
          <w:i/>
          <w:iCs/>
        </w:rPr>
        <w:t>Why partnership working doesn’t work: Pitfalls, problems and possibilities in English health and social care</w:t>
      </w:r>
      <w:r w:rsidRPr="005F2ACB">
        <w:rPr>
          <w:rFonts w:ascii="Arial" w:eastAsia="Arial" w:hAnsi="Arial" w:cs="Arial"/>
        </w:rPr>
        <w:t>. Policy Press.</w:t>
      </w:r>
    </w:p>
    <w:p w14:paraId="00000037"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Doyle, C., Lennox, L. and Bell, D. (2015) ‘A systematic review of evidence on the links between patient experience and clinical safety and effectiveness’, </w:t>
      </w:r>
      <w:r w:rsidRPr="005F2ACB">
        <w:rPr>
          <w:rFonts w:ascii="Arial" w:eastAsia="Arial" w:hAnsi="Arial" w:cs="Arial"/>
          <w:i/>
          <w:iCs/>
        </w:rPr>
        <w:t>BMJ Open</w:t>
      </w:r>
      <w:r w:rsidRPr="005F2ACB">
        <w:rPr>
          <w:rFonts w:ascii="Arial" w:eastAsia="Arial" w:hAnsi="Arial" w:cs="Arial"/>
        </w:rPr>
        <w:t>, 3(1), pp. 1–18.</w:t>
      </w:r>
    </w:p>
    <w:p w14:paraId="00000038"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Edvardsson, D., Winblad, B. and Sandman, P.O. (2016) ‘Person-centred care of people with severe Alzheimer’s disease: Current status and ways forward’, </w:t>
      </w:r>
      <w:r w:rsidRPr="005F2ACB">
        <w:rPr>
          <w:rFonts w:ascii="Arial" w:eastAsia="Arial" w:hAnsi="Arial" w:cs="Arial"/>
          <w:i/>
          <w:iCs/>
        </w:rPr>
        <w:t>The Lancet Neurology</w:t>
      </w:r>
      <w:r w:rsidRPr="005F2ACB">
        <w:rPr>
          <w:rFonts w:ascii="Arial" w:eastAsia="Arial" w:hAnsi="Arial" w:cs="Arial"/>
        </w:rPr>
        <w:t>, 7(4), pp. 362–367.</w:t>
      </w:r>
    </w:p>
    <w:p w14:paraId="00000039"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Glasby, J. and Dickinson, H. (2021) </w:t>
      </w:r>
      <w:r w:rsidRPr="005F2ACB">
        <w:rPr>
          <w:rFonts w:ascii="Arial" w:eastAsia="Arial" w:hAnsi="Arial" w:cs="Arial"/>
          <w:i/>
          <w:iCs/>
        </w:rPr>
        <w:t>Partnership working in health and social care: What is integrated care and how can we deliver it?</w:t>
      </w:r>
      <w:r w:rsidRPr="005F2ACB">
        <w:rPr>
          <w:rFonts w:ascii="Arial" w:eastAsia="Arial" w:hAnsi="Arial" w:cs="Arial"/>
        </w:rPr>
        <w:t xml:space="preserve"> 3rd </w:t>
      </w:r>
      <w:proofErr w:type="spellStart"/>
      <w:r w:rsidRPr="005F2ACB">
        <w:rPr>
          <w:rFonts w:ascii="Arial" w:eastAsia="Arial" w:hAnsi="Arial" w:cs="Arial"/>
        </w:rPr>
        <w:t>edn</w:t>
      </w:r>
      <w:proofErr w:type="spellEnd"/>
      <w:r w:rsidRPr="005F2ACB">
        <w:rPr>
          <w:rFonts w:ascii="Arial" w:eastAsia="Arial" w:hAnsi="Arial" w:cs="Arial"/>
        </w:rPr>
        <w:t>. Bristol: Policy Press.</w:t>
      </w:r>
    </w:p>
    <w:p w14:paraId="0000003A"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Goodwin, N. (2016) ‘Understanding integrated care’, </w:t>
      </w:r>
      <w:r w:rsidRPr="005F2ACB">
        <w:rPr>
          <w:rFonts w:ascii="Arial" w:eastAsia="Arial" w:hAnsi="Arial" w:cs="Arial"/>
          <w:i/>
          <w:iCs/>
        </w:rPr>
        <w:t>International Journal of Integrated Care</w:t>
      </w:r>
      <w:r w:rsidRPr="005F2ACB">
        <w:rPr>
          <w:rFonts w:ascii="Arial" w:eastAsia="Arial" w:hAnsi="Arial" w:cs="Arial"/>
        </w:rPr>
        <w:t>, 16(4), pp. 1–4.</w:t>
      </w:r>
    </w:p>
    <w:p w14:paraId="0000003B"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Ham, C., Heenan, D., Longley, M. and Steel, D.R. (2018). </w:t>
      </w:r>
      <w:r w:rsidRPr="005F2ACB">
        <w:rPr>
          <w:rFonts w:ascii="Arial" w:eastAsia="Arial" w:hAnsi="Arial" w:cs="Arial"/>
          <w:i/>
          <w:iCs/>
        </w:rPr>
        <w:t>Integrated care partnerships: Lessons from practice</w:t>
      </w:r>
      <w:r w:rsidRPr="005F2ACB">
        <w:rPr>
          <w:rFonts w:ascii="Arial" w:eastAsia="Arial" w:hAnsi="Arial" w:cs="Arial"/>
        </w:rPr>
        <w:t>. London: The King’s Fund.</w:t>
      </w:r>
    </w:p>
    <w:p w14:paraId="0000003C"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McCormack, B. and McCance, T. (2017) </w:t>
      </w:r>
      <w:r w:rsidRPr="005F2ACB">
        <w:rPr>
          <w:rFonts w:ascii="Arial" w:eastAsia="Arial" w:hAnsi="Arial" w:cs="Arial"/>
          <w:i/>
          <w:iCs/>
        </w:rPr>
        <w:t>Person-centred practice in nursing and health care: Theory and practice</w:t>
      </w:r>
      <w:r w:rsidRPr="005F2ACB">
        <w:rPr>
          <w:rFonts w:ascii="Arial" w:eastAsia="Arial" w:hAnsi="Arial" w:cs="Arial"/>
        </w:rPr>
        <w:t xml:space="preserve">. 2nd </w:t>
      </w:r>
      <w:proofErr w:type="spellStart"/>
      <w:r w:rsidRPr="005F2ACB">
        <w:rPr>
          <w:rFonts w:ascii="Arial" w:eastAsia="Arial" w:hAnsi="Arial" w:cs="Arial"/>
        </w:rPr>
        <w:t>edn</w:t>
      </w:r>
      <w:proofErr w:type="spellEnd"/>
      <w:r w:rsidRPr="005F2ACB">
        <w:rPr>
          <w:rFonts w:ascii="Arial" w:eastAsia="Arial" w:hAnsi="Arial" w:cs="Arial"/>
        </w:rPr>
        <w:t>. Oxford: Wiley-Blackwell.</w:t>
      </w:r>
    </w:p>
    <w:p w14:paraId="0000003D"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Moore, L., Britten, N., Lydahl, D., </w:t>
      </w:r>
      <w:proofErr w:type="spellStart"/>
      <w:r w:rsidRPr="005F2ACB">
        <w:rPr>
          <w:rFonts w:ascii="Arial" w:eastAsia="Arial" w:hAnsi="Arial" w:cs="Arial"/>
        </w:rPr>
        <w:t>Naldemirci</w:t>
      </w:r>
      <w:proofErr w:type="spellEnd"/>
      <w:r w:rsidRPr="005F2ACB">
        <w:rPr>
          <w:rFonts w:ascii="Arial" w:eastAsia="Arial" w:hAnsi="Arial" w:cs="Arial"/>
        </w:rPr>
        <w:t xml:space="preserve">, Ö., Elam, M. and Wolf, A. (2017) ‘Barriers and facilitators to the implementation of person-centred care in different healthcare contexts’, </w:t>
      </w:r>
      <w:r w:rsidRPr="005F2ACB">
        <w:rPr>
          <w:rFonts w:ascii="Arial" w:eastAsia="Arial" w:hAnsi="Arial" w:cs="Arial"/>
          <w:i/>
          <w:iCs/>
        </w:rPr>
        <w:t>Scandinavian Journal of Caring Sciences</w:t>
      </w:r>
      <w:r w:rsidRPr="005F2ACB">
        <w:rPr>
          <w:rFonts w:ascii="Arial" w:eastAsia="Arial" w:hAnsi="Arial" w:cs="Arial"/>
        </w:rPr>
        <w:t>, 31(4), pp. 662–673.</w:t>
      </w:r>
    </w:p>
    <w:p w14:paraId="0000003E"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Nolte, E. and Pitchforth, E. (2016). </w:t>
      </w:r>
      <w:r w:rsidRPr="005F2ACB">
        <w:rPr>
          <w:rFonts w:ascii="Arial" w:eastAsia="Arial" w:hAnsi="Arial" w:cs="Arial"/>
          <w:i/>
          <w:iCs/>
        </w:rPr>
        <w:t>What is the evidence on the economic impacts of integrated care?</w:t>
      </w:r>
      <w:r w:rsidRPr="005F2ACB">
        <w:rPr>
          <w:rFonts w:ascii="Arial" w:eastAsia="Arial" w:hAnsi="Arial" w:cs="Arial"/>
        </w:rPr>
        <w:t xml:space="preserve"> Copenhagen: WHO Regional Office for Europe.</w:t>
      </w:r>
    </w:p>
    <w:p w14:paraId="0000003F" w14:textId="77777777" w:rsidR="00B0336D" w:rsidRPr="005F2ACB" w:rsidRDefault="00000000">
      <w:pPr>
        <w:spacing w:before="120" w:after="120" w:line="360" w:lineRule="auto"/>
        <w:jc w:val="both"/>
        <w:rPr>
          <w:rFonts w:ascii="Arial" w:eastAsia="Arial" w:hAnsi="Arial" w:cs="Arial"/>
        </w:rPr>
      </w:pPr>
      <w:proofErr w:type="spellStart"/>
      <w:r w:rsidRPr="005F2ACB">
        <w:rPr>
          <w:rFonts w:ascii="Arial" w:eastAsia="Arial" w:hAnsi="Arial" w:cs="Arial"/>
        </w:rPr>
        <w:t>Ocloo</w:t>
      </w:r>
      <w:proofErr w:type="spellEnd"/>
      <w:r w:rsidRPr="005F2ACB">
        <w:rPr>
          <w:rFonts w:ascii="Arial" w:eastAsia="Arial" w:hAnsi="Arial" w:cs="Arial"/>
        </w:rPr>
        <w:t xml:space="preserve">, J., Garfield, S., Franklin, B.D. and Dawson, S. (2020) ‘Exploring the theory, barriers and enablers for patient and public involvement across health, social care and patient safety’, </w:t>
      </w:r>
      <w:r w:rsidRPr="005F2ACB">
        <w:rPr>
          <w:rFonts w:ascii="Arial" w:eastAsia="Arial" w:hAnsi="Arial" w:cs="Arial"/>
          <w:i/>
          <w:iCs/>
        </w:rPr>
        <w:t>Health Research Policy and Systems</w:t>
      </w:r>
      <w:r w:rsidRPr="005F2ACB">
        <w:rPr>
          <w:rFonts w:ascii="Arial" w:eastAsia="Arial" w:hAnsi="Arial" w:cs="Arial"/>
        </w:rPr>
        <w:t>, 18(8), pp. 1–13.</w:t>
      </w:r>
    </w:p>
    <w:p w14:paraId="00000040"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lastRenderedPageBreak/>
        <w:t xml:space="preserve">Paparella, G. (2016) ‘Person-centred care in Europe: A cross-country comparison of health system performance’, </w:t>
      </w:r>
      <w:r w:rsidRPr="005F2ACB">
        <w:rPr>
          <w:rFonts w:ascii="Arial" w:eastAsia="Arial" w:hAnsi="Arial" w:cs="Arial"/>
          <w:i/>
          <w:iCs/>
        </w:rPr>
        <w:t>Health Policy</w:t>
      </w:r>
      <w:r w:rsidRPr="005F2ACB">
        <w:rPr>
          <w:rFonts w:ascii="Arial" w:eastAsia="Arial" w:hAnsi="Arial" w:cs="Arial"/>
        </w:rPr>
        <w:t>, 120(4), pp. 409–418.</w:t>
      </w:r>
    </w:p>
    <w:p w14:paraId="00000041" w14:textId="77777777" w:rsidR="00B0336D" w:rsidRPr="005F2ACB" w:rsidRDefault="00000000">
      <w:pPr>
        <w:spacing w:before="120" w:after="120" w:line="360" w:lineRule="auto"/>
        <w:jc w:val="both"/>
        <w:rPr>
          <w:rFonts w:ascii="Arial" w:eastAsia="Arial" w:hAnsi="Arial" w:cs="Arial"/>
        </w:rPr>
      </w:pPr>
      <w:r w:rsidRPr="005F2ACB">
        <w:rPr>
          <w:rFonts w:ascii="Arial" w:eastAsia="Arial" w:hAnsi="Arial" w:cs="Arial"/>
        </w:rPr>
        <w:t xml:space="preserve">Sharma, T., Bamford, M. and Dodman, D. (2015) ‘Person-centred care: An overview of reviews’, </w:t>
      </w:r>
      <w:r w:rsidRPr="005F2ACB">
        <w:rPr>
          <w:rFonts w:ascii="Arial" w:eastAsia="Arial" w:hAnsi="Arial" w:cs="Arial"/>
          <w:i/>
          <w:iCs/>
        </w:rPr>
        <w:t>Contemporary Nurse</w:t>
      </w:r>
      <w:r w:rsidRPr="005F2ACB">
        <w:rPr>
          <w:rFonts w:ascii="Arial" w:eastAsia="Arial" w:hAnsi="Arial" w:cs="Arial"/>
        </w:rPr>
        <w:t>, 51(2–3), pp. 107–120.</w:t>
      </w:r>
    </w:p>
    <w:p w14:paraId="00000042" w14:textId="77777777" w:rsidR="00B0336D" w:rsidRPr="005F2ACB" w:rsidRDefault="00B0336D">
      <w:pPr>
        <w:spacing w:before="120" w:after="120"/>
        <w:jc w:val="both"/>
        <w:rPr>
          <w:rFonts w:ascii="Arial" w:eastAsia="Arial" w:hAnsi="Arial" w:cs="Arial"/>
        </w:rPr>
      </w:pPr>
    </w:p>
    <w:p w14:paraId="00000043" w14:textId="77777777" w:rsidR="00B0336D" w:rsidRDefault="00B0336D">
      <w:pPr>
        <w:spacing w:before="120" w:after="120"/>
        <w:jc w:val="both"/>
        <w:rPr>
          <w:rFonts w:ascii="Arial" w:eastAsia="Arial" w:hAnsi="Arial" w:cs="Arial"/>
        </w:rPr>
      </w:pPr>
    </w:p>
    <w:sectPr w:rsidR="00B0336D">
      <w:footerReference w:type="default" r:id="rId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3AFC2" w14:textId="77777777" w:rsidR="005D0F4A" w:rsidRPr="005F2ACB" w:rsidRDefault="005D0F4A">
      <w:r w:rsidRPr="005F2ACB">
        <w:separator/>
      </w:r>
    </w:p>
  </w:endnote>
  <w:endnote w:type="continuationSeparator" w:id="0">
    <w:p w14:paraId="46A3439C" w14:textId="77777777" w:rsidR="005D0F4A" w:rsidRPr="005F2ACB" w:rsidRDefault="005D0F4A">
      <w:r w:rsidRPr="005F2A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C9F2A56A-8664-45B3-AEA9-461DDD147521}"/>
    <w:embedItalic r:id="rId2" w:fontKey="{69687585-F668-44DB-8289-299B3CC01D1A}"/>
  </w:font>
  <w:font w:name="Georgia">
    <w:panose1 w:val="02040502050405020303"/>
    <w:charset w:val="00"/>
    <w:family w:val="roman"/>
    <w:pitch w:val="variable"/>
    <w:sig w:usb0="00000287" w:usb1="00000000" w:usb2="00000000" w:usb3="00000000" w:csb0="0000009F" w:csb1="00000000"/>
    <w:embedItalic r:id="rId3" w:fontKey="{9EE8BEB8-593A-47DD-AAA5-97FB35A7625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D38B671-8E22-4C79-81A6-DB564BDCD738}"/>
  </w:font>
  <w:font w:name="Calibri">
    <w:panose1 w:val="020F0502020204030204"/>
    <w:charset w:val="00"/>
    <w:family w:val="swiss"/>
    <w:pitch w:val="variable"/>
    <w:sig w:usb0="E4002EFF" w:usb1="C200247B" w:usb2="00000009" w:usb3="00000000" w:csb0="000001FF" w:csb1="00000000"/>
    <w:embedRegular r:id="rId5" w:fontKey="{D82B3D48-F2B5-42EB-8B97-EC7FBCB85E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4" w14:textId="39D3342C" w:rsidR="00B0336D" w:rsidRPr="005F2ACB" w:rsidRDefault="00000000">
    <w:pPr>
      <w:jc w:val="right"/>
    </w:pPr>
    <w:r w:rsidRPr="005F2ACB">
      <w:fldChar w:fldCharType="begin"/>
    </w:r>
    <w:r w:rsidRPr="005F2ACB">
      <w:instrText>PAGE</w:instrText>
    </w:r>
    <w:r w:rsidRPr="005F2ACB">
      <w:fldChar w:fldCharType="separate"/>
    </w:r>
    <w:r w:rsidR="005C533E" w:rsidRPr="005F2ACB">
      <w:t>0</w:t>
    </w:r>
    <w:r w:rsidRPr="005F2AC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6D136" w14:textId="77777777" w:rsidR="005D0F4A" w:rsidRPr="005F2ACB" w:rsidRDefault="005D0F4A">
      <w:r w:rsidRPr="005F2ACB">
        <w:separator/>
      </w:r>
    </w:p>
  </w:footnote>
  <w:footnote w:type="continuationSeparator" w:id="0">
    <w:p w14:paraId="76145C5E" w14:textId="77777777" w:rsidR="005D0F4A" w:rsidRPr="005F2ACB" w:rsidRDefault="005D0F4A">
      <w:r w:rsidRPr="005F2AC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36D"/>
    <w:rsid w:val="0001546F"/>
    <w:rsid w:val="00035A89"/>
    <w:rsid w:val="0008542A"/>
    <w:rsid w:val="001B61F4"/>
    <w:rsid w:val="001F4904"/>
    <w:rsid w:val="00211335"/>
    <w:rsid w:val="002500AD"/>
    <w:rsid w:val="0028071E"/>
    <w:rsid w:val="002F20B2"/>
    <w:rsid w:val="002F4815"/>
    <w:rsid w:val="00303B4E"/>
    <w:rsid w:val="00391139"/>
    <w:rsid w:val="003D7F8C"/>
    <w:rsid w:val="00513BBC"/>
    <w:rsid w:val="00546EFB"/>
    <w:rsid w:val="005C533E"/>
    <w:rsid w:val="005D0F4A"/>
    <w:rsid w:val="005F2ACB"/>
    <w:rsid w:val="00686CC3"/>
    <w:rsid w:val="00690345"/>
    <w:rsid w:val="006A0B55"/>
    <w:rsid w:val="006B620D"/>
    <w:rsid w:val="00760D33"/>
    <w:rsid w:val="00780233"/>
    <w:rsid w:val="007D1F78"/>
    <w:rsid w:val="007E5B89"/>
    <w:rsid w:val="007F7C5A"/>
    <w:rsid w:val="0080475A"/>
    <w:rsid w:val="0082140E"/>
    <w:rsid w:val="00846BF3"/>
    <w:rsid w:val="00874E41"/>
    <w:rsid w:val="008C7A64"/>
    <w:rsid w:val="00910C8E"/>
    <w:rsid w:val="00924B56"/>
    <w:rsid w:val="009C40C6"/>
    <w:rsid w:val="009C7F23"/>
    <w:rsid w:val="00A13C02"/>
    <w:rsid w:val="00A538A4"/>
    <w:rsid w:val="00AB5704"/>
    <w:rsid w:val="00AE6E25"/>
    <w:rsid w:val="00B0336D"/>
    <w:rsid w:val="00B961E9"/>
    <w:rsid w:val="00B9785C"/>
    <w:rsid w:val="00BA3EF7"/>
    <w:rsid w:val="00CA100C"/>
    <w:rsid w:val="00DA57AD"/>
    <w:rsid w:val="00DC7276"/>
    <w:rsid w:val="00E6611D"/>
    <w:rsid w:val="00E8200C"/>
    <w:rsid w:val="00E8388A"/>
    <w:rsid w:val="00E9488C"/>
    <w:rsid w:val="00EE578F"/>
    <w:rsid w:val="00FC2A0B"/>
    <w:rsid w:val="00FE3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1DD0"/>
  <w15:docId w15:val="{ABF4F50D-1A79-4AEF-AFF5-CB99C3AC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outlineLvl w:val="0"/>
    </w:pPr>
    <w:rPr>
      <w:b/>
      <w:bCs/>
      <w:color w:val="2F5496"/>
      <w:sz w:val="48"/>
      <w:szCs w:val="48"/>
    </w:rPr>
  </w:style>
  <w:style w:type="paragraph" w:styleId="Heading2">
    <w:name w:val="heading 2"/>
    <w:basedOn w:val="Normal"/>
    <w:next w:val="Normal"/>
    <w:link w:val="Heading2Char"/>
    <w:uiPriority w:val="9"/>
    <w:unhideWhenUsed/>
    <w:qFormat/>
    <w:pPr>
      <w:keepNext/>
      <w:keepLines/>
      <w:spacing w:before="40"/>
      <w:outlineLvl w:val="1"/>
    </w:pPr>
    <w:rPr>
      <w:b/>
      <w:bCs/>
      <w:color w:val="2F5496"/>
      <w:sz w:val="36"/>
      <w:szCs w:val="36"/>
    </w:rPr>
  </w:style>
  <w:style w:type="paragraph" w:styleId="Heading3">
    <w:name w:val="heading 3"/>
    <w:basedOn w:val="Normal"/>
    <w:next w:val="Normal"/>
    <w:link w:val="Heading3Char"/>
    <w:uiPriority w:val="9"/>
    <w:semiHidden/>
    <w:unhideWhenUsed/>
    <w:qFormat/>
    <w:pPr>
      <w:keepNext/>
      <w:keepLines/>
      <w:spacing w:before="40"/>
      <w:outlineLvl w:val="2"/>
    </w:pPr>
    <w:rPr>
      <w:b/>
      <w:bCs/>
      <w:color w:val="1F3763"/>
      <w:sz w:val="28"/>
      <w:szCs w:val="28"/>
    </w:rPr>
  </w:style>
  <w:style w:type="paragraph" w:styleId="Heading4">
    <w:name w:val="heading 4"/>
    <w:basedOn w:val="Normal"/>
    <w:next w:val="Normal"/>
    <w:link w:val="Heading4Char"/>
    <w:uiPriority w:val="9"/>
    <w:semiHidden/>
    <w:unhideWhenUsed/>
    <w:qFormat/>
    <w:pPr>
      <w:keepNext/>
      <w:keepLines/>
      <w:spacing w:before="40"/>
      <w:outlineLvl w:val="3"/>
    </w:pPr>
    <w:rPr>
      <w:b/>
      <w:bCs/>
      <w:color w:val="2F5496"/>
    </w:rPr>
  </w:style>
  <w:style w:type="paragraph" w:styleId="Heading5">
    <w:name w:val="heading 5"/>
    <w:basedOn w:val="Normal"/>
    <w:next w:val="Normal"/>
    <w:link w:val="Heading5Char"/>
    <w:uiPriority w:val="9"/>
    <w:semiHidden/>
    <w:unhideWhenUsed/>
    <w:qFormat/>
    <w:pPr>
      <w:keepNext/>
      <w:keepLines/>
      <w:spacing w:before="40"/>
      <w:outlineLvl w:val="4"/>
    </w:pPr>
    <w:rPr>
      <w:b/>
      <w:bCs/>
      <w:color w:val="2F5496"/>
      <w:sz w:val="20"/>
      <w:szCs w:val="20"/>
    </w:rPr>
  </w:style>
  <w:style w:type="paragraph" w:styleId="Heading6">
    <w:name w:val="heading 6"/>
    <w:basedOn w:val="Normal"/>
    <w:next w:val="Normal"/>
    <w:link w:val="Heading6Char"/>
    <w:uiPriority w:val="9"/>
    <w:semiHidden/>
    <w:unhideWhenUsed/>
    <w:qFormat/>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01546F"/>
    <w:pPr>
      <w:tabs>
        <w:tab w:val="center" w:pos="4513"/>
        <w:tab w:val="right" w:pos="9026"/>
      </w:tabs>
    </w:pPr>
  </w:style>
  <w:style w:type="character" w:customStyle="1" w:styleId="HeaderChar">
    <w:name w:val="Header Char"/>
    <w:basedOn w:val="DefaultParagraphFont"/>
    <w:link w:val="Header"/>
    <w:uiPriority w:val="99"/>
    <w:rsid w:val="0001546F"/>
    <w:rPr>
      <w:lang w:val="en-GB"/>
    </w:rPr>
  </w:style>
  <w:style w:type="paragraph" w:styleId="Footer">
    <w:name w:val="footer"/>
    <w:basedOn w:val="Normal"/>
    <w:link w:val="FooterChar"/>
    <w:uiPriority w:val="99"/>
    <w:unhideWhenUsed/>
    <w:rsid w:val="0001546F"/>
    <w:pPr>
      <w:tabs>
        <w:tab w:val="center" w:pos="4513"/>
        <w:tab w:val="right" w:pos="9026"/>
      </w:tabs>
    </w:pPr>
  </w:style>
  <w:style w:type="character" w:customStyle="1" w:styleId="FooterChar">
    <w:name w:val="Footer Char"/>
    <w:basedOn w:val="DefaultParagraphFont"/>
    <w:link w:val="Footer"/>
    <w:uiPriority w:val="99"/>
    <w:rsid w:val="0001546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gNm1S8WuOHJrbqnMNytAwo0KJg==">CgMxLjA4AHIhMU5KSzUyWlBqSWdIS29KczVWa19TQk9yaXlmQks0WU0x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laurent felix ilboudo</cp:lastModifiedBy>
  <cp:revision>6</cp:revision>
  <dcterms:created xsi:type="dcterms:W3CDTF">2026-03-25T12:23:00Z</dcterms:created>
  <dcterms:modified xsi:type="dcterms:W3CDTF">2026-03-25T12:28:00Z</dcterms:modified>
</cp:coreProperties>
</file>