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0670A0" w14:textId="52DCFC62" w:rsidR="00B43012" w:rsidRPr="006A2F4B" w:rsidRDefault="00C50439">
      <w:pPr>
        <w:spacing w:line="360" w:lineRule="auto"/>
        <w:jc w:val="both"/>
        <w:rPr>
          <w:rFonts w:ascii="Times New Roman" w:hAnsi="Times New Roman"/>
          <w:sz w:val="24"/>
          <w:szCs w:val="24"/>
        </w:rPr>
      </w:pPr>
      <w:bookmarkStart w:id="0" w:name="_Hlk508693720"/>
      <w:r w:rsidRPr="006A2F4B">
        <w:rPr>
          <w:rFonts w:ascii="Times New Roman" w:hAnsi="Times New Roman"/>
          <w:sz w:val="24"/>
          <w:szCs w:val="24"/>
        </w:rPr>
        <w:t xml:space="preserve">Within this work </w:t>
      </w:r>
      <w:r w:rsidR="00635C02" w:rsidRPr="006A2F4B">
        <w:rPr>
          <w:rFonts w:ascii="Times New Roman" w:hAnsi="Times New Roman"/>
          <w:sz w:val="24"/>
          <w:szCs w:val="24"/>
        </w:rPr>
        <w:t>a focused discussion on Rachels</w:t>
      </w:r>
      <w:r w:rsidR="00B85EC8" w:rsidRPr="006A2F4B">
        <w:rPr>
          <w:rFonts w:ascii="Times New Roman" w:hAnsi="Times New Roman"/>
          <w:sz w:val="24"/>
          <w:szCs w:val="24"/>
        </w:rPr>
        <w:t xml:space="preserve"> </w:t>
      </w:r>
      <w:r w:rsidR="00B85EC8" w:rsidRPr="006A2F4B">
        <w:rPr>
          <w:rFonts w:ascii="Times New Roman" w:hAnsi="Times New Roman"/>
          <w:sz w:val="24"/>
          <w:szCs w:val="24"/>
          <w:shd w:val="clear" w:color="auto" w:fill="FFFFFF"/>
        </w:rPr>
        <w:t xml:space="preserve">(1975) influential paper </w:t>
      </w:r>
      <w:r w:rsidR="00B85EC8" w:rsidRPr="006A2F4B">
        <w:rPr>
          <w:rFonts w:ascii="Times New Roman" w:hAnsi="Times New Roman"/>
          <w:i/>
          <w:sz w:val="24"/>
          <w:szCs w:val="24"/>
          <w:shd w:val="clear" w:color="auto" w:fill="FFFFFF"/>
        </w:rPr>
        <w:t>‘Active and Passive Euthanasia’</w:t>
      </w:r>
      <w:r w:rsidR="00B85EC8" w:rsidRPr="006A2F4B">
        <w:rPr>
          <w:rFonts w:ascii="Times New Roman" w:hAnsi="Times New Roman"/>
          <w:sz w:val="24"/>
          <w:szCs w:val="24"/>
          <w:shd w:val="clear" w:color="auto" w:fill="FFFFFF"/>
        </w:rPr>
        <w:t xml:space="preserve"> </w:t>
      </w:r>
      <w:r w:rsidR="00E82587" w:rsidRPr="006A2F4B">
        <w:rPr>
          <w:rFonts w:ascii="Times New Roman" w:hAnsi="Times New Roman"/>
          <w:sz w:val="24"/>
          <w:szCs w:val="24"/>
          <w:shd w:val="clear" w:color="auto" w:fill="FFFFFF"/>
        </w:rPr>
        <w:t xml:space="preserve">will be </w:t>
      </w:r>
      <w:r w:rsidR="007B19FF" w:rsidRPr="006A2F4B">
        <w:rPr>
          <w:rFonts w:ascii="Times New Roman" w:hAnsi="Times New Roman"/>
          <w:sz w:val="24"/>
          <w:szCs w:val="24"/>
          <w:shd w:val="clear" w:color="auto" w:fill="FFFFFF"/>
        </w:rPr>
        <w:t>established</w:t>
      </w:r>
      <w:r w:rsidR="00E82587" w:rsidRPr="006A2F4B">
        <w:rPr>
          <w:rFonts w:ascii="Times New Roman" w:hAnsi="Times New Roman"/>
          <w:sz w:val="24"/>
          <w:szCs w:val="24"/>
          <w:shd w:val="clear" w:color="auto" w:fill="FFFFFF"/>
        </w:rPr>
        <w:t xml:space="preserve">, along with </w:t>
      </w:r>
      <w:r w:rsidR="007B19FF" w:rsidRPr="006A2F4B">
        <w:rPr>
          <w:rFonts w:ascii="Times New Roman" w:hAnsi="Times New Roman"/>
          <w:sz w:val="24"/>
          <w:szCs w:val="24"/>
          <w:shd w:val="clear" w:color="auto" w:fill="FFFFFF"/>
        </w:rPr>
        <w:t xml:space="preserve">the </w:t>
      </w:r>
      <w:r w:rsidR="00E82587" w:rsidRPr="006A2F4B">
        <w:rPr>
          <w:rFonts w:ascii="Times New Roman" w:hAnsi="Times New Roman"/>
          <w:sz w:val="24"/>
          <w:szCs w:val="24"/>
          <w:shd w:val="clear" w:color="auto" w:fill="FFFFFF"/>
        </w:rPr>
        <w:t>consider</w:t>
      </w:r>
      <w:r w:rsidR="007B19FF" w:rsidRPr="006A2F4B">
        <w:rPr>
          <w:rFonts w:ascii="Times New Roman" w:hAnsi="Times New Roman"/>
          <w:sz w:val="24"/>
          <w:szCs w:val="24"/>
          <w:shd w:val="clear" w:color="auto" w:fill="FFFFFF"/>
        </w:rPr>
        <w:t>ation</w:t>
      </w:r>
      <w:r w:rsidR="00E82587" w:rsidRPr="006A2F4B">
        <w:rPr>
          <w:rFonts w:ascii="Times New Roman" w:hAnsi="Times New Roman"/>
          <w:sz w:val="24"/>
          <w:szCs w:val="24"/>
          <w:shd w:val="clear" w:color="auto" w:fill="FFFFFF"/>
        </w:rPr>
        <w:t xml:space="preserve"> </w:t>
      </w:r>
      <w:r w:rsidR="007B19FF" w:rsidRPr="006A2F4B">
        <w:rPr>
          <w:rFonts w:ascii="Times New Roman" w:hAnsi="Times New Roman"/>
          <w:sz w:val="24"/>
          <w:szCs w:val="24"/>
          <w:shd w:val="clear" w:color="auto" w:fill="FFFFFF"/>
        </w:rPr>
        <w:t xml:space="preserve">of </w:t>
      </w:r>
      <w:r w:rsidR="00E82587" w:rsidRPr="006A2F4B">
        <w:rPr>
          <w:rFonts w:ascii="Times New Roman" w:hAnsi="Times New Roman"/>
          <w:sz w:val="24"/>
          <w:szCs w:val="24"/>
          <w:shd w:val="clear" w:color="auto" w:fill="FFFFFF"/>
        </w:rPr>
        <w:t xml:space="preserve">other sources, to </w:t>
      </w:r>
      <w:r w:rsidR="00B43012" w:rsidRPr="006A2F4B">
        <w:rPr>
          <w:rFonts w:ascii="Times New Roman" w:hAnsi="Times New Roman"/>
          <w:sz w:val="24"/>
          <w:szCs w:val="24"/>
          <w:shd w:val="clear" w:color="auto" w:fill="FFFFFF"/>
        </w:rPr>
        <w:t xml:space="preserve">evaluate </w:t>
      </w:r>
      <w:r w:rsidRPr="006A2F4B">
        <w:rPr>
          <w:rFonts w:ascii="Times New Roman" w:hAnsi="Times New Roman"/>
          <w:sz w:val="24"/>
          <w:szCs w:val="24"/>
        </w:rPr>
        <w:t xml:space="preserve">the question </w:t>
      </w:r>
      <w:r w:rsidR="007B19FF" w:rsidRPr="006A2F4B">
        <w:rPr>
          <w:rFonts w:ascii="Times New Roman" w:hAnsi="Times New Roman"/>
          <w:sz w:val="24"/>
          <w:szCs w:val="24"/>
        </w:rPr>
        <w:t xml:space="preserve">on </w:t>
      </w:r>
      <w:r w:rsidRPr="006A2F4B">
        <w:rPr>
          <w:rFonts w:ascii="Times New Roman" w:hAnsi="Times New Roman"/>
          <w:sz w:val="24"/>
          <w:szCs w:val="24"/>
        </w:rPr>
        <w:t>whether there is a moral</w:t>
      </w:r>
      <w:r w:rsidR="00361222">
        <w:rPr>
          <w:rFonts w:ascii="Times New Roman" w:hAnsi="Times New Roman"/>
          <w:sz w:val="24"/>
          <w:szCs w:val="24"/>
        </w:rPr>
        <w:t xml:space="preserve">ly significance </w:t>
      </w:r>
      <w:r w:rsidRPr="006A2F4B">
        <w:rPr>
          <w:rFonts w:ascii="Times New Roman" w:hAnsi="Times New Roman"/>
          <w:sz w:val="24"/>
          <w:szCs w:val="24"/>
        </w:rPr>
        <w:t>between active and passive euthanasia</w:t>
      </w:r>
      <w:r w:rsidR="00B43012" w:rsidRPr="006A2F4B">
        <w:rPr>
          <w:rFonts w:ascii="Times New Roman" w:hAnsi="Times New Roman"/>
          <w:sz w:val="24"/>
          <w:szCs w:val="24"/>
        </w:rPr>
        <w:t xml:space="preserve">. </w:t>
      </w:r>
    </w:p>
    <w:p w14:paraId="62770D31" w14:textId="20C4492B" w:rsidR="00045D29"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The distinction, between active and passive euthanasia, in terms of a definition, is that in active euthanasia clear and conscious steps are taken towards ending life.</w:t>
      </w:r>
      <w:r w:rsidR="000B1169" w:rsidRPr="006A2F4B">
        <w:rPr>
          <w:rStyle w:val="FootnoteReference"/>
          <w:rFonts w:ascii="Times New Roman" w:hAnsi="Times New Roman"/>
          <w:sz w:val="24"/>
          <w:szCs w:val="24"/>
        </w:rPr>
        <w:footnoteReference w:id="1"/>
      </w:r>
      <w:r w:rsidR="00C10293" w:rsidRPr="006A2F4B">
        <w:rPr>
          <w:rFonts w:ascii="Times New Roman" w:hAnsi="Times New Roman"/>
          <w:sz w:val="24"/>
          <w:szCs w:val="24"/>
        </w:rPr>
        <w:t xml:space="preserve"> </w:t>
      </w:r>
      <w:r w:rsidRPr="006A2F4B">
        <w:rPr>
          <w:rFonts w:ascii="Times New Roman" w:hAnsi="Times New Roman"/>
          <w:sz w:val="24"/>
          <w:szCs w:val="24"/>
        </w:rPr>
        <w:t xml:space="preserve">As for passive euthanasia a decision is taken which will ultimately let a person die, for example by not undertaking a task, or withdrawing life-saving care, and for </w:t>
      </w:r>
      <w:r w:rsidRPr="006A2F4B">
        <w:rPr>
          <w:rFonts w:ascii="Times New Roman" w:hAnsi="Times New Roman"/>
          <w:i/>
          <w:sz w:val="24"/>
          <w:szCs w:val="24"/>
        </w:rPr>
        <w:t>‘nature to take its natural course</w:t>
      </w:r>
      <w:r w:rsidR="00002A78" w:rsidRPr="006A2F4B">
        <w:rPr>
          <w:rFonts w:ascii="Times New Roman" w:hAnsi="Times New Roman"/>
          <w:i/>
          <w:sz w:val="24"/>
          <w:szCs w:val="24"/>
        </w:rPr>
        <w:t>,</w:t>
      </w:r>
      <w:r w:rsidRPr="006A2F4B">
        <w:rPr>
          <w:rFonts w:ascii="Times New Roman" w:hAnsi="Times New Roman"/>
          <w:i/>
          <w:sz w:val="24"/>
          <w:szCs w:val="24"/>
        </w:rPr>
        <w:t>’</w:t>
      </w:r>
      <w:r w:rsidRPr="006A2F4B">
        <w:rPr>
          <w:rFonts w:ascii="Times New Roman" w:hAnsi="Times New Roman"/>
          <w:sz w:val="24"/>
          <w:szCs w:val="24"/>
        </w:rPr>
        <w:t xml:space="preserve"> ultimately resulting in death.</w:t>
      </w:r>
      <w:r w:rsidR="00880DD0" w:rsidRPr="006A2F4B">
        <w:rPr>
          <w:rStyle w:val="FootnoteReference"/>
          <w:rFonts w:ascii="Times New Roman" w:hAnsi="Times New Roman"/>
          <w:sz w:val="24"/>
          <w:szCs w:val="24"/>
        </w:rPr>
        <w:footnoteReference w:id="2"/>
      </w:r>
      <w:r w:rsidRPr="006A2F4B">
        <w:rPr>
          <w:rFonts w:ascii="Times New Roman" w:hAnsi="Times New Roman"/>
          <w:sz w:val="24"/>
          <w:szCs w:val="24"/>
        </w:rPr>
        <w:t xml:space="preserve"> While the end result of death, is the same in both cases, the manner of how the deaths are achieved are diametrically opposed.</w:t>
      </w:r>
      <w:r w:rsidR="000B1169" w:rsidRPr="006A2F4B">
        <w:rPr>
          <w:rStyle w:val="FootnoteReference"/>
          <w:rFonts w:ascii="Times New Roman" w:hAnsi="Times New Roman"/>
          <w:sz w:val="24"/>
          <w:szCs w:val="24"/>
        </w:rPr>
        <w:footnoteReference w:id="3"/>
      </w:r>
      <w:r w:rsidRPr="006A2F4B">
        <w:rPr>
          <w:rFonts w:ascii="Times New Roman" w:hAnsi="Times New Roman"/>
          <w:sz w:val="24"/>
          <w:szCs w:val="24"/>
        </w:rPr>
        <w:t xml:space="preserve"> Two academics Wilkinson and Garrard</w:t>
      </w:r>
      <w:r w:rsidR="006E023B">
        <w:rPr>
          <w:rFonts w:ascii="Times New Roman" w:hAnsi="Times New Roman"/>
          <w:sz w:val="24"/>
          <w:szCs w:val="24"/>
        </w:rPr>
        <w:t xml:space="preserve"> (2004)</w:t>
      </w:r>
      <w:r w:rsidRPr="006A2F4B">
        <w:rPr>
          <w:rFonts w:ascii="Times New Roman" w:hAnsi="Times New Roman"/>
          <w:sz w:val="24"/>
          <w:szCs w:val="24"/>
        </w:rPr>
        <w:t xml:space="preserve"> write an interesting point in their paper </w:t>
      </w:r>
      <w:r w:rsidRPr="006A2F4B">
        <w:rPr>
          <w:rFonts w:ascii="Times New Roman" w:hAnsi="Times New Roman"/>
          <w:i/>
          <w:sz w:val="24"/>
          <w:szCs w:val="24"/>
        </w:rPr>
        <w:t>‘Passive Euthanasia’</w:t>
      </w:r>
      <w:r w:rsidRPr="006A2F4B">
        <w:rPr>
          <w:rFonts w:ascii="Times New Roman" w:hAnsi="Times New Roman"/>
          <w:sz w:val="24"/>
          <w:szCs w:val="24"/>
        </w:rPr>
        <w:t xml:space="preserve"> they </w:t>
      </w:r>
      <w:r w:rsidR="00880DD0" w:rsidRPr="006A2F4B">
        <w:rPr>
          <w:rFonts w:ascii="Times New Roman" w:hAnsi="Times New Roman"/>
          <w:sz w:val="24"/>
          <w:szCs w:val="24"/>
        </w:rPr>
        <w:t>reason</w:t>
      </w:r>
      <w:r w:rsidRPr="006A2F4B">
        <w:rPr>
          <w:rFonts w:ascii="Times New Roman" w:hAnsi="Times New Roman"/>
          <w:sz w:val="24"/>
          <w:szCs w:val="24"/>
        </w:rPr>
        <w:t xml:space="preserve"> that,</w:t>
      </w:r>
    </w:p>
    <w:p w14:paraId="43A4FC26" w14:textId="77777777" w:rsidR="000A0988" w:rsidRPr="006A2F4B" w:rsidRDefault="000A0988">
      <w:pPr>
        <w:spacing w:line="360" w:lineRule="auto"/>
        <w:jc w:val="both"/>
        <w:rPr>
          <w:rFonts w:ascii="Times New Roman" w:hAnsi="Times New Roman"/>
          <w:sz w:val="24"/>
          <w:szCs w:val="24"/>
        </w:rPr>
      </w:pPr>
    </w:p>
    <w:p w14:paraId="7E1059E3" w14:textId="09389912" w:rsidR="0069651B" w:rsidRPr="006A2F4B" w:rsidRDefault="00C50439" w:rsidP="005C619B">
      <w:pPr>
        <w:ind w:left="1474" w:right="1474"/>
        <w:jc w:val="both"/>
        <w:rPr>
          <w:rFonts w:ascii="Times New Roman" w:hAnsi="Times New Roman"/>
          <w:sz w:val="24"/>
          <w:szCs w:val="24"/>
        </w:rPr>
      </w:pPr>
      <w:r w:rsidRPr="006A2F4B">
        <w:rPr>
          <w:rFonts w:ascii="Times New Roman" w:hAnsi="Times New Roman"/>
          <w:sz w:val="24"/>
          <w:szCs w:val="24"/>
        </w:rPr>
        <w:t>The claims that the distinction between active and passive euthanasia are in some way inappropriate: euthanasia is active by</w:t>
      </w:r>
      <w:r w:rsidR="00880DD0" w:rsidRPr="006A2F4B">
        <w:rPr>
          <w:rFonts w:ascii="Times New Roman" w:hAnsi="Times New Roman"/>
          <w:sz w:val="24"/>
          <w:szCs w:val="24"/>
        </w:rPr>
        <w:t xml:space="preserve"> </w:t>
      </w:r>
      <w:r w:rsidRPr="006A2F4B">
        <w:rPr>
          <w:rFonts w:ascii="Times New Roman" w:hAnsi="Times New Roman"/>
          <w:sz w:val="24"/>
          <w:szCs w:val="24"/>
        </w:rPr>
        <w:t>definition and hence ‘‘‘passive’ euthanasia is a contradiction in terms—in other words, there can be no such thing.</w:t>
      </w:r>
      <w:r w:rsidRPr="006A2F4B">
        <w:rPr>
          <w:rStyle w:val="FootnoteReference"/>
          <w:rFonts w:ascii="Times New Roman" w:hAnsi="Times New Roman"/>
          <w:sz w:val="24"/>
          <w:szCs w:val="24"/>
        </w:rPr>
        <w:footnoteReference w:id="4"/>
      </w:r>
    </w:p>
    <w:p w14:paraId="54555ADD" w14:textId="77777777" w:rsidR="0069651B" w:rsidRPr="006A2F4B" w:rsidRDefault="0069651B">
      <w:pPr>
        <w:ind w:left="1474" w:right="1474"/>
        <w:jc w:val="both"/>
        <w:rPr>
          <w:rFonts w:ascii="Times New Roman" w:hAnsi="Times New Roman"/>
          <w:sz w:val="24"/>
          <w:szCs w:val="24"/>
        </w:rPr>
      </w:pPr>
    </w:p>
    <w:p w14:paraId="54D4A005" w14:textId="40E7C72B" w:rsidR="000A0988" w:rsidRPr="006A2F4B" w:rsidRDefault="00C50439" w:rsidP="00E82587">
      <w:pPr>
        <w:spacing w:line="360" w:lineRule="auto"/>
        <w:jc w:val="both"/>
        <w:rPr>
          <w:rFonts w:ascii="Times New Roman" w:hAnsi="Times New Roman"/>
          <w:sz w:val="24"/>
          <w:szCs w:val="24"/>
        </w:rPr>
      </w:pPr>
      <w:r w:rsidRPr="006A2F4B">
        <w:rPr>
          <w:rFonts w:ascii="Times New Roman" w:hAnsi="Times New Roman"/>
          <w:sz w:val="24"/>
          <w:szCs w:val="24"/>
        </w:rPr>
        <w:t>According to this argument there is no morally significant difference between active and passive euthanasia.</w:t>
      </w:r>
      <w:r w:rsidR="00B968AD">
        <w:rPr>
          <w:rStyle w:val="FootnoteReference"/>
          <w:rFonts w:ascii="Times New Roman" w:hAnsi="Times New Roman"/>
          <w:sz w:val="24"/>
          <w:szCs w:val="24"/>
        </w:rPr>
        <w:footnoteReference w:id="5"/>
      </w:r>
      <w:r w:rsidRPr="006A2F4B">
        <w:rPr>
          <w:rFonts w:ascii="Times New Roman" w:hAnsi="Times New Roman"/>
          <w:sz w:val="24"/>
          <w:szCs w:val="24"/>
        </w:rPr>
        <w:t xml:space="preserve"> This is due to</w:t>
      </w:r>
      <w:r w:rsidR="004D4310" w:rsidRPr="006A2F4B">
        <w:rPr>
          <w:rFonts w:ascii="Times New Roman" w:hAnsi="Times New Roman"/>
          <w:sz w:val="24"/>
          <w:szCs w:val="24"/>
        </w:rPr>
        <w:t xml:space="preserve"> the two forms of </w:t>
      </w:r>
      <w:r w:rsidRPr="006A2F4B">
        <w:rPr>
          <w:rFonts w:ascii="Times New Roman" w:hAnsi="Times New Roman"/>
          <w:sz w:val="24"/>
          <w:szCs w:val="24"/>
        </w:rPr>
        <w:t xml:space="preserve">euthanasia </w:t>
      </w:r>
      <w:r w:rsidR="006D2836" w:rsidRPr="006A2F4B">
        <w:rPr>
          <w:rFonts w:ascii="Times New Roman" w:hAnsi="Times New Roman"/>
          <w:sz w:val="24"/>
          <w:szCs w:val="24"/>
        </w:rPr>
        <w:t xml:space="preserve">being perceived as </w:t>
      </w:r>
      <w:r w:rsidRPr="006A2F4B">
        <w:rPr>
          <w:rFonts w:ascii="Times New Roman" w:hAnsi="Times New Roman"/>
          <w:sz w:val="24"/>
          <w:szCs w:val="24"/>
        </w:rPr>
        <w:t>having no</w:t>
      </w:r>
      <w:r w:rsidR="004D4310" w:rsidRPr="006A2F4B">
        <w:rPr>
          <w:rFonts w:ascii="Times New Roman" w:hAnsi="Times New Roman"/>
          <w:sz w:val="24"/>
          <w:szCs w:val="24"/>
        </w:rPr>
        <w:t xml:space="preserve"> real</w:t>
      </w:r>
      <w:r w:rsidRPr="006A2F4B">
        <w:rPr>
          <w:rFonts w:ascii="Times New Roman" w:hAnsi="Times New Roman"/>
          <w:sz w:val="24"/>
          <w:szCs w:val="24"/>
        </w:rPr>
        <w:t xml:space="preserve"> distinction</w:t>
      </w:r>
      <w:r w:rsidR="006D2836" w:rsidRPr="006A2F4B">
        <w:rPr>
          <w:rFonts w:ascii="Times New Roman" w:hAnsi="Times New Roman"/>
          <w:sz w:val="24"/>
          <w:szCs w:val="24"/>
        </w:rPr>
        <w:t xml:space="preserve"> between them</w:t>
      </w:r>
      <w:r w:rsidRPr="006A2F4B">
        <w:rPr>
          <w:rFonts w:ascii="Times New Roman" w:hAnsi="Times New Roman"/>
          <w:sz w:val="24"/>
          <w:szCs w:val="24"/>
        </w:rPr>
        <w:t xml:space="preserve">, </w:t>
      </w:r>
      <w:r w:rsidR="006D2836" w:rsidRPr="006A2F4B">
        <w:rPr>
          <w:rFonts w:ascii="Times New Roman" w:hAnsi="Times New Roman"/>
          <w:sz w:val="24"/>
          <w:szCs w:val="24"/>
        </w:rPr>
        <w:t xml:space="preserve">as </w:t>
      </w:r>
      <w:r w:rsidR="004D4310" w:rsidRPr="006A2F4B">
        <w:rPr>
          <w:rFonts w:ascii="Times New Roman" w:hAnsi="Times New Roman"/>
          <w:sz w:val="24"/>
          <w:szCs w:val="24"/>
        </w:rPr>
        <w:t>death is simply death, regardless of what the motivation of the person to act is.</w:t>
      </w:r>
      <w:r w:rsidR="00CF3271" w:rsidRPr="006A2F4B">
        <w:rPr>
          <w:rStyle w:val="FootnoteReference"/>
          <w:rFonts w:ascii="Times New Roman" w:hAnsi="Times New Roman"/>
          <w:sz w:val="24"/>
          <w:szCs w:val="24"/>
        </w:rPr>
        <w:footnoteReference w:id="6"/>
      </w:r>
      <w:r w:rsidR="004D4310" w:rsidRPr="006A2F4B">
        <w:rPr>
          <w:rFonts w:ascii="Times New Roman" w:hAnsi="Times New Roman"/>
          <w:sz w:val="24"/>
          <w:szCs w:val="24"/>
        </w:rPr>
        <w:t xml:space="preserve">  </w:t>
      </w:r>
      <w:r w:rsidR="00002A78" w:rsidRPr="006A2F4B">
        <w:rPr>
          <w:rFonts w:ascii="Times New Roman" w:hAnsi="Times New Roman"/>
          <w:sz w:val="24"/>
          <w:szCs w:val="24"/>
        </w:rPr>
        <w:t>Eu</w:t>
      </w:r>
      <w:r w:rsidRPr="006A2F4B">
        <w:rPr>
          <w:rFonts w:ascii="Times New Roman" w:hAnsi="Times New Roman"/>
          <w:sz w:val="24"/>
          <w:szCs w:val="24"/>
        </w:rPr>
        <w:t xml:space="preserve">thanasia does </w:t>
      </w:r>
      <w:r w:rsidR="004D4310" w:rsidRPr="006A2F4B">
        <w:rPr>
          <w:rFonts w:ascii="Times New Roman" w:hAnsi="Times New Roman"/>
          <w:sz w:val="24"/>
          <w:szCs w:val="24"/>
        </w:rPr>
        <w:t xml:space="preserve">have a </w:t>
      </w:r>
      <w:r w:rsidRPr="006A2F4B">
        <w:rPr>
          <w:rFonts w:ascii="Times New Roman" w:hAnsi="Times New Roman"/>
          <w:sz w:val="24"/>
          <w:szCs w:val="24"/>
        </w:rPr>
        <w:t xml:space="preserve">strong </w:t>
      </w:r>
      <w:r w:rsidRPr="006A2F4B">
        <w:rPr>
          <w:rFonts w:ascii="Times New Roman" w:hAnsi="Times New Roman"/>
          <w:i/>
          <w:sz w:val="24"/>
          <w:szCs w:val="24"/>
        </w:rPr>
        <w:t>‘</w:t>
      </w:r>
      <w:r w:rsidR="004D4310" w:rsidRPr="006A2F4B">
        <w:rPr>
          <w:rFonts w:ascii="Times New Roman" w:hAnsi="Times New Roman"/>
          <w:i/>
          <w:sz w:val="24"/>
          <w:szCs w:val="24"/>
        </w:rPr>
        <w:t xml:space="preserve">moral </w:t>
      </w:r>
      <w:r w:rsidRPr="006A2F4B">
        <w:rPr>
          <w:rFonts w:ascii="Times New Roman" w:hAnsi="Times New Roman"/>
          <w:i/>
          <w:sz w:val="24"/>
          <w:szCs w:val="24"/>
        </w:rPr>
        <w:t xml:space="preserve">dimension’ </w:t>
      </w:r>
      <w:r w:rsidR="004D4310" w:rsidRPr="006A2F4B">
        <w:rPr>
          <w:rFonts w:ascii="Times New Roman" w:hAnsi="Times New Roman"/>
          <w:sz w:val="24"/>
          <w:szCs w:val="24"/>
        </w:rPr>
        <w:t xml:space="preserve">and </w:t>
      </w:r>
      <w:r w:rsidRPr="006A2F4B">
        <w:rPr>
          <w:rFonts w:ascii="Times New Roman" w:hAnsi="Times New Roman"/>
          <w:sz w:val="24"/>
          <w:szCs w:val="24"/>
        </w:rPr>
        <w:t>therefore does hold a distinction for some, which can be illustrated in the example of murder.</w:t>
      </w:r>
      <w:r w:rsidR="004C21EB" w:rsidRPr="006A2F4B">
        <w:rPr>
          <w:rStyle w:val="FootnoteReference"/>
          <w:rFonts w:ascii="Times New Roman" w:hAnsi="Times New Roman"/>
          <w:sz w:val="24"/>
          <w:szCs w:val="24"/>
        </w:rPr>
        <w:footnoteReference w:id="7"/>
      </w:r>
      <w:r w:rsidRPr="006A2F4B">
        <w:rPr>
          <w:rFonts w:ascii="Times New Roman" w:hAnsi="Times New Roman"/>
          <w:sz w:val="24"/>
          <w:szCs w:val="24"/>
        </w:rPr>
        <w:t xml:space="preserve"> </w:t>
      </w:r>
    </w:p>
    <w:p w14:paraId="282CCB07" w14:textId="4B454A79" w:rsidR="00315C3C" w:rsidRPr="006A2F4B" w:rsidRDefault="00315C3C" w:rsidP="00E82587">
      <w:pPr>
        <w:spacing w:line="360" w:lineRule="auto"/>
        <w:jc w:val="both"/>
        <w:rPr>
          <w:rFonts w:ascii="Times New Roman" w:hAnsi="Times New Roman"/>
          <w:sz w:val="24"/>
          <w:szCs w:val="24"/>
        </w:rPr>
      </w:pPr>
      <w:r w:rsidRPr="006A2F4B">
        <w:rPr>
          <w:rFonts w:ascii="Times New Roman" w:hAnsi="Times New Roman"/>
          <w:sz w:val="24"/>
          <w:szCs w:val="24"/>
        </w:rPr>
        <w:t>The distinction between euthanasia and murder, is due to m</w:t>
      </w:r>
      <w:r w:rsidR="004D4310" w:rsidRPr="006A2F4B">
        <w:rPr>
          <w:rFonts w:ascii="Times New Roman" w:hAnsi="Times New Roman"/>
          <w:sz w:val="24"/>
          <w:szCs w:val="24"/>
        </w:rPr>
        <w:t>urder involv</w:t>
      </w:r>
      <w:r w:rsidRPr="006A2F4B">
        <w:rPr>
          <w:rFonts w:ascii="Times New Roman" w:hAnsi="Times New Roman"/>
          <w:sz w:val="24"/>
          <w:szCs w:val="24"/>
        </w:rPr>
        <w:t>ing</w:t>
      </w:r>
      <w:r w:rsidR="004D4310" w:rsidRPr="006A2F4B">
        <w:rPr>
          <w:rFonts w:ascii="Times New Roman" w:hAnsi="Times New Roman"/>
          <w:sz w:val="24"/>
          <w:szCs w:val="24"/>
        </w:rPr>
        <w:t xml:space="preserve"> the taking of a life, through an act of violence, and </w:t>
      </w:r>
      <w:r w:rsidR="006D2836" w:rsidRPr="006A2F4B">
        <w:rPr>
          <w:rFonts w:ascii="Times New Roman" w:hAnsi="Times New Roman"/>
          <w:sz w:val="24"/>
          <w:szCs w:val="24"/>
        </w:rPr>
        <w:t>is seen as morally wrong, as well as being legally wrong.</w:t>
      </w:r>
      <w:r w:rsidR="006E023B">
        <w:rPr>
          <w:rStyle w:val="FootnoteReference"/>
          <w:rFonts w:ascii="Times New Roman" w:hAnsi="Times New Roman"/>
          <w:sz w:val="24"/>
          <w:szCs w:val="24"/>
        </w:rPr>
        <w:footnoteReference w:id="8"/>
      </w:r>
      <w:r w:rsidR="004C21EB" w:rsidRPr="006A2F4B">
        <w:rPr>
          <w:rFonts w:ascii="Times New Roman" w:hAnsi="Times New Roman"/>
          <w:sz w:val="24"/>
          <w:szCs w:val="24"/>
        </w:rPr>
        <w:t xml:space="preserve"> </w:t>
      </w:r>
      <w:r w:rsidR="006D2836" w:rsidRPr="006A2F4B">
        <w:rPr>
          <w:rFonts w:ascii="Times New Roman" w:hAnsi="Times New Roman"/>
          <w:sz w:val="24"/>
          <w:szCs w:val="24"/>
        </w:rPr>
        <w:t xml:space="preserve">Euthanasia, dependant on the motivation of the individual, could be seen as either a morally </w:t>
      </w:r>
      <w:r w:rsidR="006D2836" w:rsidRPr="006A2F4B">
        <w:rPr>
          <w:rFonts w:ascii="Times New Roman" w:hAnsi="Times New Roman"/>
          <w:sz w:val="24"/>
          <w:szCs w:val="24"/>
        </w:rPr>
        <w:lastRenderedPageBreak/>
        <w:t>and legally correct act, or conversely an act to bring an advantage or gain to another, and not necessarily to the advantage of the person being euthanized.</w:t>
      </w:r>
      <w:r w:rsidR="006E023B">
        <w:rPr>
          <w:rStyle w:val="FootnoteReference"/>
          <w:rFonts w:ascii="Times New Roman" w:hAnsi="Times New Roman"/>
          <w:sz w:val="24"/>
          <w:szCs w:val="24"/>
        </w:rPr>
        <w:footnoteReference w:id="9"/>
      </w:r>
      <w:r w:rsidR="006D2836" w:rsidRPr="006A2F4B">
        <w:rPr>
          <w:rFonts w:ascii="Times New Roman" w:hAnsi="Times New Roman"/>
          <w:sz w:val="24"/>
          <w:szCs w:val="24"/>
        </w:rPr>
        <w:t xml:space="preserve">  </w:t>
      </w:r>
    </w:p>
    <w:p w14:paraId="2D6147AA" w14:textId="4A1D6064" w:rsidR="002F02D9"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 xml:space="preserve">The difficulty in assessing these two forms of euthanasia, is explored in the work of Wilkinson and Garrard when discussing the significance of categorising passive and active euthanasia. As from a moral </w:t>
      </w:r>
      <w:r w:rsidRPr="006A2F4B">
        <w:rPr>
          <w:rFonts w:ascii="Times New Roman" w:hAnsi="Times New Roman"/>
          <w:i/>
          <w:sz w:val="24"/>
          <w:szCs w:val="24"/>
        </w:rPr>
        <w:t>‘</w:t>
      </w:r>
      <w:r w:rsidR="00B85EC8" w:rsidRPr="006A2F4B">
        <w:rPr>
          <w:rFonts w:ascii="Times New Roman" w:hAnsi="Times New Roman"/>
          <w:i/>
          <w:sz w:val="24"/>
          <w:szCs w:val="24"/>
        </w:rPr>
        <w:t>S</w:t>
      </w:r>
      <w:r w:rsidRPr="006A2F4B">
        <w:rPr>
          <w:rFonts w:ascii="Times New Roman" w:hAnsi="Times New Roman"/>
          <w:i/>
          <w:sz w:val="24"/>
          <w:szCs w:val="24"/>
        </w:rPr>
        <w:t xml:space="preserve">anctity of </w:t>
      </w:r>
      <w:r w:rsidR="00B85EC8" w:rsidRPr="006A2F4B">
        <w:rPr>
          <w:rFonts w:ascii="Times New Roman" w:hAnsi="Times New Roman"/>
          <w:i/>
          <w:sz w:val="24"/>
          <w:szCs w:val="24"/>
        </w:rPr>
        <w:t>L</w:t>
      </w:r>
      <w:r w:rsidRPr="006A2F4B">
        <w:rPr>
          <w:rFonts w:ascii="Times New Roman" w:hAnsi="Times New Roman"/>
          <w:i/>
          <w:sz w:val="24"/>
          <w:szCs w:val="24"/>
        </w:rPr>
        <w:t>ife’</w:t>
      </w:r>
      <w:r w:rsidRPr="006A2F4B">
        <w:rPr>
          <w:rFonts w:ascii="Times New Roman" w:hAnsi="Times New Roman"/>
          <w:sz w:val="24"/>
          <w:szCs w:val="24"/>
        </w:rPr>
        <w:t xml:space="preserve"> perspective euthanasia is considered wrong.</w:t>
      </w:r>
      <w:r w:rsidR="000A0988" w:rsidRPr="006A2F4B">
        <w:rPr>
          <w:rStyle w:val="FootnoteReference"/>
          <w:rFonts w:ascii="Times New Roman" w:hAnsi="Times New Roman"/>
          <w:sz w:val="24"/>
          <w:szCs w:val="24"/>
        </w:rPr>
        <w:footnoteReference w:id="10"/>
      </w:r>
      <w:r w:rsidR="00E94582" w:rsidRPr="006A2F4B">
        <w:rPr>
          <w:rFonts w:ascii="Times New Roman" w:hAnsi="Times New Roman"/>
          <w:sz w:val="24"/>
          <w:szCs w:val="24"/>
        </w:rPr>
        <w:t xml:space="preserve"> </w:t>
      </w:r>
      <w:r w:rsidR="00B85EC8" w:rsidRPr="006A2F4B">
        <w:rPr>
          <w:rFonts w:ascii="Times New Roman" w:hAnsi="Times New Roman"/>
          <w:sz w:val="24"/>
          <w:szCs w:val="24"/>
        </w:rPr>
        <w:t>Glover</w:t>
      </w:r>
      <w:r w:rsidR="005C619B" w:rsidRPr="006A2F4B">
        <w:rPr>
          <w:rFonts w:ascii="Times New Roman" w:hAnsi="Times New Roman"/>
          <w:sz w:val="24"/>
          <w:szCs w:val="24"/>
        </w:rPr>
        <w:t xml:space="preserve"> (1977) in </w:t>
      </w:r>
      <w:r w:rsidR="005C619B" w:rsidRPr="006A2F4B">
        <w:rPr>
          <w:rFonts w:ascii="Times New Roman" w:hAnsi="Times New Roman"/>
          <w:i/>
          <w:sz w:val="24"/>
          <w:szCs w:val="24"/>
        </w:rPr>
        <w:t>‘Causing Death and Saving Life’</w:t>
      </w:r>
      <w:r w:rsidR="00B85EC8" w:rsidRPr="006A2F4B">
        <w:rPr>
          <w:rFonts w:ascii="Times New Roman" w:hAnsi="Times New Roman"/>
          <w:sz w:val="24"/>
          <w:szCs w:val="24"/>
        </w:rPr>
        <w:t xml:space="preserve"> </w:t>
      </w:r>
      <w:r w:rsidR="005C619B" w:rsidRPr="006A2F4B">
        <w:rPr>
          <w:rFonts w:ascii="Times New Roman" w:hAnsi="Times New Roman"/>
          <w:sz w:val="24"/>
          <w:szCs w:val="24"/>
        </w:rPr>
        <w:t xml:space="preserve">challenges </w:t>
      </w:r>
      <w:r w:rsidR="00B85EC8" w:rsidRPr="006A2F4B">
        <w:rPr>
          <w:rFonts w:ascii="Times New Roman" w:hAnsi="Times New Roman"/>
          <w:sz w:val="24"/>
          <w:szCs w:val="24"/>
        </w:rPr>
        <w:t>this assumption that due to the ‘</w:t>
      </w:r>
      <w:r w:rsidR="00B85EC8" w:rsidRPr="006E023B">
        <w:rPr>
          <w:rFonts w:ascii="Times New Roman" w:hAnsi="Times New Roman"/>
          <w:i/>
          <w:sz w:val="24"/>
          <w:szCs w:val="24"/>
        </w:rPr>
        <w:t>Sanctity of Life’</w:t>
      </w:r>
      <w:r w:rsidR="00B85EC8" w:rsidRPr="006A2F4B">
        <w:rPr>
          <w:rFonts w:ascii="Times New Roman" w:hAnsi="Times New Roman"/>
          <w:sz w:val="24"/>
          <w:szCs w:val="24"/>
        </w:rPr>
        <w:t xml:space="preserve"> argument, therefore there is no moral difference between killing and letting die.</w:t>
      </w:r>
      <w:r w:rsidR="000A0988" w:rsidRPr="006A2F4B">
        <w:rPr>
          <w:rStyle w:val="FootnoteReference"/>
          <w:rFonts w:ascii="Times New Roman" w:hAnsi="Times New Roman"/>
          <w:sz w:val="24"/>
          <w:szCs w:val="24"/>
        </w:rPr>
        <w:footnoteReference w:id="11"/>
      </w:r>
      <w:r w:rsidR="00B85EC8" w:rsidRPr="006A2F4B">
        <w:rPr>
          <w:rFonts w:ascii="Times New Roman" w:hAnsi="Times New Roman"/>
          <w:sz w:val="24"/>
          <w:szCs w:val="24"/>
        </w:rPr>
        <w:t xml:space="preserve"> Proposing, </w:t>
      </w:r>
    </w:p>
    <w:p w14:paraId="6407A7C7" w14:textId="77777777" w:rsidR="000A0988" w:rsidRPr="006A2F4B" w:rsidRDefault="000A0988">
      <w:pPr>
        <w:spacing w:line="360" w:lineRule="auto"/>
        <w:jc w:val="both"/>
        <w:rPr>
          <w:rFonts w:ascii="Times New Roman" w:hAnsi="Times New Roman"/>
          <w:sz w:val="24"/>
          <w:szCs w:val="24"/>
        </w:rPr>
      </w:pPr>
    </w:p>
    <w:p w14:paraId="18ED844F" w14:textId="1DA90E6D" w:rsidR="00635C02" w:rsidRPr="006A2F4B" w:rsidRDefault="00C10293" w:rsidP="005C619B">
      <w:pPr>
        <w:ind w:left="1474" w:right="1474"/>
        <w:jc w:val="both"/>
        <w:rPr>
          <w:rFonts w:ascii="Times New Roman" w:hAnsi="Times New Roman"/>
          <w:sz w:val="24"/>
          <w:szCs w:val="24"/>
        </w:rPr>
      </w:pPr>
      <w:r w:rsidRPr="006A2F4B">
        <w:rPr>
          <w:rFonts w:ascii="Times New Roman" w:hAnsi="Times New Roman"/>
          <w:sz w:val="24"/>
          <w:szCs w:val="24"/>
        </w:rPr>
        <w:t>T</w:t>
      </w:r>
      <w:r w:rsidR="002F02D9" w:rsidRPr="006A2F4B">
        <w:rPr>
          <w:rFonts w:ascii="Times New Roman" w:hAnsi="Times New Roman"/>
          <w:sz w:val="24"/>
          <w:szCs w:val="24"/>
        </w:rPr>
        <w:t>he doctrine of the ‘Sanctity of Life’ is not acceptable, but that there is embedded in it a moral view we should retain.</w:t>
      </w:r>
      <w:r w:rsidR="005C619B" w:rsidRPr="006A2F4B">
        <w:rPr>
          <w:rFonts w:ascii="Times New Roman" w:hAnsi="Times New Roman"/>
          <w:sz w:val="24"/>
          <w:szCs w:val="24"/>
        </w:rPr>
        <w:t xml:space="preserve"> We should reject the view that taking human life is </w:t>
      </w:r>
      <w:r w:rsidR="005C619B" w:rsidRPr="006A2F4B">
        <w:rPr>
          <w:rFonts w:ascii="Times New Roman" w:hAnsi="Times New Roman"/>
          <w:i/>
          <w:sz w:val="24"/>
          <w:szCs w:val="24"/>
        </w:rPr>
        <w:t xml:space="preserve">intrinsically </w:t>
      </w:r>
      <w:r w:rsidR="00E82587" w:rsidRPr="006A2F4B">
        <w:rPr>
          <w:rFonts w:ascii="Times New Roman" w:hAnsi="Times New Roman"/>
          <w:sz w:val="24"/>
          <w:szCs w:val="24"/>
        </w:rPr>
        <w:t>wrong but</w:t>
      </w:r>
      <w:r w:rsidR="005C619B" w:rsidRPr="006A2F4B">
        <w:rPr>
          <w:rFonts w:ascii="Times New Roman" w:hAnsi="Times New Roman"/>
          <w:sz w:val="24"/>
          <w:szCs w:val="24"/>
        </w:rPr>
        <w:t xml:space="preserve"> retain the view that it is normally </w:t>
      </w:r>
      <w:r w:rsidR="005C619B" w:rsidRPr="006A2F4B">
        <w:rPr>
          <w:rFonts w:ascii="Times New Roman" w:hAnsi="Times New Roman"/>
          <w:i/>
          <w:sz w:val="24"/>
          <w:szCs w:val="24"/>
        </w:rPr>
        <w:t xml:space="preserve">directly </w:t>
      </w:r>
      <w:r w:rsidR="005C619B" w:rsidRPr="006A2F4B">
        <w:rPr>
          <w:rFonts w:ascii="Times New Roman" w:hAnsi="Times New Roman"/>
          <w:sz w:val="24"/>
          <w:szCs w:val="24"/>
        </w:rPr>
        <w:t xml:space="preserve">wrong: that most acts of killing people would be wrong in the absence of harmful side-effects. </w:t>
      </w:r>
      <w:r w:rsidR="005C619B" w:rsidRPr="006A2F4B">
        <w:rPr>
          <w:rStyle w:val="FootnoteReference"/>
          <w:rFonts w:ascii="Times New Roman" w:hAnsi="Times New Roman"/>
          <w:sz w:val="24"/>
          <w:szCs w:val="24"/>
        </w:rPr>
        <w:footnoteReference w:id="12"/>
      </w:r>
    </w:p>
    <w:p w14:paraId="07069C1A" w14:textId="77777777" w:rsidR="00C10293" w:rsidRPr="006A2F4B" w:rsidRDefault="00C10293">
      <w:pPr>
        <w:spacing w:line="360" w:lineRule="auto"/>
        <w:jc w:val="both"/>
        <w:rPr>
          <w:rFonts w:ascii="Times New Roman" w:hAnsi="Times New Roman"/>
          <w:sz w:val="24"/>
          <w:szCs w:val="24"/>
        </w:rPr>
      </w:pPr>
    </w:p>
    <w:p w14:paraId="2DB17AA8" w14:textId="7994FB90" w:rsidR="0069651B" w:rsidRPr="006A2F4B" w:rsidRDefault="007B19FF">
      <w:pPr>
        <w:spacing w:line="360" w:lineRule="auto"/>
        <w:jc w:val="both"/>
        <w:rPr>
          <w:rFonts w:ascii="Times New Roman" w:hAnsi="Times New Roman"/>
          <w:sz w:val="24"/>
          <w:szCs w:val="24"/>
        </w:rPr>
      </w:pPr>
      <w:r w:rsidRPr="006A2F4B">
        <w:rPr>
          <w:rFonts w:ascii="Times New Roman" w:hAnsi="Times New Roman"/>
          <w:sz w:val="24"/>
          <w:szCs w:val="24"/>
        </w:rPr>
        <w:t xml:space="preserve">Wilkinson and Gerrard do recognise that </w:t>
      </w:r>
      <w:r w:rsidR="006E023B">
        <w:rPr>
          <w:rFonts w:ascii="Times New Roman" w:hAnsi="Times New Roman"/>
          <w:sz w:val="24"/>
          <w:szCs w:val="24"/>
        </w:rPr>
        <w:t xml:space="preserve">the </w:t>
      </w:r>
      <w:r w:rsidR="00C10293" w:rsidRPr="006A2F4B">
        <w:rPr>
          <w:rFonts w:ascii="Times New Roman" w:hAnsi="Times New Roman"/>
          <w:sz w:val="24"/>
          <w:szCs w:val="24"/>
        </w:rPr>
        <w:t xml:space="preserve">Sanctity of Life as a </w:t>
      </w:r>
      <w:r w:rsidRPr="006A2F4B">
        <w:rPr>
          <w:rFonts w:ascii="Times New Roman" w:hAnsi="Times New Roman"/>
          <w:sz w:val="24"/>
          <w:szCs w:val="24"/>
        </w:rPr>
        <w:t>moral system</w:t>
      </w:r>
      <w:r w:rsidR="006E023B">
        <w:rPr>
          <w:rFonts w:ascii="Times New Roman" w:hAnsi="Times New Roman"/>
          <w:sz w:val="24"/>
          <w:szCs w:val="24"/>
        </w:rPr>
        <w:t xml:space="preserve"> </w:t>
      </w:r>
      <w:r w:rsidRPr="006A2F4B">
        <w:rPr>
          <w:rFonts w:ascii="Times New Roman" w:hAnsi="Times New Roman"/>
          <w:sz w:val="24"/>
          <w:szCs w:val="24"/>
        </w:rPr>
        <w:t>is to rigid.</w:t>
      </w:r>
      <w:r w:rsidR="000A0988" w:rsidRPr="006A2F4B">
        <w:rPr>
          <w:rStyle w:val="FootnoteReference"/>
          <w:rFonts w:ascii="Times New Roman" w:hAnsi="Times New Roman"/>
          <w:sz w:val="24"/>
          <w:szCs w:val="24"/>
        </w:rPr>
        <w:footnoteReference w:id="13"/>
      </w:r>
      <w:r w:rsidRPr="006A2F4B">
        <w:rPr>
          <w:rFonts w:ascii="Times New Roman" w:hAnsi="Times New Roman"/>
          <w:sz w:val="24"/>
          <w:szCs w:val="24"/>
        </w:rPr>
        <w:t xml:space="preserve"> Thus </w:t>
      </w:r>
      <w:r w:rsidR="00C50439" w:rsidRPr="006A2F4B">
        <w:rPr>
          <w:rFonts w:ascii="Times New Roman" w:hAnsi="Times New Roman"/>
          <w:i/>
          <w:sz w:val="24"/>
          <w:szCs w:val="24"/>
        </w:rPr>
        <w:t>‘not only excludes the possibility of passive euthanasia (assuming this to be morally permissible) but also excludes the possibility of a moral debate about the ethical standing of euthanasia.’</w:t>
      </w:r>
      <w:r w:rsidR="00C50439" w:rsidRPr="006A2F4B">
        <w:rPr>
          <w:rStyle w:val="FootnoteReference"/>
          <w:rFonts w:ascii="Times New Roman" w:hAnsi="Times New Roman"/>
          <w:sz w:val="24"/>
          <w:szCs w:val="24"/>
        </w:rPr>
        <w:footnoteReference w:id="14"/>
      </w:r>
      <w:r w:rsidR="00C50439" w:rsidRPr="006A2F4B">
        <w:rPr>
          <w:rFonts w:ascii="Times New Roman" w:hAnsi="Times New Roman"/>
          <w:sz w:val="24"/>
          <w:szCs w:val="24"/>
        </w:rPr>
        <w:t xml:space="preserve"> Following this line of thought both writers reach the conclusion that in order to discuss euthanasia we should </w:t>
      </w:r>
      <w:r w:rsidR="00C50439" w:rsidRPr="006A2F4B">
        <w:rPr>
          <w:rFonts w:ascii="Times New Roman" w:hAnsi="Times New Roman"/>
          <w:i/>
          <w:sz w:val="24"/>
          <w:szCs w:val="24"/>
        </w:rPr>
        <w:t>‘not foreclose on moral debate in this way,’</w:t>
      </w:r>
      <w:r w:rsidR="00C50439" w:rsidRPr="006A2F4B">
        <w:rPr>
          <w:rFonts w:ascii="Times New Roman" w:hAnsi="Times New Roman"/>
          <w:sz w:val="24"/>
          <w:szCs w:val="24"/>
        </w:rPr>
        <w:t xml:space="preserve"> as in some instances it might be right to act, or not, as each case is unique in its own right, and action might be appropriate.</w:t>
      </w:r>
      <w:r w:rsidR="00B43012" w:rsidRPr="006A2F4B">
        <w:rPr>
          <w:rStyle w:val="FootnoteReference"/>
          <w:rFonts w:ascii="Times New Roman" w:hAnsi="Times New Roman"/>
          <w:i/>
          <w:sz w:val="24"/>
          <w:szCs w:val="24"/>
        </w:rPr>
        <w:t xml:space="preserve"> </w:t>
      </w:r>
      <w:r w:rsidR="00B43012" w:rsidRPr="006A2F4B">
        <w:rPr>
          <w:rStyle w:val="FootnoteReference"/>
          <w:rFonts w:ascii="Times New Roman" w:hAnsi="Times New Roman"/>
          <w:i/>
          <w:sz w:val="24"/>
          <w:szCs w:val="24"/>
        </w:rPr>
        <w:footnoteReference w:id="15"/>
      </w:r>
      <w:r w:rsidR="00C50439" w:rsidRPr="006A2F4B">
        <w:rPr>
          <w:rFonts w:ascii="Times New Roman" w:hAnsi="Times New Roman"/>
          <w:sz w:val="24"/>
          <w:szCs w:val="24"/>
        </w:rPr>
        <w:t xml:space="preserve"> </w:t>
      </w:r>
      <w:r w:rsidR="000A35B3" w:rsidRPr="006A2F4B">
        <w:rPr>
          <w:rFonts w:ascii="Times New Roman" w:hAnsi="Times New Roman"/>
          <w:sz w:val="24"/>
          <w:szCs w:val="24"/>
        </w:rPr>
        <w:t>With</w:t>
      </w:r>
      <w:r w:rsidR="00C50439" w:rsidRPr="006A2F4B">
        <w:rPr>
          <w:rFonts w:ascii="Times New Roman" w:hAnsi="Times New Roman"/>
          <w:sz w:val="24"/>
          <w:szCs w:val="24"/>
        </w:rPr>
        <w:t xml:space="preserve">in this essay to discover whether there is a morally significant difference between active and passive euthanasia a fair perspective from both active and passive stance will be examined. </w:t>
      </w:r>
      <w:r w:rsidR="00C50439" w:rsidRPr="006A2F4B">
        <w:rPr>
          <w:rFonts w:ascii="Times New Roman" w:hAnsi="Times New Roman"/>
          <w:i/>
          <w:sz w:val="24"/>
          <w:szCs w:val="24"/>
        </w:rPr>
        <w:t>‘It would be better if the definitions at least left open the possibility that active euthanasia is (sometimes) justified, and that passive euthanasia is (sometimes) wrong.’</w:t>
      </w:r>
      <w:r w:rsidR="00C50439" w:rsidRPr="006A2F4B">
        <w:rPr>
          <w:rStyle w:val="FootnoteReference"/>
          <w:rFonts w:ascii="Times New Roman" w:hAnsi="Times New Roman"/>
          <w:sz w:val="24"/>
          <w:szCs w:val="24"/>
        </w:rPr>
        <w:footnoteReference w:id="16"/>
      </w:r>
      <w:r w:rsidR="00C50439" w:rsidRPr="006A2F4B">
        <w:rPr>
          <w:rFonts w:ascii="Times New Roman" w:hAnsi="Times New Roman"/>
          <w:sz w:val="24"/>
          <w:szCs w:val="24"/>
        </w:rPr>
        <w:t xml:space="preserve"> </w:t>
      </w:r>
    </w:p>
    <w:p w14:paraId="76D151F7" w14:textId="77777777" w:rsidR="000A0988" w:rsidRPr="006A2F4B" w:rsidRDefault="000A0988">
      <w:pPr>
        <w:spacing w:line="360" w:lineRule="auto"/>
        <w:jc w:val="both"/>
        <w:rPr>
          <w:rFonts w:ascii="Times New Roman" w:hAnsi="Times New Roman"/>
          <w:sz w:val="24"/>
          <w:szCs w:val="24"/>
        </w:rPr>
      </w:pPr>
    </w:p>
    <w:p w14:paraId="582A929B" w14:textId="6AF77AF6" w:rsidR="00002A78" w:rsidRPr="006A2F4B" w:rsidRDefault="00C50439">
      <w:pPr>
        <w:spacing w:line="360" w:lineRule="auto"/>
        <w:jc w:val="both"/>
        <w:rPr>
          <w:rFonts w:ascii="Times New Roman" w:hAnsi="Times New Roman"/>
          <w:i/>
          <w:sz w:val="24"/>
          <w:szCs w:val="24"/>
          <w:shd w:val="clear" w:color="auto" w:fill="FFFFFF"/>
        </w:rPr>
      </w:pPr>
      <w:r w:rsidRPr="006A2F4B">
        <w:rPr>
          <w:rFonts w:ascii="Times New Roman" w:hAnsi="Times New Roman"/>
          <w:sz w:val="24"/>
          <w:szCs w:val="24"/>
          <w:shd w:val="clear" w:color="auto" w:fill="FFFFFF"/>
        </w:rPr>
        <w:lastRenderedPageBreak/>
        <w:t xml:space="preserve">While many people would consider there is a simplistic answer to the morality of killing, or allowing to die, it is ultimately a more complex issue, in which individuals struggle to                          </w:t>
      </w:r>
      <w:r w:rsidRPr="006A2F4B">
        <w:rPr>
          <w:rFonts w:ascii="Times New Roman" w:hAnsi="Times New Roman"/>
          <w:i/>
          <w:sz w:val="24"/>
          <w:szCs w:val="24"/>
          <w:shd w:val="clear" w:color="auto" w:fill="FFFFFF"/>
        </w:rPr>
        <w:t>‘… make a </w:t>
      </w:r>
      <w:r w:rsidRPr="006A2F4B">
        <w:rPr>
          <w:rFonts w:ascii="Times New Roman" w:hAnsi="Times New Roman"/>
          <w:bCs/>
          <w:i/>
          <w:sz w:val="24"/>
          <w:szCs w:val="24"/>
          <w:shd w:val="clear" w:color="auto" w:fill="FFFFFF"/>
        </w:rPr>
        <w:t xml:space="preserve">moral </w:t>
      </w:r>
      <w:r w:rsidRPr="006A2F4B">
        <w:rPr>
          <w:rFonts w:ascii="Times New Roman" w:hAnsi="Times New Roman"/>
          <w:i/>
          <w:sz w:val="24"/>
          <w:szCs w:val="24"/>
          <w:shd w:val="clear" w:color="auto" w:fill="FFFFFF"/>
        </w:rPr>
        <w:t>distinction </w:t>
      </w:r>
      <w:r w:rsidRPr="006A2F4B">
        <w:rPr>
          <w:rFonts w:ascii="Times New Roman" w:hAnsi="Times New Roman"/>
          <w:bCs/>
          <w:i/>
          <w:sz w:val="24"/>
          <w:szCs w:val="24"/>
          <w:shd w:val="clear" w:color="auto" w:fill="FFFFFF"/>
        </w:rPr>
        <w:t>between active and passive euthanasia.</w:t>
      </w:r>
      <w:r w:rsidRPr="006A2F4B">
        <w:rPr>
          <w:rStyle w:val="FootnoteReference"/>
          <w:rFonts w:ascii="Times New Roman" w:hAnsi="Times New Roman"/>
          <w:i/>
          <w:sz w:val="24"/>
          <w:szCs w:val="24"/>
          <w:shd w:val="clear" w:color="auto" w:fill="FFFFFF"/>
        </w:rPr>
        <w:footnoteReference w:id="17"/>
      </w:r>
      <w:r w:rsidRPr="006A2F4B">
        <w:rPr>
          <w:rFonts w:ascii="Times New Roman" w:hAnsi="Times New Roman"/>
          <w:i/>
          <w:sz w:val="24"/>
          <w:szCs w:val="24"/>
          <w:shd w:val="clear" w:color="auto" w:fill="FFFFFF"/>
        </w:rPr>
        <w:t xml:space="preserve"> This in part is due to many people considering it morally acceptable ‘to withhold treatment and allow a patient to die, but that it is never acceptable to kill a patient by a deliberate act.’</w:t>
      </w:r>
      <w:r w:rsidRPr="006A2F4B">
        <w:rPr>
          <w:rStyle w:val="FootnoteReference"/>
          <w:rFonts w:ascii="Times New Roman" w:hAnsi="Times New Roman"/>
          <w:sz w:val="24"/>
          <w:szCs w:val="24"/>
          <w:shd w:val="clear" w:color="auto" w:fill="FFFFFF"/>
        </w:rPr>
        <w:footnoteReference w:id="18"/>
      </w:r>
      <w:r w:rsidR="00002A78" w:rsidRPr="006A2F4B">
        <w:rPr>
          <w:rFonts w:ascii="Times New Roman" w:hAnsi="Times New Roman"/>
          <w:sz w:val="24"/>
          <w:szCs w:val="24"/>
          <w:shd w:val="clear" w:color="auto" w:fill="FFFFFF"/>
        </w:rPr>
        <w:t xml:space="preserve"> </w:t>
      </w:r>
      <w:r w:rsidR="0057171B" w:rsidRPr="006A2F4B">
        <w:rPr>
          <w:rFonts w:ascii="Times New Roman" w:hAnsi="Times New Roman"/>
          <w:sz w:val="24"/>
          <w:szCs w:val="24"/>
          <w:shd w:val="clear" w:color="auto" w:fill="FFFFFF"/>
        </w:rPr>
        <w:t xml:space="preserve">The reason why people hold this view according to </w:t>
      </w:r>
      <w:proofErr w:type="spellStart"/>
      <w:r w:rsidR="0057171B" w:rsidRPr="006A2F4B">
        <w:rPr>
          <w:rFonts w:ascii="Times New Roman" w:hAnsi="Times New Roman"/>
          <w:sz w:val="24"/>
          <w:szCs w:val="24"/>
          <w:shd w:val="clear" w:color="auto" w:fill="FFFFFF"/>
        </w:rPr>
        <w:t>Campell</w:t>
      </w:r>
      <w:proofErr w:type="spellEnd"/>
      <w:r w:rsidR="0057171B" w:rsidRPr="006A2F4B">
        <w:rPr>
          <w:rFonts w:ascii="Times New Roman" w:hAnsi="Times New Roman"/>
          <w:sz w:val="24"/>
          <w:szCs w:val="24"/>
          <w:shd w:val="clear" w:color="auto" w:fill="FFFFFF"/>
        </w:rPr>
        <w:t xml:space="preserve"> and Collinson (1998) in </w:t>
      </w:r>
      <w:r w:rsidR="0057171B" w:rsidRPr="006A2F4B">
        <w:rPr>
          <w:rFonts w:ascii="Times New Roman" w:hAnsi="Times New Roman"/>
          <w:i/>
          <w:sz w:val="24"/>
          <w:szCs w:val="24"/>
          <w:shd w:val="clear" w:color="auto" w:fill="FFFFFF"/>
        </w:rPr>
        <w:t>‘Ending lives’</w:t>
      </w:r>
      <w:r w:rsidR="0057171B" w:rsidRPr="006A2F4B">
        <w:rPr>
          <w:rFonts w:ascii="Times New Roman" w:hAnsi="Times New Roman"/>
          <w:sz w:val="24"/>
          <w:szCs w:val="24"/>
          <w:shd w:val="clear" w:color="auto" w:fill="FFFFFF"/>
        </w:rPr>
        <w:t xml:space="preserve"> is because </w:t>
      </w:r>
      <w:r w:rsidR="0057171B" w:rsidRPr="006A2F4B">
        <w:rPr>
          <w:rFonts w:ascii="Times New Roman" w:hAnsi="Times New Roman"/>
          <w:i/>
          <w:sz w:val="24"/>
          <w:szCs w:val="24"/>
          <w:shd w:val="clear" w:color="auto" w:fill="FFFFFF"/>
        </w:rPr>
        <w:t>‘it must lie in some other feature of the cases.’</w:t>
      </w:r>
      <w:r w:rsidR="0057171B" w:rsidRPr="006A2F4B">
        <w:rPr>
          <w:rStyle w:val="FootnoteReference"/>
          <w:rFonts w:ascii="Times New Roman" w:hAnsi="Times New Roman"/>
          <w:i/>
          <w:sz w:val="24"/>
          <w:szCs w:val="24"/>
          <w:shd w:val="clear" w:color="auto" w:fill="FFFFFF"/>
        </w:rPr>
        <w:footnoteReference w:id="19"/>
      </w:r>
    </w:p>
    <w:p w14:paraId="095BCDF0" w14:textId="0048108F" w:rsidR="0069651B" w:rsidRPr="006A2F4B" w:rsidRDefault="00C50439">
      <w:pPr>
        <w:spacing w:line="360" w:lineRule="auto"/>
        <w:jc w:val="both"/>
        <w:rPr>
          <w:rFonts w:ascii="Times New Roman" w:hAnsi="Times New Roman"/>
          <w:sz w:val="24"/>
          <w:szCs w:val="24"/>
          <w:shd w:val="clear" w:color="auto" w:fill="FFFFFF"/>
        </w:rPr>
      </w:pPr>
      <w:r w:rsidRPr="006A2F4B">
        <w:rPr>
          <w:rFonts w:ascii="Times New Roman" w:hAnsi="Times New Roman"/>
          <w:sz w:val="24"/>
          <w:szCs w:val="24"/>
          <w:shd w:val="clear" w:color="auto" w:fill="FFFFFF"/>
        </w:rPr>
        <w:t xml:space="preserve">Rachels assists in answering if there is a morally significant difference, between the two forms of euthanasia. Rachels’ argument rests on the notion that </w:t>
      </w:r>
    </w:p>
    <w:p w14:paraId="4D017343" w14:textId="77777777" w:rsidR="00045D29" w:rsidRPr="006A2F4B" w:rsidRDefault="00045D29">
      <w:pPr>
        <w:spacing w:line="360" w:lineRule="auto"/>
        <w:jc w:val="both"/>
        <w:rPr>
          <w:rFonts w:ascii="Times New Roman" w:hAnsi="Times New Roman"/>
          <w:sz w:val="24"/>
          <w:szCs w:val="24"/>
        </w:rPr>
      </w:pPr>
    </w:p>
    <w:p w14:paraId="21F81F52" w14:textId="4BAFA2F0" w:rsidR="0069651B" w:rsidRPr="006A2F4B" w:rsidRDefault="00C50439">
      <w:pPr>
        <w:ind w:left="1474" w:right="1474"/>
        <w:jc w:val="both"/>
        <w:rPr>
          <w:rFonts w:ascii="Times New Roman" w:hAnsi="Times New Roman"/>
          <w:sz w:val="24"/>
          <w:szCs w:val="24"/>
        </w:rPr>
      </w:pPr>
      <w:r w:rsidRPr="006A2F4B">
        <w:rPr>
          <w:rFonts w:ascii="Times New Roman" w:hAnsi="Times New Roman"/>
          <w:sz w:val="24"/>
          <w:szCs w:val="24"/>
        </w:rPr>
        <w:t xml:space="preserve">If we allow, or accept, passive euthanasia as being sometimes acceptable in certain circumstances, then we should also accept that it is preferable that active euthanasia would then logically follow as a preferred option over simply doing nothing. </w:t>
      </w:r>
      <w:r w:rsidRPr="006A2F4B">
        <w:rPr>
          <w:rStyle w:val="FootnoteReference"/>
          <w:rFonts w:ascii="Times New Roman" w:hAnsi="Times New Roman"/>
          <w:sz w:val="24"/>
          <w:szCs w:val="24"/>
        </w:rPr>
        <w:footnoteReference w:id="20"/>
      </w:r>
    </w:p>
    <w:p w14:paraId="2C0AA39C" w14:textId="77777777" w:rsidR="00045D29" w:rsidRPr="006A2F4B" w:rsidRDefault="00045D29">
      <w:pPr>
        <w:ind w:left="1474" w:right="1474"/>
        <w:jc w:val="both"/>
        <w:rPr>
          <w:rFonts w:ascii="Times New Roman" w:hAnsi="Times New Roman"/>
          <w:sz w:val="24"/>
          <w:szCs w:val="24"/>
        </w:rPr>
      </w:pPr>
    </w:p>
    <w:p w14:paraId="25DF11B2" w14:textId="5C355DBD"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Both acts result in the death of a patient, but, especially at the point of end of life care, Rachels argues it might be more humane to act swiftly than to allow nature to take a convoluted path, thus prolonging suffering.</w:t>
      </w:r>
      <w:r w:rsidR="00045D29" w:rsidRPr="006A2F4B">
        <w:rPr>
          <w:rStyle w:val="FootnoteReference"/>
          <w:rFonts w:ascii="Times New Roman" w:hAnsi="Times New Roman"/>
          <w:sz w:val="24"/>
          <w:szCs w:val="24"/>
        </w:rPr>
        <w:footnoteReference w:id="21"/>
      </w:r>
      <w:r w:rsidRPr="006A2F4B">
        <w:rPr>
          <w:rFonts w:ascii="Times New Roman" w:hAnsi="Times New Roman"/>
          <w:sz w:val="24"/>
          <w:szCs w:val="24"/>
        </w:rPr>
        <w:t xml:space="preserve"> A case in which it may be morally right to avoid passive euthanasia, due to it casing distress and unnecessary pain, may be seen in an example from the British Medical Journal.</w:t>
      </w:r>
      <w:r w:rsidR="00045D29" w:rsidRPr="006A2F4B">
        <w:rPr>
          <w:rStyle w:val="FootnoteReference"/>
          <w:rFonts w:ascii="Times New Roman" w:hAnsi="Times New Roman"/>
          <w:sz w:val="24"/>
          <w:szCs w:val="24"/>
        </w:rPr>
        <w:footnoteReference w:id="22"/>
      </w:r>
      <w:r w:rsidRPr="006A2F4B">
        <w:rPr>
          <w:rFonts w:ascii="Times New Roman" w:hAnsi="Times New Roman"/>
          <w:sz w:val="24"/>
          <w:szCs w:val="24"/>
        </w:rPr>
        <w:t xml:space="preserve"> </w:t>
      </w:r>
    </w:p>
    <w:p w14:paraId="79B69228" w14:textId="57409016"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 xml:space="preserve">John Lorber </w:t>
      </w:r>
      <w:r w:rsidRPr="006A2F4B">
        <w:rPr>
          <w:rFonts w:ascii="Times New Roman" w:hAnsi="Times New Roman"/>
          <w:i/>
          <w:sz w:val="24"/>
          <w:szCs w:val="24"/>
        </w:rPr>
        <w:t>‘charted the fate of twenty-five infants born with spina bifida on whom it has been decided, in view of the poor prospects for a worthwhile life not to operate.</w:t>
      </w:r>
      <w:r w:rsidRPr="006A2F4B">
        <w:rPr>
          <w:rFonts w:ascii="Times New Roman" w:hAnsi="Times New Roman"/>
          <w:sz w:val="24"/>
          <w:szCs w:val="24"/>
        </w:rPr>
        <w:t>’</w:t>
      </w:r>
      <w:r w:rsidRPr="006A2F4B">
        <w:rPr>
          <w:rStyle w:val="FootnoteReference"/>
          <w:rFonts w:ascii="Times New Roman" w:hAnsi="Times New Roman"/>
          <w:sz w:val="24"/>
          <w:szCs w:val="24"/>
        </w:rPr>
        <w:footnoteReference w:id="23"/>
      </w:r>
      <w:r w:rsidRPr="006A2F4B">
        <w:rPr>
          <w:rFonts w:ascii="Times New Roman" w:hAnsi="Times New Roman"/>
          <w:sz w:val="24"/>
          <w:szCs w:val="24"/>
        </w:rPr>
        <w:t xml:space="preserve"> In the example it could take the infants from a period of two to nine months before finally passing away.</w:t>
      </w:r>
      <w:r w:rsidR="00045D29" w:rsidRPr="006A2F4B">
        <w:rPr>
          <w:rStyle w:val="FootnoteReference"/>
          <w:rFonts w:ascii="Times New Roman" w:hAnsi="Times New Roman"/>
          <w:sz w:val="24"/>
          <w:szCs w:val="24"/>
        </w:rPr>
        <w:footnoteReference w:id="24"/>
      </w:r>
      <w:r w:rsidRPr="006A2F4B">
        <w:rPr>
          <w:rFonts w:ascii="Times New Roman" w:hAnsi="Times New Roman"/>
          <w:sz w:val="24"/>
          <w:szCs w:val="24"/>
        </w:rPr>
        <w:t xml:space="preserve"> From Lorber’s assessment the end outcome </w:t>
      </w:r>
      <w:r w:rsidRPr="006A2F4B">
        <w:rPr>
          <w:rFonts w:ascii="Times New Roman" w:hAnsi="Times New Roman"/>
          <w:i/>
          <w:sz w:val="24"/>
          <w:szCs w:val="24"/>
        </w:rPr>
        <w:t>‘cannot be guaranteed, without stepping over the fine line between active and passive euthanasia.’</w:t>
      </w:r>
      <w:r w:rsidRPr="006A2F4B">
        <w:rPr>
          <w:rStyle w:val="FootnoteReference"/>
          <w:rFonts w:ascii="Times New Roman" w:hAnsi="Times New Roman"/>
          <w:sz w:val="24"/>
          <w:szCs w:val="24"/>
        </w:rPr>
        <w:footnoteReference w:id="25"/>
      </w:r>
      <w:r w:rsidRPr="006A2F4B">
        <w:rPr>
          <w:rFonts w:ascii="Times New Roman" w:hAnsi="Times New Roman"/>
          <w:sz w:val="24"/>
          <w:szCs w:val="24"/>
        </w:rPr>
        <w:t xml:space="preserve"> The infant dies as doctors withdraw feeding tubes</w:t>
      </w:r>
      <w:r w:rsidRPr="006A2F4B">
        <w:rPr>
          <w:rFonts w:ascii="Times New Roman" w:hAnsi="Times New Roman"/>
          <w:i/>
          <w:sz w:val="24"/>
          <w:szCs w:val="24"/>
        </w:rPr>
        <w:t>, ‘withholding treatment but refusing to kill’</w:t>
      </w:r>
      <w:r w:rsidRPr="006A2F4B">
        <w:rPr>
          <w:rFonts w:ascii="Times New Roman" w:hAnsi="Times New Roman"/>
          <w:sz w:val="24"/>
          <w:szCs w:val="24"/>
        </w:rPr>
        <w:t xml:space="preserve"> in Lorber’s professional opinion there is a </w:t>
      </w:r>
      <w:r w:rsidRPr="006A2F4B">
        <w:rPr>
          <w:rFonts w:ascii="Times New Roman" w:hAnsi="Times New Roman"/>
          <w:sz w:val="24"/>
          <w:szCs w:val="24"/>
        </w:rPr>
        <w:lastRenderedPageBreak/>
        <w:t>morally significant difference.</w:t>
      </w:r>
      <w:r w:rsidR="00045D29" w:rsidRPr="006A2F4B">
        <w:rPr>
          <w:rStyle w:val="FootnoteReference"/>
          <w:rFonts w:ascii="Times New Roman" w:hAnsi="Times New Roman"/>
          <w:sz w:val="24"/>
          <w:szCs w:val="24"/>
        </w:rPr>
        <w:footnoteReference w:id="26"/>
      </w:r>
      <w:r w:rsidRPr="006A2F4B">
        <w:rPr>
          <w:rFonts w:ascii="Times New Roman" w:hAnsi="Times New Roman"/>
          <w:sz w:val="24"/>
          <w:szCs w:val="24"/>
        </w:rPr>
        <w:t xml:space="preserve"> This is because it is </w:t>
      </w:r>
      <w:r w:rsidRPr="006A2F4B">
        <w:rPr>
          <w:rFonts w:ascii="Times New Roman" w:hAnsi="Times New Roman"/>
          <w:i/>
          <w:sz w:val="24"/>
          <w:szCs w:val="24"/>
        </w:rPr>
        <w:t>‘our misplaced respect for the doctrine for the Sanctity of Life that prevents us from seeing that it is ethically wrong to do this to a disabled infant.’</w:t>
      </w:r>
      <w:r w:rsidRPr="006A2F4B">
        <w:rPr>
          <w:rStyle w:val="FootnoteReference"/>
          <w:rFonts w:ascii="Times New Roman" w:hAnsi="Times New Roman"/>
          <w:sz w:val="24"/>
          <w:szCs w:val="24"/>
        </w:rPr>
        <w:footnoteReference w:id="27"/>
      </w:r>
      <w:r w:rsidRPr="006A2F4B">
        <w:rPr>
          <w:rFonts w:ascii="Times New Roman" w:hAnsi="Times New Roman"/>
          <w:sz w:val="24"/>
          <w:szCs w:val="24"/>
        </w:rPr>
        <w:t xml:space="preserve"> In this instance active euthanasia would perhaps be the kindest and most moral option. </w:t>
      </w:r>
    </w:p>
    <w:p w14:paraId="285C5413" w14:textId="67AFDCE4" w:rsidR="00D72119" w:rsidRPr="006A2F4B" w:rsidRDefault="00C50439" w:rsidP="00D72119">
      <w:pPr>
        <w:spacing w:line="360" w:lineRule="auto"/>
        <w:jc w:val="both"/>
        <w:rPr>
          <w:rFonts w:ascii="Times New Roman" w:hAnsi="Times New Roman"/>
          <w:sz w:val="24"/>
          <w:szCs w:val="24"/>
        </w:rPr>
      </w:pPr>
      <w:r w:rsidRPr="006A2F4B">
        <w:rPr>
          <w:rFonts w:ascii="Times New Roman" w:hAnsi="Times New Roman"/>
          <w:sz w:val="24"/>
          <w:szCs w:val="24"/>
        </w:rPr>
        <w:t xml:space="preserve">While Lorber advocates medical staff should undertake a more active role in the death of the spina bifida babies, and </w:t>
      </w:r>
      <w:r w:rsidR="00CF3271" w:rsidRPr="006A2F4B">
        <w:rPr>
          <w:rFonts w:ascii="Times New Roman" w:hAnsi="Times New Roman"/>
          <w:sz w:val="24"/>
          <w:szCs w:val="24"/>
        </w:rPr>
        <w:t>‘</w:t>
      </w:r>
      <w:r w:rsidRPr="006A2F4B">
        <w:rPr>
          <w:rFonts w:ascii="Times New Roman" w:hAnsi="Times New Roman"/>
          <w:i/>
          <w:sz w:val="24"/>
          <w:szCs w:val="24"/>
        </w:rPr>
        <w:t>he perceives this to be a more humane way to act, the actual deed(s) undertaken leading to death, might not sit well with many</w:t>
      </w:r>
      <w:r w:rsidR="00045D29" w:rsidRPr="006A2F4B">
        <w:rPr>
          <w:rFonts w:ascii="Times New Roman" w:hAnsi="Times New Roman"/>
          <w:i/>
          <w:sz w:val="24"/>
          <w:szCs w:val="24"/>
        </w:rPr>
        <w:t xml:space="preserve"> doctors</w:t>
      </w:r>
      <w:r w:rsidRPr="006A2F4B">
        <w:rPr>
          <w:rFonts w:ascii="Times New Roman" w:hAnsi="Times New Roman"/>
          <w:sz w:val="24"/>
          <w:szCs w:val="24"/>
        </w:rPr>
        <w:t>.</w:t>
      </w:r>
      <w:r w:rsidR="00CF3271" w:rsidRPr="006A2F4B">
        <w:rPr>
          <w:rFonts w:ascii="Times New Roman" w:hAnsi="Times New Roman"/>
          <w:sz w:val="24"/>
          <w:szCs w:val="24"/>
        </w:rPr>
        <w:t>’</w:t>
      </w:r>
      <w:r w:rsidR="00045D29" w:rsidRPr="006A2F4B">
        <w:rPr>
          <w:rStyle w:val="FootnoteReference"/>
          <w:rFonts w:ascii="Times New Roman" w:hAnsi="Times New Roman"/>
          <w:sz w:val="24"/>
          <w:szCs w:val="24"/>
        </w:rPr>
        <w:footnoteReference w:id="28"/>
      </w:r>
      <w:r w:rsidRPr="006A2F4B">
        <w:rPr>
          <w:rFonts w:ascii="Times New Roman" w:hAnsi="Times New Roman"/>
          <w:sz w:val="24"/>
          <w:szCs w:val="24"/>
        </w:rPr>
        <w:t xml:space="preserve"> Lorber infers, there is a point where there is a loss to the quality of life being offered to the patient.</w:t>
      </w:r>
      <w:r w:rsidR="00CF3271" w:rsidRPr="006A2F4B">
        <w:rPr>
          <w:rStyle w:val="FootnoteReference"/>
          <w:rFonts w:ascii="Times New Roman" w:hAnsi="Times New Roman"/>
          <w:sz w:val="24"/>
          <w:szCs w:val="24"/>
        </w:rPr>
        <w:footnoteReference w:id="29"/>
      </w:r>
      <w:r w:rsidRPr="006A2F4B">
        <w:rPr>
          <w:rFonts w:ascii="Times New Roman" w:hAnsi="Times New Roman"/>
          <w:sz w:val="24"/>
          <w:szCs w:val="24"/>
        </w:rPr>
        <w:t xml:space="preserve"> In such circumstances an </w:t>
      </w:r>
      <w:r w:rsidRPr="006241B5">
        <w:rPr>
          <w:rFonts w:ascii="Times New Roman" w:hAnsi="Times New Roman"/>
          <w:i/>
          <w:sz w:val="24"/>
          <w:szCs w:val="24"/>
        </w:rPr>
        <w:t>“act of mercy”</w:t>
      </w:r>
      <w:r w:rsidRPr="006A2F4B">
        <w:rPr>
          <w:rFonts w:ascii="Times New Roman" w:hAnsi="Times New Roman"/>
          <w:sz w:val="24"/>
          <w:szCs w:val="24"/>
        </w:rPr>
        <w:t xml:space="preserve">, based on an act of compassion, might influence a </w:t>
      </w:r>
      <w:r w:rsidR="00045D29" w:rsidRPr="006A2F4B">
        <w:rPr>
          <w:rFonts w:ascii="Times New Roman" w:hAnsi="Times New Roman"/>
          <w:sz w:val="24"/>
          <w:szCs w:val="24"/>
        </w:rPr>
        <w:t xml:space="preserve">doctor </w:t>
      </w:r>
      <w:r w:rsidRPr="006A2F4B">
        <w:rPr>
          <w:rFonts w:ascii="Times New Roman" w:hAnsi="Times New Roman"/>
          <w:sz w:val="24"/>
          <w:szCs w:val="24"/>
        </w:rPr>
        <w:t xml:space="preserve">to act, but the issue is whether this would be morally acceptable to others, who might subsequently be asked to judge a </w:t>
      </w:r>
      <w:r w:rsidR="00B820C2" w:rsidRPr="006A2F4B">
        <w:rPr>
          <w:rFonts w:ascii="Times New Roman" w:hAnsi="Times New Roman"/>
          <w:sz w:val="24"/>
          <w:szCs w:val="24"/>
        </w:rPr>
        <w:t xml:space="preserve">doctors </w:t>
      </w:r>
      <w:r w:rsidRPr="006A2F4B">
        <w:rPr>
          <w:rFonts w:ascii="Times New Roman" w:hAnsi="Times New Roman"/>
          <w:sz w:val="24"/>
          <w:szCs w:val="24"/>
        </w:rPr>
        <w:t>decision making.</w:t>
      </w:r>
      <w:r w:rsidR="006241B5">
        <w:rPr>
          <w:rStyle w:val="FootnoteReference"/>
          <w:rFonts w:ascii="Times New Roman" w:hAnsi="Times New Roman"/>
          <w:sz w:val="24"/>
          <w:szCs w:val="24"/>
        </w:rPr>
        <w:footnoteReference w:id="30"/>
      </w:r>
      <w:r w:rsidRPr="006A2F4B">
        <w:rPr>
          <w:rFonts w:ascii="Times New Roman" w:hAnsi="Times New Roman"/>
          <w:sz w:val="24"/>
          <w:szCs w:val="24"/>
        </w:rPr>
        <w:t xml:space="preserve"> This makes any act of euthanasia in this example </w:t>
      </w:r>
      <w:r w:rsidRPr="006241B5">
        <w:rPr>
          <w:rFonts w:ascii="Times New Roman" w:hAnsi="Times New Roman"/>
          <w:i/>
          <w:sz w:val="24"/>
          <w:szCs w:val="24"/>
        </w:rPr>
        <w:t>‘dependent on its moral status.</w:t>
      </w:r>
      <w:r w:rsidRPr="006A2F4B">
        <w:rPr>
          <w:rFonts w:ascii="Times New Roman" w:hAnsi="Times New Roman"/>
          <w:sz w:val="24"/>
          <w:szCs w:val="24"/>
        </w:rPr>
        <w:t>’</w:t>
      </w:r>
      <w:r w:rsidR="00045D29" w:rsidRPr="006A2F4B">
        <w:rPr>
          <w:rStyle w:val="FootnoteReference"/>
          <w:rFonts w:ascii="Times New Roman" w:hAnsi="Times New Roman"/>
          <w:sz w:val="24"/>
          <w:szCs w:val="24"/>
        </w:rPr>
        <w:footnoteReference w:id="31"/>
      </w:r>
      <w:r w:rsidR="00B820C2" w:rsidRPr="006A2F4B">
        <w:rPr>
          <w:rFonts w:ascii="Times New Roman" w:hAnsi="Times New Roman"/>
          <w:sz w:val="24"/>
          <w:szCs w:val="24"/>
        </w:rPr>
        <w:t xml:space="preserve"> </w:t>
      </w:r>
    </w:p>
    <w:p w14:paraId="4655B310" w14:textId="79121E03" w:rsidR="00B820C2"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Certain cases of passive euthanasia are morally permissible, this is since the decision that the patient’s life is no longer worth living has already been reached, and the best course of action to be most humane is to let the patient die.</w:t>
      </w:r>
      <w:r w:rsidRPr="006A2F4B">
        <w:rPr>
          <w:rStyle w:val="FootnoteReference"/>
          <w:rFonts w:ascii="Times New Roman" w:hAnsi="Times New Roman"/>
          <w:sz w:val="24"/>
          <w:szCs w:val="24"/>
        </w:rPr>
        <w:footnoteReference w:id="32"/>
      </w:r>
      <w:r w:rsidR="00B820C2" w:rsidRPr="006A2F4B">
        <w:rPr>
          <w:rFonts w:ascii="Times New Roman" w:hAnsi="Times New Roman"/>
          <w:sz w:val="24"/>
          <w:szCs w:val="24"/>
        </w:rPr>
        <w:t xml:space="preserve"> Rachel’s arguments for understanding the  blurred moral line between active and passive euthanasia rests on the premise that </w:t>
      </w:r>
      <w:r w:rsidR="00B820C2" w:rsidRPr="006A2F4B">
        <w:rPr>
          <w:rFonts w:ascii="Times New Roman" w:hAnsi="Times New Roman"/>
          <w:i/>
          <w:sz w:val="24"/>
          <w:szCs w:val="24"/>
        </w:rPr>
        <w:t>‘it cannot be permissible to allow a severely disabled infant to die, unless it is also permissible to kill them directly.’</w:t>
      </w:r>
      <w:r w:rsidR="00B820C2" w:rsidRPr="006A2F4B">
        <w:rPr>
          <w:rStyle w:val="FootnoteReference"/>
          <w:rFonts w:ascii="Times New Roman" w:hAnsi="Times New Roman"/>
          <w:i/>
          <w:sz w:val="24"/>
          <w:szCs w:val="24"/>
        </w:rPr>
        <w:footnoteReference w:id="33"/>
      </w:r>
    </w:p>
    <w:p w14:paraId="7BC6DBA6" w14:textId="7D57DEE6" w:rsidR="00D72119"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 xml:space="preserve"> However, </w:t>
      </w:r>
      <w:r w:rsidR="00D72119" w:rsidRPr="006A2F4B">
        <w:rPr>
          <w:rFonts w:ascii="Times New Roman" w:hAnsi="Times New Roman"/>
          <w:sz w:val="24"/>
          <w:szCs w:val="24"/>
        </w:rPr>
        <w:t xml:space="preserve">some </w:t>
      </w:r>
      <w:r w:rsidRPr="006A2F4B">
        <w:rPr>
          <w:rFonts w:ascii="Times New Roman" w:hAnsi="Times New Roman"/>
          <w:sz w:val="24"/>
          <w:szCs w:val="24"/>
        </w:rPr>
        <w:t xml:space="preserve">academics </w:t>
      </w:r>
      <w:r w:rsidR="00D72119" w:rsidRPr="006A2F4B">
        <w:rPr>
          <w:rFonts w:ascii="Times New Roman" w:hAnsi="Times New Roman"/>
          <w:sz w:val="24"/>
          <w:szCs w:val="24"/>
        </w:rPr>
        <w:t>have put forward the line of reasoning that any form of euthanasia,</w:t>
      </w:r>
    </w:p>
    <w:p w14:paraId="3208AC93" w14:textId="31A400FE"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 xml:space="preserve"> </w:t>
      </w:r>
    </w:p>
    <w:p w14:paraId="11D14C29" w14:textId="5FAE48E7" w:rsidR="0069651B" w:rsidRPr="006A2F4B" w:rsidRDefault="00C50439">
      <w:pPr>
        <w:ind w:left="1474" w:right="1474"/>
        <w:jc w:val="both"/>
        <w:rPr>
          <w:rFonts w:ascii="Times New Roman" w:hAnsi="Times New Roman"/>
          <w:sz w:val="24"/>
          <w:szCs w:val="24"/>
        </w:rPr>
      </w:pPr>
      <w:r w:rsidRPr="006A2F4B">
        <w:rPr>
          <w:rFonts w:ascii="Times New Roman" w:hAnsi="Times New Roman"/>
          <w:sz w:val="24"/>
          <w:szCs w:val="24"/>
        </w:rPr>
        <w:t>Would euthanasia be the first step down a slippery slope? In the absence of prominent moral footholds to check our decent, would we slide all the way down into the abyss of state terror and mass murder.</w:t>
      </w:r>
      <w:r w:rsidRPr="006A2F4B">
        <w:rPr>
          <w:rStyle w:val="FootnoteReference"/>
          <w:rFonts w:ascii="Times New Roman" w:hAnsi="Times New Roman"/>
          <w:sz w:val="24"/>
          <w:szCs w:val="24"/>
        </w:rPr>
        <w:footnoteReference w:id="34"/>
      </w:r>
      <w:r w:rsidRPr="006A2F4B">
        <w:rPr>
          <w:rFonts w:ascii="Times New Roman" w:hAnsi="Times New Roman"/>
          <w:sz w:val="24"/>
          <w:szCs w:val="24"/>
        </w:rPr>
        <w:t xml:space="preserve"> </w:t>
      </w:r>
    </w:p>
    <w:p w14:paraId="1433E702" w14:textId="77777777" w:rsidR="00D72119" w:rsidRPr="006A2F4B" w:rsidRDefault="00D72119">
      <w:pPr>
        <w:ind w:left="1474" w:right="1474"/>
        <w:jc w:val="both"/>
        <w:rPr>
          <w:rFonts w:ascii="Times New Roman" w:hAnsi="Times New Roman"/>
          <w:sz w:val="24"/>
          <w:szCs w:val="24"/>
        </w:rPr>
      </w:pPr>
    </w:p>
    <w:p w14:paraId="20C41355" w14:textId="756CBB06" w:rsidR="00FD727B" w:rsidRPr="006A2F4B" w:rsidRDefault="00C50439" w:rsidP="004B1E76">
      <w:pPr>
        <w:spacing w:line="360" w:lineRule="auto"/>
        <w:jc w:val="both"/>
        <w:rPr>
          <w:rFonts w:ascii="Times New Roman" w:hAnsi="Times New Roman"/>
          <w:sz w:val="24"/>
          <w:szCs w:val="24"/>
        </w:rPr>
      </w:pPr>
      <w:r w:rsidRPr="006A2F4B">
        <w:rPr>
          <w:rFonts w:ascii="Times New Roman" w:hAnsi="Times New Roman"/>
          <w:sz w:val="24"/>
          <w:szCs w:val="24"/>
        </w:rPr>
        <w:t>The ways in which we as a society decide to undertake passive euthanasia may be due to it being considered more moral, because it does not directly kill, and is undertaken with kind intent.</w:t>
      </w:r>
      <w:r w:rsidR="006241B5">
        <w:rPr>
          <w:rStyle w:val="FootnoteReference"/>
          <w:rFonts w:ascii="Times New Roman" w:hAnsi="Times New Roman"/>
          <w:sz w:val="24"/>
          <w:szCs w:val="24"/>
        </w:rPr>
        <w:footnoteReference w:id="35"/>
      </w:r>
      <w:r w:rsidRPr="006A2F4B">
        <w:rPr>
          <w:rFonts w:ascii="Times New Roman" w:hAnsi="Times New Roman"/>
          <w:sz w:val="24"/>
          <w:szCs w:val="24"/>
        </w:rPr>
        <w:t xml:space="preserve"> Yet the motivation to be kind might not be held by someone who is morally unscrupulous. Leo Alexander uses the example of the Nazi euthanasia programme in which the belief was </w:t>
      </w:r>
      <w:r w:rsidRPr="00B968AD">
        <w:rPr>
          <w:rFonts w:ascii="Times New Roman" w:hAnsi="Times New Roman"/>
          <w:i/>
          <w:sz w:val="24"/>
          <w:szCs w:val="24"/>
        </w:rPr>
        <w:t>‘there is such a thing as life not worthy to be lived.’</w:t>
      </w:r>
      <w:r w:rsidRPr="006A2F4B">
        <w:rPr>
          <w:rStyle w:val="FootnoteReference"/>
          <w:rFonts w:ascii="Times New Roman" w:hAnsi="Times New Roman"/>
          <w:sz w:val="24"/>
          <w:szCs w:val="24"/>
        </w:rPr>
        <w:footnoteReference w:id="36"/>
      </w:r>
      <w:r w:rsidRPr="006A2F4B">
        <w:rPr>
          <w:rFonts w:ascii="Times New Roman" w:hAnsi="Times New Roman"/>
          <w:sz w:val="24"/>
          <w:szCs w:val="24"/>
        </w:rPr>
        <w:t xml:space="preserve"> This proposes the difficult moral question </w:t>
      </w:r>
      <w:r w:rsidRPr="00B968AD">
        <w:rPr>
          <w:rFonts w:ascii="Times New Roman" w:hAnsi="Times New Roman"/>
          <w:i/>
          <w:sz w:val="24"/>
          <w:szCs w:val="24"/>
        </w:rPr>
        <w:t>‘will the outcome be the loss of respect for human life if the boundaries of euthanasia are pushed back?’</w:t>
      </w:r>
      <w:r w:rsidRPr="006A2F4B">
        <w:rPr>
          <w:rStyle w:val="FootnoteReference"/>
          <w:rFonts w:ascii="Times New Roman" w:hAnsi="Times New Roman"/>
          <w:sz w:val="24"/>
          <w:szCs w:val="24"/>
        </w:rPr>
        <w:footnoteReference w:id="37"/>
      </w:r>
      <w:r w:rsidRPr="006A2F4B">
        <w:rPr>
          <w:rFonts w:ascii="Times New Roman" w:hAnsi="Times New Roman"/>
          <w:sz w:val="24"/>
          <w:szCs w:val="24"/>
        </w:rPr>
        <w:t xml:space="preserve">  The value of life is being measured in a trivial way if minor operations are not being performed. </w:t>
      </w:r>
      <w:r w:rsidR="00D72119" w:rsidRPr="006A2F4B">
        <w:rPr>
          <w:rStyle w:val="FootnoteReference"/>
          <w:rFonts w:ascii="Times New Roman" w:hAnsi="Times New Roman"/>
          <w:sz w:val="24"/>
          <w:szCs w:val="24"/>
        </w:rPr>
        <w:footnoteReference w:id="38"/>
      </w:r>
    </w:p>
    <w:p w14:paraId="389AC574" w14:textId="77777777" w:rsidR="003E5430" w:rsidRPr="006A2F4B" w:rsidRDefault="00D40FA0">
      <w:pPr>
        <w:spacing w:line="360" w:lineRule="auto"/>
        <w:jc w:val="both"/>
        <w:rPr>
          <w:rFonts w:ascii="Times New Roman" w:hAnsi="Times New Roman"/>
          <w:sz w:val="24"/>
          <w:szCs w:val="24"/>
        </w:rPr>
      </w:pPr>
      <w:r w:rsidRPr="006A2F4B">
        <w:rPr>
          <w:rFonts w:ascii="Times New Roman" w:hAnsi="Times New Roman"/>
          <w:sz w:val="24"/>
          <w:szCs w:val="24"/>
        </w:rPr>
        <w:t>Re</w:t>
      </w:r>
      <w:r w:rsidR="00A34352" w:rsidRPr="006A2F4B">
        <w:rPr>
          <w:rFonts w:ascii="Times New Roman" w:hAnsi="Times New Roman"/>
          <w:sz w:val="24"/>
          <w:szCs w:val="24"/>
        </w:rPr>
        <w:t>sponses</w:t>
      </w:r>
      <w:r w:rsidRPr="006A2F4B">
        <w:rPr>
          <w:rFonts w:ascii="Times New Roman" w:hAnsi="Times New Roman"/>
          <w:sz w:val="24"/>
          <w:szCs w:val="24"/>
        </w:rPr>
        <w:t xml:space="preserve"> to the slippery slope argument include arguments from</w:t>
      </w:r>
      <w:r w:rsidR="00D72119" w:rsidRPr="006A2F4B">
        <w:rPr>
          <w:rFonts w:ascii="Times New Roman" w:hAnsi="Times New Roman"/>
          <w:sz w:val="24"/>
          <w:szCs w:val="24"/>
        </w:rPr>
        <w:t xml:space="preserve"> a paper </w:t>
      </w:r>
      <w:bookmarkStart w:id="7" w:name="_GoBack"/>
      <w:r w:rsidR="00D72119" w:rsidRPr="00B968AD">
        <w:rPr>
          <w:rFonts w:ascii="Times New Roman" w:hAnsi="Times New Roman"/>
          <w:i/>
          <w:sz w:val="24"/>
          <w:szCs w:val="24"/>
        </w:rPr>
        <w:t>‘</w:t>
      </w:r>
      <w:proofErr w:type="spellStart"/>
      <w:r w:rsidR="00D72119" w:rsidRPr="00B968AD">
        <w:rPr>
          <w:rFonts w:ascii="Times New Roman" w:hAnsi="Times New Roman"/>
          <w:i/>
          <w:sz w:val="24"/>
          <w:szCs w:val="24"/>
        </w:rPr>
        <w:t>Kushe</w:t>
      </w:r>
      <w:proofErr w:type="spellEnd"/>
      <w:r w:rsidR="00D72119" w:rsidRPr="00B968AD">
        <w:rPr>
          <w:rFonts w:ascii="Times New Roman" w:hAnsi="Times New Roman"/>
          <w:i/>
          <w:sz w:val="24"/>
          <w:szCs w:val="24"/>
        </w:rPr>
        <w:t>, Singer and Slippery Slopes’</w:t>
      </w:r>
      <w:r w:rsidR="00D72119" w:rsidRPr="006A2F4B">
        <w:rPr>
          <w:rFonts w:ascii="Times New Roman" w:hAnsi="Times New Roman"/>
          <w:sz w:val="24"/>
          <w:szCs w:val="24"/>
        </w:rPr>
        <w:t xml:space="preserve"> </w:t>
      </w:r>
      <w:bookmarkEnd w:id="7"/>
      <w:r w:rsidR="006106C6" w:rsidRPr="006A2F4B">
        <w:rPr>
          <w:rFonts w:ascii="Times New Roman" w:hAnsi="Times New Roman"/>
          <w:sz w:val="24"/>
          <w:szCs w:val="24"/>
        </w:rPr>
        <w:t xml:space="preserve">(1988) the author Gavin J Fairbairn </w:t>
      </w:r>
      <w:r w:rsidR="000709BD" w:rsidRPr="006A2F4B">
        <w:rPr>
          <w:rFonts w:ascii="Times New Roman" w:hAnsi="Times New Roman"/>
          <w:sz w:val="24"/>
          <w:szCs w:val="24"/>
        </w:rPr>
        <w:t xml:space="preserve">studies </w:t>
      </w:r>
      <w:r w:rsidR="006106C6" w:rsidRPr="006A2F4B">
        <w:rPr>
          <w:rFonts w:ascii="Times New Roman" w:hAnsi="Times New Roman"/>
          <w:sz w:val="24"/>
          <w:szCs w:val="24"/>
        </w:rPr>
        <w:t xml:space="preserve">the responses from </w:t>
      </w:r>
      <w:proofErr w:type="spellStart"/>
      <w:r w:rsidR="006106C6" w:rsidRPr="006A2F4B">
        <w:rPr>
          <w:rFonts w:ascii="Times New Roman" w:hAnsi="Times New Roman"/>
          <w:sz w:val="24"/>
          <w:szCs w:val="24"/>
        </w:rPr>
        <w:t>Kushe</w:t>
      </w:r>
      <w:proofErr w:type="spellEnd"/>
      <w:r w:rsidR="006106C6" w:rsidRPr="006A2F4B">
        <w:rPr>
          <w:rFonts w:ascii="Times New Roman" w:hAnsi="Times New Roman"/>
          <w:sz w:val="24"/>
          <w:szCs w:val="24"/>
        </w:rPr>
        <w:t xml:space="preserve"> and Singer to </w:t>
      </w:r>
      <w:r w:rsidRPr="006A2F4B">
        <w:rPr>
          <w:rFonts w:ascii="Times New Roman" w:hAnsi="Times New Roman"/>
          <w:sz w:val="24"/>
          <w:szCs w:val="24"/>
        </w:rPr>
        <w:t>conclude</w:t>
      </w:r>
      <w:r w:rsidR="003E5430" w:rsidRPr="006A2F4B">
        <w:rPr>
          <w:rFonts w:ascii="Times New Roman" w:hAnsi="Times New Roman"/>
          <w:sz w:val="24"/>
          <w:szCs w:val="24"/>
        </w:rPr>
        <w:t>,</w:t>
      </w:r>
    </w:p>
    <w:p w14:paraId="1F5EC7F5" w14:textId="5B9F2199" w:rsidR="003E5430" w:rsidRPr="006A2F4B" w:rsidRDefault="00D40FA0" w:rsidP="003E5430">
      <w:pPr>
        <w:ind w:left="1474" w:right="1474"/>
        <w:jc w:val="both"/>
        <w:rPr>
          <w:rFonts w:ascii="Times New Roman" w:hAnsi="Times New Roman"/>
          <w:sz w:val="24"/>
          <w:szCs w:val="24"/>
        </w:rPr>
      </w:pPr>
      <w:r w:rsidRPr="006A2F4B">
        <w:rPr>
          <w:rFonts w:ascii="Times New Roman" w:hAnsi="Times New Roman"/>
          <w:sz w:val="24"/>
          <w:szCs w:val="24"/>
        </w:rPr>
        <w:t xml:space="preserve"> </w:t>
      </w:r>
      <w:r w:rsidR="003E5430" w:rsidRPr="006A2F4B">
        <w:rPr>
          <w:rFonts w:ascii="Times New Roman" w:hAnsi="Times New Roman"/>
          <w:sz w:val="24"/>
          <w:szCs w:val="24"/>
        </w:rPr>
        <w:t>I</w:t>
      </w:r>
      <w:r w:rsidR="00A34352" w:rsidRPr="006A2F4B">
        <w:rPr>
          <w:rFonts w:ascii="Times New Roman" w:hAnsi="Times New Roman"/>
          <w:sz w:val="24"/>
          <w:szCs w:val="24"/>
        </w:rPr>
        <w:t>t is a slope onto which we must step if we are not to allow ourselves to be guilty of causing unnecessary suffering to babies that will die whatever we do to help them.</w:t>
      </w:r>
      <w:r w:rsidR="004034C6" w:rsidRPr="006A2F4B">
        <w:rPr>
          <w:rStyle w:val="FootnoteReference"/>
          <w:rFonts w:ascii="Times New Roman" w:hAnsi="Times New Roman"/>
          <w:sz w:val="24"/>
          <w:szCs w:val="24"/>
        </w:rPr>
        <w:footnoteReference w:id="39"/>
      </w:r>
      <w:r w:rsidR="00A34352" w:rsidRPr="006A2F4B">
        <w:rPr>
          <w:rFonts w:ascii="Times New Roman" w:hAnsi="Times New Roman"/>
          <w:sz w:val="24"/>
          <w:szCs w:val="24"/>
        </w:rPr>
        <w:t xml:space="preserve"> </w:t>
      </w:r>
    </w:p>
    <w:p w14:paraId="2A4C3F6E" w14:textId="77777777" w:rsidR="003E5430" w:rsidRPr="006A2F4B" w:rsidRDefault="003E5430" w:rsidP="003E5430">
      <w:pPr>
        <w:ind w:left="1474" w:right="1474"/>
        <w:jc w:val="both"/>
        <w:rPr>
          <w:rFonts w:ascii="Times New Roman" w:hAnsi="Times New Roman"/>
          <w:sz w:val="24"/>
          <w:szCs w:val="24"/>
        </w:rPr>
      </w:pPr>
    </w:p>
    <w:p w14:paraId="0598F3CD" w14:textId="2495BC1F" w:rsidR="004034C6" w:rsidRPr="006A2F4B" w:rsidRDefault="00FD727B">
      <w:pPr>
        <w:spacing w:line="360" w:lineRule="auto"/>
        <w:jc w:val="both"/>
        <w:rPr>
          <w:rFonts w:ascii="Times New Roman" w:hAnsi="Times New Roman"/>
          <w:sz w:val="24"/>
          <w:szCs w:val="24"/>
        </w:rPr>
      </w:pPr>
      <w:r w:rsidRPr="006A2F4B">
        <w:rPr>
          <w:rFonts w:ascii="Times New Roman" w:hAnsi="Times New Roman"/>
          <w:sz w:val="24"/>
          <w:szCs w:val="24"/>
        </w:rPr>
        <w:t xml:space="preserve">Believing that it does not matter if there is a morally significant difference between passive or active euthanasia because it </w:t>
      </w:r>
      <w:r w:rsidRPr="006A2F4B">
        <w:rPr>
          <w:rFonts w:ascii="Times New Roman" w:hAnsi="Times New Roman"/>
          <w:i/>
          <w:sz w:val="24"/>
          <w:szCs w:val="24"/>
        </w:rPr>
        <w:t>‘may help by bringing decisions about the treatment of handicapped babies out into the open.’</w:t>
      </w:r>
      <w:r w:rsidRPr="006A2F4B">
        <w:rPr>
          <w:rFonts w:ascii="Times New Roman" w:hAnsi="Times New Roman"/>
          <w:sz w:val="24"/>
          <w:szCs w:val="24"/>
        </w:rPr>
        <w:t xml:space="preserve"> </w:t>
      </w:r>
      <w:r w:rsidRPr="006A2F4B">
        <w:rPr>
          <w:rStyle w:val="FootnoteReference"/>
          <w:rFonts w:ascii="Times New Roman" w:hAnsi="Times New Roman"/>
          <w:sz w:val="24"/>
          <w:szCs w:val="24"/>
        </w:rPr>
        <w:footnoteReference w:id="40"/>
      </w:r>
      <w:r w:rsidR="000709BD" w:rsidRPr="006A2F4B">
        <w:rPr>
          <w:rFonts w:ascii="Times New Roman" w:hAnsi="Times New Roman"/>
          <w:sz w:val="24"/>
          <w:szCs w:val="24"/>
        </w:rPr>
        <w:t xml:space="preserve"> </w:t>
      </w:r>
    </w:p>
    <w:p w14:paraId="7599397B" w14:textId="3324E005"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Using Rachel’s example, a baby with Down Syndrome who has an intestinal blockage; has the decision made by doctors not to be operated on to remove the blockage.</w:t>
      </w:r>
      <w:r w:rsidR="00D86BB0">
        <w:rPr>
          <w:rStyle w:val="FootnoteReference"/>
          <w:rFonts w:ascii="Times New Roman" w:hAnsi="Times New Roman"/>
          <w:sz w:val="24"/>
          <w:szCs w:val="24"/>
        </w:rPr>
        <w:footnoteReference w:id="41"/>
      </w:r>
      <w:r w:rsidRPr="006A2F4B">
        <w:rPr>
          <w:rFonts w:ascii="Times New Roman" w:hAnsi="Times New Roman"/>
          <w:sz w:val="24"/>
          <w:szCs w:val="24"/>
        </w:rPr>
        <w:t xml:space="preserve"> This decision for Rachel is based on the fact the baby is not operated on for the underlying intestinal problem but due to underlying reasons, such as quality of the baby’s life, and the fact the infant has Down Syndrome.</w:t>
      </w:r>
      <w:r w:rsidR="00D86BB0">
        <w:rPr>
          <w:rStyle w:val="FootnoteReference"/>
          <w:rFonts w:ascii="Times New Roman" w:hAnsi="Times New Roman"/>
          <w:sz w:val="24"/>
          <w:szCs w:val="24"/>
        </w:rPr>
        <w:footnoteReference w:id="42"/>
      </w:r>
      <w:r w:rsidRPr="006A2F4B">
        <w:rPr>
          <w:rFonts w:ascii="Times New Roman" w:hAnsi="Times New Roman"/>
          <w:sz w:val="24"/>
          <w:szCs w:val="24"/>
        </w:rPr>
        <w:t xml:space="preserve"> Singer’s in his work </w:t>
      </w:r>
      <w:r w:rsidRPr="006A2F4B">
        <w:rPr>
          <w:rFonts w:ascii="Times New Roman" w:hAnsi="Times New Roman"/>
          <w:i/>
          <w:sz w:val="24"/>
          <w:szCs w:val="24"/>
        </w:rPr>
        <w:t>(‘Practical Ethics’ 1946)</w:t>
      </w:r>
      <w:r w:rsidRPr="006A2F4B">
        <w:rPr>
          <w:rFonts w:ascii="Times New Roman" w:hAnsi="Times New Roman"/>
          <w:sz w:val="24"/>
          <w:szCs w:val="24"/>
        </w:rPr>
        <w:t xml:space="preserve"> supports Rachels argument, that ethical discussions should not be based on something as trivial as an intestinal blockage. </w:t>
      </w:r>
      <w:r w:rsidRPr="006A2F4B">
        <w:rPr>
          <w:rFonts w:ascii="Times New Roman" w:hAnsi="Times New Roman"/>
          <w:sz w:val="24"/>
          <w:szCs w:val="24"/>
        </w:rPr>
        <w:lastRenderedPageBreak/>
        <w:t xml:space="preserve">For Singer we have </w:t>
      </w:r>
      <w:r w:rsidRPr="006A2F4B">
        <w:rPr>
          <w:rFonts w:ascii="Times New Roman" w:hAnsi="Times New Roman"/>
          <w:i/>
          <w:sz w:val="24"/>
          <w:szCs w:val="24"/>
        </w:rPr>
        <w:t>‘an obligation to assist.’</w:t>
      </w:r>
      <w:r w:rsidRPr="006A2F4B">
        <w:rPr>
          <w:rStyle w:val="FootnoteReference"/>
          <w:rFonts w:ascii="Times New Roman" w:hAnsi="Times New Roman"/>
          <w:sz w:val="24"/>
          <w:szCs w:val="24"/>
        </w:rPr>
        <w:footnoteReference w:id="43"/>
      </w:r>
      <w:r w:rsidRPr="006A2F4B">
        <w:rPr>
          <w:rFonts w:ascii="Times New Roman" w:hAnsi="Times New Roman"/>
          <w:sz w:val="24"/>
          <w:szCs w:val="24"/>
        </w:rPr>
        <w:t xml:space="preserve"> It is the morally right action to help, and according to Singer </w:t>
      </w:r>
      <w:r w:rsidRPr="006A2F4B">
        <w:rPr>
          <w:rFonts w:ascii="Times New Roman" w:hAnsi="Times New Roman"/>
          <w:i/>
          <w:sz w:val="24"/>
          <w:szCs w:val="24"/>
        </w:rPr>
        <w:t>‘will obviously win the ascent of consequentialists; but non-consequentialist should accept it too, because the injunction to prevent what is bad applies only when nothing comparably significant is at stake.’</w:t>
      </w:r>
      <w:r w:rsidRPr="006A2F4B">
        <w:rPr>
          <w:rStyle w:val="FootnoteReference"/>
          <w:rFonts w:ascii="Times New Roman" w:hAnsi="Times New Roman"/>
          <w:sz w:val="24"/>
          <w:szCs w:val="24"/>
        </w:rPr>
        <w:footnoteReference w:id="44"/>
      </w:r>
      <w:r w:rsidRPr="006A2F4B">
        <w:rPr>
          <w:rFonts w:ascii="Times New Roman" w:hAnsi="Times New Roman"/>
          <w:sz w:val="24"/>
          <w:szCs w:val="24"/>
        </w:rPr>
        <w:t xml:space="preserve"> The judgment on the value of the Down Syndrome infants life is a series consideration.</w:t>
      </w:r>
    </w:p>
    <w:p w14:paraId="123F0F95" w14:textId="6EDA0DAF"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In the case of passive euthanasia, by carrying out no actions to save life, this non-action, is in itself an action.</w:t>
      </w:r>
      <w:r w:rsidR="004B2F88">
        <w:rPr>
          <w:rStyle w:val="FootnoteReference"/>
          <w:rFonts w:ascii="Times New Roman" w:hAnsi="Times New Roman"/>
          <w:sz w:val="24"/>
          <w:szCs w:val="24"/>
        </w:rPr>
        <w:footnoteReference w:id="45"/>
      </w:r>
      <w:r w:rsidRPr="006A2F4B">
        <w:rPr>
          <w:rFonts w:ascii="Times New Roman" w:hAnsi="Times New Roman"/>
          <w:sz w:val="24"/>
          <w:szCs w:val="24"/>
        </w:rPr>
        <w:t xml:space="preserve"> By deciding not to act the doctor can be viewed as allowing the actions leading to the death of a patient. Therefore</w:t>
      </w:r>
      <w:r w:rsidR="004B2F88">
        <w:rPr>
          <w:rFonts w:ascii="Times New Roman" w:hAnsi="Times New Roman"/>
          <w:sz w:val="24"/>
          <w:szCs w:val="24"/>
        </w:rPr>
        <w:t>,</w:t>
      </w:r>
      <w:r w:rsidRPr="006A2F4B">
        <w:rPr>
          <w:rFonts w:ascii="Times New Roman" w:hAnsi="Times New Roman"/>
          <w:sz w:val="24"/>
          <w:szCs w:val="24"/>
        </w:rPr>
        <w:t xml:space="preserve"> if we accept that there are circumstances where we allow people to die, then, according to Rachels, we should allow active euthanasia. This is supported by Singer who writes </w:t>
      </w:r>
      <w:r w:rsidRPr="006A2F4B">
        <w:rPr>
          <w:rFonts w:ascii="Times New Roman" w:hAnsi="Times New Roman"/>
          <w:i/>
          <w:sz w:val="24"/>
          <w:szCs w:val="24"/>
        </w:rPr>
        <w:t>‘if the wide spread acceptance of passive euthanasia, has not already revealed flaws in the traditional ethic that make it a weak defence against those who lack respect for individual lives.’</w:t>
      </w:r>
      <w:r w:rsidRPr="006A2F4B">
        <w:rPr>
          <w:rStyle w:val="FootnoteReference"/>
          <w:rFonts w:ascii="Times New Roman" w:hAnsi="Times New Roman"/>
          <w:sz w:val="24"/>
          <w:szCs w:val="24"/>
        </w:rPr>
        <w:footnoteReference w:id="46"/>
      </w:r>
    </w:p>
    <w:p w14:paraId="18459030" w14:textId="35FC7D9B"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rPr>
        <w:t xml:space="preserve">Many would find a moral distinction between killing, and letting die, however this leads onto another point made in Rachels arguments, </w:t>
      </w:r>
      <w:r w:rsidRPr="006A2F4B">
        <w:rPr>
          <w:rFonts w:ascii="Times New Roman" w:hAnsi="Times New Roman"/>
          <w:i/>
          <w:sz w:val="24"/>
          <w:szCs w:val="24"/>
        </w:rPr>
        <w:t>‘</w:t>
      </w:r>
      <w:r w:rsidRPr="006A2F4B">
        <w:rPr>
          <w:rFonts w:ascii="Times New Roman" w:hAnsi="Times New Roman"/>
          <w:i/>
          <w:sz w:val="24"/>
          <w:szCs w:val="24"/>
          <w:shd w:val="clear" w:color="auto" w:fill="FFFFFF"/>
        </w:rPr>
        <w:t>which demonstrate that the distinction between acts and omissions is not as helpful as it looks.’</w:t>
      </w:r>
      <w:r w:rsidRPr="006A2F4B">
        <w:rPr>
          <w:rStyle w:val="FootnoteReference"/>
          <w:rFonts w:ascii="Times New Roman" w:hAnsi="Times New Roman"/>
          <w:sz w:val="24"/>
          <w:szCs w:val="24"/>
          <w:shd w:val="clear" w:color="auto" w:fill="FFFFFF"/>
        </w:rPr>
        <w:footnoteReference w:id="47"/>
      </w:r>
      <w:r w:rsidRPr="006A2F4B">
        <w:rPr>
          <w:rFonts w:ascii="Times New Roman" w:hAnsi="Times New Roman"/>
          <w:sz w:val="24"/>
          <w:szCs w:val="24"/>
          <w:shd w:val="clear" w:color="auto" w:fill="FFFFFF"/>
        </w:rPr>
        <w:t xml:space="preserve"> Rachels uses the example of Smith and Jones, where the first drowns a child in the bath to gain a large inheritance, whereas the later watches the child slip and does nothing to save the child from drowning in the bath.</w:t>
      </w:r>
      <w:r w:rsidR="00836AD8">
        <w:rPr>
          <w:rStyle w:val="FootnoteReference"/>
          <w:rFonts w:ascii="Times New Roman" w:hAnsi="Times New Roman"/>
          <w:sz w:val="24"/>
          <w:szCs w:val="24"/>
          <w:shd w:val="clear" w:color="auto" w:fill="FFFFFF"/>
        </w:rPr>
        <w:footnoteReference w:id="48"/>
      </w:r>
      <w:r w:rsidRPr="006A2F4B">
        <w:rPr>
          <w:rFonts w:ascii="Times New Roman" w:hAnsi="Times New Roman"/>
          <w:sz w:val="24"/>
          <w:szCs w:val="24"/>
          <w:shd w:val="clear" w:color="auto" w:fill="FFFFFF"/>
        </w:rPr>
        <w:t xml:space="preserve"> Both Smith and Jones had the same intentions to kill the child for the inheritance.  </w:t>
      </w:r>
    </w:p>
    <w:p w14:paraId="3FB938BC" w14:textId="1E491C36" w:rsidR="0069651B" w:rsidRPr="006A2F4B" w:rsidRDefault="00C50439">
      <w:pPr>
        <w:spacing w:line="360" w:lineRule="auto"/>
        <w:jc w:val="both"/>
        <w:rPr>
          <w:rFonts w:ascii="Times New Roman" w:hAnsi="Times New Roman"/>
          <w:sz w:val="24"/>
          <w:szCs w:val="24"/>
          <w:shd w:val="clear" w:color="auto" w:fill="FFFFFF"/>
        </w:rPr>
      </w:pPr>
      <w:r w:rsidRPr="006A2F4B">
        <w:rPr>
          <w:rFonts w:ascii="Times New Roman" w:hAnsi="Times New Roman"/>
          <w:sz w:val="24"/>
          <w:szCs w:val="24"/>
          <w:shd w:val="clear" w:color="auto" w:fill="FFFFFF"/>
        </w:rPr>
        <w:t>The ‘</w:t>
      </w:r>
      <w:r w:rsidRPr="006A2F4B">
        <w:rPr>
          <w:rFonts w:ascii="Times New Roman" w:hAnsi="Times New Roman"/>
          <w:i/>
          <w:sz w:val="24"/>
          <w:szCs w:val="24"/>
          <w:shd w:val="clear" w:color="auto" w:fill="FFFFFF"/>
        </w:rPr>
        <w:t>two cases may be considered exactly alike except one involves killing whereas the other involves letting someone die. It can be asked whether this difference makes any change to the moral assessments.’</w:t>
      </w:r>
      <w:r w:rsidRPr="006A2F4B">
        <w:rPr>
          <w:rStyle w:val="FootnoteReference"/>
          <w:rFonts w:ascii="Times New Roman" w:hAnsi="Times New Roman"/>
          <w:sz w:val="24"/>
          <w:szCs w:val="24"/>
          <w:shd w:val="clear" w:color="auto" w:fill="FFFFFF"/>
        </w:rPr>
        <w:footnoteReference w:id="49"/>
      </w:r>
      <w:r w:rsidRPr="006A2F4B">
        <w:rPr>
          <w:rFonts w:ascii="Times New Roman" w:hAnsi="Times New Roman"/>
          <w:sz w:val="24"/>
          <w:szCs w:val="24"/>
          <w:shd w:val="clear" w:color="auto" w:fill="FFFFFF"/>
        </w:rPr>
        <w:t xml:space="preserve"> Rachels’ earlier point, of acts and omissions being a moral grey area, is correct; this is because from a legal perspective Smith is the individual who has committed the crime of murder in this instance and he, </w:t>
      </w:r>
      <w:r w:rsidRPr="006A2F4B">
        <w:rPr>
          <w:rFonts w:ascii="Times New Roman" w:hAnsi="Times New Roman"/>
          <w:i/>
          <w:sz w:val="24"/>
          <w:szCs w:val="24"/>
          <w:shd w:val="clear" w:color="auto" w:fill="FFFFFF"/>
        </w:rPr>
        <w:t>‘is morally guiltier than Jones, since he actively killed the child, while Jones just allowed the boy to die.’</w:t>
      </w:r>
      <w:r w:rsidRPr="006A2F4B">
        <w:rPr>
          <w:rFonts w:ascii="Times New Roman" w:hAnsi="Times New Roman"/>
          <w:sz w:val="24"/>
          <w:szCs w:val="24"/>
          <w:shd w:val="clear" w:color="auto" w:fill="FFFFFF"/>
        </w:rPr>
        <w:t xml:space="preserve"> </w:t>
      </w:r>
      <w:r w:rsidRPr="006A2F4B">
        <w:rPr>
          <w:rStyle w:val="FootnoteReference"/>
          <w:rFonts w:ascii="Times New Roman" w:hAnsi="Times New Roman"/>
          <w:sz w:val="24"/>
          <w:szCs w:val="24"/>
          <w:shd w:val="clear" w:color="auto" w:fill="FFFFFF"/>
        </w:rPr>
        <w:footnoteReference w:id="50"/>
      </w:r>
      <w:r w:rsidRPr="006A2F4B">
        <w:rPr>
          <w:rFonts w:ascii="Times New Roman" w:hAnsi="Times New Roman"/>
          <w:sz w:val="24"/>
          <w:szCs w:val="24"/>
          <w:shd w:val="clear" w:color="auto" w:fill="FFFFFF"/>
        </w:rPr>
        <w:t xml:space="preserve"> Yet as both had the same intention to kill the child, which resulted in death, this then raises the interesting question of whether there is a </w:t>
      </w:r>
      <w:r w:rsidRPr="006A2F4B">
        <w:rPr>
          <w:rFonts w:ascii="Times New Roman" w:hAnsi="Times New Roman"/>
          <w:sz w:val="24"/>
          <w:szCs w:val="24"/>
          <w:shd w:val="clear" w:color="auto" w:fill="FFFFFF"/>
        </w:rPr>
        <w:lastRenderedPageBreak/>
        <w:t>moral distinction being made because of the intentions of an individual? Smith commits murder</w:t>
      </w:r>
      <w:r w:rsidR="00836AD8">
        <w:rPr>
          <w:rFonts w:ascii="Times New Roman" w:hAnsi="Times New Roman"/>
          <w:sz w:val="24"/>
          <w:szCs w:val="24"/>
          <w:shd w:val="clear" w:color="auto" w:fill="FFFFFF"/>
        </w:rPr>
        <w:t xml:space="preserve"> </w:t>
      </w:r>
      <w:r w:rsidRPr="006A2F4B">
        <w:rPr>
          <w:rFonts w:ascii="Times New Roman" w:hAnsi="Times New Roman"/>
          <w:sz w:val="24"/>
          <w:szCs w:val="24"/>
          <w:shd w:val="clear" w:color="auto" w:fill="FFFFFF"/>
        </w:rPr>
        <w:t>and is therefore perceived to be more morally repugnant than Jones who failed to act, yet both are morally lacking as the child died in both instances.</w:t>
      </w:r>
      <w:r w:rsidR="007C5FAB" w:rsidRPr="006A2F4B">
        <w:rPr>
          <w:rStyle w:val="FootnoteReference"/>
          <w:rFonts w:ascii="Times New Roman" w:hAnsi="Times New Roman"/>
          <w:sz w:val="24"/>
          <w:szCs w:val="24"/>
          <w:shd w:val="clear" w:color="auto" w:fill="FFFFFF"/>
        </w:rPr>
        <w:footnoteReference w:id="51"/>
      </w:r>
      <w:r w:rsidRPr="006A2F4B">
        <w:rPr>
          <w:rFonts w:ascii="Times New Roman" w:hAnsi="Times New Roman"/>
          <w:sz w:val="24"/>
          <w:szCs w:val="24"/>
          <w:shd w:val="clear" w:color="auto" w:fill="FFFFFF"/>
        </w:rPr>
        <w:t xml:space="preserve"> The outcome was identical in both instances and it is hard to morally defend the actions of either. </w:t>
      </w:r>
    </w:p>
    <w:p w14:paraId="3FC26016" w14:textId="47FD9D50"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shd w:val="clear" w:color="auto" w:fill="FFFFFF"/>
        </w:rPr>
        <w:t xml:space="preserve">To address this issue in the Smith and Jones case, and whether there is a morally significant difference between active and passive euthanasia, ethical perspectives from a Kantian stance, and the work of Peter Singer, will be considered. Scholars such as Kant using a deontological outlook would consider </w:t>
      </w:r>
      <w:r w:rsidRPr="006A2F4B">
        <w:rPr>
          <w:rFonts w:ascii="Times New Roman" w:hAnsi="Times New Roman"/>
          <w:i/>
          <w:sz w:val="24"/>
          <w:szCs w:val="24"/>
          <w:shd w:val="clear" w:color="auto" w:fill="FFFFFF"/>
        </w:rPr>
        <w:t>‘</w:t>
      </w:r>
      <w:r w:rsidR="00197E6A" w:rsidRPr="006A2F4B">
        <w:rPr>
          <w:rFonts w:ascii="Times New Roman" w:hAnsi="Times New Roman"/>
          <w:i/>
          <w:sz w:val="24"/>
          <w:szCs w:val="24"/>
          <w:shd w:val="clear" w:color="auto" w:fill="FFFFFF"/>
        </w:rPr>
        <w:t>assuming an action has moral worth only if it expresses a good will, such actions have no genuine “moral worth.”</w:t>
      </w:r>
      <w:r w:rsidRPr="006A2F4B">
        <w:rPr>
          <w:rStyle w:val="FootnoteReference"/>
          <w:rFonts w:ascii="Times New Roman" w:hAnsi="Times New Roman"/>
          <w:i/>
          <w:sz w:val="24"/>
          <w:szCs w:val="24"/>
          <w:shd w:val="clear" w:color="auto" w:fill="FFFFFF"/>
        </w:rPr>
        <w:footnoteReference w:id="52"/>
      </w:r>
      <w:r w:rsidRPr="006A2F4B">
        <w:rPr>
          <w:rFonts w:ascii="Times New Roman" w:hAnsi="Times New Roman"/>
          <w:sz w:val="24"/>
          <w:szCs w:val="24"/>
          <w:shd w:val="clear" w:color="auto" w:fill="FFFFFF"/>
        </w:rPr>
        <w:t xml:space="preserve"> Therefore as both Smith and Jones intended to kill there is no difference in the situation and both are morally abhorrent.</w:t>
      </w:r>
      <w:r w:rsidR="000709BD" w:rsidRPr="006A2F4B">
        <w:rPr>
          <w:rStyle w:val="FootnoteReference"/>
          <w:rFonts w:ascii="Times New Roman" w:hAnsi="Times New Roman"/>
          <w:sz w:val="24"/>
          <w:szCs w:val="24"/>
          <w:shd w:val="clear" w:color="auto" w:fill="FFFFFF"/>
        </w:rPr>
        <w:footnoteReference w:id="53"/>
      </w:r>
    </w:p>
    <w:p w14:paraId="74C1E906" w14:textId="2D18224A" w:rsidR="004C0994" w:rsidRPr="006A2F4B" w:rsidRDefault="00C50439">
      <w:pPr>
        <w:spacing w:line="360" w:lineRule="auto"/>
        <w:jc w:val="both"/>
        <w:rPr>
          <w:rFonts w:ascii="Times New Roman" w:hAnsi="Times New Roman"/>
          <w:sz w:val="24"/>
          <w:szCs w:val="24"/>
          <w:shd w:val="clear" w:color="auto" w:fill="FFFFFF"/>
        </w:rPr>
      </w:pPr>
      <w:r w:rsidRPr="006A2F4B">
        <w:rPr>
          <w:rFonts w:ascii="Times New Roman" w:hAnsi="Times New Roman"/>
          <w:sz w:val="24"/>
          <w:szCs w:val="24"/>
          <w:shd w:val="clear" w:color="auto" w:fill="FFFFFF"/>
        </w:rPr>
        <w:t>Grey (1998</w:t>
      </w:r>
      <w:r w:rsidR="00642FBF" w:rsidRPr="006A2F4B">
        <w:rPr>
          <w:rFonts w:ascii="Times New Roman" w:hAnsi="Times New Roman"/>
          <w:sz w:val="24"/>
          <w:szCs w:val="24"/>
          <w:shd w:val="clear" w:color="auto" w:fill="FFFFFF"/>
        </w:rPr>
        <w:t>) notes</w:t>
      </w:r>
      <w:r w:rsidRPr="006A2F4B">
        <w:rPr>
          <w:rFonts w:ascii="Times New Roman" w:hAnsi="Times New Roman"/>
          <w:sz w:val="24"/>
          <w:szCs w:val="24"/>
          <w:shd w:val="clear" w:color="auto" w:fill="FFFFFF"/>
        </w:rPr>
        <w:t xml:space="preserve"> in his work ‘Euthanasia and Physician Assisted Suicide’ the doctor who </w:t>
      </w:r>
      <w:r w:rsidRPr="006A2F4B">
        <w:rPr>
          <w:rFonts w:ascii="Times New Roman" w:hAnsi="Times New Roman"/>
          <w:i/>
          <w:sz w:val="24"/>
          <w:szCs w:val="24"/>
          <w:shd w:val="clear" w:color="auto" w:fill="FFFFFF"/>
        </w:rPr>
        <w:t>‘knowingly brings about the death’ (causality argument) of his patient in</w:t>
      </w:r>
      <w:r w:rsidR="004C0994" w:rsidRPr="006A2F4B">
        <w:rPr>
          <w:rFonts w:ascii="Times New Roman" w:hAnsi="Times New Roman"/>
          <w:i/>
          <w:sz w:val="24"/>
          <w:szCs w:val="24"/>
          <w:shd w:val="clear" w:color="auto" w:fill="FFFFFF"/>
        </w:rPr>
        <w:t xml:space="preserve"> for instance overdosing a patient with </w:t>
      </w:r>
      <w:r w:rsidRPr="006A2F4B">
        <w:rPr>
          <w:rFonts w:ascii="Times New Roman" w:hAnsi="Times New Roman"/>
          <w:i/>
          <w:sz w:val="24"/>
          <w:szCs w:val="24"/>
          <w:shd w:val="clear" w:color="auto" w:fill="FFFFFF"/>
        </w:rPr>
        <w:t>morphin</w:t>
      </w:r>
      <w:r w:rsidR="004C0994" w:rsidRPr="006A2F4B">
        <w:rPr>
          <w:rFonts w:ascii="Times New Roman" w:hAnsi="Times New Roman"/>
          <w:i/>
          <w:sz w:val="24"/>
          <w:szCs w:val="24"/>
          <w:shd w:val="clear" w:color="auto" w:fill="FFFFFF"/>
        </w:rPr>
        <w:t xml:space="preserve">e </w:t>
      </w:r>
      <w:r w:rsidRPr="006A2F4B">
        <w:rPr>
          <w:rFonts w:ascii="Times New Roman" w:hAnsi="Times New Roman"/>
          <w:i/>
          <w:sz w:val="24"/>
          <w:szCs w:val="24"/>
          <w:shd w:val="clear" w:color="auto" w:fill="FFFFFF"/>
        </w:rPr>
        <w:t>‘for what he causes he is prima facie morally responsible.’</w:t>
      </w:r>
      <w:r w:rsidRPr="006A2F4B">
        <w:rPr>
          <w:rStyle w:val="FootnoteReference"/>
          <w:rFonts w:ascii="Times New Roman" w:hAnsi="Times New Roman"/>
          <w:sz w:val="24"/>
          <w:szCs w:val="24"/>
          <w:shd w:val="clear" w:color="auto" w:fill="FFFFFF"/>
        </w:rPr>
        <w:footnoteReference w:id="54"/>
      </w:r>
      <w:r w:rsidRPr="006A2F4B">
        <w:rPr>
          <w:rFonts w:ascii="Times New Roman" w:hAnsi="Times New Roman"/>
          <w:sz w:val="24"/>
          <w:szCs w:val="24"/>
          <w:shd w:val="clear" w:color="auto" w:fill="FFFFFF"/>
        </w:rPr>
        <w:t xml:space="preserve"> There is no moral distinction as seen </w:t>
      </w:r>
      <w:r w:rsidR="004C0994" w:rsidRPr="006A2F4B">
        <w:rPr>
          <w:rFonts w:ascii="Times New Roman" w:hAnsi="Times New Roman"/>
          <w:sz w:val="24"/>
          <w:szCs w:val="24"/>
          <w:shd w:val="clear" w:color="auto" w:fill="FFFFFF"/>
        </w:rPr>
        <w:t xml:space="preserve">in the earlier example </w:t>
      </w:r>
      <w:r w:rsidRPr="006A2F4B">
        <w:rPr>
          <w:rFonts w:ascii="Times New Roman" w:hAnsi="Times New Roman"/>
          <w:sz w:val="24"/>
          <w:szCs w:val="24"/>
          <w:shd w:val="clear" w:color="auto" w:fill="FFFFFF"/>
        </w:rPr>
        <w:t xml:space="preserve">between acts and omission. </w:t>
      </w:r>
      <w:r w:rsidRPr="006A2F4B">
        <w:rPr>
          <w:rFonts w:ascii="Times New Roman" w:hAnsi="Times New Roman"/>
          <w:sz w:val="24"/>
          <w:szCs w:val="24"/>
        </w:rPr>
        <w:t xml:space="preserve">Still, if we uphold </w:t>
      </w:r>
      <w:r w:rsidRPr="006A2F4B">
        <w:rPr>
          <w:rFonts w:ascii="Times New Roman" w:hAnsi="Times New Roman"/>
          <w:i/>
          <w:sz w:val="24"/>
          <w:szCs w:val="24"/>
        </w:rPr>
        <w:t>‘the doctrine of the double effect’</w:t>
      </w:r>
      <w:r w:rsidRPr="006A2F4B">
        <w:rPr>
          <w:rFonts w:ascii="Times New Roman" w:hAnsi="Times New Roman"/>
          <w:sz w:val="24"/>
          <w:szCs w:val="24"/>
        </w:rPr>
        <w:t xml:space="preserve"> when considering the morally significant difference between active and passive euthanasia.</w:t>
      </w:r>
      <w:r w:rsidR="00836AD8">
        <w:rPr>
          <w:rStyle w:val="FootnoteReference"/>
          <w:rFonts w:ascii="Times New Roman" w:hAnsi="Times New Roman"/>
          <w:sz w:val="24"/>
          <w:szCs w:val="24"/>
        </w:rPr>
        <w:footnoteReference w:id="55"/>
      </w:r>
      <w:r w:rsidRPr="006A2F4B">
        <w:rPr>
          <w:rFonts w:ascii="Times New Roman" w:hAnsi="Times New Roman"/>
          <w:sz w:val="24"/>
          <w:szCs w:val="24"/>
        </w:rPr>
        <w:t xml:space="preserve"> </w:t>
      </w:r>
      <w:r w:rsidRPr="006A2F4B">
        <w:rPr>
          <w:rFonts w:ascii="Times New Roman" w:hAnsi="Times New Roman"/>
          <w:sz w:val="24"/>
          <w:szCs w:val="24"/>
          <w:shd w:val="clear" w:color="auto" w:fill="FFFFFF"/>
        </w:rPr>
        <w:t xml:space="preserve">Passive euthanasia results in prolonged suffering </w:t>
      </w:r>
      <w:r w:rsidRPr="006A2F4B">
        <w:rPr>
          <w:rFonts w:ascii="Times New Roman" w:hAnsi="Times New Roman"/>
          <w:i/>
          <w:sz w:val="24"/>
          <w:szCs w:val="24"/>
          <w:shd w:val="clear" w:color="auto" w:fill="FFFFFF"/>
        </w:rPr>
        <w:t>‘and is contrary to the motivation that prompts the initial decision of not wishing to prolong the patient's life and agony.’</w:t>
      </w:r>
      <w:r w:rsidRPr="006A2F4B">
        <w:rPr>
          <w:rStyle w:val="FootnoteReference"/>
          <w:rFonts w:ascii="Times New Roman" w:hAnsi="Times New Roman"/>
          <w:sz w:val="24"/>
          <w:szCs w:val="24"/>
          <w:shd w:val="clear" w:color="auto" w:fill="FFFFFF"/>
        </w:rPr>
        <w:footnoteReference w:id="56"/>
      </w:r>
      <w:r w:rsidRPr="006A2F4B">
        <w:rPr>
          <w:rFonts w:ascii="Times New Roman" w:hAnsi="Times New Roman"/>
          <w:sz w:val="24"/>
          <w:szCs w:val="24"/>
          <w:shd w:val="clear" w:color="auto" w:fill="FFFFFF"/>
        </w:rPr>
        <w:t xml:space="preserve"> </w:t>
      </w:r>
    </w:p>
    <w:p w14:paraId="03340E84" w14:textId="2B4EE340" w:rsidR="0069651B" w:rsidRPr="006A2F4B" w:rsidRDefault="00C50439">
      <w:pPr>
        <w:spacing w:line="360" w:lineRule="auto"/>
        <w:jc w:val="both"/>
        <w:rPr>
          <w:rFonts w:ascii="Times New Roman" w:hAnsi="Times New Roman"/>
          <w:sz w:val="24"/>
          <w:szCs w:val="24"/>
        </w:rPr>
      </w:pPr>
      <w:r w:rsidRPr="006A2F4B">
        <w:rPr>
          <w:rFonts w:ascii="Times New Roman" w:hAnsi="Times New Roman"/>
          <w:sz w:val="24"/>
          <w:szCs w:val="24"/>
          <w:shd w:val="clear" w:color="auto" w:fill="FFFFFF"/>
        </w:rPr>
        <w:t xml:space="preserve">Hence from a moral and utilitarian perspective </w:t>
      </w:r>
      <w:r w:rsidRPr="006A2F4B">
        <w:rPr>
          <w:rFonts w:ascii="Times New Roman" w:hAnsi="Times New Roman"/>
          <w:i/>
          <w:sz w:val="24"/>
          <w:szCs w:val="24"/>
          <w:shd w:val="clear" w:color="auto" w:fill="FFFFFF"/>
        </w:rPr>
        <w:t>‘active euthanasia may indeed be preferable as it decreases suffering and overall pain.’</w:t>
      </w:r>
      <w:r w:rsidRPr="006A2F4B">
        <w:rPr>
          <w:rStyle w:val="FootnoteReference"/>
          <w:rFonts w:ascii="Times New Roman" w:hAnsi="Times New Roman"/>
          <w:sz w:val="24"/>
          <w:szCs w:val="24"/>
          <w:shd w:val="clear" w:color="auto" w:fill="FFFFFF"/>
        </w:rPr>
        <w:footnoteReference w:id="57"/>
      </w:r>
      <w:r w:rsidRPr="006A2F4B">
        <w:rPr>
          <w:rFonts w:ascii="Times New Roman" w:hAnsi="Times New Roman"/>
          <w:sz w:val="24"/>
          <w:szCs w:val="24"/>
          <w:shd w:val="clear" w:color="auto" w:fill="FFFFFF"/>
        </w:rPr>
        <w:t xml:space="preserve"> Using the double effect active euthanasia has two effects; not causing suffering and ‘the shortening of a patient’s life.’</w:t>
      </w:r>
      <w:r w:rsidRPr="006A2F4B">
        <w:rPr>
          <w:rStyle w:val="FootnoteReference"/>
          <w:rFonts w:ascii="Times New Roman" w:hAnsi="Times New Roman"/>
          <w:sz w:val="24"/>
          <w:szCs w:val="24"/>
          <w:shd w:val="clear" w:color="auto" w:fill="FFFFFF"/>
        </w:rPr>
        <w:footnoteReference w:id="58"/>
      </w:r>
      <w:r w:rsidRPr="006A2F4B">
        <w:rPr>
          <w:rFonts w:ascii="Times New Roman" w:hAnsi="Times New Roman"/>
          <w:sz w:val="24"/>
          <w:szCs w:val="24"/>
          <w:shd w:val="clear" w:color="auto" w:fill="FFFFFF"/>
        </w:rPr>
        <w:t xml:space="preserve"> For a moral philosopher they may perhaps argue that </w:t>
      </w:r>
      <w:r w:rsidRPr="006A2F4B">
        <w:rPr>
          <w:rFonts w:ascii="Times New Roman" w:hAnsi="Times New Roman"/>
          <w:sz w:val="24"/>
          <w:szCs w:val="24"/>
        </w:rPr>
        <w:t>as long as the ‘</w:t>
      </w:r>
      <w:r w:rsidRPr="006A2F4B">
        <w:rPr>
          <w:rFonts w:ascii="Times New Roman" w:hAnsi="Times New Roman"/>
          <w:i/>
          <w:sz w:val="24"/>
          <w:szCs w:val="24"/>
        </w:rPr>
        <w:t xml:space="preserve">directly intended’ </w:t>
      </w:r>
      <w:r w:rsidRPr="006A2F4B">
        <w:rPr>
          <w:rFonts w:ascii="Times New Roman" w:hAnsi="Times New Roman"/>
          <w:sz w:val="24"/>
          <w:szCs w:val="24"/>
        </w:rPr>
        <w:t>effect is the beneficial one that does not violate an absolute moral rule, the action is permissible.’</w:t>
      </w:r>
      <w:r w:rsidRPr="006A2F4B">
        <w:rPr>
          <w:rStyle w:val="FootnoteReference"/>
          <w:rFonts w:ascii="Times New Roman" w:hAnsi="Times New Roman"/>
          <w:sz w:val="24"/>
          <w:szCs w:val="24"/>
        </w:rPr>
        <w:footnoteReference w:id="59"/>
      </w:r>
      <w:r w:rsidRPr="006A2F4B">
        <w:rPr>
          <w:rFonts w:ascii="Times New Roman" w:hAnsi="Times New Roman"/>
          <w:sz w:val="24"/>
          <w:szCs w:val="24"/>
        </w:rPr>
        <w:t xml:space="preserve"> </w:t>
      </w:r>
    </w:p>
    <w:p w14:paraId="2207A5FB" w14:textId="395C3498" w:rsidR="0069651B" w:rsidRPr="006A2F4B" w:rsidRDefault="004C0994">
      <w:pPr>
        <w:spacing w:line="360" w:lineRule="auto"/>
        <w:jc w:val="both"/>
        <w:rPr>
          <w:rFonts w:ascii="Times New Roman" w:hAnsi="Times New Roman"/>
          <w:sz w:val="24"/>
          <w:szCs w:val="24"/>
        </w:rPr>
      </w:pPr>
      <w:r w:rsidRPr="006A2F4B">
        <w:rPr>
          <w:rFonts w:ascii="Times New Roman" w:hAnsi="Times New Roman"/>
          <w:sz w:val="24"/>
          <w:szCs w:val="24"/>
        </w:rPr>
        <w:lastRenderedPageBreak/>
        <w:t>T</w:t>
      </w:r>
      <w:r w:rsidR="00C50439" w:rsidRPr="006A2F4B">
        <w:rPr>
          <w:rFonts w:ascii="Times New Roman" w:hAnsi="Times New Roman"/>
          <w:sz w:val="24"/>
          <w:szCs w:val="24"/>
        </w:rPr>
        <w:t xml:space="preserve">here does in certain examples appear to be a morally significant difference between active and passive euthanasia. </w:t>
      </w:r>
      <w:bookmarkEnd w:id="0"/>
      <w:r w:rsidR="00C50439" w:rsidRPr="00836AD8">
        <w:rPr>
          <w:rFonts w:ascii="Times New Roman" w:hAnsi="Times New Roman"/>
          <w:i/>
          <w:sz w:val="24"/>
          <w:szCs w:val="24"/>
        </w:rPr>
        <w:t>‘The physician’s attitude in passive euthanasia is best characterized by reserve, humility, respect and reverence for life.’</w:t>
      </w:r>
      <w:r w:rsidR="00C50439" w:rsidRPr="006A2F4B">
        <w:rPr>
          <w:rStyle w:val="FootnoteReference"/>
          <w:rFonts w:ascii="Times New Roman" w:hAnsi="Times New Roman"/>
          <w:sz w:val="24"/>
          <w:szCs w:val="24"/>
        </w:rPr>
        <w:footnoteReference w:id="60"/>
      </w:r>
      <w:r w:rsidR="00C50439" w:rsidRPr="006A2F4B">
        <w:rPr>
          <w:rFonts w:ascii="Times New Roman" w:hAnsi="Times New Roman"/>
          <w:sz w:val="24"/>
          <w:szCs w:val="24"/>
        </w:rPr>
        <w:t xml:space="preserve"> However this does not rule out active euthanasia as being the action with the least positive morally significant outcome. This is because </w:t>
      </w:r>
      <w:r w:rsidR="00C50439" w:rsidRPr="00836AD8">
        <w:rPr>
          <w:rFonts w:ascii="Times New Roman" w:hAnsi="Times New Roman"/>
          <w:i/>
          <w:sz w:val="24"/>
          <w:szCs w:val="24"/>
        </w:rPr>
        <w:t>‘the advocates of active euthanasia may claim high moral values [such as] compassion, humaneness, respect for the free will of the person.’</w:t>
      </w:r>
      <w:r w:rsidR="00C50439" w:rsidRPr="006A2F4B">
        <w:rPr>
          <w:rStyle w:val="FootnoteReference"/>
          <w:rFonts w:ascii="Times New Roman" w:hAnsi="Times New Roman"/>
          <w:sz w:val="24"/>
          <w:szCs w:val="24"/>
        </w:rPr>
        <w:footnoteReference w:id="61"/>
      </w:r>
      <w:r w:rsidR="00C50439" w:rsidRPr="006A2F4B">
        <w:rPr>
          <w:rFonts w:ascii="Times New Roman" w:hAnsi="Times New Roman"/>
          <w:sz w:val="24"/>
          <w:szCs w:val="24"/>
        </w:rPr>
        <w:t xml:space="preserve">  Due to this when trying to reach a conclusion on if there is a morally significant difference between active and passive euthanasia, </w:t>
      </w:r>
      <w:r w:rsidR="00C50439" w:rsidRPr="00836AD8">
        <w:rPr>
          <w:rFonts w:ascii="Times New Roman" w:hAnsi="Times New Roman"/>
          <w:i/>
          <w:sz w:val="24"/>
          <w:szCs w:val="24"/>
        </w:rPr>
        <w:t>‘the decisive question is, which action is consistent in itself, where do inner attitude and chosen means correspond? Is killing of the human being compatible with respect for the person?’</w:t>
      </w:r>
      <w:r w:rsidR="00C50439" w:rsidRPr="006A2F4B">
        <w:rPr>
          <w:rStyle w:val="FootnoteReference"/>
          <w:rFonts w:ascii="Times New Roman" w:hAnsi="Times New Roman"/>
          <w:sz w:val="24"/>
          <w:szCs w:val="24"/>
        </w:rPr>
        <w:footnoteReference w:id="62"/>
      </w:r>
      <w:r w:rsidR="00C50439" w:rsidRPr="006A2F4B">
        <w:rPr>
          <w:rFonts w:ascii="Times New Roman" w:hAnsi="Times New Roman"/>
          <w:sz w:val="24"/>
          <w:szCs w:val="24"/>
        </w:rPr>
        <w:t xml:space="preserve"> </w:t>
      </w:r>
    </w:p>
    <w:p w14:paraId="1A773FB7" w14:textId="7A9C9A1E" w:rsidR="0069651B" w:rsidRDefault="00C50439">
      <w:pPr>
        <w:spacing w:line="360" w:lineRule="auto"/>
        <w:jc w:val="both"/>
        <w:rPr>
          <w:rFonts w:ascii="Times New Roman" w:hAnsi="Times New Roman"/>
          <w:sz w:val="24"/>
          <w:szCs w:val="24"/>
        </w:rPr>
      </w:pPr>
      <w:r w:rsidRPr="006A2F4B">
        <w:rPr>
          <w:rFonts w:ascii="Times New Roman" w:hAnsi="Times New Roman"/>
          <w:sz w:val="24"/>
          <w:szCs w:val="24"/>
        </w:rPr>
        <w:t xml:space="preserve">In both cases of euthanasia, the moral outcome differs in individual cases, making </w:t>
      </w:r>
      <w:r w:rsidRPr="00836AD8">
        <w:rPr>
          <w:rFonts w:ascii="Times New Roman" w:hAnsi="Times New Roman"/>
          <w:i/>
          <w:sz w:val="24"/>
          <w:szCs w:val="24"/>
        </w:rPr>
        <w:t>‘the moral duties at issue, different for people who can possess them differently with regard too different people.’</w:t>
      </w:r>
      <w:r w:rsidRPr="006A2F4B">
        <w:rPr>
          <w:rStyle w:val="FootnoteReference"/>
          <w:rFonts w:ascii="Times New Roman" w:hAnsi="Times New Roman"/>
          <w:sz w:val="24"/>
          <w:szCs w:val="24"/>
        </w:rPr>
        <w:footnoteReference w:id="63"/>
      </w:r>
      <w:r w:rsidRPr="006A2F4B">
        <w:rPr>
          <w:rFonts w:ascii="Times New Roman" w:hAnsi="Times New Roman"/>
          <w:sz w:val="24"/>
          <w:szCs w:val="24"/>
        </w:rPr>
        <w:t xml:space="preserve"> No conclusion can defiantly be determined on this question on the morally significant difference between active and passive euthanasia, other th</w:t>
      </w:r>
      <w:r w:rsidR="00001034" w:rsidRPr="006A2F4B">
        <w:rPr>
          <w:rFonts w:ascii="Times New Roman" w:hAnsi="Times New Roman"/>
          <w:sz w:val="24"/>
          <w:szCs w:val="24"/>
        </w:rPr>
        <w:t>a</w:t>
      </w:r>
      <w:r w:rsidRPr="006A2F4B">
        <w:rPr>
          <w:rFonts w:ascii="Times New Roman" w:hAnsi="Times New Roman"/>
          <w:sz w:val="24"/>
          <w:szCs w:val="24"/>
        </w:rPr>
        <w:t xml:space="preserve">n doing what is best for an individual in each unique circumstance.  </w:t>
      </w:r>
      <w:r w:rsidR="00913BF3" w:rsidRPr="006A2F4B">
        <w:rPr>
          <w:rFonts w:ascii="Times New Roman" w:hAnsi="Times New Roman"/>
          <w:sz w:val="24"/>
          <w:szCs w:val="24"/>
        </w:rPr>
        <w:t xml:space="preserve">It would be fair to say there is no distinction between active and passive as both are still ethically unsound. </w:t>
      </w:r>
    </w:p>
    <w:p w14:paraId="64D16842" w14:textId="50999374" w:rsidR="006A2F4B" w:rsidRDefault="006A2F4B">
      <w:pPr>
        <w:spacing w:line="360" w:lineRule="auto"/>
        <w:jc w:val="both"/>
        <w:rPr>
          <w:rFonts w:ascii="Times New Roman" w:hAnsi="Times New Roman"/>
          <w:sz w:val="24"/>
          <w:szCs w:val="24"/>
        </w:rPr>
      </w:pPr>
    </w:p>
    <w:p w14:paraId="2EBA9D10" w14:textId="48283312" w:rsidR="006A2F4B" w:rsidRDefault="006A2F4B">
      <w:pPr>
        <w:spacing w:line="360" w:lineRule="auto"/>
        <w:jc w:val="both"/>
        <w:rPr>
          <w:rFonts w:ascii="Times New Roman" w:hAnsi="Times New Roman"/>
          <w:sz w:val="24"/>
          <w:szCs w:val="24"/>
        </w:rPr>
      </w:pPr>
    </w:p>
    <w:p w14:paraId="493C2596" w14:textId="237AC27C" w:rsidR="006A2F4B" w:rsidRDefault="006A2F4B">
      <w:pPr>
        <w:spacing w:line="360" w:lineRule="auto"/>
        <w:jc w:val="both"/>
        <w:rPr>
          <w:rFonts w:ascii="Times New Roman" w:hAnsi="Times New Roman"/>
          <w:sz w:val="24"/>
          <w:szCs w:val="24"/>
        </w:rPr>
      </w:pPr>
    </w:p>
    <w:p w14:paraId="3783E477" w14:textId="59E085C4" w:rsidR="006A2F4B" w:rsidRDefault="006A2F4B">
      <w:pPr>
        <w:spacing w:line="360" w:lineRule="auto"/>
        <w:jc w:val="both"/>
        <w:rPr>
          <w:rFonts w:ascii="Times New Roman" w:hAnsi="Times New Roman"/>
          <w:sz w:val="24"/>
          <w:szCs w:val="24"/>
        </w:rPr>
      </w:pPr>
    </w:p>
    <w:p w14:paraId="1578968F" w14:textId="4E34A412" w:rsidR="006A2F4B" w:rsidRDefault="006A2F4B">
      <w:pPr>
        <w:spacing w:line="360" w:lineRule="auto"/>
        <w:jc w:val="both"/>
        <w:rPr>
          <w:rFonts w:ascii="Times New Roman" w:hAnsi="Times New Roman"/>
          <w:sz w:val="24"/>
          <w:szCs w:val="24"/>
        </w:rPr>
      </w:pPr>
    </w:p>
    <w:p w14:paraId="54872240" w14:textId="5F39D7AD" w:rsidR="006A2F4B" w:rsidRDefault="006A2F4B">
      <w:pPr>
        <w:spacing w:line="360" w:lineRule="auto"/>
        <w:jc w:val="both"/>
        <w:rPr>
          <w:rFonts w:ascii="Times New Roman" w:hAnsi="Times New Roman"/>
          <w:sz w:val="24"/>
          <w:szCs w:val="24"/>
        </w:rPr>
      </w:pPr>
    </w:p>
    <w:p w14:paraId="4913ED4D" w14:textId="1C837A91" w:rsidR="006A2F4B" w:rsidRDefault="006A2F4B">
      <w:pPr>
        <w:spacing w:line="360" w:lineRule="auto"/>
        <w:jc w:val="both"/>
        <w:rPr>
          <w:rFonts w:ascii="Times New Roman" w:hAnsi="Times New Roman"/>
          <w:sz w:val="24"/>
          <w:szCs w:val="24"/>
        </w:rPr>
      </w:pPr>
    </w:p>
    <w:p w14:paraId="7B01CD1C" w14:textId="0F26B378" w:rsidR="006A2F4B" w:rsidRDefault="006A2F4B">
      <w:pPr>
        <w:spacing w:line="360" w:lineRule="auto"/>
        <w:jc w:val="both"/>
        <w:rPr>
          <w:rFonts w:ascii="Times New Roman" w:hAnsi="Times New Roman"/>
          <w:sz w:val="24"/>
          <w:szCs w:val="24"/>
        </w:rPr>
      </w:pPr>
    </w:p>
    <w:p w14:paraId="4D7CE811" w14:textId="364F2722" w:rsidR="006A2F4B" w:rsidRPr="008C5738" w:rsidRDefault="006A2F4B" w:rsidP="008C5738">
      <w:pPr>
        <w:spacing w:line="360" w:lineRule="auto"/>
        <w:jc w:val="center"/>
        <w:rPr>
          <w:rFonts w:ascii="Times New Roman" w:hAnsi="Times New Roman"/>
          <w:b/>
          <w:sz w:val="24"/>
          <w:szCs w:val="24"/>
          <w:u w:val="single"/>
        </w:rPr>
      </w:pPr>
      <w:r w:rsidRPr="008C5738">
        <w:rPr>
          <w:rFonts w:ascii="Times New Roman" w:hAnsi="Times New Roman"/>
          <w:b/>
          <w:sz w:val="24"/>
          <w:szCs w:val="24"/>
          <w:u w:val="single"/>
        </w:rPr>
        <w:lastRenderedPageBreak/>
        <w:t>Bibliography</w:t>
      </w:r>
    </w:p>
    <w:p w14:paraId="6E4F1E55" w14:textId="77777777" w:rsidR="008E27FE" w:rsidRPr="008E27FE" w:rsidRDefault="008E27FE" w:rsidP="008C5738">
      <w:pPr>
        <w:pStyle w:val="FootnoteText"/>
        <w:rPr>
          <w:rFonts w:ascii="Times New Roman" w:hAnsi="Times New Roman"/>
        </w:rPr>
      </w:pPr>
    </w:p>
    <w:p w14:paraId="3DAEA891" w14:textId="77777777" w:rsidR="008E27FE" w:rsidRPr="008E27FE" w:rsidRDefault="008E27FE" w:rsidP="006A2F4B">
      <w:pPr>
        <w:spacing w:line="360" w:lineRule="auto"/>
        <w:jc w:val="both"/>
        <w:rPr>
          <w:rStyle w:val="Hyperlink"/>
          <w:rFonts w:ascii="Times New Roman" w:hAnsi="Times New Roman"/>
          <w:color w:val="2E74B5" w:themeColor="accent1" w:themeShade="BF"/>
          <w:sz w:val="20"/>
          <w:szCs w:val="20"/>
        </w:rPr>
      </w:pPr>
      <w:r w:rsidRPr="008E27FE">
        <w:rPr>
          <w:rFonts w:ascii="Times New Roman" w:eastAsia="Times New Roman" w:hAnsi="Times New Roman"/>
          <w:color w:val="000000" w:themeColor="text1"/>
          <w:sz w:val="20"/>
          <w:szCs w:val="20"/>
          <w:lang w:eastAsia="en-GB"/>
        </w:rPr>
        <w:t>Allison, Henry, 2011, </w:t>
      </w:r>
      <w:r w:rsidRPr="008E27FE">
        <w:rPr>
          <w:rFonts w:ascii="Times New Roman" w:eastAsia="Times New Roman" w:hAnsi="Times New Roman"/>
          <w:iCs/>
          <w:color w:val="000000" w:themeColor="text1"/>
          <w:sz w:val="20"/>
          <w:szCs w:val="20"/>
          <w:lang w:eastAsia="en-GB"/>
        </w:rPr>
        <w:t>Kant’s Groundwork for the Metaphysics of Morals: A Commentary</w:t>
      </w:r>
      <w:r w:rsidRPr="008E27FE">
        <w:rPr>
          <w:rFonts w:ascii="Times New Roman" w:eastAsia="Times New Roman" w:hAnsi="Times New Roman"/>
          <w:color w:val="000000" w:themeColor="text1"/>
          <w:sz w:val="20"/>
          <w:szCs w:val="20"/>
          <w:lang w:eastAsia="en-GB"/>
        </w:rPr>
        <w:t>, Oxford: Oxford University Press</w:t>
      </w:r>
      <w:r w:rsidRPr="008E27FE">
        <w:rPr>
          <w:rFonts w:ascii="Times New Roman" w:eastAsia="Times New Roman" w:hAnsi="Times New Roman"/>
          <w:color w:val="2E74B5" w:themeColor="accent1" w:themeShade="BF"/>
          <w:sz w:val="20"/>
          <w:szCs w:val="20"/>
          <w:lang w:eastAsia="en-GB"/>
        </w:rPr>
        <w:t>.</w:t>
      </w:r>
      <w:r w:rsidRPr="008E27FE">
        <w:rPr>
          <w:rFonts w:ascii="Times New Roman" w:hAnsi="Times New Roman"/>
          <w:color w:val="2E74B5" w:themeColor="accent1" w:themeShade="BF"/>
          <w:sz w:val="20"/>
          <w:szCs w:val="20"/>
        </w:rPr>
        <w:t xml:space="preserve"> </w:t>
      </w:r>
      <w:hyperlink r:id="rId8" w:history="1">
        <w:r w:rsidRPr="008E27FE">
          <w:rPr>
            <w:rStyle w:val="Hyperlink"/>
            <w:rFonts w:ascii="Times New Roman" w:hAnsi="Times New Roman"/>
            <w:color w:val="2E74B5" w:themeColor="accent1" w:themeShade="BF"/>
            <w:sz w:val="20"/>
            <w:szCs w:val="20"/>
          </w:rPr>
          <w:t>https://plato.stanford.edu/entries/kant-moral/</w:t>
        </w:r>
      </w:hyperlink>
    </w:p>
    <w:p w14:paraId="660C0920" w14:textId="44CE340C" w:rsidR="00EF2651" w:rsidRDefault="00EF2651" w:rsidP="006A2F4B">
      <w:pPr>
        <w:spacing w:line="360" w:lineRule="auto"/>
        <w:jc w:val="both"/>
        <w:rPr>
          <w:rFonts w:ascii="Times New Roman" w:hAnsi="Times New Roman"/>
          <w:sz w:val="20"/>
          <w:szCs w:val="20"/>
        </w:rPr>
      </w:pPr>
      <w:proofErr w:type="spellStart"/>
      <w:r>
        <w:rPr>
          <w:rFonts w:ascii="Times New Roman" w:hAnsi="Times New Roman"/>
          <w:sz w:val="20"/>
          <w:szCs w:val="20"/>
        </w:rPr>
        <w:t>Bernward</w:t>
      </w:r>
      <w:proofErr w:type="spellEnd"/>
      <w:r>
        <w:rPr>
          <w:rFonts w:ascii="Times New Roman" w:hAnsi="Times New Roman"/>
          <w:sz w:val="20"/>
          <w:szCs w:val="20"/>
        </w:rPr>
        <w:t xml:space="preserve">. </w:t>
      </w:r>
      <w:proofErr w:type="spellStart"/>
      <w:r w:rsidR="006E401A">
        <w:rPr>
          <w:rFonts w:ascii="Times New Roman" w:hAnsi="Times New Roman"/>
          <w:sz w:val="20"/>
          <w:szCs w:val="20"/>
        </w:rPr>
        <w:t>Gesang</w:t>
      </w:r>
      <w:proofErr w:type="spellEnd"/>
      <w:r w:rsidR="006E401A">
        <w:rPr>
          <w:rFonts w:ascii="Times New Roman" w:hAnsi="Times New Roman"/>
          <w:sz w:val="20"/>
          <w:szCs w:val="20"/>
        </w:rPr>
        <w:t xml:space="preserve">, </w:t>
      </w:r>
      <w:r w:rsidR="006E401A" w:rsidRPr="006E401A">
        <w:rPr>
          <w:rFonts w:ascii="Times New Roman" w:hAnsi="Times New Roman"/>
          <w:i/>
          <w:sz w:val="20"/>
          <w:szCs w:val="20"/>
        </w:rPr>
        <w:t>‘Passive and Active Euthanasia: What is the difference?’</w:t>
      </w:r>
      <w:r w:rsidR="006E401A">
        <w:rPr>
          <w:rFonts w:ascii="Times New Roman" w:hAnsi="Times New Roman"/>
          <w:sz w:val="20"/>
          <w:szCs w:val="20"/>
        </w:rPr>
        <w:t xml:space="preserve"> (Institute for Philosophy, Heinrich Heine University Dusseldorf, 2007)</w:t>
      </w:r>
    </w:p>
    <w:p w14:paraId="7085A6B4" w14:textId="28ABE8BB" w:rsidR="008E27FE" w:rsidRPr="008E27FE" w:rsidRDefault="008E27FE" w:rsidP="006A2F4B">
      <w:pPr>
        <w:spacing w:line="360" w:lineRule="auto"/>
        <w:jc w:val="both"/>
        <w:rPr>
          <w:rFonts w:ascii="Times New Roman" w:hAnsi="Times New Roman"/>
          <w:sz w:val="20"/>
          <w:szCs w:val="20"/>
        </w:rPr>
      </w:pPr>
      <w:proofErr w:type="spellStart"/>
      <w:r w:rsidRPr="008E27FE">
        <w:rPr>
          <w:rFonts w:ascii="Times New Roman" w:hAnsi="Times New Roman"/>
          <w:sz w:val="20"/>
          <w:szCs w:val="20"/>
        </w:rPr>
        <w:t>Boonin</w:t>
      </w:r>
      <w:proofErr w:type="spellEnd"/>
      <w:r w:rsidRPr="008E27FE">
        <w:rPr>
          <w:rFonts w:ascii="Times New Roman" w:hAnsi="Times New Roman"/>
          <w:sz w:val="20"/>
          <w:szCs w:val="20"/>
        </w:rPr>
        <w:t>. David, ‘</w:t>
      </w:r>
      <w:r w:rsidRPr="008E27FE">
        <w:rPr>
          <w:rFonts w:ascii="Times New Roman" w:hAnsi="Times New Roman"/>
          <w:i/>
          <w:sz w:val="20"/>
          <w:szCs w:val="20"/>
        </w:rPr>
        <w:t xml:space="preserve">How to Argue Against Active Euthanasia’ </w:t>
      </w:r>
      <w:r w:rsidRPr="008E27FE">
        <w:rPr>
          <w:rFonts w:ascii="Times New Roman" w:hAnsi="Times New Roman"/>
          <w:sz w:val="20"/>
          <w:szCs w:val="20"/>
        </w:rPr>
        <w:t xml:space="preserve">(Journal of Applied Philosophy, Vol. 17, No. 2, 2000) </w:t>
      </w:r>
    </w:p>
    <w:p w14:paraId="52593409" w14:textId="77777777" w:rsidR="008E27FE" w:rsidRPr="008E27FE" w:rsidRDefault="008E27FE" w:rsidP="006A2F4B">
      <w:pPr>
        <w:pStyle w:val="FootnoteText"/>
        <w:rPr>
          <w:rFonts w:ascii="Times New Roman" w:hAnsi="Times New Roman"/>
        </w:rPr>
      </w:pPr>
      <w:r w:rsidRPr="008E27FE">
        <w:rPr>
          <w:rFonts w:ascii="Times New Roman" w:hAnsi="Times New Roman"/>
        </w:rPr>
        <w:t>Campbell. Robert and Collinson Diane, ‘Ending Lives’ (Published by Billings &amp; Sons Ltd, Great Britain, 1998)</w:t>
      </w:r>
    </w:p>
    <w:p w14:paraId="432E25CB" w14:textId="77777777" w:rsidR="008E27FE" w:rsidRPr="008E27FE" w:rsidRDefault="008E27FE" w:rsidP="006A2F4B">
      <w:pPr>
        <w:spacing w:line="360" w:lineRule="auto"/>
        <w:jc w:val="both"/>
        <w:rPr>
          <w:rFonts w:ascii="Times New Roman" w:hAnsi="Times New Roman"/>
          <w:sz w:val="20"/>
          <w:szCs w:val="20"/>
        </w:rPr>
      </w:pPr>
      <w:r w:rsidRPr="008E27FE">
        <w:rPr>
          <w:rFonts w:ascii="Times New Roman" w:hAnsi="Times New Roman"/>
          <w:sz w:val="20"/>
          <w:szCs w:val="20"/>
        </w:rPr>
        <w:t xml:space="preserve">Dworkin. Gerald, ‘Euthanasia and Physician Assisted Suicide </w:t>
      </w:r>
      <w:proofErr w:type="gramStart"/>
      <w:r w:rsidRPr="008E27FE">
        <w:rPr>
          <w:rFonts w:ascii="Times New Roman" w:hAnsi="Times New Roman"/>
          <w:sz w:val="20"/>
          <w:szCs w:val="20"/>
        </w:rPr>
        <w:t>For</w:t>
      </w:r>
      <w:proofErr w:type="gramEnd"/>
      <w:r w:rsidRPr="008E27FE">
        <w:rPr>
          <w:rFonts w:ascii="Times New Roman" w:hAnsi="Times New Roman"/>
          <w:sz w:val="20"/>
          <w:szCs w:val="20"/>
        </w:rPr>
        <w:t xml:space="preserve"> and Against’ (Cambridge University Press, 1998)</w:t>
      </w:r>
    </w:p>
    <w:p w14:paraId="5C6CC57F" w14:textId="77777777" w:rsidR="008E27FE" w:rsidRPr="008E27FE" w:rsidRDefault="008E27FE">
      <w:pPr>
        <w:spacing w:line="360" w:lineRule="auto"/>
        <w:jc w:val="both"/>
        <w:rPr>
          <w:rStyle w:val="Hyperlink"/>
          <w:rFonts w:ascii="Times New Roman" w:hAnsi="Times New Roman"/>
          <w:sz w:val="20"/>
          <w:szCs w:val="20"/>
        </w:rPr>
      </w:pPr>
      <w:r w:rsidRPr="008E27FE">
        <w:rPr>
          <w:rFonts w:ascii="Times New Roman" w:hAnsi="Times New Roman"/>
          <w:sz w:val="20"/>
          <w:szCs w:val="20"/>
        </w:rPr>
        <w:t xml:space="preserve">E. Garrard, S Wilkison, </w:t>
      </w:r>
      <w:r w:rsidRPr="008E27FE">
        <w:rPr>
          <w:rFonts w:ascii="Times New Roman" w:hAnsi="Times New Roman"/>
          <w:i/>
          <w:sz w:val="20"/>
          <w:szCs w:val="20"/>
        </w:rPr>
        <w:t>‘Passive Euthanasia’</w:t>
      </w:r>
      <w:r w:rsidRPr="008E27FE">
        <w:rPr>
          <w:rFonts w:ascii="Times New Roman" w:hAnsi="Times New Roman"/>
          <w:sz w:val="20"/>
          <w:szCs w:val="20"/>
        </w:rPr>
        <w:t xml:space="preserve"> (Published by: </w:t>
      </w:r>
      <w:r w:rsidRPr="008E27FE">
        <w:rPr>
          <w:rFonts w:ascii="Times New Roman" w:hAnsi="Times New Roman"/>
          <w:color w:val="0070C0"/>
          <w:sz w:val="20"/>
          <w:szCs w:val="20"/>
          <w:u w:val="single"/>
        </w:rPr>
        <w:t xml:space="preserve">group.bjm.com </w:t>
      </w:r>
      <w:r w:rsidRPr="008E27FE">
        <w:rPr>
          <w:rFonts w:ascii="Times New Roman" w:hAnsi="Times New Roman"/>
          <w:sz w:val="20"/>
          <w:szCs w:val="20"/>
        </w:rPr>
        <w:t xml:space="preserve">Clinical Ethics </w:t>
      </w:r>
      <w:proofErr w:type="spellStart"/>
      <w:r w:rsidRPr="008E27FE">
        <w:rPr>
          <w:rFonts w:ascii="Times New Roman" w:hAnsi="Times New Roman"/>
          <w:sz w:val="20"/>
          <w:szCs w:val="20"/>
        </w:rPr>
        <w:t>Keele</w:t>
      </w:r>
      <w:proofErr w:type="spellEnd"/>
      <w:r w:rsidRPr="008E27FE">
        <w:rPr>
          <w:rFonts w:ascii="Times New Roman" w:hAnsi="Times New Roman"/>
          <w:sz w:val="20"/>
          <w:szCs w:val="20"/>
        </w:rPr>
        <w:t xml:space="preserve"> University, 5</w:t>
      </w:r>
      <w:r w:rsidRPr="008E27FE">
        <w:rPr>
          <w:rFonts w:ascii="Times New Roman" w:hAnsi="Times New Roman"/>
          <w:sz w:val="20"/>
          <w:szCs w:val="20"/>
          <w:vertAlign w:val="superscript"/>
        </w:rPr>
        <w:t>th</w:t>
      </w:r>
      <w:r w:rsidRPr="008E27FE">
        <w:rPr>
          <w:rFonts w:ascii="Times New Roman" w:hAnsi="Times New Roman"/>
          <w:sz w:val="20"/>
          <w:szCs w:val="20"/>
        </w:rPr>
        <w:t xml:space="preserve"> February 2004) </w:t>
      </w:r>
      <w:hyperlink r:id="rId9" w:history="1">
        <w:r w:rsidRPr="008E27FE">
          <w:rPr>
            <w:rStyle w:val="Hyperlink"/>
            <w:rFonts w:ascii="Times New Roman" w:hAnsi="Times New Roman"/>
            <w:sz w:val="20"/>
            <w:szCs w:val="20"/>
          </w:rPr>
          <w:t>http://jme.bmj.com/content/medethics/31/2/64.full.pdf</w:t>
        </w:r>
      </w:hyperlink>
    </w:p>
    <w:p w14:paraId="53E1706D" w14:textId="77777777" w:rsidR="008E27FE" w:rsidRPr="008E27FE" w:rsidRDefault="008E27FE" w:rsidP="006A2F4B">
      <w:pPr>
        <w:spacing w:line="360" w:lineRule="auto"/>
        <w:jc w:val="both"/>
        <w:rPr>
          <w:rStyle w:val="Hyperlink"/>
          <w:rFonts w:ascii="Times New Roman" w:hAnsi="Times New Roman"/>
          <w:sz w:val="20"/>
          <w:szCs w:val="20"/>
        </w:rPr>
      </w:pPr>
      <w:r w:rsidRPr="008E27FE">
        <w:rPr>
          <w:rFonts w:ascii="Times New Roman" w:hAnsi="Times New Roman"/>
          <w:sz w:val="20"/>
          <w:szCs w:val="20"/>
        </w:rPr>
        <w:t xml:space="preserve">Fairbairn. J. Gavin, </w:t>
      </w:r>
      <w:r w:rsidRPr="008E27FE">
        <w:rPr>
          <w:rFonts w:ascii="Times New Roman" w:hAnsi="Times New Roman"/>
          <w:i/>
          <w:sz w:val="20"/>
          <w:szCs w:val="20"/>
        </w:rPr>
        <w:t>‘</w:t>
      </w:r>
      <w:proofErr w:type="spellStart"/>
      <w:r w:rsidRPr="008E27FE">
        <w:rPr>
          <w:rFonts w:ascii="Times New Roman" w:hAnsi="Times New Roman"/>
          <w:i/>
          <w:sz w:val="20"/>
          <w:szCs w:val="20"/>
        </w:rPr>
        <w:t>Kushe</w:t>
      </w:r>
      <w:proofErr w:type="spellEnd"/>
      <w:r w:rsidRPr="008E27FE">
        <w:rPr>
          <w:rFonts w:ascii="Times New Roman" w:hAnsi="Times New Roman"/>
          <w:i/>
          <w:sz w:val="20"/>
          <w:szCs w:val="20"/>
        </w:rPr>
        <w:t>, Singer and Slippery Slopes’</w:t>
      </w:r>
      <w:r w:rsidRPr="008E27FE">
        <w:rPr>
          <w:rFonts w:ascii="Times New Roman" w:hAnsi="Times New Roman"/>
          <w:sz w:val="20"/>
          <w:szCs w:val="20"/>
        </w:rPr>
        <w:t xml:space="preserve"> (Journal of Medical Ethics, 14, 132-134, 1988)   </w:t>
      </w:r>
      <w:hyperlink r:id="rId10" w:history="1">
        <w:r w:rsidRPr="008E27FE">
          <w:rPr>
            <w:rStyle w:val="Hyperlink"/>
            <w:rFonts w:ascii="Times New Roman" w:hAnsi="Times New Roman"/>
            <w:sz w:val="20"/>
            <w:szCs w:val="20"/>
          </w:rPr>
          <w:t>http://jme.bmj.com/content/medethics/14/3/132.full.pdf</w:t>
        </w:r>
      </w:hyperlink>
    </w:p>
    <w:p w14:paraId="0AA2F6E5" w14:textId="1994A4C4" w:rsidR="008E27FE" w:rsidRDefault="008E27FE" w:rsidP="008C5738">
      <w:pPr>
        <w:pStyle w:val="FootnoteText"/>
        <w:rPr>
          <w:rFonts w:ascii="Times New Roman" w:hAnsi="Times New Roman"/>
        </w:rPr>
      </w:pPr>
      <w:r w:rsidRPr="008E27FE">
        <w:rPr>
          <w:rFonts w:ascii="Times New Roman" w:hAnsi="Times New Roman"/>
        </w:rPr>
        <w:t xml:space="preserve">Fuchs.  Thomas </w:t>
      </w:r>
      <w:r w:rsidRPr="008E27FE">
        <w:rPr>
          <w:rFonts w:ascii="Times New Roman" w:hAnsi="Times New Roman"/>
          <w:i/>
        </w:rPr>
        <w:t>‘The notion of ‘killing’</w:t>
      </w:r>
      <w:r w:rsidRPr="008E27FE">
        <w:rPr>
          <w:rFonts w:ascii="Times New Roman" w:hAnsi="Times New Roman"/>
        </w:rPr>
        <w:t>. Causality, intention, and motivation in active and passive euthanasia’ (Kluwer Academic Publishers, Netherlands, 1998)</w:t>
      </w:r>
    </w:p>
    <w:p w14:paraId="7681B403" w14:textId="77777777" w:rsidR="008E27FE" w:rsidRPr="008E27FE" w:rsidRDefault="008E27FE" w:rsidP="008C5738">
      <w:pPr>
        <w:pStyle w:val="FootnoteText"/>
        <w:rPr>
          <w:rFonts w:ascii="Times New Roman" w:hAnsi="Times New Roman"/>
        </w:rPr>
      </w:pPr>
    </w:p>
    <w:p w14:paraId="28E654E2" w14:textId="77777777" w:rsidR="008E27FE" w:rsidRPr="008E27FE" w:rsidRDefault="008E27FE" w:rsidP="006A2F4B">
      <w:pPr>
        <w:spacing w:line="360" w:lineRule="auto"/>
        <w:jc w:val="both"/>
        <w:rPr>
          <w:rFonts w:ascii="Times New Roman" w:hAnsi="Times New Roman"/>
          <w:sz w:val="20"/>
          <w:szCs w:val="20"/>
        </w:rPr>
      </w:pPr>
      <w:r w:rsidRPr="008E27FE">
        <w:rPr>
          <w:rFonts w:ascii="Times New Roman" w:hAnsi="Times New Roman"/>
          <w:sz w:val="20"/>
          <w:szCs w:val="20"/>
        </w:rPr>
        <w:t xml:space="preserve">Glover. Jonathan, </w:t>
      </w:r>
      <w:r w:rsidRPr="008E27FE">
        <w:rPr>
          <w:rFonts w:ascii="Times New Roman" w:hAnsi="Times New Roman"/>
          <w:i/>
          <w:sz w:val="20"/>
          <w:szCs w:val="20"/>
        </w:rPr>
        <w:t>‘Causing Death and Saving Lives’</w:t>
      </w:r>
      <w:r w:rsidRPr="008E27FE">
        <w:rPr>
          <w:rFonts w:ascii="Times New Roman" w:hAnsi="Times New Roman"/>
          <w:sz w:val="20"/>
          <w:szCs w:val="20"/>
        </w:rPr>
        <w:t xml:space="preserve"> (Published by: Penguin Group, London, 1977)</w:t>
      </w:r>
    </w:p>
    <w:p w14:paraId="27532397" w14:textId="77777777" w:rsidR="008E27FE" w:rsidRPr="008E27FE" w:rsidRDefault="008E27FE" w:rsidP="006A2F4B">
      <w:pPr>
        <w:spacing w:line="360" w:lineRule="auto"/>
        <w:jc w:val="both"/>
        <w:rPr>
          <w:rStyle w:val="Hyperlink"/>
          <w:rFonts w:ascii="Times New Roman" w:eastAsia="Times New Roman" w:hAnsi="Times New Roman"/>
          <w:color w:val="000000" w:themeColor="text1"/>
          <w:sz w:val="20"/>
          <w:szCs w:val="20"/>
          <w:u w:val="none"/>
          <w:lang w:eastAsia="en-GB"/>
        </w:rPr>
      </w:pPr>
      <w:r w:rsidRPr="008E27FE">
        <w:rPr>
          <w:rFonts w:ascii="Times New Roman" w:hAnsi="Times New Roman"/>
          <w:color w:val="000000" w:themeColor="text1"/>
          <w:sz w:val="20"/>
          <w:szCs w:val="20"/>
        </w:rPr>
        <w:t xml:space="preserve">H. V. McLachlan, </w:t>
      </w:r>
      <w:r w:rsidRPr="008E27FE">
        <w:rPr>
          <w:rFonts w:ascii="Times New Roman" w:hAnsi="Times New Roman"/>
          <w:i/>
          <w:color w:val="000000" w:themeColor="text1"/>
          <w:sz w:val="20"/>
          <w:szCs w:val="20"/>
        </w:rPr>
        <w:t>‘The Ethics of Killing and Letting Die: Active and Passive Euthanasia’</w:t>
      </w:r>
      <w:r w:rsidRPr="008E27FE">
        <w:rPr>
          <w:rFonts w:ascii="Times New Roman" w:hAnsi="Times New Roman"/>
          <w:color w:val="000000" w:themeColor="text1"/>
          <w:sz w:val="20"/>
          <w:szCs w:val="20"/>
        </w:rPr>
        <w:t xml:space="preserve"> (</w:t>
      </w:r>
      <w:r w:rsidRPr="008E27FE">
        <w:rPr>
          <w:rFonts w:ascii="Times New Roman" w:eastAsia="Times New Roman" w:hAnsi="Times New Roman"/>
          <w:color w:val="000000" w:themeColor="text1"/>
          <w:sz w:val="20"/>
          <w:szCs w:val="20"/>
          <w:lang w:eastAsia="en-GB"/>
        </w:rPr>
        <w:t xml:space="preserve">Centre for Ethics in Public Policy and Corporate Governance, School of Law and Social Sciences, Glasgow Caledonian University, Glasgow, UK) </w:t>
      </w:r>
      <w:hyperlink r:id="rId11" w:history="1">
        <w:r w:rsidRPr="008E27FE">
          <w:rPr>
            <w:rStyle w:val="Hyperlink"/>
            <w:rFonts w:ascii="Times New Roman" w:eastAsia="Times New Roman" w:hAnsi="Times New Roman"/>
            <w:sz w:val="20"/>
            <w:szCs w:val="20"/>
            <w:lang w:eastAsia="en-GB"/>
          </w:rPr>
          <w:t>http://jme.bmj.com/content/34/8/636</w:t>
        </w:r>
      </w:hyperlink>
    </w:p>
    <w:p w14:paraId="3B892841" w14:textId="77777777" w:rsidR="008E27FE" w:rsidRPr="008E27FE" w:rsidRDefault="008E27FE" w:rsidP="006A2F4B">
      <w:pPr>
        <w:spacing w:line="360" w:lineRule="auto"/>
        <w:jc w:val="both"/>
        <w:rPr>
          <w:rStyle w:val="Hyperlink"/>
          <w:rFonts w:ascii="Times New Roman" w:hAnsi="Times New Roman"/>
          <w:sz w:val="20"/>
          <w:szCs w:val="20"/>
        </w:rPr>
      </w:pPr>
      <w:r w:rsidRPr="008E27FE">
        <w:rPr>
          <w:rFonts w:ascii="Times New Roman" w:hAnsi="Times New Roman"/>
          <w:sz w:val="20"/>
          <w:szCs w:val="20"/>
        </w:rPr>
        <w:t xml:space="preserve">Jenkins. Scotty, </w:t>
      </w:r>
      <w:r w:rsidRPr="008E27FE">
        <w:rPr>
          <w:rFonts w:ascii="Times New Roman" w:hAnsi="Times New Roman"/>
          <w:i/>
          <w:sz w:val="20"/>
          <w:szCs w:val="20"/>
        </w:rPr>
        <w:t>‘The Needle and the Plug: Is there a Difference Between Killing and Letting Die’</w:t>
      </w:r>
      <w:r w:rsidRPr="008E27FE">
        <w:rPr>
          <w:rFonts w:ascii="Times New Roman" w:hAnsi="Times New Roman"/>
          <w:sz w:val="20"/>
          <w:szCs w:val="20"/>
        </w:rPr>
        <w:t xml:space="preserve"> (September 30</w:t>
      </w:r>
      <w:r w:rsidRPr="008E27FE">
        <w:rPr>
          <w:rFonts w:ascii="Times New Roman" w:hAnsi="Times New Roman"/>
          <w:sz w:val="20"/>
          <w:szCs w:val="20"/>
          <w:vertAlign w:val="superscript"/>
        </w:rPr>
        <w:t>th</w:t>
      </w:r>
      <w:r w:rsidRPr="008E27FE">
        <w:rPr>
          <w:rFonts w:ascii="Times New Roman" w:hAnsi="Times New Roman"/>
          <w:sz w:val="20"/>
          <w:szCs w:val="20"/>
        </w:rPr>
        <w:t xml:space="preserve"> 2017) </w:t>
      </w:r>
      <w:hyperlink r:id="rId12" w:history="1">
        <w:r w:rsidRPr="008E27FE">
          <w:rPr>
            <w:rStyle w:val="Hyperlink"/>
            <w:rFonts w:ascii="Times New Roman" w:hAnsi="Times New Roman"/>
            <w:sz w:val="20"/>
            <w:szCs w:val="20"/>
          </w:rPr>
          <w:t>https://theought.com/2017/09/30/the-needle-and-the-plug-is-there-a-difference-between-killing-and-letting-die/</w:t>
        </w:r>
      </w:hyperlink>
    </w:p>
    <w:p w14:paraId="17DA1BA2" w14:textId="77777777" w:rsidR="008E27FE" w:rsidRPr="008E27FE" w:rsidRDefault="008E27FE" w:rsidP="008E27FE">
      <w:pPr>
        <w:spacing w:line="360" w:lineRule="auto"/>
        <w:rPr>
          <w:rFonts w:ascii="Times New Roman" w:hAnsi="Times New Roman"/>
          <w:sz w:val="20"/>
          <w:szCs w:val="20"/>
        </w:rPr>
      </w:pPr>
      <w:r w:rsidRPr="008E27FE">
        <w:rPr>
          <w:rFonts w:ascii="Times New Roman" w:hAnsi="Times New Roman"/>
          <w:sz w:val="20"/>
          <w:szCs w:val="20"/>
        </w:rPr>
        <w:t>Lacewing. Michael, ‘Kant’s Categorical Imperative and euthanasia’ Unknown publisher and date</w:t>
      </w:r>
      <w:hyperlink r:id="rId13" w:history="1">
        <w:r w:rsidRPr="008E27FE">
          <w:rPr>
            <w:rStyle w:val="Hyperlink"/>
            <w:rFonts w:ascii="Times New Roman" w:hAnsi="Times New Roman"/>
            <w:sz w:val="20"/>
            <w:szCs w:val="20"/>
          </w:rPr>
          <w:t>http://www.alevelphilosophy.co.uk/handouts_ethics/KantEuthanasia.pdf</w:t>
        </w:r>
      </w:hyperlink>
    </w:p>
    <w:p w14:paraId="2562DD69" w14:textId="77777777" w:rsidR="008E27FE" w:rsidRPr="008E27FE" w:rsidRDefault="008E27FE" w:rsidP="006A2F4B">
      <w:pPr>
        <w:spacing w:line="360" w:lineRule="auto"/>
        <w:jc w:val="both"/>
        <w:rPr>
          <w:rFonts w:ascii="Times New Roman" w:hAnsi="Times New Roman"/>
          <w:sz w:val="20"/>
          <w:szCs w:val="20"/>
        </w:rPr>
      </w:pPr>
      <w:r w:rsidRPr="008E27FE">
        <w:rPr>
          <w:rFonts w:ascii="Times New Roman" w:hAnsi="Times New Roman"/>
          <w:sz w:val="20"/>
          <w:szCs w:val="20"/>
        </w:rPr>
        <w:t xml:space="preserve">MD. Gorman. Daniel </w:t>
      </w:r>
      <w:r w:rsidRPr="008E27FE">
        <w:rPr>
          <w:rFonts w:ascii="Times New Roman" w:hAnsi="Times New Roman"/>
          <w:i/>
          <w:sz w:val="20"/>
          <w:szCs w:val="20"/>
        </w:rPr>
        <w:t xml:space="preserve">‘Active and passive euthanasia: the cases of </w:t>
      </w:r>
      <w:proofErr w:type="spellStart"/>
      <w:r w:rsidRPr="008E27FE">
        <w:rPr>
          <w:rFonts w:ascii="Times New Roman" w:hAnsi="Times New Roman"/>
          <w:i/>
          <w:sz w:val="20"/>
          <w:szCs w:val="20"/>
        </w:rPr>
        <w:t>Drs.</w:t>
      </w:r>
      <w:proofErr w:type="spellEnd"/>
      <w:r w:rsidRPr="008E27FE">
        <w:rPr>
          <w:rFonts w:ascii="Times New Roman" w:hAnsi="Times New Roman"/>
          <w:i/>
          <w:sz w:val="20"/>
          <w:szCs w:val="20"/>
        </w:rPr>
        <w:t xml:space="preserve"> Claudio Alberto de la Rocha and Nancy Morrinson’</w:t>
      </w:r>
      <w:r w:rsidRPr="008E27FE">
        <w:rPr>
          <w:rFonts w:ascii="Times New Roman" w:hAnsi="Times New Roman"/>
          <w:sz w:val="20"/>
          <w:szCs w:val="20"/>
        </w:rPr>
        <w:t xml:space="preserve"> (New York Hospital – Cornell Medical Centre, New York City, 1998)</w:t>
      </w:r>
    </w:p>
    <w:p w14:paraId="45673117" w14:textId="77777777" w:rsidR="008E27FE" w:rsidRPr="008E27FE" w:rsidRDefault="008E27FE" w:rsidP="006A2F4B">
      <w:pPr>
        <w:spacing w:line="360" w:lineRule="auto"/>
        <w:jc w:val="both"/>
        <w:rPr>
          <w:rFonts w:ascii="Times New Roman" w:hAnsi="Times New Roman"/>
          <w:sz w:val="20"/>
          <w:szCs w:val="20"/>
          <w:shd w:val="clear" w:color="auto" w:fill="FFFFFF"/>
        </w:rPr>
      </w:pPr>
      <w:r w:rsidRPr="008E27FE">
        <w:rPr>
          <w:rFonts w:ascii="Times New Roman" w:hAnsi="Times New Roman"/>
          <w:sz w:val="20"/>
          <w:szCs w:val="20"/>
          <w:shd w:val="clear" w:color="auto" w:fill="FFFFFF"/>
        </w:rPr>
        <w:t xml:space="preserve">Peter Singer, “Rich and Poor,” from Geirsson &amp; Holmgren, Ethical Theory (Broadview, 2000) </w:t>
      </w:r>
    </w:p>
    <w:p w14:paraId="6A6A7E86" w14:textId="22D32470" w:rsidR="008E27FE" w:rsidRDefault="008E27FE" w:rsidP="009746E8">
      <w:pPr>
        <w:pStyle w:val="FootnoteText"/>
        <w:rPr>
          <w:rFonts w:ascii="Times New Roman" w:hAnsi="Times New Roman"/>
        </w:rPr>
      </w:pPr>
      <w:r w:rsidRPr="008E27FE">
        <w:rPr>
          <w:rFonts w:ascii="Times New Roman" w:hAnsi="Times New Roman"/>
        </w:rPr>
        <w:t>Rachels. James, ‘</w:t>
      </w:r>
      <w:r w:rsidRPr="008E27FE">
        <w:rPr>
          <w:rFonts w:ascii="Times New Roman" w:hAnsi="Times New Roman"/>
          <w:i/>
        </w:rPr>
        <w:t xml:space="preserve">Active Euthanasia’ </w:t>
      </w:r>
      <w:r w:rsidRPr="008E27FE">
        <w:rPr>
          <w:rFonts w:ascii="Times New Roman" w:hAnsi="Times New Roman"/>
        </w:rPr>
        <w:t>(Published by, The New England Journal of Medicine, Vol. 292, January 9</w:t>
      </w:r>
      <w:r w:rsidRPr="008E27FE">
        <w:rPr>
          <w:rFonts w:ascii="Times New Roman" w:hAnsi="Times New Roman"/>
          <w:vertAlign w:val="superscript"/>
        </w:rPr>
        <w:t>th</w:t>
      </w:r>
      <w:r w:rsidRPr="008E27FE">
        <w:rPr>
          <w:rFonts w:ascii="Times New Roman" w:hAnsi="Times New Roman"/>
        </w:rPr>
        <w:t xml:space="preserve">, 1975, pp. 78-80.) </w:t>
      </w:r>
      <w:hyperlink r:id="rId14" w:history="1">
        <w:r w:rsidRPr="008E27FE">
          <w:rPr>
            <w:rStyle w:val="Hyperlink"/>
            <w:rFonts w:ascii="Times New Roman" w:hAnsi="Times New Roman"/>
          </w:rPr>
          <w:t>https://sites.ualberta.ca/~bleier/Rachels_Euthanasia.pdf</w:t>
        </w:r>
      </w:hyperlink>
      <w:r w:rsidRPr="008E27FE">
        <w:rPr>
          <w:rFonts w:ascii="Times New Roman" w:hAnsi="Times New Roman"/>
        </w:rPr>
        <w:t xml:space="preserve"> </w:t>
      </w:r>
    </w:p>
    <w:p w14:paraId="19299171" w14:textId="77777777" w:rsidR="008E27FE" w:rsidRPr="008E27FE" w:rsidRDefault="008E27FE" w:rsidP="009746E8">
      <w:pPr>
        <w:pStyle w:val="FootnoteText"/>
        <w:rPr>
          <w:rFonts w:ascii="Times New Roman" w:hAnsi="Times New Roman"/>
        </w:rPr>
      </w:pPr>
    </w:p>
    <w:p w14:paraId="1284C096" w14:textId="6ABD4ABB" w:rsidR="008E27FE" w:rsidRDefault="008E27FE" w:rsidP="009746E8">
      <w:pPr>
        <w:pStyle w:val="Heading1"/>
        <w:spacing w:before="0"/>
        <w:rPr>
          <w:rFonts w:ascii="Times New Roman" w:hAnsi="Times New Roman" w:cs="Times New Roman"/>
          <w:color w:val="auto"/>
          <w:sz w:val="20"/>
          <w:szCs w:val="20"/>
        </w:rPr>
      </w:pPr>
      <w:r w:rsidRPr="008E27FE">
        <w:rPr>
          <w:rFonts w:ascii="Times New Roman" w:hAnsi="Times New Roman" w:cs="Times New Roman"/>
          <w:color w:val="auto"/>
          <w:sz w:val="20"/>
          <w:szCs w:val="20"/>
        </w:rPr>
        <w:t xml:space="preserve">Rachels. James, “Active and Passive Euthanasia” (Oxford Readings in Philosophy “Applied Ethics” Edited by Peter Singer. Oxford University Press, 1986) </w:t>
      </w:r>
    </w:p>
    <w:p w14:paraId="7AE8C7FD" w14:textId="77777777" w:rsidR="008E27FE" w:rsidRPr="008E27FE" w:rsidRDefault="008E27FE" w:rsidP="008E27FE"/>
    <w:p w14:paraId="09DCEF2C" w14:textId="4F4D2FDE" w:rsidR="008E27FE" w:rsidRDefault="008E27FE" w:rsidP="009746E8">
      <w:pPr>
        <w:pStyle w:val="FootnoteText"/>
        <w:rPr>
          <w:rFonts w:ascii="Times New Roman" w:hAnsi="Times New Roman"/>
        </w:rPr>
      </w:pPr>
      <w:r w:rsidRPr="008E27FE">
        <w:rPr>
          <w:rFonts w:ascii="Times New Roman" w:hAnsi="Times New Roman"/>
        </w:rPr>
        <w:t xml:space="preserve">Singer. Peter </w:t>
      </w:r>
      <w:r w:rsidRPr="008E27FE">
        <w:rPr>
          <w:rFonts w:ascii="Times New Roman" w:hAnsi="Times New Roman"/>
          <w:i/>
        </w:rPr>
        <w:t xml:space="preserve">‘Practical Ethics’ </w:t>
      </w:r>
      <w:r w:rsidRPr="008E27FE">
        <w:rPr>
          <w:rFonts w:ascii="Times New Roman" w:hAnsi="Times New Roman"/>
        </w:rPr>
        <w:t xml:space="preserve">Second Edition, (Published by: Cambridge University Press, 1997) </w:t>
      </w:r>
    </w:p>
    <w:p w14:paraId="5F323455" w14:textId="77777777" w:rsidR="008E27FE" w:rsidRPr="008E27FE" w:rsidRDefault="008E27FE" w:rsidP="009746E8">
      <w:pPr>
        <w:pStyle w:val="FootnoteText"/>
        <w:rPr>
          <w:rFonts w:ascii="Times New Roman" w:hAnsi="Times New Roman"/>
        </w:rPr>
      </w:pPr>
    </w:p>
    <w:p w14:paraId="06C091F0" w14:textId="576140D6" w:rsidR="006E401A" w:rsidRDefault="006E401A" w:rsidP="009746E8">
      <w:pPr>
        <w:pStyle w:val="NoSpacing"/>
        <w:rPr>
          <w:rFonts w:ascii="Times New Roman" w:hAnsi="Times New Roman"/>
          <w:sz w:val="20"/>
          <w:szCs w:val="20"/>
        </w:rPr>
      </w:pPr>
      <w:r>
        <w:rPr>
          <w:rFonts w:ascii="Times New Roman" w:hAnsi="Times New Roman"/>
          <w:sz w:val="20"/>
          <w:szCs w:val="20"/>
        </w:rPr>
        <w:lastRenderedPageBreak/>
        <w:t xml:space="preserve">Standford Encyclopaedia of Philosophy </w:t>
      </w:r>
      <w:r w:rsidRPr="006E401A">
        <w:rPr>
          <w:rFonts w:ascii="Times New Roman" w:hAnsi="Times New Roman"/>
          <w:i/>
          <w:sz w:val="20"/>
          <w:szCs w:val="20"/>
        </w:rPr>
        <w:t>‘Doing vs. Allowing Harm’</w:t>
      </w:r>
      <w:r>
        <w:rPr>
          <w:rFonts w:ascii="Times New Roman" w:hAnsi="Times New Roman"/>
          <w:i/>
          <w:sz w:val="20"/>
          <w:szCs w:val="20"/>
        </w:rPr>
        <w:t xml:space="preserve"> </w:t>
      </w:r>
      <w:r>
        <w:rPr>
          <w:rFonts w:ascii="Times New Roman" w:hAnsi="Times New Roman"/>
          <w:sz w:val="20"/>
          <w:szCs w:val="20"/>
        </w:rPr>
        <w:t>(</w:t>
      </w:r>
      <w:r w:rsidRPr="006E401A">
        <w:rPr>
          <w:rStyle w:val="Emphasis"/>
          <w:rFonts w:ascii="Times New Roman" w:hAnsi="Times New Roman"/>
          <w:i w:val="0"/>
          <w:color w:val="1A1A1A"/>
          <w:sz w:val="20"/>
          <w:szCs w:val="20"/>
          <w:shd w:val="clear" w:color="auto" w:fill="FFFFFF"/>
        </w:rPr>
        <w:t>First published Tue May 14, 2002; substantive revision Tue Nov 1, 2016</w:t>
      </w:r>
      <w:r>
        <w:rPr>
          <w:rStyle w:val="Emphasis"/>
          <w:rFonts w:ascii="Times New Roman" w:hAnsi="Times New Roman"/>
          <w:i w:val="0"/>
          <w:color w:val="1A1A1A"/>
          <w:sz w:val="20"/>
          <w:szCs w:val="20"/>
          <w:shd w:val="clear" w:color="auto" w:fill="FFFFFF"/>
        </w:rPr>
        <w:t xml:space="preserve">) </w:t>
      </w:r>
      <w:hyperlink r:id="rId15" w:history="1">
        <w:r w:rsidRPr="00BF7229">
          <w:rPr>
            <w:rStyle w:val="Hyperlink"/>
            <w:rFonts w:ascii="Times New Roman" w:hAnsi="Times New Roman"/>
            <w:sz w:val="20"/>
            <w:szCs w:val="20"/>
          </w:rPr>
          <w:t>https://plato.stanford.edu/entries/doing-allowing/</w:t>
        </w:r>
      </w:hyperlink>
      <w:r>
        <w:rPr>
          <w:rFonts w:ascii="Times New Roman" w:hAnsi="Times New Roman"/>
          <w:sz w:val="20"/>
          <w:szCs w:val="20"/>
        </w:rPr>
        <w:t xml:space="preserve"> </w:t>
      </w:r>
    </w:p>
    <w:p w14:paraId="49012A62" w14:textId="77777777" w:rsidR="006E401A" w:rsidRPr="006E401A" w:rsidRDefault="006E401A" w:rsidP="009746E8">
      <w:pPr>
        <w:pStyle w:val="NoSpacing"/>
        <w:rPr>
          <w:rFonts w:ascii="Times New Roman" w:hAnsi="Times New Roman"/>
          <w:sz w:val="20"/>
          <w:szCs w:val="20"/>
        </w:rPr>
      </w:pPr>
    </w:p>
    <w:p w14:paraId="7BD012B1" w14:textId="35AF887A" w:rsidR="008E27FE" w:rsidRPr="008E27FE" w:rsidRDefault="008E27FE" w:rsidP="009746E8">
      <w:pPr>
        <w:pStyle w:val="NoSpacing"/>
        <w:rPr>
          <w:rFonts w:ascii="Times New Roman" w:hAnsi="Times New Roman"/>
          <w:sz w:val="20"/>
          <w:szCs w:val="20"/>
        </w:rPr>
      </w:pPr>
      <w:r w:rsidRPr="008E27FE">
        <w:rPr>
          <w:rFonts w:ascii="Times New Roman" w:hAnsi="Times New Roman"/>
          <w:sz w:val="20"/>
          <w:szCs w:val="20"/>
        </w:rPr>
        <w:t xml:space="preserve">Unknown Author, </w:t>
      </w:r>
      <w:r w:rsidRPr="008E27FE">
        <w:rPr>
          <w:rFonts w:ascii="Times New Roman" w:hAnsi="Times New Roman"/>
          <w:i/>
          <w:sz w:val="20"/>
          <w:szCs w:val="20"/>
        </w:rPr>
        <w:t xml:space="preserve">‘Ethics Guide – Active and Passive Euthanasia’ </w:t>
      </w:r>
      <w:r w:rsidRPr="008E27FE">
        <w:rPr>
          <w:rFonts w:ascii="Times New Roman" w:hAnsi="Times New Roman"/>
          <w:sz w:val="20"/>
          <w:szCs w:val="20"/>
        </w:rPr>
        <w:t xml:space="preserve">(Published by: BBC, 2014) </w:t>
      </w:r>
    </w:p>
    <w:p w14:paraId="786A1AD7" w14:textId="77777777" w:rsidR="008E27FE" w:rsidRPr="008E27FE" w:rsidRDefault="0043522C" w:rsidP="009746E8">
      <w:pPr>
        <w:pStyle w:val="NoSpacing"/>
        <w:rPr>
          <w:rFonts w:ascii="Times New Roman" w:hAnsi="Times New Roman"/>
          <w:sz w:val="20"/>
          <w:szCs w:val="20"/>
        </w:rPr>
      </w:pPr>
      <w:hyperlink r:id="rId16" w:history="1">
        <w:r w:rsidR="008E27FE" w:rsidRPr="008E27FE">
          <w:rPr>
            <w:rStyle w:val="Hyperlink"/>
            <w:rFonts w:ascii="Times New Roman" w:hAnsi="Times New Roman"/>
            <w:sz w:val="20"/>
            <w:szCs w:val="20"/>
          </w:rPr>
          <w:t>www.bbc.co.uk/ethics/euthanasia/overview/activepassive_1.shtml</w:t>
        </w:r>
      </w:hyperlink>
      <w:r w:rsidR="008E27FE" w:rsidRPr="008E27FE">
        <w:rPr>
          <w:rFonts w:ascii="Times New Roman" w:hAnsi="Times New Roman"/>
          <w:sz w:val="20"/>
          <w:szCs w:val="20"/>
        </w:rPr>
        <w:t xml:space="preserve"> </w:t>
      </w:r>
    </w:p>
    <w:p w14:paraId="696E55E8" w14:textId="77777777" w:rsidR="008E27FE" w:rsidRPr="008E27FE" w:rsidRDefault="008E27FE" w:rsidP="006A2F4B">
      <w:pPr>
        <w:spacing w:line="360" w:lineRule="auto"/>
        <w:jc w:val="both"/>
        <w:rPr>
          <w:rFonts w:ascii="Times New Roman" w:hAnsi="Times New Roman"/>
          <w:sz w:val="18"/>
          <w:szCs w:val="18"/>
        </w:rPr>
      </w:pPr>
    </w:p>
    <w:sectPr w:rsidR="008E27FE" w:rsidRPr="008E27FE">
      <w:footerReference w:type="default" r:id="rId1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3B5F0" w14:textId="77777777" w:rsidR="0043522C" w:rsidRDefault="0043522C">
      <w:pPr>
        <w:spacing w:after="0"/>
      </w:pPr>
      <w:r>
        <w:separator/>
      </w:r>
    </w:p>
  </w:endnote>
  <w:endnote w:type="continuationSeparator" w:id="0">
    <w:p w14:paraId="550A2007" w14:textId="77777777" w:rsidR="0043522C" w:rsidRDefault="0043522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9CC91" w14:textId="77777777" w:rsidR="00C50439" w:rsidRDefault="00C50439">
    <w:pPr>
      <w:pStyle w:val="Footer"/>
      <w:jc w:val="center"/>
    </w:pPr>
    <w:r>
      <w:fldChar w:fldCharType="begin"/>
    </w:r>
    <w:r>
      <w:instrText xml:space="preserve"> PAGE </w:instrText>
    </w:r>
    <w:r>
      <w:fldChar w:fldCharType="separate"/>
    </w:r>
    <w:r w:rsidR="00597394">
      <w:rPr>
        <w:noProof/>
      </w:rPr>
      <w:t>3</w:t>
    </w:r>
    <w:r>
      <w:fldChar w:fldCharType="end"/>
    </w:r>
  </w:p>
  <w:p w14:paraId="5BB9CEB6" w14:textId="77777777" w:rsidR="00C50439" w:rsidRDefault="00C50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86CD6" w14:textId="77777777" w:rsidR="0043522C" w:rsidRDefault="0043522C">
      <w:pPr>
        <w:spacing w:after="0"/>
      </w:pPr>
      <w:r>
        <w:rPr>
          <w:color w:val="000000"/>
        </w:rPr>
        <w:separator/>
      </w:r>
    </w:p>
  </w:footnote>
  <w:footnote w:type="continuationSeparator" w:id="0">
    <w:p w14:paraId="7503ABF5" w14:textId="77777777" w:rsidR="0043522C" w:rsidRDefault="0043522C">
      <w:pPr>
        <w:spacing w:after="0"/>
      </w:pPr>
      <w:r>
        <w:continuationSeparator/>
      </w:r>
    </w:p>
  </w:footnote>
  <w:footnote w:id="1">
    <w:p w14:paraId="203F2496" w14:textId="557590D1" w:rsidR="000B1169" w:rsidRPr="0026179E" w:rsidRDefault="000B116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proofErr w:type="spellStart"/>
      <w:r w:rsidRPr="0026179E">
        <w:rPr>
          <w:rFonts w:ascii="Times New Roman" w:hAnsi="Times New Roman"/>
          <w:sz w:val="18"/>
          <w:szCs w:val="18"/>
        </w:rPr>
        <w:t>E.Garrard</w:t>
      </w:r>
      <w:proofErr w:type="spellEnd"/>
      <w:r w:rsidRPr="0026179E">
        <w:rPr>
          <w:rFonts w:ascii="Times New Roman" w:hAnsi="Times New Roman"/>
          <w:sz w:val="18"/>
          <w:szCs w:val="18"/>
        </w:rPr>
        <w:t xml:space="preserve">, S Wilkison, </w:t>
      </w:r>
      <w:r w:rsidRPr="0026179E">
        <w:rPr>
          <w:rFonts w:ascii="Times New Roman" w:hAnsi="Times New Roman"/>
          <w:i/>
          <w:sz w:val="18"/>
          <w:szCs w:val="18"/>
        </w:rPr>
        <w:t>‘Passive Euthanasia’</w:t>
      </w:r>
      <w:r w:rsidRPr="0026179E">
        <w:rPr>
          <w:rFonts w:ascii="Times New Roman" w:hAnsi="Times New Roman"/>
          <w:sz w:val="18"/>
          <w:szCs w:val="18"/>
        </w:rPr>
        <w:t xml:space="preserve"> (Published by: </w:t>
      </w:r>
      <w:r w:rsidRPr="0026179E">
        <w:rPr>
          <w:rFonts w:ascii="Times New Roman" w:hAnsi="Times New Roman"/>
          <w:color w:val="0070C0"/>
          <w:sz w:val="18"/>
          <w:szCs w:val="18"/>
          <w:u w:val="single"/>
        </w:rPr>
        <w:t xml:space="preserve">group.bjm.com </w:t>
      </w:r>
      <w:r w:rsidRPr="0026179E">
        <w:rPr>
          <w:rFonts w:ascii="Times New Roman" w:hAnsi="Times New Roman"/>
          <w:sz w:val="18"/>
          <w:szCs w:val="18"/>
        </w:rPr>
        <w:t xml:space="preserve">Clinical Ethics </w:t>
      </w:r>
      <w:proofErr w:type="spellStart"/>
      <w:r w:rsidRPr="0026179E">
        <w:rPr>
          <w:rFonts w:ascii="Times New Roman" w:hAnsi="Times New Roman"/>
          <w:sz w:val="18"/>
          <w:szCs w:val="18"/>
        </w:rPr>
        <w:t>Keele</w:t>
      </w:r>
      <w:proofErr w:type="spellEnd"/>
      <w:r w:rsidRPr="0026179E">
        <w:rPr>
          <w:rFonts w:ascii="Times New Roman" w:hAnsi="Times New Roman"/>
          <w:sz w:val="18"/>
          <w:szCs w:val="18"/>
        </w:rPr>
        <w:t xml:space="preserve"> University, 5</w:t>
      </w:r>
      <w:r w:rsidRPr="0026179E">
        <w:rPr>
          <w:rFonts w:ascii="Times New Roman" w:hAnsi="Times New Roman"/>
          <w:sz w:val="18"/>
          <w:szCs w:val="18"/>
          <w:vertAlign w:val="superscript"/>
        </w:rPr>
        <w:t>th</w:t>
      </w:r>
      <w:r w:rsidRPr="0026179E">
        <w:rPr>
          <w:rFonts w:ascii="Times New Roman" w:hAnsi="Times New Roman"/>
          <w:sz w:val="18"/>
          <w:szCs w:val="18"/>
        </w:rPr>
        <w:t xml:space="preserve"> February 2004) </w:t>
      </w:r>
      <w:hyperlink r:id="rId1" w:history="1">
        <w:r w:rsidRPr="0026179E">
          <w:rPr>
            <w:rStyle w:val="Hyperlink"/>
            <w:rFonts w:ascii="Times New Roman" w:hAnsi="Times New Roman"/>
            <w:sz w:val="18"/>
            <w:szCs w:val="18"/>
          </w:rPr>
          <w:t>http://jme.bmj.com/content/medethics/31/2/64.full.pdf</w:t>
        </w:r>
      </w:hyperlink>
      <w:r w:rsidRPr="0026179E">
        <w:rPr>
          <w:rFonts w:ascii="Times New Roman" w:hAnsi="Times New Roman"/>
          <w:sz w:val="18"/>
          <w:szCs w:val="18"/>
        </w:rPr>
        <w:t xml:space="preserve"> [Accessed:20/03/2018] Pg.64</w:t>
      </w:r>
    </w:p>
  </w:footnote>
  <w:footnote w:id="2">
    <w:p w14:paraId="0CADC12D" w14:textId="49F33A4D" w:rsidR="00880DD0" w:rsidRPr="0026179E" w:rsidRDefault="00880DD0">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Campbell. Robert and Collinson Diane, ‘Ending Lives’ (Published by Billings &amp; Sons Ltd, Great Britain, 1998)</w:t>
      </w:r>
    </w:p>
  </w:footnote>
  <w:footnote w:id="3">
    <w:p w14:paraId="5E976FF7" w14:textId="296E6970" w:rsidR="000B1169" w:rsidRPr="0026179E" w:rsidRDefault="000B116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Jenkins. Scotty, ‘The Needle and the Plug</w:t>
      </w:r>
      <w:r w:rsidR="009472D4" w:rsidRPr="0026179E">
        <w:rPr>
          <w:rFonts w:ascii="Times New Roman" w:hAnsi="Times New Roman"/>
          <w:sz w:val="18"/>
          <w:szCs w:val="18"/>
        </w:rPr>
        <w:t>: Is there a Difference Between Killing and Letting Die’ (September 30</w:t>
      </w:r>
      <w:r w:rsidR="009472D4" w:rsidRPr="0026179E">
        <w:rPr>
          <w:rFonts w:ascii="Times New Roman" w:hAnsi="Times New Roman"/>
          <w:sz w:val="18"/>
          <w:szCs w:val="18"/>
          <w:vertAlign w:val="superscript"/>
        </w:rPr>
        <w:t>th</w:t>
      </w:r>
      <w:r w:rsidR="009472D4" w:rsidRPr="0026179E">
        <w:rPr>
          <w:rFonts w:ascii="Times New Roman" w:hAnsi="Times New Roman"/>
          <w:sz w:val="18"/>
          <w:szCs w:val="18"/>
        </w:rPr>
        <w:t xml:space="preserve"> 2017)</w:t>
      </w:r>
      <w:r w:rsidRPr="0026179E">
        <w:rPr>
          <w:rFonts w:ascii="Times New Roman" w:hAnsi="Times New Roman"/>
          <w:sz w:val="18"/>
          <w:szCs w:val="18"/>
        </w:rPr>
        <w:t xml:space="preserve"> </w:t>
      </w:r>
      <w:hyperlink r:id="rId2" w:history="1">
        <w:r w:rsidR="009472D4" w:rsidRPr="0026179E">
          <w:rPr>
            <w:rStyle w:val="Hyperlink"/>
            <w:rFonts w:ascii="Times New Roman" w:hAnsi="Times New Roman"/>
            <w:sz w:val="18"/>
            <w:szCs w:val="18"/>
          </w:rPr>
          <w:t>https://theought.com/2017/09/30/the-needle-and-the-plug-is-there-a-difference-between-killing-and-letting-die/</w:t>
        </w:r>
      </w:hyperlink>
      <w:r w:rsidR="009472D4" w:rsidRPr="0026179E">
        <w:rPr>
          <w:rFonts w:ascii="Times New Roman" w:hAnsi="Times New Roman"/>
          <w:sz w:val="18"/>
          <w:szCs w:val="18"/>
        </w:rPr>
        <w:t xml:space="preserve"> </w:t>
      </w:r>
      <w:r w:rsidR="000A0988" w:rsidRPr="0026179E">
        <w:rPr>
          <w:rFonts w:ascii="Times New Roman" w:hAnsi="Times New Roman"/>
          <w:sz w:val="18"/>
          <w:szCs w:val="18"/>
        </w:rPr>
        <w:t>[Accessed:20/03/2018]</w:t>
      </w:r>
    </w:p>
  </w:footnote>
  <w:footnote w:id="4">
    <w:p w14:paraId="10A30FE6" w14:textId="77777777"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proofErr w:type="spellStart"/>
      <w:r w:rsidRPr="0026179E">
        <w:rPr>
          <w:rFonts w:ascii="Times New Roman" w:hAnsi="Times New Roman"/>
          <w:sz w:val="18"/>
          <w:szCs w:val="18"/>
        </w:rPr>
        <w:t>E.Garrard</w:t>
      </w:r>
      <w:proofErr w:type="spellEnd"/>
      <w:r w:rsidRPr="0026179E">
        <w:rPr>
          <w:rFonts w:ascii="Times New Roman" w:hAnsi="Times New Roman"/>
          <w:sz w:val="18"/>
          <w:szCs w:val="18"/>
        </w:rPr>
        <w:t xml:space="preserve">, S Wilkison, </w:t>
      </w:r>
      <w:r w:rsidRPr="0026179E">
        <w:rPr>
          <w:rFonts w:ascii="Times New Roman" w:hAnsi="Times New Roman"/>
          <w:i/>
          <w:sz w:val="18"/>
          <w:szCs w:val="18"/>
        </w:rPr>
        <w:t>‘Passive Euthanasia’</w:t>
      </w:r>
      <w:r w:rsidRPr="0026179E">
        <w:rPr>
          <w:rFonts w:ascii="Times New Roman" w:hAnsi="Times New Roman"/>
          <w:sz w:val="18"/>
          <w:szCs w:val="18"/>
        </w:rPr>
        <w:t xml:space="preserve"> (Published by: </w:t>
      </w:r>
      <w:r w:rsidRPr="0026179E">
        <w:rPr>
          <w:rFonts w:ascii="Times New Roman" w:hAnsi="Times New Roman"/>
          <w:color w:val="0070C0"/>
          <w:sz w:val="18"/>
          <w:szCs w:val="18"/>
          <w:u w:val="single"/>
        </w:rPr>
        <w:t xml:space="preserve">group.bjm.com </w:t>
      </w:r>
      <w:r w:rsidRPr="0026179E">
        <w:rPr>
          <w:rFonts w:ascii="Times New Roman" w:hAnsi="Times New Roman"/>
          <w:sz w:val="18"/>
          <w:szCs w:val="18"/>
        </w:rPr>
        <w:t xml:space="preserve">Clinical Ethics </w:t>
      </w:r>
      <w:proofErr w:type="spellStart"/>
      <w:r w:rsidRPr="0026179E">
        <w:rPr>
          <w:rFonts w:ascii="Times New Roman" w:hAnsi="Times New Roman"/>
          <w:sz w:val="18"/>
          <w:szCs w:val="18"/>
        </w:rPr>
        <w:t>Keele</w:t>
      </w:r>
      <w:proofErr w:type="spellEnd"/>
      <w:r w:rsidRPr="0026179E">
        <w:rPr>
          <w:rFonts w:ascii="Times New Roman" w:hAnsi="Times New Roman"/>
          <w:sz w:val="18"/>
          <w:szCs w:val="18"/>
        </w:rPr>
        <w:t xml:space="preserve"> University, 5</w:t>
      </w:r>
      <w:r w:rsidRPr="0026179E">
        <w:rPr>
          <w:rFonts w:ascii="Times New Roman" w:hAnsi="Times New Roman"/>
          <w:sz w:val="18"/>
          <w:szCs w:val="18"/>
          <w:vertAlign w:val="superscript"/>
        </w:rPr>
        <w:t>th</w:t>
      </w:r>
      <w:r w:rsidRPr="0026179E">
        <w:rPr>
          <w:rFonts w:ascii="Times New Roman" w:hAnsi="Times New Roman"/>
          <w:sz w:val="18"/>
          <w:szCs w:val="18"/>
        </w:rPr>
        <w:t xml:space="preserve"> February 2004) </w:t>
      </w:r>
      <w:hyperlink r:id="rId3" w:history="1">
        <w:r w:rsidRPr="0026179E">
          <w:rPr>
            <w:rStyle w:val="Hyperlink"/>
            <w:rFonts w:ascii="Times New Roman" w:hAnsi="Times New Roman"/>
            <w:sz w:val="18"/>
            <w:szCs w:val="18"/>
          </w:rPr>
          <w:t>http://jme.bmj.com/content/medethics/31/2/64.full.pdf</w:t>
        </w:r>
      </w:hyperlink>
      <w:r w:rsidRPr="0026179E">
        <w:rPr>
          <w:rFonts w:ascii="Times New Roman" w:hAnsi="Times New Roman"/>
          <w:sz w:val="18"/>
          <w:szCs w:val="18"/>
        </w:rPr>
        <w:t xml:space="preserve"> [Accessed:20/03/2018] Pg.64</w:t>
      </w:r>
    </w:p>
  </w:footnote>
  <w:footnote w:id="5">
    <w:p w14:paraId="16D087C7" w14:textId="407A8A3C" w:rsidR="00B968AD" w:rsidRDefault="00B968AD">
      <w:pPr>
        <w:pStyle w:val="FootnoteText"/>
      </w:pPr>
      <w:r>
        <w:rPr>
          <w:rStyle w:val="FootnoteReference"/>
        </w:rPr>
        <w:footnoteRef/>
      </w:r>
      <w:r>
        <w:t xml:space="preserve"> Ibid.</w:t>
      </w:r>
    </w:p>
  </w:footnote>
  <w:footnote w:id="6">
    <w:p w14:paraId="75F35567" w14:textId="1F28DC33" w:rsidR="00CF3271" w:rsidRPr="0026179E" w:rsidRDefault="00CF3271">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w:t>
      </w:r>
    </w:p>
  </w:footnote>
  <w:footnote w:id="7">
    <w:p w14:paraId="55860B11" w14:textId="16323024" w:rsidR="004C21EB" w:rsidRDefault="004C21EB">
      <w:pPr>
        <w:pStyle w:val="FootnoteText"/>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w:t>
      </w:r>
    </w:p>
  </w:footnote>
  <w:footnote w:id="8">
    <w:p w14:paraId="66EC4B91" w14:textId="4D36D2E4" w:rsidR="006E023B" w:rsidRDefault="006E023B">
      <w:pPr>
        <w:pStyle w:val="FootnoteText"/>
      </w:pPr>
      <w:r>
        <w:rPr>
          <w:rStyle w:val="FootnoteReference"/>
        </w:rPr>
        <w:footnoteRef/>
      </w:r>
      <w:r>
        <w:t xml:space="preserve"> Ibid.</w:t>
      </w:r>
    </w:p>
  </w:footnote>
  <w:footnote w:id="9">
    <w:p w14:paraId="3C46CF09" w14:textId="79252128" w:rsidR="006E023B" w:rsidRDefault="006E023B">
      <w:pPr>
        <w:pStyle w:val="FootnoteText"/>
      </w:pPr>
      <w:r>
        <w:rPr>
          <w:rStyle w:val="FootnoteReference"/>
        </w:rPr>
        <w:footnoteRef/>
      </w:r>
      <w:r>
        <w:t xml:space="preserve"> Ibid.</w:t>
      </w:r>
    </w:p>
  </w:footnote>
  <w:footnote w:id="10">
    <w:p w14:paraId="22222F35" w14:textId="2CC2549A" w:rsidR="000A0988" w:rsidRPr="0026179E" w:rsidRDefault="000A0988">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1" w:name="_Hlk510023194"/>
      <w:r w:rsidRPr="0026179E">
        <w:rPr>
          <w:rFonts w:ascii="Times New Roman" w:hAnsi="Times New Roman"/>
          <w:sz w:val="18"/>
          <w:szCs w:val="18"/>
        </w:rPr>
        <w:t xml:space="preserve">Garrard, S Wilkison, </w:t>
      </w:r>
      <w:r w:rsidRPr="0026179E">
        <w:rPr>
          <w:rFonts w:ascii="Times New Roman" w:hAnsi="Times New Roman"/>
          <w:i/>
          <w:sz w:val="18"/>
          <w:szCs w:val="18"/>
        </w:rPr>
        <w:t>‘Passive Euthanasia’</w:t>
      </w:r>
      <w:r w:rsidRPr="0026179E">
        <w:rPr>
          <w:rFonts w:ascii="Times New Roman" w:hAnsi="Times New Roman"/>
          <w:sz w:val="18"/>
          <w:szCs w:val="18"/>
        </w:rPr>
        <w:t xml:space="preserve"> (Published by: </w:t>
      </w:r>
      <w:r w:rsidRPr="0026179E">
        <w:rPr>
          <w:rFonts w:ascii="Times New Roman" w:hAnsi="Times New Roman"/>
          <w:color w:val="0070C0"/>
          <w:sz w:val="18"/>
          <w:szCs w:val="18"/>
          <w:u w:val="single"/>
        </w:rPr>
        <w:t xml:space="preserve">group.bjm.com </w:t>
      </w:r>
      <w:r w:rsidRPr="0026179E">
        <w:rPr>
          <w:rFonts w:ascii="Times New Roman" w:hAnsi="Times New Roman"/>
          <w:sz w:val="18"/>
          <w:szCs w:val="18"/>
        </w:rPr>
        <w:t xml:space="preserve">Clinical Ethics </w:t>
      </w:r>
      <w:proofErr w:type="spellStart"/>
      <w:r w:rsidRPr="0026179E">
        <w:rPr>
          <w:rFonts w:ascii="Times New Roman" w:hAnsi="Times New Roman"/>
          <w:sz w:val="18"/>
          <w:szCs w:val="18"/>
        </w:rPr>
        <w:t>Keele</w:t>
      </w:r>
      <w:proofErr w:type="spellEnd"/>
      <w:r w:rsidRPr="0026179E">
        <w:rPr>
          <w:rFonts w:ascii="Times New Roman" w:hAnsi="Times New Roman"/>
          <w:sz w:val="18"/>
          <w:szCs w:val="18"/>
        </w:rPr>
        <w:t xml:space="preserve"> University, 5</w:t>
      </w:r>
      <w:r w:rsidRPr="0026179E">
        <w:rPr>
          <w:rFonts w:ascii="Times New Roman" w:hAnsi="Times New Roman"/>
          <w:sz w:val="18"/>
          <w:szCs w:val="18"/>
          <w:vertAlign w:val="superscript"/>
        </w:rPr>
        <w:t>th</w:t>
      </w:r>
      <w:r w:rsidRPr="0026179E">
        <w:rPr>
          <w:rFonts w:ascii="Times New Roman" w:hAnsi="Times New Roman"/>
          <w:sz w:val="18"/>
          <w:szCs w:val="18"/>
        </w:rPr>
        <w:t xml:space="preserve"> February 2004) </w:t>
      </w:r>
      <w:hyperlink r:id="rId4" w:history="1">
        <w:r w:rsidRPr="0026179E">
          <w:rPr>
            <w:rStyle w:val="Hyperlink"/>
            <w:rFonts w:ascii="Times New Roman" w:hAnsi="Times New Roman"/>
            <w:sz w:val="18"/>
            <w:szCs w:val="18"/>
          </w:rPr>
          <w:t>http://jme.bmj.com/content/medethics/31/2/64.full.pdf</w:t>
        </w:r>
      </w:hyperlink>
      <w:r w:rsidRPr="0026179E">
        <w:rPr>
          <w:rFonts w:ascii="Times New Roman" w:hAnsi="Times New Roman"/>
          <w:sz w:val="18"/>
          <w:szCs w:val="18"/>
        </w:rPr>
        <w:t xml:space="preserve"> </w:t>
      </w:r>
      <w:bookmarkEnd w:id="1"/>
      <w:r w:rsidRPr="0026179E">
        <w:rPr>
          <w:rFonts w:ascii="Times New Roman" w:hAnsi="Times New Roman"/>
          <w:sz w:val="18"/>
          <w:szCs w:val="18"/>
        </w:rPr>
        <w:t>[Accessed:20/03/2018] Pg.65</w:t>
      </w:r>
    </w:p>
  </w:footnote>
  <w:footnote w:id="11">
    <w:p w14:paraId="13DE8AA1" w14:textId="4E70FCAA" w:rsidR="000A0988" w:rsidRPr="0026179E" w:rsidRDefault="000A0988">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Glover. Jonathan, ‘Causing Death and Saving Lives’ (Published by: Penguin Group, London, 1977) Pg.42</w:t>
      </w:r>
    </w:p>
  </w:footnote>
  <w:footnote w:id="12">
    <w:p w14:paraId="67A8FA71" w14:textId="4ACA880C" w:rsidR="005C619B" w:rsidRPr="0026179E" w:rsidRDefault="005C619B">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2" w:name="_Hlk510009046"/>
      <w:r w:rsidRPr="0026179E">
        <w:rPr>
          <w:rFonts w:ascii="Times New Roman" w:hAnsi="Times New Roman"/>
          <w:sz w:val="18"/>
          <w:szCs w:val="18"/>
        </w:rPr>
        <w:t xml:space="preserve">Glover. Jonathan, ‘Causing Death and Saving Lives’ </w:t>
      </w:r>
      <w:r w:rsidR="00E82587" w:rsidRPr="0026179E">
        <w:rPr>
          <w:rFonts w:ascii="Times New Roman" w:hAnsi="Times New Roman"/>
          <w:sz w:val="18"/>
          <w:szCs w:val="18"/>
        </w:rPr>
        <w:t>(Published by: Penguin Group, London, 1977) Pg.42</w:t>
      </w:r>
    </w:p>
    <w:bookmarkEnd w:id="2"/>
  </w:footnote>
  <w:footnote w:id="13">
    <w:p w14:paraId="2CB3A74D" w14:textId="614C6075" w:rsidR="000A0988" w:rsidRPr="0026179E" w:rsidRDefault="000A0988">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Garrard, S Wilkison, </w:t>
      </w:r>
      <w:r w:rsidRPr="0026179E">
        <w:rPr>
          <w:rFonts w:ascii="Times New Roman" w:hAnsi="Times New Roman"/>
          <w:i/>
          <w:sz w:val="18"/>
          <w:szCs w:val="18"/>
        </w:rPr>
        <w:t>‘Passive Euthanasia’</w:t>
      </w:r>
      <w:r w:rsidRPr="0026179E">
        <w:rPr>
          <w:rFonts w:ascii="Times New Roman" w:hAnsi="Times New Roman"/>
          <w:sz w:val="18"/>
          <w:szCs w:val="18"/>
        </w:rPr>
        <w:t xml:space="preserve"> (Published by: </w:t>
      </w:r>
      <w:r w:rsidRPr="0026179E">
        <w:rPr>
          <w:rFonts w:ascii="Times New Roman" w:hAnsi="Times New Roman"/>
          <w:color w:val="0070C0"/>
          <w:sz w:val="18"/>
          <w:szCs w:val="18"/>
          <w:u w:val="single"/>
        </w:rPr>
        <w:t xml:space="preserve">group.bjm.com </w:t>
      </w:r>
      <w:r w:rsidRPr="0026179E">
        <w:rPr>
          <w:rFonts w:ascii="Times New Roman" w:hAnsi="Times New Roman"/>
          <w:sz w:val="18"/>
          <w:szCs w:val="18"/>
        </w:rPr>
        <w:t xml:space="preserve">Clinical Ethics </w:t>
      </w:r>
      <w:proofErr w:type="spellStart"/>
      <w:r w:rsidRPr="0026179E">
        <w:rPr>
          <w:rFonts w:ascii="Times New Roman" w:hAnsi="Times New Roman"/>
          <w:sz w:val="18"/>
          <w:szCs w:val="18"/>
        </w:rPr>
        <w:t>Keele</w:t>
      </w:r>
      <w:proofErr w:type="spellEnd"/>
      <w:r w:rsidRPr="0026179E">
        <w:rPr>
          <w:rFonts w:ascii="Times New Roman" w:hAnsi="Times New Roman"/>
          <w:sz w:val="18"/>
          <w:szCs w:val="18"/>
        </w:rPr>
        <w:t xml:space="preserve"> University, 5</w:t>
      </w:r>
      <w:r w:rsidRPr="0026179E">
        <w:rPr>
          <w:rFonts w:ascii="Times New Roman" w:hAnsi="Times New Roman"/>
          <w:sz w:val="18"/>
          <w:szCs w:val="18"/>
          <w:vertAlign w:val="superscript"/>
        </w:rPr>
        <w:t>th</w:t>
      </w:r>
      <w:r w:rsidRPr="0026179E">
        <w:rPr>
          <w:rFonts w:ascii="Times New Roman" w:hAnsi="Times New Roman"/>
          <w:sz w:val="18"/>
          <w:szCs w:val="18"/>
        </w:rPr>
        <w:t xml:space="preserve"> February 2004) </w:t>
      </w:r>
      <w:hyperlink r:id="rId5" w:history="1">
        <w:r w:rsidRPr="0026179E">
          <w:rPr>
            <w:rStyle w:val="Hyperlink"/>
            <w:rFonts w:ascii="Times New Roman" w:hAnsi="Times New Roman"/>
            <w:sz w:val="18"/>
            <w:szCs w:val="18"/>
          </w:rPr>
          <w:t>http://jme.bmj.com/content/medethics/31/2/64.full.pdf</w:t>
        </w:r>
      </w:hyperlink>
      <w:r w:rsidRPr="0026179E">
        <w:rPr>
          <w:rFonts w:ascii="Times New Roman" w:hAnsi="Times New Roman"/>
          <w:sz w:val="18"/>
          <w:szCs w:val="18"/>
        </w:rPr>
        <w:t xml:space="preserve"> [Accessed:20/03/2018] Pg.65</w:t>
      </w:r>
    </w:p>
  </w:footnote>
  <w:footnote w:id="14">
    <w:p w14:paraId="31D5CA7F" w14:textId="47D180A1"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3" w:name="_Hlk509317183"/>
      <w:r w:rsidRPr="0026179E">
        <w:rPr>
          <w:rFonts w:ascii="Times New Roman" w:hAnsi="Times New Roman"/>
          <w:sz w:val="18"/>
          <w:szCs w:val="18"/>
        </w:rPr>
        <w:t xml:space="preserve">Garrard, S Wilkison, </w:t>
      </w:r>
      <w:r w:rsidRPr="0026179E">
        <w:rPr>
          <w:rFonts w:ascii="Times New Roman" w:hAnsi="Times New Roman"/>
          <w:i/>
          <w:sz w:val="18"/>
          <w:szCs w:val="18"/>
        </w:rPr>
        <w:t>‘Passive Euthanasia’</w:t>
      </w:r>
      <w:r w:rsidRPr="0026179E">
        <w:rPr>
          <w:rFonts w:ascii="Times New Roman" w:hAnsi="Times New Roman"/>
          <w:sz w:val="18"/>
          <w:szCs w:val="18"/>
        </w:rPr>
        <w:t xml:space="preserve"> (Published by: </w:t>
      </w:r>
      <w:r w:rsidRPr="0026179E">
        <w:rPr>
          <w:rFonts w:ascii="Times New Roman" w:hAnsi="Times New Roman"/>
          <w:color w:val="0070C0"/>
          <w:sz w:val="18"/>
          <w:szCs w:val="18"/>
          <w:u w:val="single"/>
        </w:rPr>
        <w:t xml:space="preserve">group.bjm.com </w:t>
      </w:r>
      <w:r w:rsidRPr="0026179E">
        <w:rPr>
          <w:rFonts w:ascii="Times New Roman" w:hAnsi="Times New Roman"/>
          <w:sz w:val="18"/>
          <w:szCs w:val="18"/>
        </w:rPr>
        <w:t xml:space="preserve">Clinical Ethics </w:t>
      </w:r>
      <w:proofErr w:type="spellStart"/>
      <w:r w:rsidRPr="0026179E">
        <w:rPr>
          <w:rFonts w:ascii="Times New Roman" w:hAnsi="Times New Roman"/>
          <w:sz w:val="18"/>
          <w:szCs w:val="18"/>
        </w:rPr>
        <w:t>Keele</w:t>
      </w:r>
      <w:proofErr w:type="spellEnd"/>
      <w:r w:rsidRPr="0026179E">
        <w:rPr>
          <w:rFonts w:ascii="Times New Roman" w:hAnsi="Times New Roman"/>
          <w:sz w:val="18"/>
          <w:szCs w:val="18"/>
        </w:rPr>
        <w:t xml:space="preserve"> University, 5</w:t>
      </w:r>
      <w:r w:rsidRPr="0026179E">
        <w:rPr>
          <w:rFonts w:ascii="Times New Roman" w:hAnsi="Times New Roman"/>
          <w:sz w:val="18"/>
          <w:szCs w:val="18"/>
          <w:vertAlign w:val="superscript"/>
        </w:rPr>
        <w:t>th</w:t>
      </w:r>
      <w:r w:rsidRPr="0026179E">
        <w:rPr>
          <w:rFonts w:ascii="Times New Roman" w:hAnsi="Times New Roman"/>
          <w:sz w:val="18"/>
          <w:szCs w:val="18"/>
        </w:rPr>
        <w:t xml:space="preserve"> February 2004) </w:t>
      </w:r>
      <w:hyperlink r:id="rId6" w:history="1">
        <w:r w:rsidRPr="0026179E">
          <w:rPr>
            <w:rStyle w:val="Hyperlink"/>
            <w:rFonts w:ascii="Times New Roman" w:hAnsi="Times New Roman"/>
            <w:sz w:val="18"/>
            <w:szCs w:val="18"/>
          </w:rPr>
          <w:t>http://jme.bmj.com/content/medethics/31/2/64.full.pdf</w:t>
        </w:r>
      </w:hyperlink>
      <w:r w:rsidRPr="0026179E">
        <w:rPr>
          <w:rFonts w:ascii="Times New Roman" w:hAnsi="Times New Roman"/>
          <w:sz w:val="18"/>
          <w:szCs w:val="18"/>
        </w:rPr>
        <w:t xml:space="preserve"> [Accessed:20/03/2018] Pg.65</w:t>
      </w:r>
      <w:bookmarkEnd w:id="3"/>
    </w:p>
  </w:footnote>
  <w:footnote w:id="15">
    <w:p w14:paraId="77C6B325" w14:textId="77777777" w:rsidR="00B43012" w:rsidRPr="0026179E" w:rsidRDefault="00B43012" w:rsidP="00B43012">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w:t>
      </w:r>
    </w:p>
  </w:footnote>
  <w:footnote w:id="16">
    <w:p w14:paraId="5AE904FF" w14:textId="77777777" w:rsidR="00C50439" w:rsidRDefault="00C50439">
      <w:pPr>
        <w:pStyle w:val="FootnoteText"/>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w:t>
      </w:r>
      <w:r>
        <w:t xml:space="preserve"> </w:t>
      </w:r>
    </w:p>
  </w:footnote>
  <w:footnote w:id="17">
    <w:p w14:paraId="387189DF" w14:textId="77777777" w:rsidR="00C50439" w:rsidRPr="0026179E" w:rsidRDefault="00C50439">
      <w:pPr>
        <w:pStyle w:val="NoSpacing"/>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4" w:name="_Hlk509324582"/>
      <w:r w:rsidRPr="0026179E">
        <w:rPr>
          <w:rFonts w:ascii="Times New Roman" w:hAnsi="Times New Roman"/>
          <w:sz w:val="18"/>
          <w:szCs w:val="18"/>
        </w:rPr>
        <w:t xml:space="preserve">Unknown Author, </w:t>
      </w:r>
      <w:r w:rsidRPr="0026179E">
        <w:rPr>
          <w:rFonts w:ascii="Times New Roman" w:hAnsi="Times New Roman"/>
          <w:i/>
          <w:sz w:val="18"/>
          <w:szCs w:val="18"/>
        </w:rPr>
        <w:t xml:space="preserve">‘Ethics Guide – Active and Passive Euthanasia’ </w:t>
      </w:r>
      <w:r w:rsidRPr="0026179E">
        <w:rPr>
          <w:rFonts w:ascii="Times New Roman" w:hAnsi="Times New Roman"/>
          <w:sz w:val="18"/>
          <w:szCs w:val="18"/>
        </w:rPr>
        <w:t xml:space="preserve">(Published by: BBC, 2014) </w:t>
      </w:r>
    </w:p>
    <w:p w14:paraId="32976ACB" w14:textId="7F82BFB9" w:rsidR="00C50439" w:rsidRPr="0026179E" w:rsidRDefault="0043522C">
      <w:pPr>
        <w:pStyle w:val="NoSpacing"/>
        <w:rPr>
          <w:rFonts w:ascii="Times New Roman" w:hAnsi="Times New Roman"/>
          <w:sz w:val="18"/>
          <w:szCs w:val="18"/>
        </w:rPr>
      </w:pPr>
      <w:hyperlink r:id="rId7" w:history="1">
        <w:r w:rsidR="00C50439" w:rsidRPr="0026179E">
          <w:rPr>
            <w:rStyle w:val="Hyperlink"/>
            <w:rFonts w:ascii="Times New Roman" w:hAnsi="Times New Roman"/>
            <w:sz w:val="18"/>
            <w:szCs w:val="18"/>
          </w:rPr>
          <w:t>www.bbc.co.uk/ethics/euthanasia/overview/activepassive_1.shtml</w:t>
        </w:r>
      </w:hyperlink>
      <w:r w:rsidR="00C50439" w:rsidRPr="0026179E">
        <w:rPr>
          <w:rFonts w:ascii="Times New Roman" w:hAnsi="Times New Roman"/>
          <w:sz w:val="18"/>
          <w:szCs w:val="18"/>
        </w:rPr>
        <w:t xml:space="preserve"> [Accessed:20/03/2018]</w:t>
      </w:r>
      <w:bookmarkEnd w:id="4"/>
    </w:p>
  </w:footnote>
  <w:footnote w:id="18">
    <w:p w14:paraId="75E8B0A7" w14:textId="77777777" w:rsidR="00C50439" w:rsidRPr="0026179E" w:rsidRDefault="00C50439" w:rsidP="00045D29">
      <w:pPr>
        <w:pStyle w:val="NoSpacing"/>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w:t>
      </w:r>
    </w:p>
  </w:footnote>
  <w:footnote w:id="19">
    <w:p w14:paraId="1DB9ADAB" w14:textId="687B24D3" w:rsidR="0057171B" w:rsidRPr="0026179E" w:rsidRDefault="0057171B" w:rsidP="00045D29">
      <w:pPr>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Campbell. Robert and Collinson Diane, ‘Ending Lives’ (Published by Billings &amp; Sons Ltd, Great Britain, 1998) Pg. 132</w:t>
      </w:r>
    </w:p>
  </w:footnote>
  <w:footnote w:id="20">
    <w:p w14:paraId="7ACDFEBC" w14:textId="77777777" w:rsidR="00C50439" w:rsidRPr="0026179E" w:rsidRDefault="00C50439" w:rsidP="00045D2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Rachels. James, ‘</w:t>
      </w:r>
      <w:r w:rsidRPr="0026179E">
        <w:rPr>
          <w:rFonts w:ascii="Times New Roman" w:hAnsi="Times New Roman"/>
          <w:i/>
          <w:sz w:val="18"/>
          <w:szCs w:val="18"/>
        </w:rPr>
        <w:t xml:space="preserve">Active Euthanasia’ </w:t>
      </w:r>
      <w:r w:rsidRPr="0026179E">
        <w:rPr>
          <w:rFonts w:ascii="Times New Roman" w:hAnsi="Times New Roman"/>
          <w:sz w:val="18"/>
          <w:szCs w:val="18"/>
        </w:rPr>
        <w:t>(Published by, The New England Journal of Medicine, Vol. 292, January 9</w:t>
      </w:r>
      <w:r w:rsidRPr="0026179E">
        <w:rPr>
          <w:rFonts w:ascii="Times New Roman" w:hAnsi="Times New Roman"/>
          <w:sz w:val="18"/>
          <w:szCs w:val="18"/>
          <w:vertAlign w:val="superscript"/>
        </w:rPr>
        <w:t>th</w:t>
      </w:r>
      <w:r w:rsidRPr="0026179E">
        <w:rPr>
          <w:rFonts w:ascii="Times New Roman" w:hAnsi="Times New Roman"/>
          <w:sz w:val="18"/>
          <w:szCs w:val="18"/>
        </w:rPr>
        <w:t xml:space="preserve">, 1975, pp. 78-80.) </w:t>
      </w:r>
      <w:hyperlink r:id="rId8" w:history="1">
        <w:r w:rsidRPr="0026179E">
          <w:rPr>
            <w:rStyle w:val="Hyperlink"/>
            <w:rFonts w:ascii="Times New Roman" w:hAnsi="Times New Roman"/>
            <w:sz w:val="18"/>
            <w:szCs w:val="18"/>
          </w:rPr>
          <w:t>https://sites.ualberta.ca/~bleier/Rachels_Euthanasia.pdf</w:t>
        </w:r>
      </w:hyperlink>
      <w:r w:rsidRPr="0026179E">
        <w:rPr>
          <w:rFonts w:ascii="Times New Roman" w:hAnsi="Times New Roman"/>
          <w:sz w:val="18"/>
          <w:szCs w:val="18"/>
        </w:rPr>
        <w:t xml:space="preserve"> [Accessed:20/03/2018]</w:t>
      </w:r>
    </w:p>
  </w:footnote>
  <w:footnote w:id="21">
    <w:p w14:paraId="5C0676E1" w14:textId="58C36CE4" w:rsidR="00045D29" w:rsidRPr="0026179E" w:rsidRDefault="00045D29" w:rsidP="00045D2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w:t>
      </w:r>
    </w:p>
  </w:footnote>
  <w:footnote w:id="22">
    <w:p w14:paraId="0659FF9E" w14:textId="0DB51C42" w:rsidR="00045D29" w:rsidRPr="0026179E" w:rsidRDefault="00045D29" w:rsidP="00045D2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Singer. Peter </w:t>
      </w:r>
      <w:r w:rsidRPr="0026179E">
        <w:rPr>
          <w:rFonts w:ascii="Times New Roman" w:hAnsi="Times New Roman"/>
          <w:i/>
          <w:sz w:val="18"/>
          <w:szCs w:val="18"/>
        </w:rPr>
        <w:t xml:space="preserve">‘Practical Ethics’ </w:t>
      </w:r>
      <w:r w:rsidRPr="0026179E">
        <w:rPr>
          <w:rFonts w:ascii="Times New Roman" w:hAnsi="Times New Roman"/>
          <w:sz w:val="18"/>
          <w:szCs w:val="18"/>
        </w:rPr>
        <w:t>Second Edition, (Published by: Cambridge University Press, 1997) Pp. 211-212</w:t>
      </w:r>
    </w:p>
  </w:footnote>
  <w:footnote w:id="23">
    <w:p w14:paraId="4BB26D1B" w14:textId="5C056CD8" w:rsidR="00C50439" w:rsidRPr="0026179E" w:rsidRDefault="00C50439" w:rsidP="00045D2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5" w:name="_Hlk509997823"/>
      <w:r w:rsidR="00045D29" w:rsidRPr="0026179E">
        <w:rPr>
          <w:rFonts w:ascii="Times New Roman" w:hAnsi="Times New Roman"/>
          <w:sz w:val="18"/>
          <w:szCs w:val="18"/>
        </w:rPr>
        <w:t>Ibid. Pp. 211-212</w:t>
      </w:r>
    </w:p>
    <w:bookmarkEnd w:id="5"/>
  </w:footnote>
  <w:footnote w:id="24">
    <w:p w14:paraId="0DEA5589" w14:textId="3087BCAB" w:rsidR="00045D29" w:rsidRPr="0026179E" w:rsidRDefault="00045D29" w:rsidP="00045D29">
      <w:pPr>
        <w:pStyle w:val="FootnoteText"/>
        <w:rPr>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Pp. 211-212</w:t>
      </w:r>
    </w:p>
  </w:footnote>
  <w:footnote w:id="25">
    <w:p w14:paraId="17107390" w14:textId="31761547" w:rsidR="00C50439" w:rsidRDefault="00C50439">
      <w:pPr>
        <w:pStyle w:val="FootnoteText"/>
      </w:pPr>
      <w:r w:rsidRPr="0026179E">
        <w:rPr>
          <w:rStyle w:val="FootnoteReference"/>
          <w:rFonts w:ascii="Times New Roman" w:hAnsi="Times New Roman"/>
          <w:sz w:val="18"/>
          <w:szCs w:val="18"/>
        </w:rPr>
        <w:footnoteRef/>
      </w:r>
      <w:r w:rsidR="00045D29" w:rsidRPr="0026179E">
        <w:rPr>
          <w:rFonts w:ascii="Times New Roman" w:hAnsi="Times New Roman"/>
          <w:sz w:val="18"/>
          <w:szCs w:val="18"/>
        </w:rPr>
        <w:t>Ibid. Pp. 211-212</w:t>
      </w:r>
    </w:p>
  </w:footnote>
  <w:footnote w:id="26">
    <w:p w14:paraId="62E4893C" w14:textId="3492B7AA" w:rsidR="00045D29" w:rsidRPr="0026179E" w:rsidRDefault="00045D29" w:rsidP="0026179E">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Pp. 211-212</w:t>
      </w:r>
    </w:p>
  </w:footnote>
  <w:footnote w:id="27">
    <w:p w14:paraId="6D2E0B1D" w14:textId="77777777" w:rsidR="00C50439" w:rsidRPr="0026179E" w:rsidRDefault="00C50439" w:rsidP="0026179E">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w:t>
      </w:r>
    </w:p>
  </w:footnote>
  <w:footnote w:id="28">
    <w:p w14:paraId="45C92221" w14:textId="49540EF4" w:rsidR="00045D29" w:rsidRPr="0026179E" w:rsidRDefault="00045D29" w:rsidP="0026179E">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w:t>
      </w:r>
    </w:p>
  </w:footnote>
  <w:footnote w:id="29">
    <w:p w14:paraId="3C1935E2" w14:textId="42BB5E8C" w:rsidR="00CF3271" w:rsidRPr="0026179E" w:rsidRDefault="00CF3271" w:rsidP="0026179E">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w:t>
      </w:r>
    </w:p>
  </w:footnote>
  <w:footnote w:id="30">
    <w:p w14:paraId="60BA17B4" w14:textId="484AB774" w:rsidR="006241B5" w:rsidRDefault="006241B5" w:rsidP="006241B5">
      <w:pPr>
        <w:pStyle w:val="HTMLAddress"/>
        <w:shd w:val="clear" w:color="auto" w:fill="FFFFFF"/>
        <w:suppressAutoHyphens w:val="0"/>
        <w:autoSpaceDN/>
        <w:textAlignment w:val="auto"/>
      </w:pPr>
      <w:r>
        <w:rPr>
          <w:rStyle w:val="FootnoteReference"/>
        </w:rPr>
        <w:footnoteRef/>
      </w:r>
      <w:r>
        <w:t xml:space="preserve"> </w:t>
      </w:r>
      <w:r w:rsidRPr="0026179E">
        <w:rPr>
          <w:rFonts w:ascii="Times New Roman" w:hAnsi="Times New Roman"/>
          <w:i w:val="0"/>
          <w:color w:val="000000" w:themeColor="text1"/>
          <w:sz w:val="18"/>
          <w:szCs w:val="18"/>
        </w:rPr>
        <w:t>H. V. McLachlan, ‘The Ethics of Killing and Letting Die: Active and Passive Euthanasia’ (</w:t>
      </w:r>
      <w:r w:rsidRPr="0026179E">
        <w:rPr>
          <w:rFonts w:ascii="Times New Roman" w:eastAsia="Times New Roman" w:hAnsi="Times New Roman"/>
          <w:i w:val="0"/>
          <w:color w:val="000000" w:themeColor="text1"/>
          <w:sz w:val="18"/>
          <w:szCs w:val="18"/>
          <w:lang w:eastAsia="en-GB"/>
        </w:rPr>
        <w:t xml:space="preserve">Centre for Ethics in Public Policy and Corporate Governance, School of Law and Social Sciences, Glasgow Caledonian University, Glasgow, UK) </w:t>
      </w:r>
      <w:hyperlink r:id="rId9" w:history="1">
        <w:r w:rsidRPr="0026179E">
          <w:rPr>
            <w:rStyle w:val="Hyperlink"/>
            <w:rFonts w:ascii="Times New Roman" w:eastAsia="Times New Roman" w:hAnsi="Times New Roman"/>
            <w:i w:val="0"/>
            <w:sz w:val="18"/>
            <w:szCs w:val="18"/>
            <w:lang w:eastAsia="en-GB"/>
          </w:rPr>
          <w:t>http://jme.bmj.com/content/34/8/636</w:t>
        </w:r>
      </w:hyperlink>
      <w:r w:rsidRPr="0026179E">
        <w:rPr>
          <w:rFonts w:ascii="Times New Roman" w:eastAsia="Times New Roman" w:hAnsi="Times New Roman"/>
          <w:i w:val="0"/>
          <w:color w:val="000000" w:themeColor="text1"/>
          <w:sz w:val="18"/>
          <w:szCs w:val="18"/>
          <w:lang w:eastAsia="en-GB"/>
        </w:rPr>
        <w:t xml:space="preserve"> [Accessed:20/03/2018]</w:t>
      </w:r>
    </w:p>
  </w:footnote>
  <w:footnote w:id="31">
    <w:p w14:paraId="6CD92AE8" w14:textId="70C21D71" w:rsidR="00045D29" w:rsidRPr="0026179E" w:rsidRDefault="00045D29" w:rsidP="0026179E">
      <w:pPr>
        <w:pStyle w:val="HTMLAddress"/>
        <w:shd w:val="clear" w:color="auto" w:fill="FFFFFF"/>
        <w:suppressAutoHyphens w:val="0"/>
        <w:autoSpaceDN/>
        <w:textAlignment w:val="auto"/>
        <w:rPr>
          <w:rFonts w:ascii="Times New Roman" w:hAnsi="Times New Roman"/>
          <w:sz w:val="18"/>
          <w:szCs w:val="18"/>
        </w:rPr>
      </w:pPr>
      <w:r w:rsidRPr="0026179E">
        <w:rPr>
          <w:rStyle w:val="FootnoteReference"/>
          <w:rFonts w:ascii="Times New Roman" w:hAnsi="Times New Roman"/>
          <w:i w:val="0"/>
          <w:color w:val="000000" w:themeColor="text1"/>
          <w:sz w:val="18"/>
          <w:szCs w:val="18"/>
        </w:rPr>
        <w:footnoteRef/>
      </w:r>
      <w:r w:rsidR="00D72119" w:rsidRPr="0026179E">
        <w:rPr>
          <w:rFonts w:ascii="Times New Roman" w:hAnsi="Times New Roman"/>
          <w:i w:val="0"/>
          <w:color w:val="000000" w:themeColor="text1"/>
          <w:sz w:val="18"/>
          <w:szCs w:val="18"/>
        </w:rPr>
        <w:t xml:space="preserve"> H. V. McLachlan, ‘The Ethics of Killing and Letting Die: Active and Passive Euthanasia’ (</w:t>
      </w:r>
      <w:r w:rsidR="00D72119" w:rsidRPr="0026179E">
        <w:rPr>
          <w:rFonts w:ascii="Times New Roman" w:eastAsia="Times New Roman" w:hAnsi="Times New Roman"/>
          <w:i w:val="0"/>
          <w:color w:val="000000" w:themeColor="text1"/>
          <w:sz w:val="18"/>
          <w:szCs w:val="18"/>
          <w:lang w:eastAsia="en-GB"/>
        </w:rPr>
        <w:t xml:space="preserve">Centre for Ethics in Public Policy and Corporate Governance, School of Law and Social Sciences, Glasgow Caledonian University, Glasgow, UK) </w:t>
      </w:r>
      <w:hyperlink r:id="rId10" w:history="1">
        <w:r w:rsidR="00D72119" w:rsidRPr="0026179E">
          <w:rPr>
            <w:rStyle w:val="Hyperlink"/>
            <w:rFonts w:ascii="Times New Roman" w:eastAsia="Times New Roman" w:hAnsi="Times New Roman"/>
            <w:i w:val="0"/>
            <w:sz w:val="18"/>
            <w:szCs w:val="18"/>
            <w:lang w:eastAsia="en-GB"/>
          </w:rPr>
          <w:t>http://jme.bmj.com/content/34/8/636</w:t>
        </w:r>
      </w:hyperlink>
      <w:r w:rsidR="00D72119" w:rsidRPr="0026179E">
        <w:rPr>
          <w:rFonts w:ascii="Times New Roman" w:eastAsia="Times New Roman" w:hAnsi="Times New Roman"/>
          <w:i w:val="0"/>
          <w:color w:val="000000" w:themeColor="text1"/>
          <w:sz w:val="18"/>
          <w:szCs w:val="18"/>
          <w:lang w:eastAsia="en-GB"/>
        </w:rPr>
        <w:t xml:space="preserve"> [Accessed:20/03/2018]</w:t>
      </w:r>
    </w:p>
  </w:footnote>
  <w:footnote w:id="32">
    <w:p w14:paraId="1A6D5365" w14:textId="77777777" w:rsidR="00C50439" w:rsidRPr="0026179E" w:rsidRDefault="00C50439" w:rsidP="0026179E">
      <w:pPr>
        <w:pStyle w:val="NoSpacing"/>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6" w:name="_Hlk509324441"/>
      <w:r w:rsidRPr="0026179E">
        <w:rPr>
          <w:rFonts w:ascii="Times New Roman" w:hAnsi="Times New Roman"/>
          <w:sz w:val="18"/>
          <w:szCs w:val="18"/>
        </w:rPr>
        <w:t>Unknown author</w:t>
      </w:r>
      <w:r w:rsidRPr="0026179E">
        <w:rPr>
          <w:rFonts w:ascii="Times New Roman" w:hAnsi="Times New Roman"/>
          <w:i/>
          <w:sz w:val="18"/>
          <w:szCs w:val="18"/>
        </w:rPr>
        <w:t>, ‘Applied Ethics, Singer: The Slippery Slope: From Euthanasia to Genocide?’</w:t>
      </w:r>
      <w:r w:rsidRPr="0026179E">
        <w:rPr>
          <w:rFonts w:ascii="Times New Roman" w:hAnsi="Times New Roman"/>
          <w:sz w:val="18"/>
          <w:szCs w:val="18"/>
        </w:rPr>
        <w:t xml:space="preserve"> </w:t>
      </w:r>
      <w:hyperlink r:id="rId11" w:history="1">
        <w:r w:rsidRPr="0026179E">
          <w:rPr>
            <w:rStyle w:val="Hyperlink"/>
            <w:rFonts w:ascii="Times New Roman" w:hAnsi="Times New Roman"/>
            <w:sz w:val="18"/>
            <w:szCs w:val="18"/>
          </w:rPr>
          <w:t>http://appethics.blogspot.co.uk/2010/05/singer-active-and-passive-euthanasia.html</w:t>
        </w:r>
      </w:hyperlink>
      <w:r w:rsidRPr="0026179E">
        <w:rPr>
          <w:rFonts w:ascii="Times New Roman" w:hAnsi="Times New Roman"/>
          <w:sz w:val="18"/>
          <w:szCs w:val="18"/>
        </w:rPr>
        <w:t xml:space="preserve"> [Accessed:20/03/2018]</w:t>
      </w:r>
      <w:bookmarkEnd w:id="6"/>
    </w:p>
  </w:footnote>
  <w:footnote w:id="33">
    <w:p w14:paraId="34AFFF64" w14:textId="1A5FC825" w:rsidR="00B820C2" w:rsidRPr="0026179E" w:rsidRDefault="00B820C2" w:rsidP="0026179E">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Campbell. Robert and Collinson Diane, ‘Ending Lives</w:t>
      </w:r>
      <w:proofErr w:type="gramStart"/>
      <w:r w:rsidRPr="0026179E">
        <w:rPr>
          <w:rFonts w:ascii="Times New Roman" w:hAnsi="Times New Roman"/>
          <w:sz w:val="18"/>
          <w:szCs w:val="18"/>
        </w:rPr>
        <w:t>’  (</w:t>
      </w:r>
      <w:proofErr w:type="gramEnd"/>
      <w:r w:rsidRPr="0026179E">
        <w:rPr>
          <w:rFonts w:ascii="Times New Roman" w:hAnsi="Times New Roman"/>
          <w:sz w:val="18"/>
          <w:szCs w:val="18"/>
        </w:rPr>
        <w:t>Published by Billings &amp; Sons Ltd, Great Britain, 1998) Pg. 134</w:t>
      </w:r>
    </w:p>
  </w:footnote>
  <w:footnote w:id="34">
    <w:p w14:paraId="6F2506E8" w14:textId="77777777" w:rsidR="00C50439" w:rsidRDefault="00C50439" w:rsidP="0026179E">
      <w:pPr>
        <w:pStyle w:val="FootnoteText"/>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Unknown author</w:t>
      </w:r>
      <w:r w:rsidRPr="0026179E">
        <w:rPr>
          <w:rFonts w:ascii="Times New Roman" w:hAnsi="Times New Roman"/>
          <w:i/>
          <w:sz w:val="18"/>
          <w:szCs w:val="18"/>
        </w:rPr>
        <w:t>, ‘Applied Ethics, Singer: The Slippery Slope: From Euthanasia to Genocide?’</w:t>
      </w:r>
      <w:r w:rsidRPr="0026179E">
        <w:rPr>
          <w:rFonts w:ascii="Times New Roman" w:hAnsi="Times New Roman"/>
          <w:sz w:val="18"/>
          <w:szCs w:val="18"/>
        </w:rPr>
        <w:t xml:space="preserve"> </w:t>
      </w:r>
      <w:hyperlink r:id="rId12" w:history="1">
        <w:r w:rsidRPr="0026179E">
          <w:rPr>
            <w:rStyle w:val="Hyperlink"/>
            <w:rFonts w:ascii="Times New Roman" w:hAnsi="Times New Roman"/>
            <w:sz w:val="18"/>
            <w:szCs w:val="18"/>
          </w:rPr>
          <w:t>http://appethics.blogspot.co.uk/2010/05/singer-active-and-passive-euthanasia.html</w:t>
        </w:r>
      </w:hyperlink>
      <w:r w:rsidRPr="0026179E">
        <w:rPr>
          <w:rFonts w:ascii="Times New Roman" w:hAnsi="Times New Roman"/>
          <w:sz w:val="18"/>
          <w:szCs w:val="18"/>
        </w:rPr>
        <w:t xml:space="preserve"> [Accessed:20/03/2018]</w:t>
      </w:r>
    </w:p>
  </w:footnote>
  <w:footnote w:id="35">
    <w:p w14:paraId="674FC5DF" w14:textId="573AD173" w:rsidR="006241B5" w:rsidRDefault="006241B5">
      <w:pPr>
        <w:pStyle w:val="FootnoteText"/>
      </w:pPr>
      <w:r>
        <w:rPr>
          <w:rStyle w:val="FootnoteReference"/>
        </w:rPr>
        <w:footnoteRef/>
      </w:r>
      <w:r>
        <w:t xml:space="preserve"> </w:t>
      </w:r>
    </w:p>
  </w:footnote>
  <w:footnote w:id="36">
    <w:p w14:paraId="7A86DB7A" w14:textId="77777777"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Singer. Peter </w:t>
      </w:r>
      <w:r w:rsidRPr="0026179E">
        <w:rPr>
          <w:rFonts w:ascii="Times New Roman" w:hAnsi="Times New Roman"/>
          <w:i/>
          <w:sz w:val="18"/>
          <w:szCs w:val="18"/>
        </w:rPr>
        <w:t xml:space="preserve">‘Practical Ethics’ </w:t>
      </w:r>
      <w:r w:rsidRPr="0026179E">
        <w:rPr>
          <w:rFonts w:ascii="Times New Roman" w:hAnsi="Times New Roman"/>
          <w:sz w:val="18"/>
          <w:szCs w:val="18"/>
        </w:rPr>
        <w:t>Second Edition, (Published by: Cambridge University Press, 1997) Pg. 214</w:t>
      </w:r>
    </w:p>
  </w:footnote>
  <w:footnote w:id="37">
    <w:p w14:paraId="229ED86D" w14:textId="77777777"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Pp. 216-217</w:t>
      </w:r>
    </w:p>
  </w:footnote>
  <w:footnote w:id="38">
    <w:p w14:paraId="58481EF6" w14:textId="5DDD6A56" w:rsidR="00D72119" w:rsidRPr="0026179E" w:rsidRDefault="00D7211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Pp. 216-217</w:t>
      </w:r>
    </w:p>
  </w:footnote>
  <w:footnote w:id="39">
    <w:p w14:paraId="164DAAD9" w14:textId="1FF4D447" w:rsidR="004034C6" w:rsidRPr="0026179E" w:rsidRDefault="004034C6">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8" w:name="_Hlk509397734"/>
      <w:bookmarkStart w:id="9" w:name="_Hlk509999742"/>
      <w:r w:rsidR="006106C6" w:rsidRPr="0026179E">
        <w:rPr>
          <w:rFonts w:ascii="Times New Roman" w:hAnsi="Times New Roman"/>
          <w:sz w:val="18"/>
          <w:szCs w:val="18"/>
        </w:rPr>
        <w:t>Fairbairn. J. Gavin, ‘</w:t>
      </w:r>
      <w:proofErr w:type="spellStart"/>
      <w:r w:rsidR="006106C6" w:rsidRPr="0026179E">
        <w:rPr>
          <w:rFonts w:ascii="Times New Roman" w:hAnsi="Times New Roman"/>
          <w:sz w:val="18"/>
          <w:szCs w:val="18"/>
        </w:rPr>
        <w:t>Kushe</w:t>
      </w:r>
      <w:proofErr w:type="spellEnd"/>
      <w:r w:rsidR="006106C6" w:rsidRPr="0026179E">
        <w:rPr>
          <w:rFonts w:ascii="Times New Roman" w:hAnsi="Times New Roman"/>
          <w:sz w:val="18"/>
          <w:szCs w:val="18"/>
        </w:rPr>
        <w:t>, Singer and Slippery Slopes’ (Journal of Medical Ethics,</w:t>
      </w:r>
      <w:r w:rsidR="000709BD" w:rsidRPr="0026179E">
        <w:rPr>
          <w:rFonts w:ascii="Times New Roman" w:hAnsi="Times New Roman"/>
          <w:sz w:val="18"/>
          <w:szCs w:val="18"/>
        </w:rPr>
        <w:t xml:space="preserve"> 14, 132-134, 1988</w:t>
      </w:r>
      <w:r w:rsidR="006106C6" w:rsidRPr="0026179E">
        <w:rPr>
          <w:rFonts w:ascii="Times New Roman" w:hAnsi="Times New Roman"/>
          <w:sz w:val="18"/>
          <w:szCs w:val="18"/>
        </w:rPr>
        <w:t>)</w:t>
      </w:r>
      <w:r w:rsidR="000709BD" w:rsidRPr="0026179E">
        <w:rPr>
          <w:rFonts w:ascii="Times New Roman" w:hAnsi="Times New Roman"/>
          <w:sz w:val="18"/>
          <w:szCs w:val="18"/>
        </w:rPr>
        <w:t xml:space="preserve"> </w:t>
      </w:r>
      <w:r w:rsidR="006106C6" w:rsidRPr="0026179E">
        <w:rPr>
          <w:rFonts w:ascii="Times New Roman" w:hAnsi="Times New Roman"/>
          <w:sz w:val="18"/>
          <w:szCs w:val="18"/>
        </w:rPr>
        <w:t xml:space="preserve">  </w:t>
      </w:r>
      <w:hyperlink r:id="rId13" w:history="1">
        <w:r w:rsidRPr="0026179E">
          <w:rPr>
            <w:rStyle w:val="Hyperlink"/>
            <w:rFonts w:ascii="Times New Roman" w:hAnsi="Times New Roman"/>
            <w:sz w:val="18"/>
            <w:szCs w:val="18"/>
          </w:rPr>
          <w:t>http://jme.bmj.com/content/medethics/14/3/132.full.pdf</w:t>
        </w:r>
      </w:hyperlink>
      <w:r w:rsidRPr="0026179E">
        <w:rPr>
          <w:rFonts w:ascii="Times New Roman" w:hAnsi="Times New Roman"/>
          <w:sz w:val="18"/>
          <w:szCs w:val="18"/>
        </w:rPr>
        <w:t xml:space="preserve"> </w:t>
      </w:r>
      <w:r w:rsidR="000709BD" w:rsidRPr="0026179E">
        <w:rPr>
          <w:rFonts w:ascii="Times New Roman" w:hAnsi="Times New Roman"/>
          <w:sz w:val="18"/>
          <w:szCs w:val="18"/>
        </w:rPr>
        <w:t>P</w:t>
      </w:r>
      <w:r w:rsidRPr="0026179E">
        <w:rPr>
          <w:rFonts w:ascii="Times New Roman" w:hAnsi="Times New Roman"/>
          <w:sz w:val="18"/>
          <w:szCs w:val="18"/>
        </w:rPr>
        <w:t>g.134</w:t>
      </w:r>
      <w:bookmarkEnd w:id="8"/>
    </w:p>
    <w:bookmarkEnd w:id="9"/>
  </w:footnote>
  <w:footnote w:id="40">
    <w:p w14:paraId="637369E9" w14:textId="7DDBC7CC" w:rsidR="00FD727B" w:rsidRPr="0026179E" w:rsidRDefault="00FD727B">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r w:rsidR="000709BD" w:rsidRPr="0026179E">
        <w:rPr>
          <w:rFonts w:ascii="Times New Roman" w:hAnsi="Times New Roman"/>
          <w:sz w:val="18"/>
          <w:szCs w:val="18"/>
        </w:rPr>
        <w:t>Fairbairn. J. Gavin, ‘</w:t>
      </w:r>
      <w:proofErr w:type="spellStart"/>
      <w:r w:rsidR="000709BD" w:rsidRPr="0026179E">
        <w:rPr>
          <w:rFonts w:ascii="Times New Roman" w:hAnsi="Times New Roman"/>
          <w:sz w:val="18"/>
          <w:szCs w:val="18"/>
        </w:rPr>
        <w:t>Kushe</w:t>
      </w:r>
      <w:proofErr w:type="spellEnd"/>
      <w:r w:rsidR="000709BD" w:rsidRPr="0026179E">
        <w:rPr>
          <w:rFonts w:ascii="Times New Roman" w:hAnsi="Times New Roman"/>
          <w:sz w:val="18"/>
          <w:szCs w:val="18"/>
        </w:rPr>
        <w:t xml:space="preserve">, Singer and Slippery Slopes’ (Journal of Medical Ethics, 14, 132-134, 1988)   </w:t>
      </w:r>
      <w:hyperlink r:id="rId14" w:history="1">
        <w:r w:rsidR="000709BD" w:rsidRPr="0026179E">
          <w:rPr>
            <w:rStyle w:val="Hyperlink"/>
            <w:rFonts w:ascii="Times New Roman" w:hAnsi="Times New Roman"/>
            <w:sz w:val="18"/>
            <w:szCs w:val="18"/>
          </w:rPr>
          <w:t>http://jme.bmj.com/content/medethics/14/3/132.full.pdf</w:t>
        </w:r>
      </w:hyperlink>
      <w:r w:rsidR="000709BD" w:rsidRPr="0026179E">
        <w:rPr>
          <w:rFonts w:ascii="Times New Roman" w:hAnsi="Times New Roman"/>
          <w:sz w:val="18"/>
          <w:szCs w:val="18"/>
        </w:rPr>
        <w:t xml:space="preserve"> Pg.13</w:t>
      </w:r>
      <w:r w:rsidRPr="0026179E">
        <w:rPr>
          <w:rFonts w:ascii="Times New Roman" w:hAnsi="Times New Roman"/>
          <w:sz w:val="18"/>
          <w:szCs w:val="18"/>
        </w:rPr>
        <w:t>4</w:t>
      </w:r>
    </w:p>
  </w:footnote>
  <w:footnote w:id="41">
    <w:p w14:paraId="19081F92" w14:textId="7900EA2E" w:rsidR="00D86BB0" w:rsidRDefault="00D86BB0">
      <w:pPr>
        <w:pStyle w:val="FootnoteText"/>
      </w:pPr>
      <w:r>
        <w:rPr>
          <w:rStyle w:val="FootnoteReference"/>
        </w:rPr>
        <w:footnoteRef/>
      </w:r>
      <w:r>
        <w:t xml:space="preserve"> </w:t>
      </w:r>
      <w:r w:rsidRPr="0026179E">
        <w:rPr>
          <w:rFonts w:ascii="Times New Roman" w:hAnsi="Times New Roman"/>
          <w:sz w:val="18"/>
          <w:szCs w:val="18"/>
        </w:rPr>
        <w:t>Rachels. James, “Active and Passive Euthanasia” (Oxford Readings in Philosophy “Applied Ethics” Edited by Peter Singer. Oxford University Press, 1986) Pp. 29-35</w:t>
      </w:r>
    </w:p>
  </w:footnote>
  <w:footnote w:id="42">
    <w:p w14:paraId="28B2FCA8" w14:textId="1E1BE412" w:rsidR="00D86BB0" w:rsidRDefault="00D86BB0">
      <w:pPr>
        <w:pStyle w:val="FootnoteText"/>
      </w:pPr>
      <w:r>
        <w:rPr>
          <w:rStyle w:val="FootnoteReference"/>
        </w:rPr>
        <w:footnoteRef/>
      </w:r>
      <w:r>
        <w:t xml:space="preserve"> </w:t>
      </w:r>
      <w:r w:rsidRPr="0026179E">
        <w:rPr>
          <w:rFonts w:ascii="Times New Roman" w:hAnsi="Times New Roman"/>
          <w:sz w:val="18"/>
          <w:szCs w:val="18"/>
        </w:rPr>
        <w:t>Rachels. James, “Active and Passive Euthanasia” (Oxford Readings in Philosophy “Applied Ethics” Edited by Peter Singer. Oxford University Press, 1986) Pp. 29-35</w:t>
      </w:r>
    </w:p>
  </w:footnote>
  <w:footnote w:id="43">
    <w:p w14:paraId="42E17FE0" w14:textId="1C91E16C" w:rsidR="00C50439" w:rsidRDefault="00C50439">
      <w:pPr>
        <w:pStyle w:val="FootnoteText"/>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10" w:name="_Hlk510024077"/>
      <w:r w:rsidR="00313E4E" w:rsidRPr="0026179E">
        <w:rPr>
          <w:rFonts w:ascii="Times New Roman" w:hAnsi="Times New Roman"/>
          <w:color w:val="333333"/>
          <w:sz w:val="18"/>
          <w:szCs w:val="18"/>
          <w:shd w:val="clear" w:color="auto" w:fill="FFFFFF"/>
        </w:rPr>
        <w:t xml:space="preserve">Peter Singer, “Rich and Poor,” from Geirsson &amp; Holmgren, Ethical Theory (Broadview, 2000) also cited in </w:t>
      </w:r>
      <w:r w:rsidR="00703B98" w:rsidRPr="0026179E">
        <w:rPr>
          <w:rFonts w:ascii="Times New Roman" w:hAnsi="Times New Roman"/>
          <w:sz w:val="18"/>
          <w:szCs w:val="18"/>
        </w:rPr>
        <w:t xml:space="preserve">Singer. Peter </w:t>
      </w:r>
      <w:r w:rsidR="00703B98" w:rsidRPr="0026179E">
        <w:rPr>
          <w:rFonts w:ascii="Times New Roman" w:hAnsi="Times New Roman"/>
          <w:i/>
          <w:sz w:val="18"/>
          <w:szCs w:val="18"/>
        </w:rPr>
        <w:t xml:space="preserve">‘Practical Ethics’ </w:t>
      </w:r>
      <w:r w:rsidR="00703B98" w:rsidRPr="0026179E">
        <w:rPr>
          <w:rFonts w:ascii="Times New Roman" w:hAnsi="Times New Roman"/>
          <w:sz w:val="18"/>
          <w:szCs w:val="18"/>
        </w:rPr>
        <w:t xml:space="preserve">Second Edition, (Published by: Cambridge University Press, 1997) </w:t>
      </w:r>
      <w:bookmarkEnd w:id="10"/>
      <w:r w:rsidR="00703B98" w:rsidRPr="0026179E">
        <w:rPr>
          <w:rFonts w:ascii="Times New Roman" w:hAnsi="Times New Roman"/>
          <w:sz w:val="18"/>
          <w:szCs w:val="18"/>
        </w:rPr>
        <w:t xml:space="preserve">Pp. </w:t>
      </w:r>
      <w:r w:rsidRPr="0026179E">
        <w:rPr>
          <w:rFonts w:ascii="Times New Roman" w:hAnsi="Times New Roman"/>
          <w:sz w:val="18"/>
          <w:szCs w:val="18"/>
        </w:rPr>
        <w:t>216-217</w:t>
      </w:r>
    </w:p>
  </w:footnote>
  <w:footnote w:id="44">
    <w:p w14:paraId="5FF389A4" w14:textId="77777777"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Pg. 229</w:t>
      </w:r>
    </w:p>
  </w:footnote>
  <w:footnote w:id="45">
    <w:p w14:paraId="3E4BD3E8" w14:textId="403F7716" w:rsidR="004B2F88" w:rsidRDefault="004B2F88">
      <w:pPr>
        <w:pStyle w:val="FootnoteText"/>
      </w:pPr>
      <w:r>
        <w:rPr>
          <w:rStyle w:val="FootnoteReference"/>
        </w:rPr>
        <w:footnoteRef/>
      </w:r>
      <w:r>
        <w:t xml:space="preserve"> </w:t>
      </w:r>
      <w:r w:rsidRPr="0026179E">
        <w:rPr>
          <w:rFonts w:ascii="Times New Roman" w:hAnsi="Times New Roman"/>
          <w:sz w:val="18"/>
          <w:szCs w:val="18"/>
        </w:rPr>
        <w:t>Glover. Jonathan, ‘Causing Death and Saving Lives’ (Published by: Penguin Group, London, 1977) Pg.</w:t>
      </w:r>
      <w:r>
        <w:rPr>
          <w:rFonts w:ascii="Times New Roman" w:hAnsi="Times New Roman"/>
          <w:sz w:val="18"/>
          <w:szCs w:val="18"/>
        </w:rPr>
        <w:t>94</w:t>
      </w:r>
    </w:p>
  </w:footnote>
  <w:footnote w:id="46">
    <w:p w14:paraId="1CF44D8B" w14:textId="77777777" w:rsidR="00C50439" w:rsidRPr="0026179E" w:rsidRDefault="00C50439">
      <w:pPr>
        <w:pStyle w:val="FootnoteText"/>
        <w:jc w:val="both"/>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Ibid. Pg.229</w:t>
      </w:r>
    </w:p>
  </w:footnote>
  <w:footnote w:id="47">
    <w:p w14:paraId="634F95BA" w14:textId="77777777" w:rsidR="00C50439" w:rsidRPr="0026179E" w:rsidRDefault="00C50439">
      <w:pPr>
        <w:pStyle w:val="NoSpacing"/>
        <w:jc w:val="both"/>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Unknown Author, </w:t>
      </w:r>
      <w:r w:rsidRPr="0026179E">
        <w:rPr>
          <w:rFonts w:ascii="Times New Roman" w:hAnsi="Times New Roman"/>
          <w:i/>
          <w:sz w:val="18"/>
          <w:szCs w:val="18"/>
        </w:rPr>
        <w:t xml:space="preserve">‘Ethics Guide – Active and Passive Euthanasia’ </w:t>
      </w:r>
      <w:r w:rsidRPr="0026179E">
        <w:rPr>
          <w:rFonts w:ascii="Times New Roman" w:hAnsi="Times New Roman"/>
          <w:sz w:val="18"/>
          <w:szCs w:val="18"/>
        </w:rPr>
        <w:t xml:space="preserve">(Published by: BBC, 2014) </w:t>
      </w:r>
    </w:p>
    <w:p w14:paraId="7F2FDE4D" w14:textId="77777777" w:rsidR="00C50439" w:rsidRPr="0026179E" w:rsidRDefault="0043522C">
      <w:pPr>
        <w:pStyle w:val="NoSpacing"/>
        <w:jc w:val="both"/>
        <w:rPr>
          <w:rFonts w:ascii="Times New Roman" w:hAnsi="Times New Roman"/>
          <w:sz w:val="18"/>
          <w:szCs w:val="18"/>
        </w:rPr>
      </w:pPr>
      <w:hyperlink r:id="rId15" w:history="1">
        <w:r w:rsidR="00C50439" w:rsidRPr="0026179E">
          <w:rPr>
            <w:rStyle w:val="Hyperlink"/>
            <w:rFonts w:ascii="Times New Roman" w:hAnsi="Times New Roman"/>
            <w:sz w:val="18"/>
            <w:szCs w:val="18"/>
          </w:rPr>
          <w:t>www.bbc.co.uk/ethics/euthanasia/overview/activepassive_1.shtml</w:t>
        </w:r>
      </w:hyperlink>
      <w:r w:rsidR="00C50439" w:rsidRPr="0026179E">
        <w:rPr>
          <w:rFonts w:ascii="Times New Roman" w:hAnsi="Times New Roman"/>
          <w:sz w:val="18"/>
          <w:szCs w:val="18"/>
        </w:rPr>
        <w:t xml:space="preserve"> [Accessed:20/03/2018]</w:t>
      </w:r>
    </w:p>
  </w:footnote>
  <w:footnote w:id="48">
    <w:p w14:paraId="439DFC81" w14:textId="77777777" w:rsidR="00836AD8" w:rsidRPr="0026179E" w:rsidRDefault="00836AD8" w:rsidP="00836AD8">
      <w:pPr>
        <w:pStyle w:val="NoSpacing"/>
        <w:jc w:val="both"/>
        <w:rPr>
          <w:rFonts w:ascii="Times New Roman" w:hAnsi="Times New Roman"/>
          <w:sz w:val="18"/>
          <w:szCs w:val="18"/>
        </w:rPr>
      </w:pPr>
      <w:r>
        <w:rPr>
          <w:rStyle w:val="FootnoteReference"/>
        </w:rPr>
        <w:footnoteRef/>
      </w:r>
      <w:r>
        <w:t xml:space="preserve"> </w:t>
      </w:r>
      <w:r w:rsidRPr="0026179E">
        <w:rPr>
          <w:rFonts w:ascii="Times New Roman" w:hAnsi="Times New Roman"/>
          <w:sz w:val="18"/>
          <w:szCs w:val="18"/>
        </w:rPr>
        <w:t xml:space="preserve">Rachels. James, “Active and Passive Euthanasia” </w:t>
      </w:r>
    </w:p>
    <w:p w14:paraId="326B6B77" w14:textId="7BD190E7" w:rsidR="00836AD8" w:rsidRDefault="00836AD8" w:rsidP="00836AD8">
      <w:pPr>
        <w:pStyle w:val="NoSpacing"/>
        <w:jc w:val="both"/>
      </w:pPr>
      <w:r w:rsidRPr="0026179E">
        <w:rPr>
          <w:rFonts w:ascii="Times New Roman" w:hAnsi="Times New Roman"/>
          <w:sz w:val="18"/>
          <w:szCs w:val="18"/>
        </w:rPr>
        <w:t xml:space="preserve">29-35 in Oxford Readings in Philosophy “Applied Ethics” Edited by Peter Singer. Oxford University Press, 1986 </w:t>
      </w:r>
    </w:p>
  </w:footnote>
  <w:footnote w:id="49">
    <w:p w14:paraId="50CF91EF" w14:textId="45556AE4" w:rsidR="00C50439" w:rsidRPr="0026179E" w:rsidRDefault="00C50439">
      <w:pPr>
        <w:pStyle w:val="NoSpacing"/>
        <w:jc w:val="both"/>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Rachels. James, “Active and Passive Euthanasia” </w:t>
      </w:r>
    </w:p>
    <w:p w14:paraId="461E708A" w14:textId="2DDD9C01" w:rsidR="00C50439" w:rsidRPr="0026179E" w:rsidRDefault="00C50439">
      <w:pPr>
        <w:pStyle w:val="NoSpacing"/>
        <w:jc w:val="both"/>
        <w:rPr>
          <w:rFonts w:ascii="Times New Roman" w:hAnsi="Times New Roman"/>
          <w:sz w:val="18"/>
          <w:szCs w:val="18"/>
        </w:rPr>
      </w:pPr>
      <w:r w:rsidRPr="0026179E">
        <w:rPr>
          <w:rFonts w:ascii="Times New Roman" w:hAnsi="Times New Roman"/>
          <w:sz w:val="18"/>
          <w:szCs w:val="18"/>
        </w:rPr>
        <w:t xml:space="preserve">29-35 in Oxford Readings in Philosophy “Applied Ethics” Edited by Peter Singer. Oxford University Press, 1986 </w:t>
      </w:r>
    </w:p>
  </w:footnote>
  <w:footnote w:id="50">
    <w:p w14:paraId="18D03B7F" w14:textId="77777777" w:rsidR="00C50439" w:rsidRPr="0026179E" w:rsidRDefault="00C50439">
      <w:pPr>
        <w:pStyle w:val="NoSpacing"/>
        <w:jc w:val="both"/>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Unknown Author, </w:t>
      </w:r>
      <w:r w:rsidRPr="0026179E">
        <w:rPr>
          <w:rFonts w:ascii="Times New Roman" w:hAnsi="Times New Roman"/>
          <w:i/>
          <w:sz w:val="18"/>
          <w:szCs w:val="18"/>
        </w:rPr>
        <w:t xml:space="preserve">‘Ethics Guide – Active and Passive Euthanasia’ </w:t>
      </w:r>
      <w:r w:rsidRPr="0026179E">
        <w:rPr>
          <w:rFonts w:ascii="Times New Roman" w:hAnsi="Times New Roman"/>
          <w:sz w:val="18"/>
          <w:szCs w:val="18"/>
        </w:rPr>
        <w:t xml:space="preserve">(Published by: BBC, 2014) </w:t>
      </w:r>
    </w:p>
    <w:p w14:paraId="0787370E" w14:textId="77777777" w:rsidR="00C50439" w:rsidRDefault="0043522C">
      <w:pPr>
        <w:pStyle w:val="NoSpacing"/>
        <w:jc w:val="both"/>
      </w:pPr>
      <w:hyperlink r:id="rId16" w:history="1">
        <w:r w:rsidR="00C50439" w:rsidRPr="0026179E">
          <w:rPr>
            <w:rStyle w:val="Hyperlink"/>
            <w:rFonts w:ascii="Times New Roman" w:hAnsi="Times New Roman"/>
            <w:sz w:val="18"/>
            <w:szCs w:val="18"/>
          </w:rPr>
          <w:t>www.bbc.co.uk/ethics/euthanasia/overview/activepassive_1.shtml</w:t>
        </w:r>
      </w:hyperlink>
      <w:r w:rsidR="00C50439" w:rsidRPr="0026179E">
        <w:rPr>
          <w:rFonts w:ascii="Times New Roman" w:hAnsi="Times New Roman"/>
          <w:sz w:val="18"/>
          <w:szCs w:val="18"/>
        </w:rPr>
        <w:t xml:space="preserve"> [Accessed:20/03/2018]</w:t>
      </w:r>
    </w:p>
  </w:footnote>
  <w:footnote w:id="51">
    <w:p w14:paraId="5455FA43" w14:textId="09C0C571" w:rsidR="007C5FAB" w:rsidRPr="00836AD8" w:rsidRDefault="007C5FAB" w:rsidP="00703B98">
      <w:pPr>
        <w:pStyle w:val="Heading1"/>
        <w:spacing w:before="0"/>
        <w:rPr>
          <w:rFonts w:ascii="Times New Roman" w:hAnsi="Times New Roman" w:cs="Times New Roman"/>
          <w:sz w:val="18"/>
          <w:szCs w:val="18"/>
        </w:rPr>
      </w:pPr>
      <w:r w:rsidRPr="00836AD8">
        <w:rPr>
          <w:rStyle w:val="FootnoteReference"/>
          <w:rFonts w:ascii="Times New Roman" w:hAnsi="Times New Roman" w:cs="Times New Roman"/>
          <w:color w:val="auto"/>
          <w:sz w:val="18"/>
          <w:szCs w:val="18"/>
        </w:rPr>
        <w:footnoteRef/>
      </w:r>
      <w:r w:rsidRPr="00836AD8">
        <w:rPr>
          <w:rFonts w:ascii="Times New Roman" w:hAnsi="Times New Roman" w:cs="Times New Roman"/>
          <w:color w:val="auto"/>
          <w:sz w:val="18"/>
          <w:szCs w:val="18"/>
        </w:rPr>
        <w:t xml:space="preserve"> </w:t>
      </w:r>
      <w:bookmarkStart w:id="11" w:name="_Hlk510027447"/>
      <w:r w:rsidRPr="00836AD8">
        <w:rPr>
          <w:rFonts w:ascii="Times New Roman" w:hAnsi="Times New Roman" w:cs="Times New Roman"/>
          <w:color w:val="auto"/>
          <w:sz w:val="18"/>
          <w:szCs w:val="18"/>
        </w:rPr>
        <w:t xml:space="preserve">Rachels. James, “Active and Passive Euthanasia” (Oxford Readings in Philosophy “Applied Ethics” Edited by Peter Singer. Oxford University Press, 1986) Pp. 29-35 </w:t>
      </w:r>
      <w:bookmarkEnd w:id="11"/>
    </w:p>
  </w:footnote>
  <w:footnote w:id="52">
    <w:p w14:paraId="6957C53D" w14:textId="557FE136" w:rsidR="00C50439" w:rsidRPr="00836AD8" w:rsidRDefault="00C50439" w:rsidP="00703B98">
      <w:pPr>
        <w:pStyle w:val="Heading1"/>
        <w:spacing w:before="0"/>
        <w:rPr>
          <w:rFonts w:ascii="Times New Roman" w:eastAsia="Times New Roman" w:hAnsi="Times New Roman" w:cs="Times New Roman"/>
          <w:color w:val="1A1A1A"/>
          <w:sz w:val="18"/>
          <w:szCs w:val="18"/>
          <w:lang w:eastAsia="en-GB"/>
        </w:rPr>
      </w:pPr>
      <w:r w:rsidRPr="00836AD8">
        <w:rPr>
          <w:rStyle w:val="FootnoteReference"/>
          <w:rFonts w:ascii="Times New Roman" w:hAnsi="Times New Roman" w:cs="Times New Roman"/>
          <w:color w:val="000000" w:themeColor="text1"/>
          <w:sz w:val="18"/>
          <w:szCs w:val="18"/>
        </w:rPr>
        <w:footnoteRef/>
      </w:r>
      <w:r w:rsidR="000709BD" w:rsidRPr="00836AD8">
        <w:rPr>
          <w:rFonts w:ascii="Times New Roman" w:eastAsia="Times New Roman" w:hAnsi="Times New Roman" w:cs="Times New Roman"/>
          <w:color w:val="000000" w:themeColor="text1"/>
          <w:sz w:val="18"/>
          <w:szCs w:val="18"/>
          <w:lang w:eastAsia="en-GB"/>
        </w:rPr>
        <w:t>Allison, Henry, 2011, </w:t>
      </w:r>
      <w:r w:rsidR="000709BD" w:rsidRPr="00836AD8">
        <w:rPr>
          <w:rFonts w:ascii="Times New Roman" w:eastAsia="Times New Roman" w:hAnsi="Times New Roman" w:cs="Times New Roman"/>
          <w:iCs/>
          <w:color w:val="000000" w:themeColor="text1"/>
          <w:sz w:val="18"/>
          <w:szCs w:val="18"/>
          <w:lang w:eastAsia="en-GB"/>
        </w:rPr>
        <w:t>Kant’s Groundwork for the Metaphysics of Morals: A Commentary</w:t>
      </w:r>
      <w:r w:rsidR="000709BD" w:rsidRPr="00836AD8">
        <w:rPr>
          <w:rFonts w:ascii="Times New Roman" w:eastAsia="Times New Roman" w:hAnsi="Times New Roman" w:cs="Times New Roman"/>
          <w:color w:val="000000" w:themeColor="text1"/>
          <w:sz w:val="18"/>
          <w:szCs w:val="18"/>
          <w:lang w:eastAsia="en-GB"/>
        </w:rPr>
        <w:t>, Oxford: Oxford University Press</w:t>
      </w:r>
      <w:r w:rsidR="000709BD" w:rsidRPr="00836AD8">
        <w:rPr>
          <w:rFonts w:ascii="Times New Roman" w:eastAsia="Times New Roman" w:hAnsi="Times New Roman" w:cs="Times New Roman"/>
          <w:sz w:val="18"/>
          <w:szCs w:val="18"/>
          <w:lang w:eastAsia="en-GB"/>
        </w:rPr>
        <w:t>.</w:t>
      </w:r>
      <w:r w:rsidR="000709BD" w:rsidRPr="00836AD8">
        <w:rPr>
          <w:rFonts w:ascii="Times New Roman" w:hAnsi="Times New Roman" w:cs="Times New Roman"/>
          <w:sz w:val="18"/>
          <w:szCs w:val="18"/>
        </w:rPr>
        <w:t xml:space="preserve"> </w:t>
      </w:r>
      <w:hyperlink r:id="rId17" w:history="1">
        <w:r w:rsidR="000709BD" w:rsidRPr="00836AD8">
          <w:rPr>
            <w:rStyle w:val="Hyperlink"/>
            <w:rFonts w:ascii="Times New Roman" w:hAnsi="Times New Roman" w:cs="Times New Roman"/>
            <w:color w:val="2E74B5" w:themeColor="accent1" w:themeShade="BF"/>
            <w:sz w:val="18"/>
            <w:szCs w:val="18"/>
          </w:rPr>
          <w:t>https://plato.stanford.edu/entries/kant-moral/</w:t>
        </w:r>
      </w:hyperlink>
      <w:r w:rsidR="000709BD" w:rsidRPr="00836AD8">
        <w:rPr>
          <w:rFonts w:ascii="Times New Roman" w:hAnsi="Times New Roman" w:cs="Times New Roman"/>
          <w:color w:val="000000" w:themeColor="text1"/>
          <w:sz w:val="18"/>
          <w:szCs w:val="18"/>
        </w:rPr>
        <w:t>[Accessed:21/02/2018]</w:t>
      </w:r>
    </w:p>
  </w:footnote>
  <w:footnote w:id="53">
    <w:p w14:paraId="6788E6A5" w14:textId="6E31D034" w:rsidR="000709BD" w:rsidRPr="00836AD8" w:rsidRDefault="000709BD" w:rsidP="00703B98">
      <w:pPr>
        <w:pStyle w:val="Heading1"/>
        <w:spacing w:before="0"/>
        <w:rPr>
          <w:rFonts w:ascii="Times New Roman" w:hAnsi="Times New Roman" w:cs="Times New Roman"/>
          <w:color w:val="auto"/>
          <w:sz w:val="18"/>
          <w:szCs w:val="18"/>
        </w:rPr>
      </w:pPr>
      <w:r w:rsidRPr="00836AD8">
        <w:rPr>
          <w:rStyle w:val="FootnoteReference"/>
          <w:rFonts w:ascii="Times New Roman" w:hAnsi="Times New Roman" w:cs="Times New Roman"/>
          <w:color w:val="auto"/>
          <w:sz w:val="18"/>
          <w:szCs w:val="18"/>
        </w:rPr>
        <w:footnoteRef/>
      </w:r>
      <w:r w:rsidRPr="00836AD8">
        <w:rPr>
          <w:rFonts w:ascii="Times New Roman" w:hAnsi="Times New Roman" w:cs="Times New Roman"/>
          <w:color w:val="auto"/>
          <w:sz w:val="18"/>
          <w:szCs w:val="18"/>
        </w:rPr>
        <w:t xml:space="preserve">Rachels. James, “Active and Passive Euthanasia” (Oxford Readings in Philosophy “Applied Ethics” Edited by Peter Singer. Oxford University Press, 1986) Pp. 29-35 </w:t>
      </w:r>
    </w:p>
  </w:footnote>
  <w:footnote w:id="54">
    <w:p w14:paraId="4E3EEB20" w14:textId="4ECE0883" w:rsidR="00C50439" w:rsidRPr="00836AD8" w:rsidRDefault="00C50439" w:rsidP="00703B98">
      <w:pPr>
        <w:pStyle w:val="Heading1"/>
        <w:spacing w:before="0"/>
        <w:rPr>
          <w:rFonts w:ascii="Times New Roman" w:hAnsi="Times New Roman" w:cs="Times New Roman"/>
          <w:color w:val="auto"/>
          <w:sz w:val="18"/>
          <w:szCs w:val="18"/>
        </w:rPr>
      </w:pPr>
      <w:r w:rsidRPr="00836AD8">
        <w:rPr>
          <w:rStyle w:val="FootnoteReference"/>
          <w:rFonts w:ascii="Times New Roman" w:hAnsi="Times New Roman" w:cs="Times New Roman"/>
          <w:color w:val="auto"/>
          <w:sz w:val="18"/>
          <w:szCs w:val="18"/>
        </w:rPr>
        <w:footnoteRef/>
      </w:r>
      <w:r w:rsidRPr="00836AD8">
        <w:rPr>
          <w:rFonts w:ascii="Times New Roman" w:hAnsi="Times New Roman" w:cs="Times New Roman"/>
          <w:color w:val="auto"/>
          <w:sz w:val="18"/>
          <w:szCs w:val="18"/>
        </w:rPr>
        <w:t xml:space="preserve"> </w:t>
      </w:r>
      <w:r w:rsidR="00571C32" w:rsidRPr="00836AD8">
        <w:rPr>
          <w:rFonts w:ascii="Times New Roman" w:hAnsi="Times New Roman" w:cs="Times New Roman"/>
          <w:color w:val="auto"/>
          <w:sz w:val="18"/>
          <w:szCs w:val="18"/>
        </w:rPr>
        <w:t>Dworkin. Gerald, ‘</w:t>
      </w:r>
      <w:r w:rsidRPr="00836AD8">
        <w:rPr>
          <w:rFonts w:ascii="Times New Roman" w:hAnsi="Times New Roman" w:cs="Times New Roman"/>
          <w:color w:val="auto"/>
          <w:sz w:val="18"/>
          <w:szCs w:val="18"/>
        </w:rPr>
        <w:t xml:space="preserve">Euthanasia and Physician Assisted Suicide </w:t>
      </w:r>
      <w:proofErr w:type="gramStart"/>
      <w:r w:rsidRPr="00836AD8">
        <w:rPr>
          <w:rFonts w:ascii="Times New Roman" w:hAnsi="Times New Roman" w:cs="Times New Roman"/>
          <w:color w:val="auto"/>
          <w:sz w:val="18"/>
          <w:szCs w:val="18"/>
        </w:rPr>
        <w:t>For</w:t>
      </w:r>
      <w:proofErr w:type="gramEnd"/>
      <w:r w:rsidRPr="00836AD8">
        <w:rPr>
          <w:rFonts w:ascii="Times New Roman" w:hAnsi="Times New Roman" w:cs="Times New Roman"/>
          <w:color w:val="auto"/>
          <w:sz w:val="18"/>
          <w:szCs w:val="18"/>
        </w:rPr>
        <w:t xml:space="preserve"> and </w:t>
      </w:r>
      <w:r w:rsidR="00571C32" w:rsidRPr="00836AD8">
        <w:rPr>
          <w:rFonts w:ascii="Times New Roman" w:hAnsi="Times New Roman" w:cs="Times New Roman"/>
          <w:color w:val="auto"/>
          <w:sz w:val="18"/>
          <w:szCs w:val="18"/>
        </w:rPr>
        <w:t>A</w:t>
      </w:r>
      <w:r w:rsidRPr="00836AD8">
        <w:rPr>
          <w:rFonts w:ascii="Times New Roman" w:hAnsi="Times New Roman" w:cs="Times New Roman"/>
          <w:color w:val="auto"/>
          <w:sz w:val="18"/>
          <w:szCs w:val="18"/>
        </w:rPr>
        <w:t>gainst</w:t>
      </w:r>
      <w:r w:rsidR="00571C32" w:rsidRPr="00836AD8">
        <w:rPr>
          <w:rFonts w:ascii="Times New Roman" w:hAnsi="Times New Roman" w:cs="Times New Roman"/>
          <w:color w:val="auto"/>
          <w:sz w:val="18"/>
          <w:szCs w:val="18"/>
        </w:rPr>
        <w:t>’ (Cambridge University Press, 1998)</w:t>
      </w:r>
      <w:r w:rsidRPr="00836AD8">
        <w:rPr>
          <w:rFonts w:ascii="Times New Roman" w:hAnsi="Times New Roman" w:cs="Times New Roman"/>
          <w:color w:val="auto"/>
          <w:sz w:val="18"/>
          <w:szCs w:val="18"/>
        </w:rPr>
        <w:t xml:space="preserve"> Pg.25</w:t>
      </w:r>
    </w:p>
  </w:footnote>
  <w:footnote w:id="55">
    <w:p w14:paraId="11E8343F" w14:textId="2A047620" w:rsidR="00836AD8" w:rsidRPr="00836AD8" w:rsidRDefault="00836AD8">
      <w:pPr>
        <w:pStyle w:val="FootnoteText"/>
        <w:rPr>
          <w:rFonts w:ascii="Times New Roman" w:hAnsi="Times New Roman"/>
          <w:sz w:val="18"/>
          <w:szCs w:val="18"/>
        </w:rPr>
      </w:pPr>
      <w:r w:rsidRPr="00836AD8">
        <w:rPr>
          <w:rStyle w:val="FootnoteReference"/>
          <w:rFonts w:ascii="Times New Roman" w:hAnsi="Times New Roman"/>
          <w:sz w:val="18"/>
          <w:szCs w:val="18"/>
        </w:rPr>
        <w:footnoteRef/>
      </w:r>
      <w:r w:rsidRPr="00836AD8">
        <w:rPr>
          <w:rFonts w:ascii="Times New Roman" w:hAnsi="Times New Roman"/>
          <w:sz w:val="18"/>
          <w:szCs w:val="18"/>
        </w:rPr>
        <w:t xml:space="preserve"> Glover. Jonathan, ‘Causing Death and Saving Lives’ (Published by: Penguin Group, London, 1977) Pg.99</w:t>
      </w:r>
    </w:p>
  </w:footnote>
  <w:footnote w:id="56">
    <w:p w14:paraId="5ECF16D2" w14:textId="0AAD0401" w:rsidR="00C50439" w:rsidRPr="00836AD8" w:rsidRDefault="00C50439" w:rsidP="00703B98">
      <w:pPr>
        <w:pStyle w:val="Heading1"/>
        <w:spacing w:before="0"/>
        <w:rPr>
          <w:rFonts w:ascii="Times New Roman" w:hAnsi="Times New Roman" w:cs="Times New Roman"/>
          <w:sz w:val="18"/>
          <w:szCs w:val="18"/>
        </w:rPr>
      </w:pPr>
      <w:r w:rsidRPr="00836AD8">
        <w:rPr>
          <w:rStyle w:val="FootnoteReference"/>
          <w:rFonts w:ascii="Times New Roman" w:hAnsi="Times New Roman" w:cs="Times New Roman"/>
          <w:color w:val="auto"/>
          <w:sz w:val="18"/>
          <w:szCs w:val="18"/>
        </w:rPr>
        <w:footnoteRef/>
      </w:r>
      <w:r w:rsidRPr="00836AD8">
        <w:rPr>
          <w:rFonts w:ascii="Times New Roman" w:hAnsi="Times New Roman" w:cs="Times New Roman"/>
          <w:color w:val="auto"/>
          <w:sz w:val="18"/>
          <w:szCs w:val="18"/>
        </w:rPr>
        <w:t xml:space="preserve"> </w:t>
      </w:r>
      <w:r w:rsidR="00DC460D" w:rsidRPr="00836AD8">
        <w:rPr>
          <w:rFonts w:ascii="Times New Roman" w:eastAsia="Times New Roman" w:hAnsi="Times New Roman" w:cs="Times New Roman"/>
          <w:color w:val="auto"/>
          <w:sz w:val="18"/>
          <w:szCs w:val="18"/>
          <w:lang w:eastAsia="en-GB"/>
        </w:rPr>
        <w:t>Allison</w:t>
      </w:r>
      <w:r w:rsidR="00DC460D" w:rsidRPr="00836AD8">
        <w:rPr>
          <w:rFonts w:ascii="Times New Roman" w:eastAsia="Times New Roman" w:hAnsi="Times New Roman" w:cs="Times New Roman"/>
          <w:color w:val="000000" w:themeColor="text1"/>
          <w:sz w:val="18"/>
          <w:szCs w:val="18"/>
          <w:lang w:eastAsia="en-GB"/>
        </w:rPr>
        <w:t>, Henry, 2011, </w:t>
      </w:r>
      <w:r w:rsidR="00DC460D" w:rsidRPr="00836AD8">
        <w:rPr>
          <w:rFonts w:ascii="Times New Roman" w:eastAsia="Times New Roman" w:hAnsi="Times New Roman" w:cs="Times New Roman"/>
          <w:iCs/>
          <w:color w:val="000000" w:themeColor="text1"/>
          <w:sz w:val="18"/>
          <w:szCs w:val="18"/>
          <w:lang w:eastAsia="en-GB"/>
        </w:rPr>
        <w:t>Kant’s Groundwork for the Metaphysics of Morals: A Commentary</w:t>
      </w:r>
      <w:r w:rsidR="00DC460D" w:rsidRPr="00836AD8">
        <w:rPr>
          <w:rFonts w:ascii="Times New Roman" w:eastAsia="Times New Roman" w:hAnsi="Times New Roman" w:cs="Times New Roman"/>
          <w:color w:val="000000" w:themeColor="text1"/>
          <w:sz w:val="18"/>
          <w:szCs w:val="18"/>
          <w:lang w:eastAsia="en-GB"/>
        </w:rPr>
        <w:t>, Oxford: Oxford University Press.</w:t>
      </w:r>
      <w:r w:rsidR="00DC460D" w:rsidRPr="00836AD8">
        <w:rPr>
          <w:rFonts w:ascii="Times New Roman" w:hAnsi="Times New Roman" w:cs="Times New Roman"/>
          <w:color w:val="000000" w:themeColor="text1"/>
          <w:sz w:val="18"/>
          <w:szCs w:val="18"/>
        </w:rPr>
        <w:t xml:space="preserve"> </w:t>
      </w:r>
      <w:hyperlink r:id="rId18" w:history="1">
        <w:r w:rsidR="00DC460D" w:rsidRPr="00836AD8">
          <w:rPr>
            <w:rStyle w:val="Hyperlink"/>
            <w:rFonts w:ascii="Times New Roman" w:hAnsi="Times New Roman" w:cs="Times New Roman"/>
            <w:sz w:val="18"/>
            <w:szCs w:val="18"/>
          </w:rPr>
          <w:t>https://plato.stanford.edu/entries/kant-moral/[Accessed:21/02/2018</w:t>
        </w:r>
      </w:hyperlink>
      <w:r w:rsidR="00DC460D" w:rsidRPr="00836AD8">
        <w:rPr>
          <w:rFonts w:ascii="Times New Roman" w:hAnsi="Times New Roman" w:cs="Times New Roman"/>
          <w:color w:val="000000" w:themeColor="text1"/>
          <w:sz w:val="18"/>
          <w:szCs w:val="18"/>
        </w:rPr>
        <w:t xml:space="preserve">] and also found in </w:t>
      </w:r>
      <w:bookmarkStart w:id="12" w:name="_Hlk510024921"/>
      <w:r w:rsidR="00590467" w:rsidRPr="00836AD8">
        <w:fldChar w:fldCharType="begin"/>
      </w:r>
      <w:r w:rsidR="00590467" w:rsidRPr="00836AD8">
        <w:rPr>
          <w:rFonts w:ascii="Times New Roman" w:hAnsi="Times New Roman" w:cs="Times New Roman"/>
          <w:sz w:val="18"/>
          <w:szCs w:val="18"/>
        </w:rPr>
        <w:instrText xml:space="preserve"> HYPERLINK "http://www.alevelphilosophy.co.uk/handouts_ethics/KantEuthanasia.pdf" </w:instrText>
      </w:r>
      <w:r w:rsidR="00590467" w:rsidRPr="00836AD8">
        <w:fldChar w:fldCharType="separate"/>
      </w:r>
      <w:r w:rsidRPr="00836AD8">
        <w:rPr>
          <w:rStyle w:val="Hyperlink"/>
          <w:rFonts w:ascii="Times New Roman" w:hAnsi="Times New Roman" w:cs="Times New Roman"/>
          <w:sz w:val="18"/>
          <w:szCs w:val="18"/>
        </w:rPr>
        <w:t>http://www.alevelphilosophy.co.uk/handouts_ethics/KantEuthanasia.pdf</w:t>
      </w:r>
      <w:r w:rsidR="00590467" w:rsidRPr="00836AD8">
        <w:rPr>
          <w:rStyle w:val="Hyperlink"/>
          <w:rFonts w:ascii="Times New Roman" w:hAnsi="Times New Roman" w:cs="Times New Roman"/>
          <w:sz w:val="18"/>
          <w:szCs w:val="18"/>
        </w:rPr>
        <w:fldChar w:fldCharType="end"/>
      </w:r>
      <w:bookmarkEnd w:id="12"/>
    </w:p>
  </w:footnote>
  <w:footnote w:id="57">
    <w:p w14:paraId="49AB5B38" w14:textId="0CC3F5C2" w:rsidR="00C50439" w:rsidRPr="00836AD8" w:rsidRDefault="00C50439" w:rsidP="00703B98">
      <w:pPr>
        <w:pStyle w:val="Heading1"/>
        <w:spacing w:before="0"/>
        <w:rPr>
          <w:rFonts w:ascii="Times New Roman" w:hAnsi="Times New Roman" w:cs="Times New Roman"/>
          <w:sz w:val="18"/>
          <w:szCs w:val="18"/>
        </w:rPr>
      </w:pPr>
      <w:r w:rsidRPr="00836AD8">
        <w:rPr>
          <w:rStyle w:val="FootnoteReference"/>
          <w:rFonts w:ascii="Times New Roman" w:hAnsi="Times New Roman" w:cs="Times New Roman"/>
          <w:color w:val="auto"/>
          <w:sz w:val="18"/>
          <w:szCs w:val="18"/>
        </w:rPr>
        <w:footnoteRef/>
      </w:r>
      <w:r w:rsidRPr="00836AD8">
        <w:rPr>
          <w:rFonts w:ascii="Times New Roman" w:hAnsi="Times New Roman" w:cs="Times New Roman"/>
          <w:color w:val="auto"/>
          <w:sz w:val="18"/>
          <w:szCs w:val="18"/>
        </w:rPr>
        <w:t xml:space="preserve"> </w:t>
      </w:r>
      <w:r w:rsidR="00703B98" w:rsidRPr="00836AD8">
        <w:rPr>
          <w:rFonts w:ascii="Times New Roman" w:hAnsi="Times New Roman" w:cs="Times New Roman"/>
          <w:sz w:val="18"/>
          <w:szCs w:val="18"/>
        </w:rPr>
        <w:t>Ibid.</w:t>
      </w:r>
    </w:p>
  </w:footnote>
  <w:footnote w:id="58">
    <w:p w14:paraId="4DD74085" w14:textId="5EE7D724" w:rsidR="00C50439" w:rsidRPr="00836AD8" w:rsidRDefault="00C50439" w:rsidP="00703B98">
      <w:pPr>
        <w:pStyle w:val="Heading1"/>
        <w:spacing w:before="0"/>
        <w:rPr>
          <w:rFonts w:ascii="Times New Roman" w:hAnsi="Times New Roman" w:cs="Times New Roman"/>
          <w:sz w:val="18"/>
          <w:szCs w:val="18"/>
        </w:rPr>
      </w:pPr>
      <w:r w:rsidRPr="00836AD8">
        <w:rPr>
          <w:rStyle w:val="FootnoteReference"/>
          <w:rFonts w:ascii="Times New Roman" w:hAnsi="Times New Roman" w:cs="Times New Roman"/>
          <w:color w:val="auto"/>
          <w:sz w:val="18"/>
          <w:szCs w:val="18"/>
        </w:rPr>
        <w:footnoteRef/>
      </w:r>
      <w:r w:rsidRPr="00836AD8">
        <w:rPr>
          <w:rFonts w:ascii="Times New Roman" w:hAnsi="Times New Roman" w:cs="Times New Roman"/>
          <w:color w:val="auto"/>
          <w:sz w:val="18"/>
          <w:szCs w:val="18"/>
        </w:rPr>
        <w:t xml:space="preserve"> </w:t>
      </w:r>
      <w:bookmarkStart w:id="13" w:name="_Hlk510022110"/>
      <w:r w:rsidR="00703B98" w:rsidRPr="00836AD8">
        <w:rPr>
          <w:rFonts w:ascii="Times New Roman" w:hAnsi="Times New Roman" w:cs="Times New Roman"/>
          <w:color w:val="auto"/>
          <w:sz w:val="18"/>
          <w:szCs w:val="18"/>
        </w:rPr>
        <w:t xml:space="preserve">Singer. Peter </w:t>
      </w:r>
      <w:r w:rsidR="00703B98" w:rsidRPr="00836AD8">
        <w:rPr>
          <w:rFonts w:ascii="Times New Roman" w:hAnsi="Times New Roman" w:cs="Times New Roman"/>
          <w:i/>
          <w:color w:val="auto"/>
          <w:sz w:val="18"/>
          <w:szCs w:val="18"/>
        </w:rPr>
        <w:t xml:space="preserve">‘Practical Ethics’ </w:t>
      </w:r>
      <w:r w:rsidR="00703B98" w:rsidRPr="00836AD8">
        <w:rPr>
          <w:rFonts w:ascii="Times New Roman" w:hAnsi="Times New Roman" w:cs="Times New Roman"/>
          <w:color w:val="auto"/>
          <w:sz w:val="18"/>
          <w:szCs w:val="18"/>
        </w:rPr>
        <w:t>Second Edition, (Published by: Cambridge University Press, 1997) Pp.</w:t>
      </w:r>
      <w:r w:rsidRPr="00836AD8">
        <w:rPr>
          <w:rFonts w:ascii="Times New Roman" w:hAnsi="Times New Roman" w:cs="Times New Roman"/>
          <w:color w:val="auto"/>
          <w:sz w:val="18"/>
          <w:szCs w:val="18"/>
        </w:rPr>
        <w:t xml:space="preserve"> 209-210</w:t>
      </w:r>
      <w:bookmarkEnd w:id="13"/>
    </w:p>
  </w:footnote>
  <w:footnote w:id="59">
    <w:p w14:paraId="55D30B9A" w14:textId="0F4C2D49" w:rsidR="00C50439" w:rsidRDefault="00C50439" w:rsidP="00703B98">
      <w:pPr>
        <w:pStyle w:val="Heading1"/>
        <w:spacing w:before="0"/>
      </w:pPr>
      <w:r w:rsidRPr="00836AD8">
        <w:rPr>
          <w:rStyle w:val="FootnoteReference"/>
          <w:rFonts w:ascii="Times New Roman" w:hAnsi="Times New Roman" w:cs="Times New Roman"/>
          <w:color w:val="auto"/>
          <w:sz w:val="18"/>
          <w:szCs w:val="18"/>
        </w:rPr>
        <w:footnoteRef/>
      </w:r>
      <w:r w:rsidRPr="00836AD8">
        <w:rPr>
          <w:rFonts w:ascii="Times New Roman" w:hAnsi="Times New Roman" w:cs="Times New Roman"/>
          <w:sz w:val="18"/>
          <w:szCs w:val="18"/>
        </w:rPr>
        <w:t xml:space="preserve"> </w:t>
      </w:r>
      <w:r w:rsidR="0026179E" w:rsidRPr="00836AD8">
        <w:rPr>
          <w:rFonts w:ascii="Times New Roman" w:hAnsi="Times New Roman" w:cs="Times New Roman"/>
          <w:color w:val="auto"/>
          <w:sz w:val="18"/>
          <w:szCs w:val="18"/>
        </w:rPr>
        <w:t xml:space="preserve">Singer. Peter </w:t>
      </w:r>
      <w:r w:rsidR="0026179E" w:rsidRPr="00836AD8">
        <w:rPr>
          <w:rFonts w:ascii="Times New Roman" w:hAnsi="Times New Roman" w:cs="Times New Roman"/>
          <w:i/>
          <w:color w:val="auto"/>
          <w:sz w:val="18"/>
          <w:szCs w:val="18"/>
        </w:rPr>
        <w:t xml:space="preserve">‘Practical Ethics’ </w:t>
      </w:r>
      <w:r w:rsidR="0026179E" w:rsidRPr="00836AD8">
        <w:rPr>
          <w:rFonts w:ascii="Times New Roman" w:hAnsi="Times New Roman" w:cs="Times New Roman"/>
          <w:color w:val="auto"/>
          <w:sz w:val="18"/>
          <w:szCs w:val="18"/>
        </w:rPr>
        <w:t>Second Edition, (Published by: Cambridge University Press, 1997) Pp. 209-210</w:t>
      </w:r>
      <w:r w:rsidRPr="00836AD8">
        <w:rPr>
          <w:sz w:val="36"/>
        </w:rPr>
        <w:t xml:space="preserve"> </w:t>
      </w:r>
    </w:p>
  </w:footnote>
  <w:footnote w:id="60">
    <w:p w14:paraId="0147E7BC" w14:textId="46DC0E5E"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Fuchs</w:t>
      </w:r>
      <w:r w:rsidR="0026179E" w:rsidRPr="0026179E">
        <w:rPr>
          <w:rFonts w:ascii="Times New Roman" w:hAnsi="Times New Roman"/>
          <w:sz w:val="18"/>
          <w:szCs w:val="18"/>
        </w:rPr>
        <w:t>.  Thomas ‘The notion of ‘killing’. Causality, intention, and motivation in active and passive euthanasia’ (Kluwer Academic Publishers, Netherlands, 1998)</w:t>
      </w:r>
    </w:p>
  </w:footnote>
  <w:footnote w:id="61">
    <w:p w14:paraId="3E91DB42" w14:textId="225E9A76"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bookmarkStart w:id="14" w:name="_Hlk510024263"/>
      <w:r w:rsidR="0026179E" w:rsidRPr="0026179E">
        <w:rPr>
          <w:rFonts w:ascii="Times New Roman" w:hAnsi="Times New Roman"/>
          <w:sz w:val="18"/>
          <w:szCs w:val="18"/>
        </w:rPr>
        <w:t>Fuchs.  Thomas ‘The notion of ‘killing’. Causality, intention, and motivation in active and passive euthanasia’ (Kluwer Academic Publishers, Netherlands, 1998)</w:t>
      </w:r>
    </w:p>
    <w:bookmarkEnd w:id="14"/>
  </w:footnote>
  <w:footnote w:id="62">
    <w:p w14:paraId="7C954326" w14:textId="79E5FB00" w:rsidR="00C50439" w:rsidRPr="0026179E" w:rsidRDefault="00C50439">
      <w:pPr>
        <w:pStyle w:val="FootnoteText"/>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r w:rsidR="0026179E" w:rsidRPr="0026179E">
        <w:rPr>
          <w:rFonts w:ascii="Times New Roman" w:hAnsi="Times New Roman"/>
          <w:sz w:val="18"/>
          <w:szCs w:val="18"/>
        </w:rPr>
        <w:t>Fuchs.  Thomas ‘The notion of ‘killing’. Causality, intention, and motivation in active and passive euthanasia’ (Kluwer Academic Publishers, Netherlands, 1998)</w:t>
      </w:r>
    </w:p>
  </w:footnote>
  <w:footnote w:id="63">
    <w:p w14:paraId="6BC98FCC" w14:textId="1067B717" w:rsidR="0026179E" w:rsidRPr="0026179E" w:rsidRDefault="00C50439" w:rsidP="0026179E">
      <w:pPr>
        <w:pStyle w:val="HTMLAddress"/>
        <w:shd w:val="clear" w:color="auto" w:fill="FFFFFF"/>
        <w:suppressAutoHyphens w:val="0"/>
        <w:autoSpaceDN/>
        <w:textAlignment w:val="auto"/>
        <w:rPr>
          <w:rFonts w:ascii="Times New Roman" w:hAnsi="Times New Roman"/>
          <w:sz w:val="18"/>
          <w:szCs w:val="18"/>
        </w:rPr>
      </w:pPr>
      <w:r w:rsidRPr="0026179E">
        <w:rPr>
          <w:rStyle w:val="FootnoteReference"/>
          <w:rFonts w:ascii="Times New Roman" w:hAnsi="Times New Roman"/>
          <w:sz w:val="18"/>
          <w:szCs w:val="18"/>
        </w:rPr>
        <w:footnoteRef/>
      </w:r>
      <w:r w:rsidRPr="0026179E">
        <w:rPr>
          <w:rFonts w:ascii="Times New Roman" w:hAnsi="Times New Roman"/>
          <w:sz w:val="18"/>
          <w:szCs w:val="18"/>
        </w:rPr>
        <w:t xml:space="preserve"> </w:t>
      </w:r>
      <w:r w:rsidR="0026179E" w:rsidRPr="0026179E">
        <w:rPr>
          <w:rFonts w:ascii="Times New Roman" w:hAnsi="Times New Roman"/>
          <w:i w:val="0"/>
          <w:color w:val="000000" w:themeColor="text1"/>
          <w:sz w:val="18"/>
          <w:szCs w:val="18"/>
        </w:rPr>
        <w:t>H. V. McLachlan, ‘The Ethics of Killing and Letting Die: Active and Passive Euthanasia’ (</w:t>
      </w:r>
      <w:r w:rsidR="0026179E" w:rsidRPr="0026179E">
        <w:rPr>
          <w:rFonts w:ascii="Times New Roman" w:eastAsia="Times New Roman" w:hAnsi="Times New Roman"/>
          <w:i w:val="0"/>
          <w:color w:val="000000" w:themeColor="text1"/>
          <w:sz w:val="18"/>
          <w:szCs w:val="18"/>
          <w:lang w:eastAsia="en-GB"/>
        </w:rPr>
        <w:t xml:space="preserve">Centre for Ethics in Public Policy and Corporate Governance, School of Law and Social Sciences, Glasgow Caledonian University, Glasgow, UK) </w:t>
      </w:r>
      <w:hyperlink r:id="rId19" w:history="1">
        <w:r w:rsidR="0026179E" w:rsidRPr="0026179E">
          <w:rPr>
            <w:rStyle w:val="Hyperlink"/>
            <w:rFonts w:ascii="Times New Roman" w:eastAsia="Times New Roman" w:hAnsi="Times New Roman"/>
            <w:i w:val="0"/>
            <w:sz w:val="18"/>
            <w:szCs w:val="18"/>
            <w:lang w:eastAsia="en-GB"/>
          </w:rPr>
          <w:t>http://jme.bmj.com/content/34/8/636</w:t>
        </w:r>
      </w:hyperlink>
      <w:r w:rsidR="0026179E" w:rsidRPr="0026179E">
        <w:rPr>
          <w:rFonts w:ascii="Times New Roman" w:eastAsia="Times New Roman" w:hAnsi="Times New Roman"/>
          <w:i w:val="0"/>
          <w:color w:val="000000" w:themeColor="text1"/>
          <w:sz w:val="18"/>
          <w:szCs w:val="18"/>
          <w:lang w:eastAsia="en-GB"/>
        </w:rPr>
        <w:t xml:space="preserve"> [Accessed:20/03/2018]</w:t>
      </w:r>
    </w:p>
    <w:p w14:paraId="053DFBC0" w14:textId="77777777" w:rsidR="00C50439" w:rsidRDefault="00C5043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A651B"/>
    <w:multiLevelType w:val="multilevel"/>
    <w:tmpl w:val="211EF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5B1952"/>
    <w:multiLevelType w:val="multilevel"/>
    <w:tmpl w:val="3E441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CF15EE"/>
    <w:multiLevelType w:val="multilevel"/>
    <w:tmpl w:val="12E4F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6A182D"/>
    <w:multiLevelType w:val="multilevel"/>
    <w:tmpl w:val="75361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51B"/>
    <w:rsid w:val="00000642"/>
    <w:rsid w:val="00001034"/>
    <w:rsid w:val="00002A78"/>
    <w:rsid w:val="00015521"/>
    <w:rsid w:val="00045D29"/>
    <w:rsid w:val="000709BD"/>
    <w:rsid w:val="000755A5"/>
    <w:rsid w:val="00095053"/>
    <w:rsid w:val="000A0988"/>
    <w:rsid w:val="000A35B3"/>
    <w:rsid w:val="000B1169"/>
    <w:rsid w:val="000F327B"/>
    <w:rsid w:val="00197E6A"/>
    <w:rsid w:val="0026179E"/>
    <w:rsid w:val="002726CC"/>
    <w:rsid w:val="002958F3"/>
    <w:rsid w:val="002F02D9"/>
    <w:rsid w:val="00313E4E"/>
    <w:rsid w:val="00314934"/>
    <w:rsid w:val="00315C3C"/>
    <w:rsid w:val="00346457"/>
    <w:rsid w:val="00361222"/>
    <w:rsid w:val="00364F04"/>
    <w:rsid w:val="003E5430"/>
    <w:rsid w:val="004034C6"/>
    <w:rsid w:val="004215E9"/>
    <w:rsid w:val="0043522C"/>
    <w:rsid w:val="004B1E76"/>
    <w:rsid w:val="004B2F88"/>
    <w:rsid w:val="004C0994"/>
    <w:rsid w:val="004C21EB"/>
    <w:rsid w:val="004C6B54"/>
    <w:rsid w:val="004D4310"/>
    <w:rsid w:val="0057171B"/>
    <w:rsid w:val="00571C32"/>
    <w:rsid w:val="00590467"/>
    <w:rsid w:val="00595FC6"/>
    <w:rsid w:val="00597394"/>
    <w:rsid w:val="005A56E0"/>
    <w:rsid w:val="005C619B"/>
    <w:rsid w:val="00605785"/>
    <w:rsid w:val="006106C6"/>
    <w:rsid w:val="006241B5"/>
    <w:rsid w:val="00635C02"/>
    <w:rsid w:val="00642FBF"/>
    <w:rsid w:val="00644C79"/>
    <w:rsid w:val="00647A68"/>
    <w:rsid w:val="00664DFF"/>
    <w:rsid w:val="0069651B"/>
    <w:rsid w:val="006A2F4B"/>
    <w:rsid w:val="006D2836"/>
    <w:rsid w:val="006E023B"/>
    <w:rsid w:val="006E401A"/>
    <w:rsid w:val="00703B98"/>
    <w:rsid w:val="007B19FF"/>
    <w:rsid w:val="007C5FAB"/>
    <w:rsid w:val="007F1AAC"/>
    <w:rsid w:val="00836AD8"/>
    <w:rsid w:val="00880DD0"/>
    <w:rsid w:val="008C5738"/>
    <w:rsid w:val="008E27FE"/>
    <w:rsid w:val="00913BF3"/>
    <w:rsid w:val="009472D4"/>
    <w:rsid w:val="009746E8"/>
    <w:rsid w:val="00993A6D"/>
    <w:rsid w:val="009B0A88"/>
    <w:rsid w:val="009D1E20"/>
    <w:rsid w:val="00A34352"/>
    <w:rsid w:val="00AD7713"/>
    <w:rsid w:val="00B43012"/>
    <w:rsid w:val="00B77979"/>
    <w:rsid w:val="00B820C2"/>
    <w:rsid w:val="00B85EC8"/>
    <w:rsid w:val="00B968AD"/>
    <w:rsid w:val="00C10293"/>
    <w:rsid w:val="00C50439"/>
    <w:rsid w:val="00CF3271"/>
    <w:rsid w:val="00D01572"/>
    <w:rsid w:val="00D400DB"/>
    <w:rsid w:val="00D40FA0"/>
    <w:rsid w:val="00D67118"/>
    <w:rsid w:val="00D72119"/>
    <w:rsid w:val="00D86BB0"/>
    <w:rsid w:val="00DC460D"/>
    <w:rsid w:val="00E82587"/>
    <w:rsid w:val="00E85CAB"/>
    <w:rsid w:val="00E94582"/>
    <w:rsid w:val="00EA5BB2"/>
    <w:rsid w:val="00EA783C"/>
    <w:rsid w:val="00EF2651"/>
    <w:rsid w:val="00EF32CE"/>
    <w:rsid w:val="00F106AC"/>
    <w:rsid w:val="00FB4A21"/>
    <w:rsid w:val="00FB51AF"/>
    <w:rsid w:val="00FC66AA"/>
    <w:rsid w:val="00FD7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904D9"/>
  <w15:docId w15:val="{24D85E3E-2174-4D33-B946-7774ADE03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link w:val="Heading1Char"/>
    <w:uiPriority w:val="9"/>
    <w:qFormat/>
    <w:rsid w:val="00197E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pPr>
      <w:spacing w:before="100" w:after="100"/>
      <w:textAlignment w:val="auto"/>
      <w:outlineLvl w:val="1"/>
    </w:pPr>
    <w:rPr>
      <w:rFonts w:ascii="Times New Roman" w:eastAsia="Times New Roman" w:hAnsi="Times New Roman"/>
      <w:b/>
      <w:bCs/>
      <w:sz w:val="36"/>
      <w:szCs w:val="36"/>
      <w:lang w:eastAsia="en-GB"/>
    </w:rPr>
  </w:style>
  <w:style w:type="paragraph" w:styleId="Heading4">
    <w:name w:val="heading 4"/>
    <w:basedOn w:val="Normal"/>
    <w:pPr>
      <w:spacing w:before="100" w:after="100"/>
      <w:textAlignment w:val="auto"/>
      <w:outlineLvl w:val="3"/>
    </w:pPr>
    <w:rPr>
      <w:rFonts w:ascii="Times New Roman" w:eastAsia="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rFonts w:ascii="Calibri" w:eastAsia="Calibri" w:hAnsi="Calibri" w:cs="Times New Roman"/>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paragraph" w:styleId="NoSpacing">
    <w:name w:val="No Spacing"/>
    <w:pPr>
      <w:suppressAutoHyphens/>
      <w:spacing w:after="0"/>
    </w:pPr>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rPr>
      <w:rFonts w:ascii="Times New Roman" w:eastAsia="Times New Roman" w:hAnsi="Times New Roman" w:cs="Times New Roman"/>
      <w:b/>
      <w:bCs/>
      <w:sz w:val="24"/>
      <w:szCs w:val="24"/>
      <w:lang w:eastAsia="en-GB"/>
    </w:rPr>
  </w:style>
  <w:style w:type="paragraph" w:styleId="NormalWeb">
    <w:name w:val="Normal (Web)"/>
    <w:basedOn w:val="Normal"/>
    <w:pPr>
      <w:spacing w:before="100" w:after="100"/>
      <w:textAlignment w:val="auto"/>
    </w:pPr>
    <w:rPr>
      <w:rFonts w:ascii="Times New Roman" w:eastAsia="Times New Roman" w:hAnsi="Times New Roman"/>
      <w:sz w:val="24"/>
      <w:szCs w:val="24"/>
      <w:lang w:eastAsia="en-GB"/>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character" w:customStyle="1" w:styleId="UnresolvedMention1">
    <w:name w:val="Unresolved Mention1"/>
    <w:basedOn w:val="DefaultParagraphFont"/>
    <w:rPr>
      <w:color w:val="808080"/>
      <w:shd w:val="clear" w:color="auto" w:fill="E6E6E6"/>
    </w:rPr>
  </w:style>
  <w:style w:type="character" w:customStyle="1" w:styleId="UnresolvedMention2">
    <w:name w:val="Unresolved Mention2"/>
    <w:basedOn w:val="DefaultParagraphFont"/>
    <w:uiPriority w:val="99"/>
    <w:semiHidden/>
    <w:unhideWhenUsed/>
    <w:rsid w:val="004034C6"/>
    <w:rPr>
      <w:color w:val="808080"/>
      <w:shd w:val="clear" w:color="auto" w:fill="E6E6E6"/>
    </w:rPr>
  </w:style>
  <w:style w:type="character" w:customStyle="1" w:styleId="Heading1Char">
    <w:name w:val="Heading 1 Char"/>
    <w:basedOn w:val="DefaultParagraphFont"/>
    <w:link w:val="Heading1"/>
    <w:uiPriority w:val="9"/>
    <w:rsid w:val="00197E6A"/>
    <w:rPr>
      <w:rFonts w:asciiTheme="majorHAnsi" w:eastAsiaTheme="majorEastAsia" w:hAnsiTheme="majorHAnsi" w:cstheme="majorBidi"/>
      <w:color w:val="2E74B5" w:themeColor="accent1" w:themeShade="BF"/>
      <w:sz w:val="32"/>
      <w:szCs w:val="32"/>
    </w:rPr>
  </w:style>
  <w:style w:type="paragraph" w:styleId="HTMLAddress">
    <w:name w:val="HTML Address"/>
    <w:basedOn w:val="Normal"/>
    <w:link w:val="HTMLAddressChar"/>
    <w:uiPriority w:val="99"/>
    <w:unhideWhenUsed/>
    <w:rsid w:val="00D72119"/>
    <w:pPr>
      <w:spacing w:after="0"/>
    </w:pPr>
    <w:rPr>
      <w:i/>
      <w:iCs/>
    </w:rPr>
  </w:style>
  <w:style w:type="character" w:customStyle="1" w:styleId="HTMLAddressChar">
    <w:name w:val="HTML Address Char"/>
    <w:basedOn w:val="DefaultParagraphFont"/>
    <w:link w:val="HTMLAddress"/>
    <w:uiPriority w:val="99"/>
    <w:rsid w:val="00D72119"/>
    <w:rPr>
      <w:i/>
      <w:iCs/>
    </w:rPr>
  </w:style>
  <w:style w:type="character" w:styleId="UnresolvedMention">
    <w:name w:val="Unresolved Mention"/>
    <w:basedOn w:val="DefaultParagraphFont"/>
    <w:uiPriority w:val="99"/>
    <w:semiHidden/>
    <w:unhideWhenUsed/>
    <w:rsid w:val="00D72119"/>
    <w:rPr>
      <w:color w:val="808080"/>
      <w:shd w:val="clear" w:color="auto" w:fill="E6E6E6"/>
    </w:rPr>
  </w:style>
  <w:style w:type="character" w:styleId="Emphasis">
    <w:name w:val="Emphasis"/>
    <w:basedOn w:val="DefaultParagraphFont"/>
    <w:uiPriority w:val="20"/>
    <w:qFormat/>
    <w:rsid w:val="006E40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1223">
      <w:bodyDiv w:val="1"/>
      <w:marLeft w:val="0"/>
      <w:marRight w:val="0"/>
      <w:marTop w:val="0"/>
      <w:marBottom w:val="0"/>
      <w:divBdr>
        <w:top w:val="none" w:sz="0" w:space="0" w:color="auto"/>
        <w:left w:val="none" w:sz="0" w:space="0" w:color="auto"/>
        <w:bottom w:val="none" w:sz="0" w:space="0" w:color="auto"/>
        <w:right w:val="none" w:sz="0" w:space="0" w:color="auto"/>
      </w:divBdr>
    </w:div>
    <w:div w:id="411783332">
      <w:bodyDiv w:val="1"/>
      <w:marLeft w:val="0"/>
      <w:marRight w:val="0"/>
      <w:marTop w:val="0"/>
      <w:marBottom w:val="0"/>
      <w:divBdr>
        <w:top w:val="none" w:sz="0" w:space="0" w:color="auto"/>
        <w:left w:val="none" w:sz="0" w:space="0" w:color="auto"/>
        <w:bottom w:val="none" w:sz="0" w:space="0" w:color="auto"/>
        <w:right w:val="none" w:sz="0" w:space="0" w:color="auto"/>
      </w:divBdr>
    </w:div>
    <w:div w:id="411854771">
      <w:bodyDiv w:val="1"/>
      <w:marLeft w:val="0"/>
      <w:marRight w:val="0"/>
      <w:marTop w:val="0"/>
      <w:marBottom w:val="0"/>
      <w:divBdr>
        <w:top w:val="none" w:sz="0" w:space="0" w:color="auto"/>
        <w:left w:val="none" w:sz="0" w:space="0" w:color="auto"/>
        <w:bottom w:val="none" w:sz="0" w:space="0" w:color="auto"/>
        <w:right w:val="none" w:sz="0" w:space="0" w:color="auto"/>
      </w:divBdr>
      <w:divsChild>
        <w:div w:id="1663200344">
          <w:marLeft w:val="0"/>
          <w:marRight w:val="0"/>
          <w:marTop w:val="0"/>
          <w:marBottom w:val="240"/>
          <w:divBdr>
            <w:top w:val="none" w:sz="0" w:space="0" w:color="auto"/>
            <w:left w:val="none" w:sz="0" w:space="0" w:color="auto"/>
            <w:bottom w:val="none" w:sz="0" w:space="0" w:color="auto"/>
            <w:right w:val="none" w:sz="0" w:space="0" w:color="auto"/>
          </w:divBdr>
        </w:div>
      </w:divsChild>
    </w:div>
    <w:div w:id="1229655228">
      <w:bodyDiv w:val="1"/>
      <w:marLeft w:val="0"/>
      <w:marRight w:val="0"/>
      <w:marTop w:val="0"/>
      <w:marBottom w:val="0"/>
      <w:divBdr>
        <w:top w:val="none" w:sz="0" w:space="0" w:color="auto"/>
        <w:left w:val="none" w:sz="0" w:space="0" w:color="auto"/>
        <w:bottom w:val="none" w:sz="0" w:space="0" w:color="auto"/>
        <w:right w:val="none" w:sz="0" w:space="0" w:color="auto"/>
      </w:divBdr>
    </w:div>
    <w:div w:id="13796965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kant-moral/" TargetMode="External"/><Relationship Id="rId13" Type="http://schemas.openxmlformats.org/officeDocument/2006/relationships/hyperlink" Target="http://www.alevelphilosophy.co.uk/handouts_ethics/KantEuthanasia.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ought.com/2017/09/30/the-needle-and-the-plug-is-there-a-difference-between-killing-and-letting-di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bbc.co.uk/ethics/euthanasia/overview/activepassive_1.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me.bmj.com/content/34/8/636" TargetMode="External"/><Relationship Id="rId5" Type="http://schemas.openxmlformats.org/officeDocument/2006/relationships/webSettings" Target="webSettings.xml"/><Relationship Id="rId15" Type="http://schemas.openxmlformats.org/officeDocument/2006/relationships/hyperlink" Target="https://plato.stanford.edu/entries/doing-allowing/" TargetMode="External"/><Relationship Id="rId10" Type="http://schemas.openxmlformats.org/officeDocument/2006/relationships/hyperlink" Target="http://jme.bmj.com/content/medethics/14/3/132.ful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jme.bmj.com/content/medethics/31/2/64.full.pdf" TargetMode="External"/><Relationship Id="rId14" Type="http://schemas.openxmlformats.org/officeDocument/2006/relationships/hyperlink" Target="https://sites.ualberta.ca/~bleier/Rachels_Euthanasia.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sites.ualberta.ca/~bleier/Rachels_Euthanasia.pdf" TargetMode="External"/><Relationship Id="rId13" Type="http://schemas.openxmlformats.org/officeDocument/2006/relationships/hyperlink" Target="http://jme.bmj.com/content/medethics/14/3/132.full.pdf" TargetMode="External"/><Relationship Id="rId18" Type="http://schemas.openxmlformats.org/officeDocument/2006/relationships/hyperlink" Target="https://plato.stanford.edu/entries/kant-moral/%5bAccessed:21/02/2018" TargetMode="External"/><Relationship Id="rId3" Type="http://schemas.openxmlformats.org/officeDocument/2006/relationships/hyperlink" Target="http://jme.bmj.com/content/medethics/31/2/64.full.pdf" TargetMode="External"/><Relationship Id="rId7" Type="http://schemas.openxmlformats.org/officeDocument/2006/relationships/hyperlink" Target="http://www.bbc.co.uk/ethics/euthanasia/overview/activepassive_1.shtml" TargetMode="External"/><Relationship Id="rId12" Type="http://schemas.openxmlformats.org/officeDocument/2006/relationships/hyperlink" Target="http://appethics.blogspot.co.uk/2010/05/singer-active-and-passive-euthanasia.html" TargetMode="External"/><Relationship Id="rId17" Type="http://schemas.openxmlformats.org/officeDocument/2006/relationships/hyperlink" Target="https://plato.stanford.edu/entries/kant-moral/" TargetMode="External"/><Relationship Id="rId2" Type="http://schemas.openxmlformats.org/officeDocument/2006/relationships/hyperlink" Target="https://theought.com/2017/09/30/the-needle-and-the-plug-is-there-a-difference-between-killing-and-letting-die/" TargetMode="External"/><Relationship Id="rId16" Type="http://schemas.openxmlformats.org/officeDocument/2006/relationships/hyperlink" Target="http://www.bbc.co.uk/ethics/euthanasia/overview/activepassive_1.shtml" TargetMode="External"/><Relationship Id="rId1" Type="http://schemas.openxmlformats.org/officeDocument/2006/relationships/hyperlink" Target="http://jme.bmj.com/content/medethics/31/2/64.full.pdf" TargetMode="External"/><Relationship Id="rId6" Type="http://schemas.openxmlformats.org/officeDocument/2006/relationships/hyperlink" Target="http://jme.bmj.com/content/medethics/31/2/64.full.pdf" TargetMode="External"/><Relationship Id="rId11" Type="http://schemas.openxmlformats.org/officeDocument/2006/relationships/hyperlink" Target="http://appethics.blogspot.co.uk/2010/05/singer-active-and-passive-euthanasia.html" TargetMode="External"/><Relationship Id="rId5" Type="http://schemas.openxmlformats.org/officeDocument/2006/relationships/hyperlink" Target="http://jme.bmj.com/content/medethics/31/2/64.full.pdf" TargetMode="External"/><Relationship Id="rId15" Type="http://schemas.openxmlformats.org/officeDocument/2006/relationships/hyperlink" Target="http://www.bbc.co.uk/ethics/euthanasia/overview/activepassive_1.shtml" TargetMode="External"/><Relationship Id="rId10" Type="http://schemas.openxmlformats.org/officeDocument/2006/relationships/hyperlink" Target="http://jme.bmj.com/content/34/8/636" TargetMode="External"/><Relationship Id="rId19" Type="http://schemas.openxmlformats.org/officeDocument/2006/relationships/hyperlink" Target="http://jme.bmj.com/content/34/8/636" TargetMode="External"/><Relationship Id="rId4" Type="http://schemas.openxmlformats.org/officeDocument/2006/relationships/hyperlink" Target="http://jme.bmj.com/content/medethics/31/2/64.full.pdf" TargetMode="External"/><Relationship Id="rId9" Type="http://schemas.openxmlformats.org/officeDocument/2006/relationships/hyperlink" Target="http://jme.bmj.com/content/34/8/636" TargetMode="External"/><Relationship Id="rId14" Type="http://schemas.openxmlformats.org/officeDocument/2006/relationships/hyperlink" Target="http://jme.bmj.com/content/medethics/14/3/132.fu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224D9-C97D-4875-88CE-1E3704C1A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2799</Words>
  <Characters>15956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Crystal Kerr</dc:creator>
  <cp:lastModifiedBy>Student</cp:lastModifiedBy>
  <cp:revision>3</cp:revision>
  <cp:lastPrinted>2018-03-20T12:43:00Z</cp:lastPrinted>
  <dcterms:created xsi:type="dcterms:W3CDTF">2018-03-28T18:27:00Z</dcterms:created>
  <dcterms:modified xsi:type="dcterms:W3CDTF">2018-03-28T18:34:00Z</dcterms:modified>
</cp:coreProperties>
</file>