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Arial" w:hAnsi="Arial" w:cs="Arial" w:eastAsia="Arial"/>
          <w:b/>
          <w:color w:val="auto"/>
          <w:spacing w:val="0"/>
          <w:position w:val="0"/>
          <w:sz w:val="28"/>
          <w:shd w:fill="auto" w:val="clear"/>
        </w:rPr>
      </w:pPr>
    </w:p>
    <w:p>
      <w:pPr>
        <w:spacing w:before="0" w:after="0" w:line="240"/>
        <w:ind w:right="0" w:left="0" w:firstLine="0"/>
        <w:jc w:val="center"/>
        <w:rPr>
          <w:rFonts w:ascii="Arial" w:hAnsi="Arial" w:cs="Arial" w:eastAsia="Arial"/>
          <w:b/>
          <w:color w:val="auto"/>
          <w:spacing w:val="0"/>
          <w:position w:val="0"/>
          <w:sz w:val="28"/>
          <w:shd w:fill="auto" w:val="clear"/>
        </w:rPr>
      </w:pPr>
    </w:p>
    <w:p>
      <w:pPr>
        <w:spacing w:before="0" w:after="0" w:line="24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Module Code and Title: LCHS4003 Introduction to Health and Social Care</w:t>
      </w:r>
    </w:p>
    <w:p>
      <w:pPr>
        <w:spacing w:before="0" w:after="0" w:line="240"/>
        <w:ind w:right="0" w:left="0" w:firstLine="0"/>
        <w:jc w:val="center"/>
        <w:rPr>
          <w:rFonts w:ascii="Arial" w:hAnsi="Arial" w:cs="Arial" w:eastAsia="Arial"/>
          <w:b/>
          <w:color w:val="auto"/>
          <w:spacing w:val="0"/>
          <w:position w:val="0"/>
          <w:sz w:val="28"/>
          <w:shd w:fill="auto" w:val="clear"/>
        </w:rPr>
      </w:pPr>
    </w:p>
    <w:p>
      <w:pPr>
        <w:spacing w:before="0" w:after="0" w:line="24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Assignment Title: Component 2 - Written Assignment</w:t>
      </w: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0" w:line="240"/>
        <w:ind w:right="0" w:left="0" w:firstLine="0"/>
        <w:jc w:val="center"/>
        <w:rPr>
          <w:rFonts w:ascii="Arial" w:hAnsi="Arial" w:cs="Arial" w:eastAsia="Arial"/>
          <w:color w:val="auto"/>
          <w:spacing w:val="0"/>
          <w:position w:val="0"/>
          <w:sz w:val="28"/>
          <w:shd w:fill="auto" w:val="clear"/>
        </w:rPr>
      </w:pPr>
    </w:p>
    <w:p>
      <w:pPr>
        <w:spacing w:before="0" w:after="300" w:line="24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Name : Fenciuc Alin Constantin </w:t>
      </w:r>
    </w:p>
    <w:p>
      <w:pPr>
        <w:spacing w:before="0" w:after="300" w:line="240"/>
        <w:ind w:right="0" w:left="0" w:firstLine="0"/>
        <w:jc w:val="center"/>
        <w:rPr>
          <w:rFonts w:ascii="Calibri" w:hAnsi="Calibri" w:cs="Calibri" w:eastAsia="Calibri"/>
          <w:i/>
          <w:color w:val="555555"/>
          <w:spacing w:val="0"/>
          <w:position w:val="0"/>
          <w:sz w:val="24"/>
          <w:shd w:fill="auto" w:val="clear"/>
        </w:rPr>
      </w:pPr>
      <w:r>
        <w:rPr>
          <w:rFonts w:ascii="Arial" w:hAnsi="Arial" w:cs="Arial" w:eastAsia="Arial"/>
          <w:color w:val="auto"/>
          <w:spacing w:val="0"/>
          <w:position w:val="0"/>
          <w:sz w:val="28"/>
          <w:shd w:fill="auto" w:val="clear"/>
        </w:rPr>
        <w:t xml:space="preserve">Date : 18.08.2026</w:t>
      </w:r>
    </w:p>
    <w:p>
      <w:pPr>
        <w:spacing w:before="0" w:after="300" w:line="240"/>
        <w:ind w:right="0" w:left="0" w:firstLine="0"/>
        <w:jc w:val="center"/>
        <w:rPr>
          <w:rFonts w:ascii="Calibri" w:hAnsi="Calibri" w:cs="Calibri" w:eastAsia="Calibri"/>
          <w:i/>
          <w:color w:val="555555"/>
          <w:spacing w:val="0"/>
          <w:position w:val="0"/>
          <w:sz w:val="24"/>
          <w:shd w:fill="auto" w:val="clear"/>
        </w:rPr>
      </w:pPr>
    </w:p>
    <w:p>
      <w:pPr>
        <w:spacing w:before="0" w:after="300" w:line="240"/>
        <w:ind w:right="0" w:left="0" w:firstLine="0"/>
        <w:jc w:val="center"/>
        <w:rPr>
          <w:rFonts w:ascii="Arial" w:hAnsi="Arial" w:cs="Arial" w:eastAsia="Arial"/>
          <w:color w:val="auto"/>
          <w:spacing w:val="0"/>
          <w:position w:val="0"/>
          <w:sz w:val="22"/>
          <w:shd w:fill="auto" w:val="clear"/>
        </w:rPr>
      </w:pPr>
    </w:p>
    <w:p>
      <w:pPr>
        <w:spacing w:before="0" w:after="160" w:line="240"/>
        <w:ind w:right="0" w:left="0" w:firstLine="0"/>
        <w:jc w:val="left"/>
        <w:rPr>
          <w:rFonts w:ascii="Arial" w:hAnsi="Arial" w:cs="Arial" w:eastAsia="Arial"/>
          <w:b/>
          <w:color w:val="2E74B5"/>
          <w:spacing w:val="0"/>
          <w:position w:val="0"/>
          <w:sz w:val="30"/>
          <w:shd w:fill="auto" w:val="clear"/>
        </w:rPr>
      </w:pPr>
    </w:p>
    <w:p>
      <w:pPr>
        <w:spacing w:before="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1. Introduction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looks at the care and support provided to an elderly person, Mrs. Thompson, with mild dementia who has recently been discharged from hospital after suffering a pneumonia infection. It provides her with twice-a-day domiciliary care in her own home and she lives in sheltered housing without a family member living with her. A recent case, such as missing a medication causing increased confusion, and the fact that she has been seen out in cold temperatures inappropriately dressed, has led to a local authority review. The report reviews three components of good professional practice based on this case, referencing statutory guidance and internationally recognised practice: communication and working with service users and families, administrative and records practice and collaborative multi-agency working.</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2. Communication in Mrs. Thompson's Care</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a result of the mild dementia, Mrs. Thompson's memory, understanding and decision-making are impaired, leading to increased risks of memory loss or not taking medication, and exposing her to unsafe situations such as being found outside without appropriate clothing (Egan, 2018). Language needs to be carefully modified to suit her</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clear, slow and unrushed language, extra time for processing information, eye contact when speaking, and non-verbal communication (using touch, facial expression, to corroborate reassurance). Written information (e.g. reminder of medicines) should be written and easy to see. Family involvement is also an important part of good practice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relatives can play a part in decision making as well as to reinforce instructions and provide continuity between visits to care homes, ensuring that the person is not confused and at risk, with the agreement of Mrs Thompson.</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approach is founded on the principles of the Equality Act 2010, which exists to prevent discrimination against people based on protected characteristics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in the case of disability, this needs to be considered as well as the other protected characteristics (Boggs, 2022). Mrs. Thompson's impairments can now be seen as being covered by the Act, so staff are under an obligation to make reasonable adjustments, including for instance longer appointments, choosing easier communication, and making an advocate available if appropriate. The Act also allows for 'dignity' and 'person centred working' so that Mrs. Thompson is not dealt with less favourably because of her age or cognitive impairments, and decisions about her care involve her views.</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model of communication that is discussed as part of the teaching is Egan's SOLER Model which encourages listening in an attentive, respectful manner (Williams et al., 2018). As summarised in Table 1, SOLER: sitting squarely, adopting an open posture, facing and leaning towards the person, maintaining appropriate eye contact, and relaxing. Carers would sit at eye level facing the woman, have a non-crossed position, lean in to demonstrate interest, hold calm eye contact, reduce the anxiety and encourage her to talk about medications and wellbeing that she was concerned about. Applied to Mrs. Thompson she would sit at eye level next to her, have arms uncrossed, lean in slightly to show interest, maintain calm eye contact, reduce anxious response and encourage Mrs. Thompson to talk about her concerns for medications and well-being (Morris et al., 2018). This structured approach provides an opportunity for them to build trust, for staff to observe non-verbal indicators that she is distressed, confused or upset and for other family members to share information when discussion her care.</w:t>
      </w:r>
    </w:p>
    <w:p>
      <w:pPr>
        <w:spacing w:before="0" w:after="0" w:line="360"/>
        <w:ind w:right="0" w:left="0" w:firstLine="0"/>
        <w:jc w:val="both"/>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0"/>
          <w:shd w:fill="auto" w:val="clear"/>
        </w:rPr>
        <w:t xml:space="preserve">Table 1: Egan's SOLER Model applied to Mrs. Thompson's care</w:t>
      </w:r>
    </w:p>
    <w:tbl>
      <w:tblPr/>
      <w:tblGrid>
        <w:gridCol w:w="900"/>
        <w:gridCol w:w="1705"/>
        <w:gridCol w:w="4230"/>
      </w:tblGrid>
      <w:tr>
        <w:trPr>
          <w:trHeight w:val="1" w:hRule="atLeast"/>
          <w:jc w:val="center"/>
        </w:trPr>
        <w:tc>
          <w:tcPr>
            <w:tcW w:w="900" w:type="dxa"/>
            <w:tcBorders>
              <w:top w:val="single" w:color="000000" w:sz="4"/>
              <w:left w:val="single" w:color="000000" w:sz="4"/>
              <w:bottom w:val="single" w:color="000000" w:sz="4"/>
              <w:right w:val="single" w:color="000000" w:sz="4"/>
            </w:tcBorders>
            <w:shd w:color="auto" w:fill="1f4e5f" w:val="clear"/>
            <w:tcMar>
              <w:left w:w="100" w:type="dxa"/>
              <w:right w:w="10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Letter</w:t>
            </w:r>
          </w:p>
        </w:tc>
        <w:tc>
          <w:tcPr>
            <w:tcW w:w="1705" w:type="dxa"/>
            <w:tcBorders>
              <w:top w:val="single" w:color="000000" w:sz="4"/>
              <w:left w:val="single" w:color="000000" w:sz="4"/>
              <w:bottom w:val="single" w:color="000000" w:sz="4"/>
              <w:right w:val="single" w:color="000000" w:sz="4"/>
            </w:tcBorders>
            <w:shd w:color="auto" w:fill="1f4e5f" w:val="clear"/>
            <w:tcMar>
              <w:left w:w="100" w:type="dxa"/>
              <w:right w:w="10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Principle</w:t>
            </w:r>
          </w:p>
        </w:tc>
        <w:tc>
          <w:tcPr>
            <w:tcW w:w="4230" w:type="dxa"/>
            <w:tcBorders>
              <w:top w:val="single" w:color="000000" w:sz="4"/>
              <w:left w:val="single" w:color="000000" w:sz="4"/>
              <w:bottom w:val="single" w:color="000000" w:sz="4"/>
              <w:right w:val="single" w:color="000000" w:sz="4"/>
            </w:tcBorders>
            <w:shd w:color="auto" w:fill="1f4e5f" w:val="clear"/>
            <w:tcMar>
              <w:left w:w="100" w:type="dxa"/>
              <w:right w:w="10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Application with Mrs. Thompson</w:t>
            </w:r>
          </w:p>
        </w:tc>
      </w:tr>
      <w:tr>
        <w:trPr>
          <w:trHeight w:val="1" w:hRule="atLeast"/>
          <w:jc w:val="center"/>
        </w:trPr>
        <w:tc>
          <w:tcPr>
            <w:tcW w:w="90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S</w:t>
            </w:r>
          </w:p>
        </w:tc>
        <w:tc>
          <w:tcPr>
            <w:tcW w:w="1705"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Sit Squarely</w:t>
            </w:r>
          </w:p>
        </w:tc>
        <w:tc>
          <w:tcPr>
            <w:tcW w:w="423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Face her directly, not at an angle</w:t>
            </w:r>
          </w:p>
        </w:tc>
      </w:tr>
      <w:tr>
        <w:trPr>
          <w:trHeight w:val="1" w:hRule="atLeast"/>
          <w:jc w:val="center"/>
        </w:trPr>
        <w:tc>
          <w:tcPr>
            <w:tcW w:w="900"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O</w:t>
            </w:r>
          </w:p>
        </w:tc>
        <w:tc>
          <w:tcPr>
            <w:tcW w:w="1705"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Open posture</w:t>
            </w:r>
          </w:p>
        </w:tc>
        <w:tc>
          <w:tcPr>
            <w:tcW w:w="4230"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Avoid crossed arms; appear approachable</w:t>
            </w:r>
          </w:p>
        </w:tc>
      </w:tr>
      <w:tr>
        <w:trPr>
          <w:trHeight w:val="1" w:hRule="atLeast"/>
          <w:jc w:val="center"/>
        </w:trPr>
        <w:tc>
          <w:tcPr>
            <w:tcW w:w="90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L</w:t>
            </w:r>
          </w:p>
        </w:tc>
        <w:tc>
          <w:tcPr>
            <w:tcW w:w="1705"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Lean in</w:t>
            </w:r>
          </w:p>
        </w:tc>
        <w:tc>
          <w:tcPr>
            <w:tcW w:w="423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Show interest and attentiveness</w:t>
            </w:r>
          </w:p>
        </w:tc>
      </w:tr>
      <w:tr>
        <w:trPr>
          <w:trHeight w:val="1" w:hRule="atLeast"/>
          <w:jc w:val="center"/>
        </w:trPr>
        <w:tc>
          <w:tcPr>
            <w:tcW w:w="900"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E</w:t>
            </w:r>
          </w:p>
        </w:tc>
        <w:tc>
          <w:tcPr>
            <w:tcW w:w="1705"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Eye contact</w:t>
            </w:r>
          </w:p>
        </w:tc>
        <w:tc>
          <w:tcPr>
            <w:tcW w:w="4230"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Maintain gentle, appropriate contact</w:t>
            </w:r>
          </w:p>
        </w:tc>
      </w:tr>
      <w:tr>
        <w:trPr>
          <w:trHeight w:val="1" w:hRule="atLeast"/>
          <w:jc w:val="center"/>
        </w:trPr>
        <w:tc>
          <w:tcPr>
            <w:tcW w:w="90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R</w:t>
            </w:r>
          </w:p>
        </w:tc>
        <w:tc>
          <w:tcPr>
            <w:tcW w:w="1705"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Relax</w:t>
            </w:r>
          </w:p>
        </w:tc>
        <w:tc>
          <w:tcPr>
            <w:tcW w:w="423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Stay calm to reduce her anxiety</w:t>
            </w:r>
          </w:p>
        </w:tc>
      </w:tr>
    </w:tbl>
    <w:p>
      <w:pPr>
        <w:spacing w:before="24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Communication with Mrs. Thompson's family also involves sensitivity towards confidentiality and consent - only passing on information with her consent or if she does not have capacity to consent in a given situation, then in accordance with the Mental Capacity Act 2005 and her best interests. Clear and simple explanations in layman's terms help family understand the rationale for the medication review and helps them to aide safety messages between encounters (NHS England, 2026). Overall, using legally compliant, rights based working, alongside structured models, like SOLER enhances safety, trust and person centred outcomes for Mrs. Thompson and her wider network of support.</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3. Administrative Skills and Record Keeping</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Mrs. Thompson's practice is safe and accountable, embedding good administrative skills, especially accurate record keeping. All contacts, observations and incidents, such as the missed medication incident and the outdoor incident, should be clearly, factually and timely recorded in a way that comprises a reliable account to be used in the risk assessment, care planning and multi-disciplinary decision-making (Montano et al., 2023). Records might be incomplete or unhelpful in the sense that they might not record a worsening pattern, such as a repeated confusion, in a timely manner and would not support accountability if the care is called into question. Records also give continuity between the twice daily care visits and let each care worker know what changes have occurred in the way that Mrs. Thompson presents, so that they can act in the same way.</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is governed by the Data Protection Act 2018 as well as UK GDPR principles and applies to any personal and sensitive information relating to health that Mrs. Thompson collects, stores, shares and discards (CQC, 2025). Staff should ensure that data is accurately collected and is stored securely, and that only those with appropriate authorisation should permit access, and that data is held no longer than is necessary, and that data is only shared on a legitimate basis and only so that those to whom concerns are referred, such as the GP or safeguarding team, should have access. Although Mrs. Thompson's dementia diagnosis curtails her decision-making ability, they should not stop Mrs. Thompson from being involved in decision-making where possible and from understanding what information is being held about her (Boggs, 2022).</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Care Act 2014 introduces statutory duties for safeguarding and wellbeing for local authorities, and the Health and Social Care Act 2008 provides the basis for the regulation of safe and well-led services from the Care Quality Commission, while also requiring other duties to be met. A transparent audit trail needs to be maintained and incident with Mrs. Thompson should be formally recorded and escalated in line with organisational safeguarding procedures, as detailed in Table 2.</w:t>
      </w:r>
    </w:p>
    <w:p>
      <w:pPr>
        <w:spacing w:before="0" w:after="0" w:line="360"/>
        <w:ind w:right="0" w:left="0" w:firstLine="0"/>
        <w:jc w:val="both"/>
        <w:rPr>
          <w:rFonts w:ascii="Arial" w:hAnsi="Arial" w:cs="Arial" w:eastAsia="Arial"/>
          <w:i/>
          <w:color w:val="auto"/>
          <w:spacing w:val="0"/>
          <w:position w:val="0"/>
          <w:sz w:val="20"/>
          <w:shd w:fill="auto" w:val="clear"/>
        </w:rPr>
      </w:pPr>
      <w:r>
        <w:rPr>
          <w:rFonts w:ascii="Arial" w:hAnsi="Arial" w:cs="Arial" w:eastAsia="Arial"/>
          <w:i/>
          <w:color w:val="auto"/>
          <w:spacing w:val="0"/>
          <w:position w:val="0"/>
          <w:sz w:val="20"/>
          <w:shd w:fill="auto" w:val="clear"/>
        </w:rPr>
        <w:t xml:space="preserve">Table 2: Legislation and policy frameworks governing record keeping</w:t>
      </w:r>
    </w:p>
    <w:tbl>
      <w:tblPr/>
      <w:tblGrid>
        <w:gridCol w:w="3800"/>
        <w:gridCol w:w="5285"/>
      </w:tblGrid>
      <w:tr>
        <w:trPr>
          <w:trHeight w:val="1" w:hRule="atLeast"/>
          <w:jc w:val="center"/>
        </w:trPr>
        <w:tc>
          <w:tcPr>
            <w:tcW w:w="3800" w:type="dxa"/>
            <w:tcBorders>
              <w:top w:val="single" w:color="000000" w:sz="4"/>
              <w:left w:val="single" w:color="000000" w:sz="4"/>
              <w:bottom w:val="single" w:color="000000" w:sz="4"/>
              <w:right w:val="single" w:color="000000" w:sz="4"/>
            </w:tcBorders>
            <w:shd w:color="auto" w:fill="1f4e5f" w:val="clear"/>
            <w:tcMar>
              <w:left w:w="100" w:type="dxa"/>
              <w:right w:w="10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Legislation / Policy</w:t>
            </w:r>
          </w:p>
        </w:tc>
        <w:tc>
          <w:tcPr>
            <w:tcW w:w="5285" w:type="dxa"/>
            <w:tcBorders>
              <w:top w:val="single" w:color="000000" w:sz="4"/>
              <w:left w:val="single" w:color="000000" w:sz="4"/>
              <w:bottom w:val="single" w:color="000000" w:sz="4"/>
              <w:right w:val="single" w:color="000000" w:sz="4"/>
            </w:tcBorders>
            <w:shd w:color="auto" w:fill="1f4e5f" w:val="clear"/>
            <w:tcMar>
              <w:left w:w="100" w:type="dxa"/>
              <w:right w:w="10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Key Principle Applied</w:t>
            </w:r>
          </w:p>
        </w:tc>
      </w:tr>
      <w:tr>
        <w:trPr>
          <w:trHeight w:val="1" w:hRule="atLeast"/>
          <w:jc w:val="center"/>
        </w:trPr>
        <w:tc>
          <w:tcPr>
            <w:tcW w:w="380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Data Protection Act 2018 (UK GDPR)</w:t>
            </w:r>
          </w:p>
        </w:tc>
        <w:tc>
          <w:tcPr>
            <w:tcW w:w="5285"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Accuracy, security, minimal necessary sharing of records</w:t>
            </w:r>
          </w:p>
        </w:tc>
      </w:tr>
      <w:tr>
        <w:trPr>
          <w:trHeight w:val="1" w:hRule="atLeast"/>
          <w:jc w:val="center"/>
        </w:trPr>
        <w:tc>
          <w:tcPr>
            <w:tcW w:w="3800"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Care Act 2014</w:t>
            </w:r>
          </w:p>
        </w:tc>
        <w:tc>
          <w:tcPr>
            <w:tcW w:w="5285"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Local authority duty of safeguarding and wellbeing</w:t>
            </w:r>
          </w:p>
        </w:tc>
      </w:tr>
      <w:tr>
        <w:trPr>
          <w:trHeight w:val="1" w:hRule="atLeast"/>
          <w:jc w:val="center"/>
        </w:trPr>
        <w:tc>
          <w:tcPr>
            <w:tcW w:w="380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Health and Social Care Act 2008</w:t>
            </w:r>
          </w:p>
        </w:tc>
        <w:tc>
          <w:tcPr>
            <w:tcW w:w="5285"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CQC regulation of safe, well-led services</w:t>
            </w:r>
          </w:p>
        </w:tc>
      </w:tr>
    </w:tbl>
    <w:p>
      <w:pPr>
        <w:spacing w:before="24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Accurate documentation and lawful data handling is the key to safeguarding Mrs. Thompson's rights, and is important for professional accountability, for effective communication with other agencies and for essential information and evidence in the councils ongoing review of her case. Administrative competency also includes the ability to complete incident forms, risk assessment and medication charts in a timely manner while ensuring these documents are legible, dated and signed in order to be valid evidence (Egan, 2018). Where things have gone wrong, for example forgetfulness in taking the medicine, the record needs to indicate that, how it was dealt with and if there was a follow through action agreed with GP/family, highlighting a learning culture.</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4. Collaborative Multi-Agency Working</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Mrs. Thomson's care involves partnership working between GP, community nurse, domiciliary care workers and the local council, because it is important for all of the professionals to understand aspects of her care plan so that her safety and wellbeing is maximised. The GP is responsible for medical decisions, such as monitoring her medication plan, and the community nurse will monitor her recovery from pneumonia, her physical condition and wound or infection status (Williams et al., 2018). Domiciliary care workers monitor daily functioning and are likely to be the first to observe the emergence of increased confusion, missed medications and/or self-neglect, providing them with an important source of early warning and prompting information for the rest of the team. Good working relationships are supported by the sharing of current and accurate care plans, frequent meetings of multi-disciplinary teams, easy referral arrangements and through the implementation of key workers, who ensure there are positive methods for sharing information between agencies and Mrs. Thompson's family (Table 3).</w:t>
      </w:r>
    </w:p>
    <w:p>
      <w:pPr>
        <w:spacing w:before="0" w:after="0" w:line="360"/>
        <w:ind w:right="0" w:left="0" w:firstLine="0"/>
        <w:jc w:val="both"/>
        <w:rPr>
          <w:rFonts w:ascii="Arial" w:hAnsi="Arial" w:cs="Arial" w:eastAsia="Arial"/>
          <w:i/>
          <w:color w:val="auto"/>
          <w:spacing w:val="0"/>
          <w:position w:val="0"/>
          <w:sz w:val="20"/>
          <w:shd w:fill="auto" w:val="clear"/>
        </w:rPr>
      </w:pPr>
      <w:r>
        <w:rPr>
          <w:rFonts w:ascii="Arial" w:hAnsi="Arial" w:cs="Arial" w:eastAsia="Arial"/>
          <w:i/>
          <w:color w:val="auto"/>
          <w:spacing w:val="0"/>
          <w:position w:val="0"/>
          <w:sz w:val="20"/>
          <w:shd w:fill="auto" w:val="clear"/>
        </w:rPr>
        <w:t xml:space="preserve">Table 3: Key professionals involved in Mrs. Thompson's multi-agency care</w:t>
      </w:r>
    </w:p>
    <w:tbl>
      <w:tblPr/>
      <w:tblGrid>
        <w:gridCol w:w="2605"/>
        <w:gridCol w:w="5130"/>
      </w:tblGrid>
      <w:tr>
        <w:trPr>
          <w:trHeight w:val="1" w:hRule="atLeast"/>
          <w:jc w:val="center"/>
        </w:trPr>
        <w:tc>
          <w:tcPr>
            <w:tcW w:w="2605" w:type="dxa"/>
            <w:tcBorders>
              <w:top w:val="single" w:color="000000" w:sz="4"/>
              <w:left w:val="single" w:color="000000" w:sz="4"/>
              <w:bottom w:val="single" w:color="000000" w:sz="4"/>
              <w:right w:val="single" w:color="000000" w:sz="4"/>
            </w:tcBorders>
            <w:shd w:color="auto" w:fill="1f4e5f" w:val="clear"/>
            <w:tcMar>
              <w:left w:w="100" w:type="dxa"/>
              <w:right w:w="10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Professional</w:t>
            </w:r>
          </w:p>
        </w:tc>
        <w:tc>
          <w:tcPr>
            <w:tcW w:w="5130" w:type="dxa"/>
            <w:tcBorders>
              <w:top w:val="single" w:color="000000" w:sz="4"/>
              <w:left w:val="single" w:color="000000" w:sz="4"/>
              <w:bottom w:val="single" w:color="000000" w:sz="4"/>
              <w:right w:val="single" w:color="000000" w:sz="4"/>
            </w:tcBorders>
            <w:shd w:color="auto" w:fill="1f4e5f" w:val="clear"/>
            <w:tcMar>
              <w:left w:w="100" w:type="dxa"/>
              <w:right w:w="10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Role in Mrs. Thompson's Care</w:t>
            </w:r>
          </w:p>
        </w:tc>
      </w:tr>
      <w:tr>
        <w:trPr>
          <w:trHeight w:val="1" w:hRule="atLeast"/>
          <w:jc w:val="center"/>
        </w:trPr>
        <w:tc>
          <w:tcPr>
            <w:tcW w:w="2605"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GP</w:t>
            </w:r>
          </w:p>
        </w:tc>
        <w:tc>
          <w:tcPr>
            <w:tcW w:w="513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Medical oversight and medication review</w:t>
            </w:r>
          </w:p>
        </w:tc>
      </w:tr>
      <w:tr>
        <w:trPr>
          <w:trHeight w:val="1" w:hRule="atLeast"/>
          <w:jc w:val="center"/>
        </w:trPr>
        <w:tc>
          <w:tcPr>
            <w:tcW w:w="2605"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Community Nurse</w:t>
            </w:r>
          </w:p>
        </w:tc>
        <w:tc>
          <w:tcPr>
            <w:tcW w:w="5130"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Monitors recovery and physical health</w:t>
            </w:r>
          </w:p>
        </w:tc>
      </w:tr>
      <w:tr>
        <w:trPr>
          <w:trHeight w:val="1" w:hRule="atLeast"/>
          <w:jc w:val="center"/>
        </w:trPr>
        <w:tc>
          <w:tcPr>
            <w:tcW w:w="2605"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Domiciliary Care Worker</w:t>
            </w:r>
          </w:p>
        </w:tc>
        <w:tc>
          <w:tcPr>
            <w:tcW w:w="5130" w:type="dxa"/>
            <w:tcBorders>
              <w:top w:val="single" w:color="000000" w:sz="4"/>
              <w:left w:val="single" w:color="000000" w:sz="4"/>
              <w:bottom w:val="single" w:color="000000" w:sz="4"/>
              <w:right w:val="single" w:color="000000" w:sz="4"/>
            </w:tcBorders>
            <w:shd w:color="000000" w:fill="ffffff"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Daily support; identifies early warning signs</w:t>
            </w:r>
          </w:p>
        </w:tc>
      </w:tr>
      <w:tr>
        <w:trPr>
          <w:trHeight w:val="1" w:hRule="atLeast"/>
          <w:jc w:val="center"/>
        </w:trPr>
        <w:tc>
          <w:tcPr>
            <w:tcW w:w="2605"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Local Council</w:t>
            </w:r>
          </w:p>
        </w:tc>
        <w:tc>
          <w:tcPr>
            <w:tcW w:w="5130" w:type="dxa"/>
            <w:tcBorders>
              <w:top w:val="single" w:color="000000" w:sz="4"/>
              <w:left w:val="single" w:color="000000" w:sz="4"/>
              <w:bottom w:val="single" w:color="000000" w:sz="4"/>
              <w:right w:val="single" w:color="000000" w:sz="4"/>
            </w:tcBorders>
            <w:shd w:color="auto" w:fill="edf3f5" w:val="clear"/>
            <w:tcMar>
              <w:left w:w="100" w:type="dxa"/>
              <w:right w:w="100" w:type="dxa"/>
            </w:tcMar>
            <w:vAlign w:val="top"/>
          </w:tcPr>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Reviews incidents; coordinates safeguarding response</w:t>
            </w:r>
          </w:p>
        </w:tc>
      </w:tr>
    </w:tbl>
    <w:p>
      <w:pPr>
        <w:spacing w:before="2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multi-agency cooperation often conflicts with each other, as it can be difficult to share information, have different professional priorities, have a tight timeframe and not clear who is responsible for the next steps. Agreed protocols for sharing information which comply with data protection law, post incident risk assessments and structured handovers between visits, can address these (Montani et al., 2023). By establishing trust and a single point of contact and having regular and respectful communication, concerns can be raised at the earliest opportunity and potential further incidents reduced so Mrs. Thompson can continue to live independently and safely in her home.</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5. Conclusion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conclusion, as demonstrated in Mrs. Thompson's case, good practice in health and social care is a complex interdependency. Her voice and needs are listened to throughout decisions about her care, through adapted communication based on the Equality Act 2010 and other principles, including SOLER. She has robust administrative systems in place that meet Data Protection Act 2018 and other policy requirements, for safeguarding her information and for making accountable evidence-based decisions. Finally, multi-agency working with the GP, community nurse, domiciliary carers and council helps to promote a more holistic approach to risk management. In combination these practices are person-centred, safe and lawful care, ensuring the care of Mrs. Thompson is respectful of dignity, independence and wellbeing.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References</w:t>
      </w:r>
    </w:p>
    <w:p>
      <w:pPr>
        <w:spacing w:before="100" w:after="100" w:line="360"/>
        <w:ind w:right="0" w:left="720" w:hanging="72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Boggs, K.U. (2022) </w:t>
      </w:r>
      <w:r>
        <w:rPr>
          <w:rFonts w:ascii="Arial" w:hAnsi="Arial" w:cs="Arial" w:eastAsia="Arial"/>
          <w:i/>
          <w:color w:val="000000"/>
          <w:spacing w:val="0"/>
          <w:position w:val="0"/>
          <w:sz w:val="22"/>
          <w:shd w:fill="auto" w:val="clear"/>
        </w:rPr>
        <w:t xml:space="preserve">Interpersonal relationships: Professional communication skills for nurses</w:t>
      </w:r>
      <w:r>
        <w:rPr>
          <w:rFonts w:ascii="Arial" w:hAnsi="Arial" w:cs="Arial" w:eastAsia="Arial"/>
          <w:color w:val="000000"/>
          <w:spacing w:val="0"/>
          <w:position w:val="0"/>
          <w:sz w:val="22"/>
          <w:shd w:fill="auto" w:val="clear"/>
        </w:rPr>
        <w:t xml:space="preserve">. 9th edn. Elsevier.</w:t>
      </w:r>
    </w:p>
    <w:p>
      <w:pPr>
        <w:spacing w:before="100" w:after="100" w:line="360"/>
        <w:ind w:right="0" w:left="720" w:hanging="72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Care Quality Commission (CQC) (2025) </w:t>
      </w:r>
      <w:r>
        <w:rPr>
          <w:rFonts w:ascii="Arial" w:hAnsi="Arial" w:cs="Arial" w:eastAsia="Arial"/>
          <w:i/>
          <w:color w:val="000000"/>
          <w:spacing w:val="0"/>
          <w:position w:val="0"/>
          <w:sz w:val="22"/>
          <w:shd w:fill="auto" w:val="clear"/>
        </w:rPr>
        <w:t xml:space="preserve">Regulation 17: Good governance</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0">
        <w:r>
          <w:rPr>
            <w:rFonts w:ascii="Arial" w:hAnsi="Arial" w:cs="Arial" w:eastAsia="Arial"/>
            <w:color w:val="000000"/>
            <w:spacing w:val="0"/>
            <w:position w:val="0"/>
            <w:sz w:val="22"/>
            <w:u w:val="single"/>
            <w:shd w:fill="auto" w:val="clear"/>
          </w:rPr>
          <w:t xml:space="preserve">https://www.cqc.org.uk/guidance-regulation/providers/regulations-service-providers-and-managers/health-social-care-act/regulation-17</w:t>
        </w:r>
      </w:hyperlink>
      <w:r>
        <w:rPr>
          <w:rFonts w:ascii="Arial" w:hAnsi="Arial" w:cs="Arial" w:eastAsia="Arial"/>
          <w:color w:val="000000"/>
          <w:spacing w:val="0"/>
          <w:position w:val="0"/>
          <w:sz w:val="22"/>
          <w:shd w:fill="auto" w:val="clear"/>
        </w:rPr>
        <w:t xml:space="preserve"> (Accessed: 15 August 2026).</w:t>
      </w:r>
    </w:p>
    <w:p>
      <w:pPr>
        <w:spacing w:before="100" w:after="100" w:line="360"/>
        <w:ind w:right="0" w:left="720" w:hanging="72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Egan, G. (2018) </w:t>
      </w:r>
      <w:r>
        <w:rPr>
          <w:rFonts w:ascii="Arial" w:hAnsi="Arial" w:cs="Arial" w:eastAsia="Arial"/>
          <w:i/>
          <w:color w:val="000000"/>
          <w:spacing w:val="0"/>
          <w:position w:val="0"/>
          <w:sz w:val="22"/>
          <w:shd w:fill="auto" w:val="clear"/>
        </w:rPr>
        <w:t xml:space="preserve">The skilled helper: A client-centred approach</w:t>
      </w:r>
      <w:r>
        <w:rPr>
          <w:rFonts w:ascii="Arial" w:hAnsi="Arial" w:cs="Arial" w:eastAsia="Arial"/>
          <w:color w:val="000000"/>
          <w:spacing w:val="0"/>
          <w:position w:val="0"/>
          <w:sz w:val="22"/>
          <w:shd w:fill="auto" w:val="clear"/>
        </w:rPr>
        <w:t xml:space="preserve">. 2nd EMEA edn. Cengage Learning EMEA.</w:t>
      </w:r>
    </w:p>
    <w:p>
      <w:pPr>
        <w:spacing w:before="100" w:after="100" w:line="360"/>
        <w:ind w:right="0" w:left="720" w:hanging="72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Montano, A.R., Cornell, P.Y. and Gravenstein, S. (2023) ‘Barriers and facilitators to interprofessional collaborative practice for community-dwelling older adults: An integrative review’, </w:t>
      </w:r>
      <w:r>
        <w:rPr>
          <w:rFonts w:ascii="Arial" w:hAnsi="Arial" w:cs="Arial" w:eastAsia="Arial"/>
          <w:i/>
          <w:color w:val="000000"/>
          <w:spacing w:val="0"/>
          <w:position w:val="0"/>
          <w:sz w:val="22"/>
          <w:shd w:fill="auto" w:val="clear"/>
        </w:rPr>
        <w:t xml:space="preserve">Journal of Clinical Nursing</w:t>
      </w:r>
      <w:r>
        <w:rPr>
          <w:rFonts w:ascii="Arial" w:hAnsi="Arial" w:cs="Arial" w:eastAsia="Arial"/>
          <w:color w:val="000000"/>
          <w:spacing w:val="0"/>
          <w:position w:val="0"/>
          <w:sz w:val="22"/>
          <w:shd w:fill="auto" w:val="clear"/>
        </w:rPr>
        <w:t xml:space="preserve">, 32(9</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10), pp. 1534</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1548. Available at: </w:t>
      </w:r>
      <w:hyperlink xmlns:r="http://schemas.openxmlformats.org/officeDocument/2006/relationships" r:id="docRId1">
        <w:r>
          <w:rPr>
            <w:rFonts w:ascii="Arial" w:hAnsi="Arial" w:cs="Arial" w:eastAsia="Arial"/>
            <w:color w:val="000000"/>
            <w:spacing w:val="0"/>
            <w:position w:val="0"/>
            <w:sz w:val="22"/>
            <w:u w:val="single"/>
            <w:shd w:fill="auto" w:val="clear"/>
          </w:rPr>
          <w:t xml:space="preserve">https://doi.org/10.1111/jocn.15991</w:t>
        </w:r>
      </w:hyperlink>
      <w:r>
        <w:rPr>
          <w:rFonts w:ascii="Arial" w:hAnsi="Arial" w:cs="Arial" w:eastAsia="Arial"/>
          <w:color w:val="000000"/>
          <w:spacing w:val="0"/>
          <w:position w:val="0"/>
          <w:sz w:val="22"/>
          <w:shd w:fill="auto" w:val="clear"/>
        </w:rPr>
        <w:t xml:space="preserve">.</w:t>
      </w:r>
    </w:p>
    <w:p>
      <w:pPr>
        <w:spacing w:before="100" w:after="100" w:line="360"/>
        <w:ind w:right="0" w:left="720" w:hanging="72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Morris, L., Horne, M., McEvoy, P. and Williamson, T. (2018) ‘Communication training interventions for family and professional carers of people living with dementia: A systematic review of effectiveness, acceptability and conceptual basis’, </w:t>
      </w:r>
      <w:r>
        <w:rPr>
          <w:rFonts w:ascii="Arial" w:hAnsi="Arial" w:cs="Arial" w:eastAsia="Arial"/>
          <w:i/>
          <w:color w:val="000000"/>
          <w:spacing w:val="0"/>
          <w:position w:val="0"/>
          <w:sz w:val="22"/>
          <w:shd w:fill="auto" w:val="clear"/>
        </w:rPr>
        <w:t xml:space="preserve">Aging &amp; Mental Health</w:t>
      </w:r>
      <w:r>
        <w:rPr>
          <w:rFonts w:ascii="Arial" w:hAnsi="Arial" w:cs="Arial" w:eastAsia="Arial"/>
          <w:color w:val="000000"/>
          <w:spacing w:val="0"/>
          <w:position w:val="0"/>
          <w:sz w:val="22"/>
          <w:shd w:fill="auto" w:val="clear"/>
        </w:rPr>
        <w:t xml:space="preserve">, 22(7), pp. 863</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880. Available at: </w:t>
      </w:r>
      <w:hyperlink xmlns:r="http://schemas.openxmlformats.org/officeDocument/2006/relationships" r:id="docRId2">
        <w:r>
          <w:rPr>
            <w:rFonts w:ascii="Arial" w:hAnsi="Arial" w:cs="Arial" w:eastAsia="Arial"/>
            <w:color w:val="000000"/>
            <w:spacing w:val="0"/>
            <w:position w:val="0"/>
            <w:sz w:val="22"/>
            <w:u w:val="single"/>
            <w:shd w:fill="auto" w:val="clear"/>
          </w:rPr>
          <w:t xml:space="preserve">https://doi.org/10.1080/13607863.2017.1399343</w:t>
        </w:r>
      </w:hyperlink>
      <w:r>
        <w:rPr>
          <w:rFonts w:ascii="Arial" w:hAnsi="Arial" w:cs="Arial" w:eastAsia="Arial"/>
          <w:color w:val="000000"/>
          <w:spacing w:val="0"/>
          <w:position w:val="0"/>
          <w:sz w:val="22"/>
          <w:shd w:fill="auto" w:val="clear"/>
        </w:rPr>
        <w:t xml:space="preserve">.</w:t>
      </w:r>
    </w:p>
    <w:p>
      <w:pPr>
        <w:spacing w:before="100" w:after="100" w:line="360"/>
        <w:ind w:right="0" w:left="720" w:hanging="72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NHS England (2026) </w:t>
      </w:r>
      <w:r>
        <w:rPr>
          <w:rFonts w:ascii="Arial" w:hAnsi="Arial" w:cs="Arial" w:eastAsia="Arial"/>
          <w:i/>
          <w:color w:val="000000"/>
          <w:spacing w:val="0"/>
          <w:position w:val="0"/>
          <w:sz w:val="22"/>
          <w:shd w:fill="auto" w:val="clear"/>
        </w:rPr>
        <w:t xml:space="preserve">Records management code of practice</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3">
        <w:r>
          <w:rPr>
            <w:rFonts w:ascii="Arial" w:hAnsi="Arial" w:cs="Arial" w:eastAsia="Arial"/>
            <w:color w:val="000000"/>
            <w:spacing w:val="0"/>
            <w:position w:val="0"/>
            <w:sz w:val="22"/>
            <w:u w:val="single"/>
            <w:shd w:fill="auto" w:val="clear"/>
          </w:rPr>
          <w:t xml:space="preserve">https://transform.england.nhs.uk/information-governance/guidance/records-management-code/</w:t>
        </w:r>
      </w:hyperlink>
      <w:r>
        <w:rPr>
          <w:rFonts w:ascii="Arial" w:hAnsi="Arial" w:cs="Arial" w:eastAsia="Arial"/>
          <w:color w:val="000000"/>
          <w:spacing w:val="0"/>
          <w:position w:val="0"/>
          <w:sz w:val="22"/>
          <w:shd w:fill="auto" w:val="clear"/>
        </w:rPr>
        <w:t xml:space="preserve"> (Accessed: 15 August 2026).</w:t>
      </w:r>
    </w:p>
    <w:p>
      <w:pPr>
        <w:spacing w:before="100" w:after="100" w:line="360"/>
        <w:ind w:right="0" w:left="720" w:hanging="72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Williams, K.N., Perkhounkova, Y., Jao, Y-L., Bossen, A., Hein, M., Chung, S., Starykowicz, A. and Turk, M. (2018) ‘Person-centered communication for nursing home residents with dementia: Four communication analysis methods’, </w:t>
      </w:r>
      <w:r>
        <w:rPr>
          <w:rFonts w:ascii="Arial" w:hAnsi="Arial" w:cs="Arial" w:eastAsia="Arial"/>
          <w:i/>
          <w:color w:val="000000"/>
          <w:spacing w:val="0"/>
          <w:position w:val="0"/>
          <w:sz w:val="22"/>
          <w:shd w:fill="auto" w:val="clear"/>
        </w:rPr>
        <w:t xml:space="preserve">Western Journal of Nursing Research</w:t>
      </w:r>
      <w:r>
        <w:rPr>
          <w:rFonts w:ascii="Arial" w:hAnsi="Arial" w:cs="Arial" w:eastAsia="Arial"/>
          <w:color w:val="000000"/>
          <w:spacing w:val="0"/>
          <w:position w:val="0"/>
          <w:sz w:val="22"/>
          <w:shd w:fill="auto" w:val="clear"/>
        </w:rPr>
        <w:t xml:space="preserve">, 40(7), pp. 1012</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1031. Available at: </w:t>
      </w:r>
      <w:hyperlink xmlns:r="http://schemas.openxmlformats.org/officeDocument/2006/relationships" r:id="docRId4">
        <w:r>
          <w:rPr>
            <w:rFonts w:ascii="Arial" w:hAnsi="Arial" w:cs="Arial" w:eastAsia="Arial"/>
            <w:color w:val="000000"/>
            <w:spacing w:val="0"/>
            <w:position w:val="0"/>
            <w:sz w:val="22"/>
            <w:u w:val="single"/>
            <w:shd w:fill="auto" w:val="clear"/>
          </w:rPr>
          <w:t xml:space="preserve">https://doi.org/10.1177/0193945917697226</w:t>
        </w:r>
      </w:hyperlink>
      <w:r>
        <w:rPr>
          <w:rFonts w:ascii="Arial" w:hAnsi="Arial" w:cs="Arial" w:eastAsia="Arial"/>
          <w:color w:val="000000"/>
          <w:spacing w:val="0"/>
          <w:position w:val="0"/>
          <w:sz w:val="22"/>
          <w:shd w:fill="auto" w:val="clear"/>
        </w:rPr>
        <w:t xml:space="preserve">.</w:t>
      </w:r>
    </w:p>
    <w:p>
      <w:pPr>
        <w:spacing w:before="0" w:after="0" w:line="240"/>
        <w:ind w:right="0" w:left="0" w:firstLine="0"/>
        <w:jc w:val="left"/>
        <w:rPr>
          <w:rFonts w:ascii="Arial" w:hAnsi="Arial" w:cs="Arial" w:eastAsia="Arial"/>
          <w:color w:val="000000"/>
          <w:spacing w:val="0"/>
          <w:position w:val="0"/>
          <w:sz w:val="22"/>
          <w:shd w:fill="auto" w:val="clear"/>
        </w:rPr>
      </w:pPr>
    </w:p>
    <w:p>
      <w:pPr>
        <w:spacing w:before="0" w:after="160" w:line="276"/>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111/jocn.15991" Id="docRId1" Type="http://schemas.openxmlformats.org/officeDocument/2006/relationships/hyperlink" /><Relationship TargetMode="External" Target="https://transform.england.nhs.uk/information-governance/guidance/records-management-code/" Id="docRId3" Type="http://schemas.openxmlformats.org/officeDocument/2006/relationships/hyperlink" /><Relationship Target="numbering.xml" Id="docRId5" Type="http://schemas.openxmlformats.org/officeDocument/2006/relationships/numbering" /><Relationship TargetMode="External" Target="https://www.cqc.org.uk/guidance-regulation/providers/regulations-service-providers-and-managers/health-social-care-act/regulation-17" Id="docRId0" Type="http://schemas.openxmlformats.org/officeDocument/2006/relationships/hyperlink" /><Relationship TargetMode="External" Target="https://doi.org/10.1080/13607863.2017.1399343" Id="docRId2" Type="http://schemas.openxmlformats.org/officeDocument/2006/relationships/hyperlink" /><Relationship TargetMode="External" Target="https://doi.org/10.1177/0193945917697226" Id="docRId4" Type="http://schemas.openxmlformats.org/officeDocument/2006/relationships/hyperlink" /><Relationship Target="styles.xml" Id="docRId6" Type="http://schemas.openxmlformats.org/officeDocument/2006/relationships/styles" /></Relationships>
</file>