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tbl>
      <w:tblPr>
        <w:tblpPr w:leftFromText="180" w:rightFromText="180" w:vertAnchor="text" w:tblpY="1"/>
        <w:tblOverlap w:val="never"/>
        <w:tblW w:w="11199" w:type="dxa"/>
        <w:tblLayout w:type="fixed"/>
        <w:tblLook w:val="04A0" w:firstRow="1" w:lastRow="0" w:firstColumn="1" w:lastColumn="0" w:noHBand="0" w:noVBand="1"/>
      </w:tblPr>
      <w:tblGrid>
        <w:gridCol w:w="10790"/>
        <w:gridCol w:w="409"/>
      </w:tblGrid>
      <w:tr w:rsidR="001D78B9" w:rsidTr="00D65658">
        <w:trPr>
          <w:gridAfter w:val="1"/>
          <w:wAfter w:w="409" w:type="dxa"/>
          <w:trHeight w:val="1605"/>
        </w:trPr>
        <w:tc>
          <w:tcPr>
            <w:tcW w:w="10790" w:type="dxa"/>
            <w:vAlign w:val="center"/>
          </w:tcPr>
          <w:p w:rsidR="001D78B9" w:rsidRDefault="00D65658" w:rsidP="00D65658">
            <w:pPr>
              <w:pStyle w:val="Heading1"/>
            </w:pPr>
            <w:bookmarkStart w:id="0" w:name="_Toc184983679"/>
            <w:bookmarkStart w:id="1" w:name="_Toc184983728"/>
            <w:bookmarkStart w:id="2" w:name="_Toc184983789"/>
            <w:bookmarkStart w:id="3" w:name="_Toc184984121"/>
            <w:r>
              <w:t>People Management</w:t>
            </w:r>
            <w:bookmarkEnd w:id="0"/>
            <w:bookmarkEnd w:id="1"/>
            <w:bookmarkEnd w:id="2"/>
            <w:bookmarkEnd w:id="3"/>
          </w:p>
        </w:tc>
      </w:tr>
      <w:tr w:rsidR="00637B83" w:rsidTr="00D65658">
        <w:trPr>
          <w:gridAfter w:val="1"/>
          <w:wAfter w:w="409" w:type="dxa"/>
          <w:trHeight w:val="11259"/>
        </w:trPr>
        <w:tc>
          <w:tcPr>
            <w:tcW w:w="10790" w:type="dxa"/>
            <w:vAlign w:val="center"/>
          </w:tcPr>
          <w:p w:rsidR="00637B83" w:rsidRDefault="00637B83" w:rsidP="00D65658">
            <w:pPr>
              <w:jc w:val="center"/>
            </w:pPr>
            <w:r w:rsidRPr="00875863">
              <w:rPr>
                <w:noProof/>
                <w:lang w:val="en-GB" w:eastAsia="en-GB"/>
              </w:rPr>
              <mc:AlternateContent>
                <mc:Choice Requires="wps">
                  <w:drawing>
                    <wp:inline distT="0" distB="0" distL="0" distR="0" wp14:anchorId="328121BF" wp14:editId="4B70505F">
                      <wp:extent cx="6091200" cy="6094800"/>
                      <wp:effectExtent l="0" t="0" r="5080" b="1270"/>
                      <wp:docPr id="21" name="Shape">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091200" cy="6094800"/>
                              </a:xfrm>
                              <a:custGeom>
                                <a:avLst/>
                                <a:gdLst/>
                                <a:ahLst/>
                                <a:cxnLst>
                                  <a:cxn ang="0">
                                    <a:pos x="wd2" y="hd2"/>
                                  </a:cxn>
                                  <a:cxn ang="5400000">
                                    <a:pos x="wd2" y="hd2"/>
                                  </a:cxn>
                                  <a:cxn ang="10800000">
                                    <a:pos x="wd2" y="hd2"/>
                                  </a:cxn>
                                  <a:cxn ang="16200000">
                                    <a:pos x="wd2" y="hd2"/>
                                  </a:cxn>
                                </a:cxnLst>
                                <a:rect l="0" t="0" r="r" b="b"/>
                                <a:pathLst>
                                  <a:path w="21600" h="21600" extrusionOk="0">
                                    <a:moveTo>
                                      <a:pt x="13049" y="221"/>
                                    </a:moveTo>
                                    <a:lnTo>
                                      <a:pt x="185" y="12839"/>
                                    </a:lnTo>
                                    <a:cubicBezTo>
                                      <a:pt x="212" y="12983"/>
                                      <a:pt x="243" y="13123"/>
                                      <a:pt x="275" y="13263"/>
                                    </a:cubicBezTo>
                                    <a:lnTo>
                                      <a:pt x="13072" y="225"/>
                                    </a:lnTo>
                                    <a:cubicBezTo>
                                      <a:pt x="13063" y="225"/>
                                      <a:pt x="13058" y="225"/>
                                      <a:pt x="13049" y="221"/>
                                    </a:cubicBezTo>
                                    <a:close/>
                                    <a:moveTo>
                                      <a:pt x="14603" y="671"/>
                                    </a:moveTo>
                                    <a:lnTo>
                                      <a:pt x="612" y="14424"/>
                                    </a:lnTo>
                                    <a:cubicBezTo>
                                      <a:pt x="657" y="14546"/>
                                      <a:pt x="702" y="14667"/>
                                      <a:pt x="752" y="14789"/>
                                    </a:cubicBezTo>
                                    <a:lnTo>
                                      <a:pt x="14630" y="680"/>
                                    </a:lnTo>
                                    <a:cubicBezTo>
                                      <a:pt x="14621" y="680"/>
                                      <a:pt x="14612" y="675"/>
                                      <a:pt x="14603" y="671"/>
                                    </a:cubicBezTo>
                                    <a:close/>
                                    <a:moveTo>
                                      <a:pt x="15976" y="1297"/>
                                    </a:moveTo>
                                    <a:lnTo>
                                      <a:pt x="1225" y="15824"/>
                                    </a:lnTo>
                                    <a:cubicBezTo>
                                      <a:pt x="1279" y="15932"/>
                                      <a:pt x="1337" y="16036"/>
                                      <a:pt x="1396" y="16139"/>
                                    </a:cubicBezTo>
                                    <a:lnTo>
                                      <a:pt x="16008" y="1310"/>
                                    </a:lnTo>
                                    <a:cubicBezTo>
                                      <a:pt x="15998" y="1310"/>
                                      <a:pt x="15985" y="1301"/>
                                      <a:pt x="15976" y="1297"/>
                                    </a:cubicBezTo>
                                    <a:close/>
                                    <a:moveTo>
                                      <a:pt x="9136" y="122"/>
                                    </a:moveTo>
                                    <a:lnTo>
                                      <a:pt x="176" y="8846"/>
                                    </a:lnTo>
                                    <a:cubicBezTo>
                                      <a:pt x="140" y="9044"/>
                                      <a:pt x="108" y="9247"/>
                                      <a:pt x="81" y="9449"/>
                                    </a:cubicBezTo>
                                    <a:lnTo>
                                      <a:pt x="9172" y="113"/>
                                    </a:lnTo>
                                    <a:cubicBezTo>
                                      <a:pt x="9163" y="117"/>
                                      <a:pt x="9150" y="117"/>
                                      <a:pt x="9136" y="122"/>
                                    </a:cubicBezTo>
                                    <a:close/>
                                    <a:moveTo>
                                      <a:pt x="11266" y="0"/>
                                    </a:moveTo>
                                    <a:lnTo>
                                      <a:pt x="0" y="11021"/>
                                    </a:lnTo>
                                    <a:cubicBezTo>
                                      <a:pt x="5" y="11187"/>
                                      <a:pt x="9" y="11354"/>
                                      <a:pt x="23" y="11520"/>
                                    </a:cubicBezTo>
                                    <a:lnTo>
                                      <a:pt x="11293" y="0"/>
                                    </a:lnTo>
                                    <a:cubicBezTo>
                                      <a:pt x="11280" y="0"/>
                                      <a:pt x="11275" y="0"/>
                                      <a:pt x="11266" y="0"/>
                                    </a:cubicBezTo>
                                    <a:close/>
                                    <a:moveTo>
                                      <a:pt x="6191" y="1031"/>
                                    </a:moveTo>
                                    <a:lnTo>
                                      <a:pt x="1193" y="5861"/>
                                    </a:lnTo>
                                    <a:cubicBezTo>
                                      <a:pt x="1054" y="6132"/>
                                      <a:pt x="923" y="6406"/>
                                      <a:pt x="811" y="6690"/>
                                    </a:cubicBezTo>
                                    <a:lnTo>
                                      <a:pt x="6362" y="950"/>
                                    </a:lnTo>
                                    <a:cubicBezTo>
                                      <a:pt x="6304" y="977"/>
                                      <a:pt x="6245" y="999"/>
                                      <a:pt x="6191" y="1031"/>
                                    </a:cubicBezTo>
                                    <a:close/>
                                    <a:moveTo>
                                      <a:pt x="17196" y="2071"/>
                                    </a:moveTo>
                                    <a:lnTo>
                                      <a:pt x="1990" y="17071"/>
                                    </a:lnTo>
                                    <a:cubicBezTo>
                                      <a:pt x="2058" y="17161"/>
                                      <a:pt x="2121" y="17256"/>
                                      <a:pt x="2188" y="17346"/>
                                    </a:cubicBezTo>
                                    <a:lnTo>
                                      <a:pt x="17237" y="2098"/>
                                    </a:lnTo>
                                    <a:cubicBezTo>
                                      <a:pt x="17223" y="2089"/>
                                      <a:pt x="17210" y="2080"/>
                                      <a:pt x="17196" y="2071"/>
                                    </a:cubicBezTo>
                                    <a:close/>
                                    <a:moveTo>
                                      <a:pt x="21285" y="8045"/>
                                    </a:moveTo>
                                    <a:lnTo>
                                      <a:pt x="8002" y="21267"/>
                                    </a:lnTo>
                                    <a:cubicBezTo>
                                      <a:pt x="8033" y="21276"/>
                                      <a:pt x="8069" y="21285"/>
                                      <a:pt x="8101" y="21294"/>
                                    </a:cubicBezTo>
                                    <a:lnTo>
                                      <a:pt x="21285" y="8049"/>
                                    </a:lnTo>
                                    <a:cubicBezTo>
                                      <a:pt x="21285" y="8049"/>
                                      <a:pt x="21285" y="8045"/>
                                      <a:pt x="21285" y="8045"/>
                                    </a:cubicBezTo>
                                    <a:close/>
                                    <a:moveTo>
                                      <a:pt x="21591" y="9742"/>
                                    </a:moveTo>
                                    <a:lnTo>
                                      <a:pt x="9690" y="21577"/>
                                    </a:lnTo>
                                    <a:cubicBezTo>
                                      <a:pt x="9731" y="21582"/>
                                      <a:pt x="9771" y="21582"/>
                                      <a:pt x="9812" y="21586"/>
                                    </a:cubicBezTo>
                                    <a:lnTo>
                                      <a:pt x="21591" y="9747"/>
                                    </a:lnTo>
                                    <a:cubicBezTo>
                                      <a:pt x="21591" y="9747"/>
                                      <a:pt x="21591" y="9747"/>
                                      <a:pt x="21591" y="9742"/>
                                    </a:cubicBezTo>
                                    <a:close/>
                                    <a:moveTo>
                                      <a:pt x="18286" y="2980"/>
                                    </a:moveTo>
                                    <a:lnTo>
                                      <a:pt x="2895" y="18183"/>
                                    </a:lnTo>
                                    <a:cubicBezTo>
                                      <a:pt x="2967" y="18264"/>
                                      <a:pt x="3044" y="18341"/>
                                      <a:pt x="3120" y="18417"/>
                                    </a:cubicBezTo>
                                    <a:lnTo>
                                      <a:pt x="18331" y="3021"/>
                                    </a:lnTo>
                                    <a:cubicBezTo>
                                      <a:pt x="18313" y="3007"/>
                                      <a:pt x="18299" y="2994"/>
                                      <a:pt x="18286" y="2980"/>
                                    </a:cubicBezTo>
                                    <a:close/>
                                    <a:moveTo>
                                      <a:pt x="11676" y="21600"/>
                                    </a:moveTo>
                                    <a:cubicBezTo>
                                      <a:pt x="11721" y="21595"/>
                                      <a:pt x="11770" y="21595"/>
                                      <a:pt x="11815" y="21591"/>
                                    </a:cubicBezTo>
                                    <a:lnTo>
                                      <a:pt x="21600" y="11745"/>
                                    </a:lnTo>
                                    <a:cubicBezTo>
                                      <a:pt x="21600" y="11741"/>
                                      <a:pt x="21600" y="11741"/>
                                      <a:pt x="21600" y="11736"/>
                                    </a:cubicBezTo>
                                    <a:lnTo>
                                      <a:pt x="11676" y="21600"/>
                                    </a:lnTo>
                                    <a:close/>
                                    <a:moveTo>
                                      <a:pt x="14368" y="21037"/>
                                    </a:moveTo>
                                    <a:lnTo>
                                      <a:pt x="21073" y="14284"/>
                                    </a:lnTo>
                                    <a:cubicBezTo>
                                      <a:pt x="21078" y="14275"/>
                                      <a:pt x="21078" y="14266"/>
                                      <a:pt x="21082" y="14262"/>
                                    </a:cubicBezTo>
                                    <a:lnTo>
                                      <a:pt x="14188" y="21100"/>
                                    </a:lnTo>
                                    <a:cubicBezTo>
                                      <a:pt x="14247" y="21078"/>
                                      <a:pt x="14305" y="21060"/>
                                      <a:pt x="14368" y="21037"/>
                                    </a:cubicBezTo>
                                    <a:close/>
                                    <a:moveTo>
                                      <a:pt x="19263" y="4043"/>
                                    </a:moveTo>
                                    <a:lnTo>
                                      <a:pt x="4021" y="19232"/>
                                    </a:lnTo>
                                    <a:cubicBezTo>
                                      <a:pt x="4044" y="19250"/>
                                      <a:pt x="4066" y="19268"/>
                                      <a:pt x="4089" y="19282"/>
                                    </a:cubicBezTo>
                                    <a:lnTo>
                                      <a:pt x="19272" y="4052"/>
                                    </a:lnTo>
                                    <a:cubicBezTo>
                                      <a:pt x="19268" y="4052"/>
                                      <a:pt x="19263" y="4047"/>
                                      <a:pt x="19263" y="4043"/>
                                    </a:cubicBezTo>
                                    <a:close/>
                                    <a:moveTo>
                                      <a:pt x="20771" y="6550"/>
                                    </a:moveTo>
                                    <a:lnTo>
                                      <a:pt x="6516" y="20745"/>
                                    </a:lnTo>
                                    <a:cubicBezTo>
                                      <a:pt x="6543" y="20758"/>
                                      <a:pt x="6574" y="20772"/>
                                      <a:pt x="6601" y="20785"/>
                                    </a:cubicBezTo>
                                    <a:lnTo>
                                      <a:pt x="20776" y="6559"/>
                                    </a:lnTo>
                                    <a:cubicBezTo>
                                      <a:pt x="20771" y="6555"/>
                                      <a:pt x="20771" y="6555"/>
                                      <a:pt x="20771" y="6550"/>
                                    </a:cubicBezTo>
                                    <a:close/>
                                    <a:moveTo>
                                      <a:pt x="20092" y="5222"/>
                                    </a:moveTo>
                                    <a:lnTo>
                                      <a:pt x="5196" y="20065"/>
                                    </a:lnTo>
                                    <a:cubicBezTo>
                                      <a:pt x="5223" y="20078"/>
                                      <a:pt x="5246" y="20096"/>
                                      <a:pt x="5273" y="20110"/>
                                    </a:cubicBezTo>
                                    <a:lnTo>
                                      <a:pt x="20096" y="5236"/>
                                    </a:lnTo>
                                    <a:cubicBezTo>
                                      <a:pt x="20092" y="5231"/>
                                      <a:pt x="20092" y="5227"/>
                                      <a:pt x="20092" y="5222"/>
                                    </a:cubicBezTo>
                                    <a:close/>
                                  </a:path>
                                </a:pathLst>
                              </a:custGeom>
                              <a:gradFill flip="none" rotWithShape="1">
                                <a:gsLst>
                                  <a:gs pos="0">
                                    <a:schemeClr val="accent2"/>
                                  </a:gs>
                                  <a:gs pos="100000">
                                    <a:schemeClr val="accent3"/>
                                  </a:gs>
                                </a:gsLst>
                                <a:lin ang="0" scaled="1"/>
                                <a:tileRect/>
                              </a:gradFill>
                              <a:ln w="12700">
                                <a:miter lim="400000"/>
                              </a:ln>
                            </wps:spPr>
                            <wps:bodyPr lIns="38100" tIns="38100" rIns="38100" bIns="38100" anchor="ctr"/>
                          </wps:wsp>
                        </a:graphicData>
                      </a:graphic>
                    </wp:inline>
                  </w:drawing>
                </mc:Choice>
                <mc:Fallback>
                  <w:pict>
                    <v:shape w14:anchorId="03167657" id="Shape" o:spid="_x0000_s1026" style="width:479.6pt;height:479.9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" path="m13049,221l185,12839v27,144,58,284,90,424l13072,225v-9,,-14,,-23,-4xm14603,671l612,14424v45,122,90,243,140,365l14630,680v-9,,-18,-5,-27,-9xm15976,1297l1225,15824v54,108,112,212,171,315l16008,1310v-10,,-23,-9,-32,-13xm9136,122l176,8846v-36,198,-68,401,-95,603l9172,113v-9,4,-22,4,-36,9xm11266,l,11021v5,166,9,333,23,499l11293,v-13,,-18,,-27,xm6191,1031l1193,5861v-139,271,-270,545,-382,829l6362,950v-58,27,-117,49,-171,81xm17196,2071l1990,17071v68,90,131,185,198,275l17237,2098v-14,-9,-27,-18,-41,-27xm21285,8045l8002,21267v31,9,67,18,99,27l21285,8049v,,,-4,,-4xm21591,9742l9690,21577v41,5,81,5,122,9l21591,9747v,,,,,-5xm18286,2980l2895,18183v72,81,149,158,225,234l18331,3021v-18,-14,-32,-27,-45,-41xm11676,21600v45,-5,94,-5,139,-9l21600,11745v,-4,,-4,,-9l11676,21600xm14368,21037r6705,-6753c21078,14275,21078,14266,21082,14262r-6894,6838c14247,21078,14305,21060,14368,21037xm19263,4043l4021,19232v23,18,45,36,68,50l19272,4052v-4,,-9,-5,-9,-9xm20771,6550l6516,20745v27,13,58,27,85,40l20776,6559v-5,-4,-5,-4,-5,-9xm20092,5222l5196,20065v27,13,50,31,77,45l20096,5236v-4,-5,-4,-9,-4,-14xe" fillcolor="#ff1571 [3205]" stroked="f" strokeweight="1pt">
                      <v:fill color2="#fdc082 [3206]" rotate="t" angle="90" focus="100%" type="gradient"/>
                      <v:stroke miterlimit="4" joinstyle="miter"/>
                      <v:path arrowok="t" o:extrusionok="f" o:connecttype="custom" o:connectlocs="3045600,3047400;3045600,3047400;3045600,3047400;3045600,3047400" o:connectangles="0,90,180,270"/>
                      <w10:anchorlock/>
                    </v:shape>
                  </w:pict>
                </mc:Fallback>
              </mc:AlternateContent>
            </w:r>
          </w:p>
          <w:p w:rsidR="00ED6742" w:rsidRDefault="00ED6742" w:rsidP="00D65658">
            <w:pPr>
              <w:jc w:val="center"/>
            </w:pPr>
          </w:p>
          <w:p w:rsidR="00ED6742" w:rsidRDefault="00ED6742" w:rsidP="00D65658">
            <w:pPr>
              <w:jc w:val="center"/>
            </w:pPr>
          </w:p>
          <w:p w:rsidR="00ED6742" w:rsidRDefault="00ED6742" w:rsidP="00D65658">
            <w:pPr>
              <w:jc w:val="center"/>
            </w:pPr>
          </w:p>
          <w:p w:rsidR="00ED6742" w:rsidRDefault="00ED6742" w:rsidP="00D65658">
            <w:pPr>
              <w:jc w:val="center"/>
            </w:pPr>
          </w:p>
          <w:p w:rsidR="00ED6742" w:rsidRPr="00ED6742" w:rsidRDefault="00ED6742" w:rsidP="00D65658">
            <w:pPr>
              <w:pStyle w:val="Heading2"/>
              <w:rPr>
                <w:color w:val="2C323F" w:themeColor="accent1" w:themeShade="BF"/>
                <w:sz w:val="40"/>
                <w:szCs w:val="40"/>
              </w:rPr>
            </w:pPr>
            <w:bookmarkStart w:id="4" w:name="_Toc184983680"/>
            <w:bookmarkStart w:id="5" w:name="_Toc184983729"/>
            <w:bookmarkStart w:id="6" w:name="_Toc184983790"/>
            <w:bookmarkStart w:id="7" w:name="_Toc184984122"/>
            <w:r w:rsidRPr="00ED6742">
              <w:rPr>
                <w:color w:val="2C323F" w:themeColor="accent1" w:themeShade="BF"/>
                <w:sz w:val="40"/>
                <w:szCs w:val="40"/>
              </w:rPr>
              <w:t>University of Wales Trinity Saint David | Swansea</w:t>
            </w:r>
            <w:bookmarkEnd w:id="4"/>
            <w:bookmarkEnd w:id="5"/>
            <w:bookmarkEnd w:id="6"/>
            <w:bookmarkEnd w:id="7"/>
          </w:p>
          <w:p w:rsidR="00ED6742" w:rsidRPr="00ED6742" w:rsidRDefault="00ED6742" w:rsidP="00D65658">
            <w:pPr>
              <w:pStyle w:val="Heading2"/>
              <w:rPr>
                <w:color w:val="2C323F" w:themeColor="accent1" w:themeShade="BF"/>
                <w:sz w:val="40"/>
                <w:szCs w:val="40"/>
              </w:rPr>
            </w:pPr>
            <w:bookmarkStart w:id="8" w:name="_Toc184983681"/>
            <w:bookmarkStart w:id="9" w:name="_Toc184983730"/>
            <w:bookmarkStart w:id="10" w:name="_Toc184983791"/>
            <w:bookmarkStart w:id="11" w:name="_Toc184984123"/>
            <w:r w:rsidRPr="00ED6742">
              <w:rPr>
                <w:color w:val="2C323F" w:themeColor="accent1" w:themeShade="BF"/>
                <w:sz w:val="40"/>
                <w:szCs w:val="40"/>
              </w:rPr>
              <w:t>November 2024</w:t>
            </w:r>
            <w:bookmarkEnd w:id="8"/>
            <w:bookmarkEnd w:id="9"/>
            <w:bookmarkEnd w:id="10"/>
            <w:bookmarkEnd w:id="11"/>
          </w:p>
          <w:p w:rsidR="00ED6742" w:rsidRDefault="00ED6742" w:rsidP="00D65658">
            <w:r w:rsidRPr="00ED6742">
              <w:rPr>
                <w:color w:val="2C323F" w:themeColor="accent1" w:themeShade="BF"/>
                <w:sz w:val="40"/>
                <w:szCs w:val="40"/>
              </w:rPr>
              <w:t>Socrat Domenco|1817175</w:t>
            </w:r>
          </w:p>
        </w:tc>
      </w:tr>
      <w:tr w:rsidR="00ED6742" w:rsidRPr="00ED6742" w:rsidTr="00D65658">
        <w:trPr>
          <w:trHeight w:val="1004"/>
        </w:trPr>
        <w:tc>
          <w:tcPr>
            <w:tcW w:w="11199" w:type="dxa"/>
            <w:gridSpan w:val="2"/>
            <w:vAlign w:val="center"/>
          </w:tcPr>
          <w:p w:rsidR="00D65658" w:rsidRDefault="00D65658" w:rsidP="00D65658">
            <w:pPr>
              <w:pStyle w:val="Heading2"/>
              <w:jc w:val="center"/>
              <w:rPr>
                <w:rFonts w:asciiTheme="majorHAnsi" w:hAnsiTheme="majorHAnsi"/>
              </w:rPr>
            </w:pPr>
          </w:p>
          <w:p w:rsidR="00D65658" w:rsidRDefault="00D65658" w:rsidP="00D65658">
            <w:pPr>
              <w:pStyle w:val="Heading2"/>
              <w:jc w:val="center"/>
              <w:rPr>
                <w:rFonts w:asciiTheme="majorHAnsi" w:hAnsiTheme="majorHAnsi"/>
              </w:rPr>
            </w:pPr>
          </w:p>
          <w:p w:rsidR="00D65658" w:rsidRDefault="00D65658" w:rsidP="00D65658">
            <w:pPr>
              <w:pStyle w:val="Heading2"/>
              <w:jc w:val="center"/>
              <w:rPr>
                <w:rFonts w:asciiTheme="majorHAnsi" w:hAnsiTheme="majorHAnsi"/>
              </w:rPr>
            </w:pPr>
          </w:p>
          <w:p w:rsidR="00ED6742" w:rsidRDefault="00D65658" w:rsidP="00D65658">
            <w:pPr>
              <w:pStyle w:val="Heading2"/>
              <w:jc w:val="center"/>
              <w:rPr>
                <w:rFonts w:asciiTheme="majorHAnsi" w:hAnsiTheme="majorHAnsi"/>
              </w:rPr>
            </w:pPr>
            <w:bookmarkStart w:id="12" w:name="_Toc184983731"/>
            <w:bookmarkStart w:id="13" w:name="_Toc184983792"/>
            <w:bookmarkStart w:id="14" w:name="_Toc184984124"/>
            <w:r w:rsidRPr="00D65658">
              <w:rPr>
                <w:rFonts w:asciiTheme="majorHAnsi" w:hAnsiTheme="majorHAnsi"/>
              </w:rPr>
              <w:t>Executive summary</w:t>
            </w:r>
            <w:bookmarkEnd w:id="12"/>
            <w:bookmarkEnd w:id="13"/>
            <w:bookmarkEnd w:id="14"/>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2958B0" w:rsidRDefault="002958B0" w:rsidP="002958B0"/>
          <w:p w:rsidR="002958B0" w:rsidRDefault="002958B0" w:rsidP="002958B0">
            <w:r>
              <w:t>TechInnovate, a fast-growing software company in South Wales, is facing significant human resource challenges as it rapidly expands from 50 to over 200 employees. These challenges, which include recruiting and retaining qualified staff, providing adequate onboarding and training, implementing performance management processes, and managing the transition from a close-knit startup culture to a larger organization, threaten the company's continued success.</w:t>
            </w:r>
          </w:p>
          <w:p w:rsidR="002958B0" w:rsidRDefault="002958B0" w:rsidP="002958B0"/>
          <w:p w:rsidR="002958B0" w:rsidRDefault="002958B0" w:rsidP="002958B0">
            <w:r>
              <w:t>To ensure that TechInnovate's managers have the required skills to successfully manage the company's performance, this report critically evaluates the roles and skills needed, drawing on relevant theories and models. It also discusses key people management activities, such as performance management, employee reward, and employee engagement.</w:t>
            </w:r>
          </w:p>
          <w:p w:rsidR="002958B0" w:rsidRDefault="002958B0" w:rsidP="002958B0"/>
          <w:p w:rsidR="002958B0" w:rsidRDefault="002958B0" w:rsidP="002958B0">
            <w:r>
              <w:t>The report's key recommendations include:</w:t>
            </w:r>
          </w:p>
          <w:p w:rsidR="002958B0" w:rsidRDefault="002958B0" w:rsidP="002958B0"/>
          <w:p w:rsidR="002958B0" w:rsidRDefault="002958B0" w:rsidP="002958B0">
            <w:r>
              <w:t>1. Providing comprehensive management training to equip newly promoted managers with the necessary people management skills, such as communication, conflict resolution, and coaching.</w:t>
            </w:r>
          </w:p>
          <w:p w:rsidR="002958B0" w:rsidRDefault="002958B0" w:rsidP="002958B0"/>
          <w:p w:rsidR="002958B0" w:rsidRDefault="002958B0" w:rsidP="002958B0">
            <w:r>
              <w:t>2. Implementing a formal performance management system, including setting SMART objectives, conducting regular reviews, and providing constructive feedback and development opportunities.</w:t>
            </w:r>
          </w:p>
          <w:p w:rsidR="002958B0" w:rsidRDefault="002958B0" w:rsidP="002958B0"/>
          <w:p w:rsidR="002958B0" w:rsidRDefault="002958B0" w:rsidP="002958B0">
            <w:r>
              <w:t>3. Enhancing employee reward and engagement practices by reviewing the compensation strategy, introducing non-financial incentives, and focusing on initiatives to improve employee satisfaction and commitment.</w:t>
            </w:r>
          </w:p>
          <w:p w:rsidR="002958B0" w:rsidRDefault="002958B0" w:rsidP="002958B0"/>
          <w:p w:rsidR="002958B0" w:rsidRDefault="002958B0" w:rsidP="002958B0">
            <w:r>
              <w:t>4. Fostering a positive, inclusive company culture that aligns with the organization's strategic objectives as it continues to grow.</w:t>
            </w:r>
          </w:p>
          <w:p w:rsidR="002958B0" w:rsidRDefault="002958B0" w:rsidP="002958B0"/>
          <w:p w:rsidR="002958B0" w:rsidRDefault="002958B0" w:rsidP="002958B0">
            <w:r>
              <w:t>By addressing these critical people management areas, TechInnovate can ensure that its managers have the skills and support needed to effectively manage performance, thereby overcoming the HR challenges it currently faces and positioning the organization for continued success.</w:t>
            </w:r>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D65658" w:rsidRDefault="00D65658" w:rsidP="00D65658">
            <w:pPr>
              <w:rPr>
                <w:highlight w:val="green"/>
              </w:rPr>
            </w:pPr>
          </w:p>
          <w:p w:rsidR="00D65658" w:rsidRPr="00D65658" w:rsidRDefault="00D65658" w:rsidP="00D65658">
            <w:pPr>
              <w:rPr>
                <w:highlight w:val="green"/>
              </w:rPr>
            </w:pPr>
          </w:p>
        </w:tc>
      </w:tr>
    </w:tbl>
    <w:p w:rsidR="000C4ED1" w:rsidRDefault="00D65658" w:rsidP="005A2DF7">
      <w:r>
        <w:br w:type="textWrapping" w:clear="all"/>
      </w:r>
    </w:p>
    <w:p w:rsidR="00D65658" w:rsidRDefault="00D65658" w:rsidP="005A2DF7"/>
    <w:p w:rsidR="00D65658" w:rsidRDefault="00D65658" w:rsidP="005A2DF7"/>
    <w:p w:rsidR="00D65658" w:rsidRDefault="00D65658" w:rsidP="005A2DF7"/>
    <w:p w:rsidR="00D65658" w:rsidRDefault="00D65658" w:rsidP="005A2DF7"/>
    <w:p w:rsidR="00D65658" w:rsidRDefault="00D65658" w:rsidP="005A2DF7"/>
    <w:p w:rsidR="00D65658" w:rsidRDefault="00D65658" w:rsidP="005A2DF7"/>
    <w:p w:rsidR="00D65658" w:rsidRDefault="00D65658" w:rsidP="005A2DF7"/>
    <w:p w:rsidR="002958B0" w:rsidRDefault="002958B0" w:rsidP="005A2DF7"/>
    <w:p w:rsidR="002958B0" w:rsidRDefault="002958B0" w:rsidP="005A2DF7"/>
    <w:p w:rsidR="00D65658" w:rsidRDefault="00D65658" w:rsidP="005A2DF7"/>
    <w:p w:rsidR="00D65658" w:rsidRDefault="00D65658" w:rsidP="005A2DF7"/>
    <w:sdt>
      <w:sdtPr>
        <w:rPr>
          <w:rFonts w:asciiTheme="minorHAnsi" w:eastAsiaTheme="minorHAnsi" w:hAnsiTheme="minorHAnsi" w:cstheme="minorBidi"/>
          <w:color w:val="auto"/>
          <w:sz w:val="24"/>
          <w:szCs w:val="24"/>
          <w:lang w:val="en-US"/>
        </w:rPr>
        <w:id w:val="-1423723033"/>
        <w:docPartObj>
          <w:docPartGallery w:val="Table of Contents"/>
          <w:docPartUnique/>
        </w:docPartObj>
      </w:sdtPr>
      <w:sdtEndPr/>
      <w:sdtContent>
        <w:p w:rsidR="006C5DBB" w:rsidRDefault="006C5DBB" w:rsidP="006C5DBB">
          <w:pPr>
            <w:pStyle w:val="TOCHeading"/>
            <w:rPr>
              <w:sz w:val="40"/>
              <w:szCs w:val="40"/>
            </w:rPr>
          </w:pPr>
          <w:r>
            <w:rPr>
              <w:sz w:val="40"/>
              <w:szCs w:val="40"/>
            </w:rPr>
            <w:t>Table of Contents</w:t>
          </w:r>
        </w:p>
        <w:p w:rsidR="00F0267E" w:rsidRDefault="006C5DBB" w:rsidP="00F0267E">
          <w:pPr>
            <w:pStyle w:val="TOC1"/>
            <w:tabs>
              <w:tab w:val="right" w:leader="dot" w:pos="10790"/>
            </w:tabs>
            <w:rPr>
              <w:rFonts w:eastAsiaTheme="minorEastAsia"/>
              <w:noProof/>
              <w:sz w:val="22"/>
              <w:szCs w:val="22"/>
              <w:lang w:eastAsia="en-GB"/>
            </w:rPr>
          </w:pPr>
          <w:r>
            <w:rPr>
              <w:sz w:val="40"/>
              <w:szCs w:val="40"/>
            </w:rPr>
            <w:fldChar w:fldCharType="begin"/>
          </w:r>
          <w:r>
            <w:rPr>
              <w:sz w:val="40"/>
              <w:szCs w:val="40"/>
            </w:rPr>
            <w:instrText xml:space="preserve"> TOC \o "1-3" \h \z \u </w:instrText>
          </w:r>
          <w:r>
            <w:rPr>
              <w:sz w:val="40"/>
              <w:szCs w:val="40"/>
            </w:rPr>
            <w:fldChar w:fldCharType="separate"/>
          </w:r>
        </w:p>
        <w:p w:rsidR="00F0267E" w:rsidRDefault="00F0267E">
          <w:pPr>
            <w:pStyle w:val="TOC2"/>
            <w:tabs>
              <w:tab w:val="right" w:leader="dot" w:pos="10790"/>
            </w:tabs>
            <w:rPr>
              <w:rFonts w:eastAsiaTheme="minorEastAsia"/>
              <w:noProof/>
              <w:sz w:val="22"/>
              <w:szCs w:val="22"/>
              <w:lang w:eastAsia="en-GB"/>
            </w:rPr>
          </w:pPr>
        </w:p>
        <w:p w:rsidR="00F0267E" w:rsidRDefault="00B65675">
          <w:pPr>
            <w:pStyle w:val="TOC2"/>
            <w:tabs>
              <w:tab w:val="right" w:leader="dot" w:pos="10790"/>
            </w:tabs>
            <w:rPr>
              <w:rFonts w:eastAsiaTheme="minorEastAsia"/>
              <w:noProof/>
              <w:sz w:val="22"/>
              <w:szCs w:val="22"/>
              <w:lang w:eastAsia="en-GB"/>
            </w:rPr>
          </w:pPr>
          <w:hyperlink w:anchor="_Toc184984125" w:history="1">
            <w:r w:rsidR="00F0267E" w:rsidRPr="00295974">
              <w:rPr>
                <w:rStyle w:val="Hyperlink"/>
                <w:noProof/>
              </w:rPr>
              <w:t>Introduction</w:t>
            </w:r>
            <w:r w:rsidR="00F0267E">
              <w:rPr>
                <w:noProof/>
                <w:webHidden/>
              </w:rPr>
              <w:tab/>
            </w:r>
            <w:r w:rsidR="00F0267E">
              <w:rPr>
                <w:noProof/>
                <w:webHidden/>
              </w:rPr>
              <w:fldChar w:fldCharType="begin"/>
            </w:r>
            <w:r w:rsidR="00F0267E">
              <w:rPr>
                <w:noProof/>
                <w:webHidden/>
              </w:rPr>
              <w:instrText xml:space="preserve"> PAGEREF _Toc184984125 \h </w:instrText>
            </w:r>
            <w:r w:rsidR="00F0267E">
              <w:rPr>
                <w:noProof/>
                <w:webHidden/>
              </w:rPr>
            </w:r>
            <w:r w:rsidR="00F0267E">
              <w:rPr>
                <w:noProof/>
                <w:webHidden/>
              </w:rPr>
              <w:fldChar w:fldCharType="separate"/>
            </w:r>
            <w:r w:rsidR="00C418E3">
              <w:rPr>
                <w:noProof/>
                <w:webHidden/>
              </w:rPr>
              <w:t>4</w:t>
            </w:r>
            <w:r w:rsidR="00F0267E">
              <w:rPr>
                <w:noProof/>
                <w:webHidden/>
              </w:rPr>
              <w:fldChar w:fldCharType="end"/>
            </w:r>
          </w:hyperlink>
        </w:p>
        <w:p w:rsidR="00F0267E" w:rsidRDefault="00B65675">
          <w:pPr>
            <w:pStyle w:val="TOC2"/>
            <w:tabs>
              <w:tab w:val="right" w:leader="dot" w:pos="10790"/>
            </w:tabs>
            <w:rPr>
              <w:rFonts w:eastAsiaTheme="minorEastAsia"/>
              <w:noProof/>
              <w:sz w:val="22"/>
              <w:szCs w:val="22"/>
              <w:lang w:eastAsia="en-GB"/>
            </w:rPr>
          </w:pPr>
          <w:hyperlink w:anchor="_Toc184984126" w:history="1">
            <w:r w:rsidR="00F0267E" w:rsidRPr="00295974">
              <w:rPr>
                <w:rStyle w:val="Hyperlink"/>
                <w:noProof/>
              </w:rPr>
              <w:t>Main findings</w:t>
            </w:r>
            <w:r w:rsidR="00F0267E">
              <w:rPr>
                <w:noProof/>
                <w:webHidden/>
              </w:rPr>
              <w:tab/>
            </w:r>
            <w:r w:rsidR="00F0267E">
              <w:rPr>
                <w:noProof/>
                <w:webHidden/>
              </w:rPr>
              <w:fldChar w:fldCharType="begin"/>
            </w:r>
            <w:r w:rsidR="00F0267E">
              <w:rPr>
                <w:noProof/>
                <w:webHidden/>
              </w:rPr>
              <w:instrText xml:space="preserve"> PAGEREF _Toc184984126 \h </w:instrText>
            </w:r>
            <w:r w:rsidR="00F0267E">
              <w:rPr>
                <w:noProof/>
                <w:webHidden/>
              </w:rPr>
            </w:r>
            <w:r w:rsidR="00F0267E">
              <w:rPr>
                <w:noProof/>
                <w:webHidden/>
              </w:rPr>
              <w:fldChar w:fldCharType="separate"/>
            </w:r>
            <w:r w:rsidR="00C418E3">
              <w:rPr>
                <w:noProof/>
                <w:webHidden/>
              </w:rPr>
              <w:t>4</w:t>
            </w:r>
            <w:r w:rsidR="00F0267E">
              <w:rPr>
                <w:noProof/>
                <w:webHidden/>
              </w:rPr>
              <w:fldChar w:fldCharType="end"/>
            </w:r>
          </w:hyperlink>
        </w:p>
        <w:p w:rsidR="00F0267E" w:rsidRDefault="00B65675" w:rsidP="00F0267E">
          <w:pPr>
            <w:pStyle w:val="TOC2"/>
            <w:numPr>
              <w:ilvl w:val="0"/>
              <w:numId w:val="6"/>
            </w:numPr>
            <w:tabs>
              <w:tab w:val="left" w:pos="660"/>
              <w:tab w:val="right" w:leader="dot" w:pos="10790"/>
            </w:tabs>
            <w:rPr>
              <w:rFonts w:eastAsiaTheme="minorEastAsia"/>
              <w:noProof/>
              <w:sz w:val="22"/>
              <w:szCs w:val="22"/>
              <w:lang w:eastAsia="en-GB"/>
            </w:rPr>
          </w:pPr>
          <w:hyperlink w:anchor="_Toc184984127" w:history="1">
            <w:r w:rsidR="00F0267E" w:rsidRPr="00295974">
              <w:rPr>
                <w:rStyle w:val="Hyperlink"/>
                <w:noProof/>
              </w:rPr>
              <w:t>Roles and Skills of Effective Managers</w:t>
            </w:r>
            <w:r w:rsidR="00F0267E">
              <w:rPr>
                <w:noProof/>
                <w:webHidden/>
              </w:rPr>
              <w:tab/>
            </w:r>
            <w:r w:rsidR="00F0267E">
              <w:rPr>
                <w:noProof/>
                <w:webHidden/>
              </w:rPr>
              <w:fldChar w:fldCharType="begin"/>
            </w:r>
            <w:r w:rsidR="00F0267E">
              <w:rPr>
                <w:noProof/>
                <w:webHidden/>
              </w:rPr>
              <w:instrText xml:space="preserve"> PAGEREF _Toc184984127 \h </w:instrText>
            </w:r>
            <w:r w:rsidR="00F0267E">
              <w:rPr>
                <w:noProof/>
                <w:webHidden/>
              </w:rPr>
            </w:r>
            <w:r w:rsidR="00F0267E">
              <w:rPr>
                <w:noProof/>
                <w:webHidden/>
              </w:rPr>
              <w:fldChar w:fldCharType="separate"/>
            </w:r>
            <w:r w:rsidR="00C418E3">
              <w:rPr>
                <w:noProof/>
                <w:webHidden/>
              </w:rPr>
              <w:t>4</w:t>
            </w:r>
            <w:r w:rsidR="00F0267E">
              <w:rPr>
                <w:noProof/>
                <w:webHidden/>
              </w:rPr>
              <w:fldChar w:fldCharType="end"/>
            </w:r>
          </w:hyperlink>
        </w:p>
        <w:p w:rsidR="00F0267E" w:rsidRDefault="00B65675" w:rsidP="00F0267E">
          <w:pPr>
            <w:pStyle w:val="TOC2"/>
            <w:numPr>
              <w:ilvl w:val="0"/>
              <w:numId w:val="6"/>
            </w:numPr>
            <w:tabs>
              <w:tab w:val="left" w:pos="660"/>
              <w:tab w:val="right" w:leader="dot" w:pos="10790"/>
            </w:tabs>
            <w:rPr>
              <w:rFonts w:eastAsiaTheme="minorEastAsia"/>
              <w:noProof/>
              <w:sz w:val="22"/>
              <w:szCs w:val="22"/>
              <w:lang w:eastAsia="en-GB"/>
            </w:rPr>
          </w:pPr>
          <w:hyperlink w:anchor="_Toc184984128" w:history="1">
            <w:r w:rsidR="00F0267E" w:rsidRPr="00295974">
              <w:rPr>
                <w:rStyle w:val="Hyperlink"/>
                <w:noProof/>
              </w:rPr>
              <w:t>Performance Management</w:t>
            </w:r>
            <w:r w:rsidR="00F0267E">
              <w:rPr>
                <w:noProof/>
                <w:webHidden/>
              </w:rPr>
              <w:tab/>
            </w:r>
            <w:r w:rsidR="00F0267E">
              <w:rPr>
                <w:noProof/>
                <w:webHidden/>
              </w:rPr>
              <w:fldChar w:fldCharType="begin"/>
            </w:r>
            <w:r w:rsidR="00F0267E">
              <w:rPr>
                <w:noProof/>
                <w:webHidden/>
              </w:rPr>
              <w:instrText xml:space="preserve"> PAGEREF _Toc184984128 \h </w:instrText>
            </w:r>
            <w:r w:rsidR="00F0267E">
              <w:rPr>
                <w:noProof/>
                <w:webHidden/>
              </w:rPr>
            </w:r>
            <w:r w:rsidR="00F0267E">
              <w:rPr>
                <w:noProof/>
                <w:webHidden/>
              </w:rPr>
              <w:fldChar w:fldCharType="separate"/>
            </w:r>
            <w:r w:rsidR="00C418E3">
              <w:rPr>
                <w:noProof/>
                <w:webHidden/>
              </w:rPr>
              <w:t>5</w:t>
            </w:r>
            <w:r w:rsidR="00F0267E">
              <w:rPr>
                <w:noProof/>
                <w:webHidden/>
              </w:rPr>
              <w:fldChar w:fldCharType="end"/>
            </w:r>
          </w:hyperlink>
        </w:p>
        <w:p w:rsidR="00F0267E" w:rsidRDefault="00B65675" w:rsidP="00F0267E">
          <w:pPr>
            <w:pStyle w:val="TOC2"/>
            <w:numPr>
              <w:ilvl w:val="0"/>
              <w:numId w:val="6"/>
            </w:numPr>
            <w:tabs>
              <w:tab w:val="left" w:pos="660"/>
              <w:tab w:val="right" w:leader="dot" w:pos="10790"/>
            </w:tabs>
            <w:rPr>
              <w:rFonts w:eastAsiaTheme="minorEastAsia"/>
              <w:noProof/>
              <w:sz w:val="22"/>
              <w:szCs w:val="22"/>
              <w:lang w:eastAsia="en-GB"/>
            </w:rPr>
          </w:pPr>
          <w:hyperlink w:anchor="_Toc184984129" w:history="1">
            <w:r w:rsidR="00F0267E" w:rsidRPr="00295974">
              <w:rPr>
                <w:rStyle w:val="Hyperlink"/>
                <w:noProof/>
              </w:rPr>
              <w:t>Theories and Models of Effective People Management</w:t>
            </w:r>
            <w:r w:rsidR="00F0267E">
              <w:rPr>
                <w:noProof/>
                <w:webHidden/>
              </w:rPr>
              <w:tab/>
            </w:r>
            <w:r w:rsidR="00F0267E">
              <w:rPr>
                <w:noProof/>
                <w:webHidden/>
              </w:rPr>
              <w:fldChar w:fldCharType="begin"/>
            </w:r>
            <w:r w:rsidR="00F0267E">
              <w:rPr>
                <w:noProof/>
                <w:webHidden/>
              </w:rPr>
              <w:instrText xml:space="preserve"> PAGEREF _Toc184984129 \h </w:instrText>
            </w:r>
            <w:r w:rsidR="00F0267E">
              <w:rPr>
                <w:noProof/>
                <w:webHidden/>
              </w:rPr>
            </w:r>
            <w:r w:rsidR="00F0267E">
              <w:rPr>
                <w:noProof/>
                <w:webHidden/>
              </w:rPr>
              <w:fldChar w:fldCharType="separate"/>
            </w:r>
            <w:r w:rsidR="00C418E3">
              <w:rPr>
                <w:noProof/>
                <w:webHidden/>
              </w:rPr>
              <w:t>5</w:t>
            </w:r>
            <w:r w:rsidR="00F0267E">
              <w:rPr>
                <w:noProof/>
                <w:webHidden/>
              </w:rPr>
              <w:fldChar w:fldCharType="end"/>
            </w:r>
          </w:hyperlink>
        </w:p>
        <w:p w:rsidR="00F0267E" w:rsidRDefault="00B65675" w:rsidP="00F0267E">
          <w:pPr>
            <w:pStyle w:val="TOC2"/>
            <w:numPr>
              <w:ilvl w:val="0"/>
              <w:numId w:val="6"/>
            </w:numPr>
            <w:tabs>
              <w:tab w:val="right" w:leader="dot" w:pos="10790"/>
            </w:tabs>
            <w:rPr>
              <w:rFonts w:eastAsiaTheme="minorEastAsia"/>
              <w:noProof/>
              <w:sz w:val="22"/>
              <w:szCs w:val="22"/>
              <w:lang w:eastAsia="en-GB"/>
            </w:rPr>
          </w:pPr>
          <w:hyperlink w:anchor="_Toc184984130" w:history="1">
            <w:r w:rsidR="00F0267E" w:rsidRPr="00295974">
              <w:rPr>
                <w:rStyle w:val="Hyperlink"/>
                <w:noProof/>
              </w:rPr>
              <w:t>Employee Reward and Engagement</w:t>
            </w:r>
            <w:r w:rsidR="00F0267E">
              <w:rPr>
                <w:noProof/>
                <w:webHidden/>
              </w:rPr>
              <w:tab/>
            </w:r>
            <w:r w:rsidR="00F0267E">
              <w:rPr>
                <w:noProof/>
                <w:webHidden/>
              </w:rPr>
              <w:fldChar w:fldCharType="begin"/>
            </w:r>
            <w:r w:rsidR="00F0267E">
              <w:rPr>
                <w:noProof/>
                <w:webHidden/>
              </w:rPr>
              <w:instrText xml:space="preserve"> PAGEREF _Toc184984130 \h </w:instrText>
            </w:r>
            <w:r w:rsidR="00F0267E">
              <w:rPr>
                <w:noProof/>
                <w:webHidden/>
              </w:rPr>
            </w:r>
            <w:r w:rsidR="00F0267E">
              <w:rPr>
                <w:noProof/>
                <w:webHidden/>
              </w:rPr>
              <w:fldChar w:fldCharType="separate"/>
            </w:r>
            <w:r w:rsidR="00C418E3">
              <w:rPr>
                <w:noProof/>
                <w:webHidden/>
              </w:rPr>
              <w:t>6</w:t>
            </w:r>
            <w:r w:rsidR="00F0267E">
              <w:rPr>
                <w:noProof/>
                <w:webHidden/>
              </w:rPr>
              <w:fldChar w:fldCharType="end"/>
            </w:r>
          </w:hyperlink>
        </w:p>
        <w:p w:rsidR="00F0267E" w:rsidRDefault="00B65675" w:rsidP="00F0267E">
          <w:pPr>
            <w:pStyle w:val="TOC2"/>
            <w:numPr>
              <w:ilvl w:val="0"/>
              <w:numId w:val="6"/>
            </w:numPr>
            <w:tabs>
              <w:tab w:val="left" w:pos="660"/>
              <w:tab w:val="right" w:leader="dot" w:pos="10790"/>
            </w:tabs>
            <w:rPr>
              <w:rFonts w:eastAsiaTheme="minorEastAsia"/>
              <w:noProof/>
              <w:sz w:val="22"/>
              <w:szCs w:val="22"/>
              <w:lang w:eastAsia="en-GB"/>
            </w:rPr>
          </w:pPr>
          <w:hyperlink w:anchor="_Toc184984131" w:history="1">
            <w:r w:rsidR="00F0267E" w:rsidRPr="00295974">
              <w:rPr>
                <w:rStyle w:val="Hyperlink"/>
                <w:noProof/>
              </w:rPr>
              <w:t>Recommendations for TechInnovate</w:t>
            </w:r>
            <w:r w:rsidR="00F0267E">
              <w:rPr>
                <w:noProof/>
                <w:webHidden/>
              </w:rPr>
              <w:tab/>
            </w:r>
            <w:r w:rsidR="00F0267E">
              <w:rPr>
                <w:noProof/>
                <w:webHidden/>
              </w:rPr>
              <w:fldChar w:fldCharType="begin"/>
            </w:r>
            <w:r w:rsidR="00F0267E">
              <w:rPr>
                <w:noProof/>
                <w:webHidden/>
              </w:rPr>
              <w:instrText xml:space="preserve"> PAGEREF _Toc184984131 \h </w:instrText>
            </w:r>
            <w:r w:rsidR="00F0267E">
              <w:rPr>
                <w:noProof/>
                <w:webHidden/>
              </w:rPr>
            </w:r>
            <w:r w:rsidR="00F0267E">
              <w:rPr>
                <w:noProof/>
                <w:webHidden/>
              </w:rPr>
              <w:fldChar w:fldCharType="separate"/>
            </w:r>
            <w:r w:rsidR="00C418E3">
              <w:rPr>
                <w:noProof/>
                <w:webHidden/>
              </w:rPr>
              <w:t>7</w:t>
            </w:r>
            <w:r w:rsidR="00F0267E">
              <w:rPr>
                <w:noProof/>
                <w:webHidden/>
              </w:rPr>
              <w:fldChar w:fldCharType="end"/>
            </w:r>
          </w:hyperlink>
        </w:p>
        <w:p w:rsidR="00F0267E" w:rsidRDefault="00B65675">
          <w:pPr>
            <w:pStyle w:val="TOC2"/>
            <w:tabs>
              <w:tab w:val="right" w:leader="dot" w:pos="10790"/>
            </w:tabs>
            <w:rPr>
              <w:rFonts w:eastAsiaTheme="minorEastAsia"/>
              <w:noProof/>
              <w:sz w:val="22"/>
              <w:szCs w:val="22"/>
              <w:lang w:eastAsia="en-GB"/>
            </w:rPr>
          </w:pPr>
          <w:hyperlink w:anchor="_Toc184984132" w:history="1">
            <w:r w:rsidR="00F0267E" w:rsidRPr="00295974">
              <w:rPr>
                <w:rStyle w:val="Hyperlink"/>
                <w:noProof/>
              </w:rPr>
              <w:t>Conclusion</w:t>
            </w:r>
            <w:r w:rsidR="00F0267E">
              <w:rPr>
                <w:noProof/>
                <w:webHidden/>
              </w:rPr>
              <w:tab/>
            </w:r>
            <w:r w:rsidR="00F0267E">
              <w:rPr>
                <w:noProof/>
                <w:webHidden/>
              </w:rPr>
              <w:fldChar w:fldCharType="begin"/>
            </w:r>
            <w:r w:rsidR="00F0267E">
              <w:rPr>
                <w:noProof/>
                <w:webHidden/>
              </w:rPr>
              <w:instrText xml:space="preserve"> PAGEREF _Toc184984132 \h </w:instrText>
            </w:r>
            <w:r w:rsidR="00F0267E">
              <w:rPr>
                <w:noProof/>
                <w:webHidden/>
              </w:rPr>
            </w:r>
            <w:r w:rsidR="00F0267E">
              <w:rPr>
                <w:noProof/>
                <w:webHidden/>
              </w:rPr>
              <w:fldChar w:fldCharType="separate"/>
            </w:r>
            <w:r w:rsidR="00C418E3">
              <w:rPr>
                <w:noProof/>
                <w:webHidden/>
              </w:rPr>
              <w:t>8</w:t>
            </w:r>
            <w:r w:rsidR="00F0267E">
              <w:rPr>
                <w:noProof/>
                <w:webHidden/>
              </w:rPr>
              <w:fldChar w:fldCharType="end"/>
            </w:r>
          </w:hyperlink>
        </w:p>
        <w:p w:rsidR="00F0267E" w:rsidRDefault="00B65675">
          <w:pPr>
            <w:pStyle w:val="TOC2"/>
            <w:tabs>
              <w:tab w:val="right" w:leader="dot" w:pos="10790"/>
            </w:tabs>
            <w:rPr>
              <w:rFonts w:eastAsiaTheme="minorEastAsia"/>
              <w:noProof/>
              <w:sz w:val="22"/>
              <w:szCs w:val="22"/>
              <w:lang w:eastAsia="en-GB"/>
            </w:rPr>
          </w:pPr>
          <w:hyperlink w:anchor="_Toc184984133" w:history="1">
            <w:r w:rsidR="00F0267E" w:rsidRPr="00295974">
              <w:rPr>
                <w:rStyle w:val="Hyperlink"/>
                <w:noProof/>
              </w:rPr>
              <w:t>References</w:t>
            </w:r>
            <w:r w:rsidR="00F0267E">
              <w:rPr>
                <w:noProof/>
                <w:webHidden/>
              </w:rPr>
              <w:tab/>
            </w:r>
            <w:r w:rsidR="00F0267E">
              <w:rPr>
                <w:noProof/>
                <w:webHidden/>
              </w:rPr>
              <w:fldChar w:fldCharType="begin"/>
            </w:r>
            <w:r w:rsidR="00F0267E">
              <w:rPr>
                <w:noProof/>
                <w:webHidden/>
              </w:rPr>
              <w:instrText xml:space="preserve"> PAGEREF _Toc184984133 \h </w:instrText>
            </w:r>
            <w:r w:rsidR="00F0267E">
              <w:rPr>
                <w:noProof/>
                <w:webHidden/>
              </w:rPr>
            </w:r>
            <w:r w:rsidR="00F0267E">
              <w:rPr>
                <w:noProof/>
                <w:webHidden/>
              </w:rPr>
              <w:fldChar w:fldCharType="separate"/>
            </w:r>
            <w:r w:rsidR="00C418E3">
              <w:rPr>
                <w:noProof/>
                <w:webHidden/>
              </w:rPr>
              <w:t>8</w:t>
            </w:r>
            <w:r w:rsidR="00F0267E">
              <w:rPr>
                <w:noProof/>
                <w:webHidden/>
              </w:rPr>
              <w:fldChar w:fldCharType="end"/>
            </w:r>
          </w:hyperlink>
        </w:p>
        <w:p w:rsidR="006C5DBB" w:rsidRDefault="006C5DBB" w:rsidP="006C5DBB">
          <w:r>
            <w:rPr>
              <w:b/>
              <w:bCs/>
              <w:noProof/>
              <w:sz w:val="40"/>
              <w:szCs w:val="40"/>
            </w:rPr>
            <w:fldChar w:fldCharType="end"/>
          </w:r>
        </w:p>
      </w:sdtContent>
    </w:sdt>
    <w:p w:rsidR="006C5DBB" w:rsidRDefault="006C5DBB" w:rsidP="006C5DBB"/>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D65658" w:rsidP="002958B0">
      <w:pPr>
        <w:pStyle w:val="Heading2"/>
        <w:jc w:val="center"/>
      </w:pPr>
      <w:bookmarkStart w:id="15" w:name="_Toc184984125"/>
      <w:r>
        <w:lastRenderedPageBreak/>
        <w:t>Introduction</w:t>
      </w:r>
      <w:bookmarkEnd w:id="15"/>
    </w:p>
    <w:p w:rsidR="008F72A7" w:rsidRDefault="008F72A7" w:rsidP="005A2DF7"/>
    <w:p w:rsidR="008F72A7" w:rsidRDefault="008F72A7" w:rsidP="005A2DF7"/>
    <w:p w:rsidR="00D65658" w:rsidRDefault="00D65658" w:rsidP="00D65658">
      <w:r>
        <w:t>TechInnovate, a fast-growing software company in South Wales, is facing several pressing HR issues related to managing its rapidly expanding workforce. According to the TechInnovate case study, as the company has grown from 50 to over 200 employees in just 2 years, the informal HR approach used in the early days has become unsustainable. These challenges, which include recruiting and retaining qualified staff, providing adequate onboarding and training, implementing performance management processes, and managing the transition from a close-knit startup culture to a larger organization, threaten the company's c</w:t>
      </w:r>
      <w:r w:rsidR="00ED42C5">
        <w:t xml:space="preserve">ontinued success (Case Study). </w:t>
      </w:r>
    </w:p>
    <w:p w:rsidR="00D65658" w:rsidRDefault="00D65658" w:rsidP="00D65658">
      <w:r>
        <w:t>To ensure that TechInnovate's managers have the required skills to successfully manage the company's performance, this report will critically evaluate the roles and skills needed, drawing on relevant theories and models. It will also discuss key people management activities, such as performance management, employee reward, and employee engagement, and make recommendations for how the company can address its HR challenges.</w:t>
      </w:r>
    </w:p>
    <w:p w:rsidR="00ED42C5" w:rsidRDefault="00ED42C5" w:rsidP="00ED42C5">
      <w:r>
        <w:t>This critical report will thoroughly evaluate the roles and skills required by managers, review relevant theories and models, and provide well-justified recommendations for TechInnovate.</w:t>
      </w:r>
    </w:p>
    <w:p w:rsidR="00064938" w:rsidRDefault="00064938" w:rsidP="00ED42C5"/>
    <w:p w:rsidR="00ED42C5" w:rsidRDefault="00064938" w:rsidP="00EF7F0C">
      <w:pPr>
        <w:pStyle w:val="Heading2"/>
        <w:jc w:val="center"/>
      </w:pPr>
      <w:bookmarkStart w:id="16" w:name="_Toc184984126"/>
      <w:r>
        <w:t>Main findings</w:t>
      </w:r>
      <w:bookmarkEnd w:id="16"/>
    </w:p>
    <w:p w:rsidR="00D65658" w:rsidRDefault="00D65658" w:rsidP="005A2DF7"/>
    <w:p w:rsidR="00ED42C5" w:rsidRDefault="00ED42C5" w:rsidP="00064938">
      <w:pPr>
        <w:pStyle w:val="Heading2"/>
        <w:numPr>
          <w:ilvl w:val="0"/>
          <w:numId w:val="2"/>
        </w:numPr>
      </w:pPr>
      <w:bookmarkStart w:id="17" w:name="_Toc184984127"/>
      <w:r>
        <w:t>Roles and Skills of Effective Managers</w:t>
      </w:r>
      <w:bookmarkEnd w:id="17"/>
    </w:p>
    <w:p w:rsidR="00ED42C5" w:rsidRDefault="00ED42C5" w:rsidP="00ED42C5"/>
    <w:p w:rsidR="00ED42C5" w:rsidRDefault="00ED42C5" w:rsidP="00ED42C5">
      <w:r>
        <w:t>Effective people management is a critical competency for managers, as it directly impacts employee performance, engagement, and retention (Yukl, 2013). According to Mintzberg's (1973) model of managerial roles, the key roles that managers must fulfill include interpersonal roles (e.g., leader, liaison), informational roles (e.g., monitor, disseminator), and decisional roles (e.g., entrepreneur, resource allocator).</w:t>
      </w:r>
    </w:p>
    <w:p w:rsidR="00ED42C5" w:rsidRDefault="00ED42C5" w:rsidP="00ED42C5">
      <w:r>
        <w:t>Within these broader roles, managers must possess a range of skills to successfully manage people. Specifically, they need strong communication skills to provide clear direction, give feedback, and motivate their teams (Northouse, 2019). They must also have conflict resolution and negotiation abilities to address workplace issues (Rahim, 2017). Additionally, managers require technical competence in their functional areas, as well as the capacity to delegate, coach, and develop their reports (Yukl, 2013).</w:t>
      </w:r>
    </w:p>
    <w:p w:rsidR="00ED42C5" w:rsidRDefault="00ED42C5" w:rsidP="00ED42C5">
      <w:r>
        <w:t xml:space="preserve">Managers play a crucial role in driving organizational performance through the management of human resources. Effective people management requires a diverse skillset, including technical/functional expertise, interpersonal skills, and strategic decision-making abilities (Northouse, 2019). Key managerial roles include setting clear performance expectations, providing feedback and coaching, recognizing and rewarding good performance, and addressing underperformance (Armstrong &amp; Taylor, 2020). </w:t>
      </w:r>
    </w:p>
    <w:p w:rsidR="00ED42C5" w:rsidRDefault="00ED42C5" w:rsidP="00ED42C5">
      <w:r>
        <w:t>Managers must also be able to create an environment that fosters employee engagement, as this has been shown to have a direct impact on organizational outcomes (Alfes et al., 2013). This requires skills in communication, empowerment, and creating a positive work culture (Purcell &amp; Hutchinson, 2007). Research has shown that employee engagement has a direct impact on organizational performance, as engaged employees are more productive, innovative, and committed to the company's success (Alfes et al., 2013). Furthermore, managers need to understand how to leverage different leadership styles and motivational techniques to get the best out of their teams (Deci &amp; Ryan, 2000).</w:t>
      </w:r>
    </w:p>
    <w:p w:rsidR="00ED42C5" w:rsidRDefault="00ED42C5" w:rsidP="00ED42C5">
      <w:r>
        <w:t>The case study indicates that many of TechInnovate's early employees have been promoted to management roles without proper training or support, leading to an "increase in conflict within the workplace" and "a real impact on productivity" (Case Study). This suggests that the company's managers may lack some of the critical people management skills outlined above.</w:t>
      </w:r>
    </w:p>
    <w:p w:rsidR="00ED42C5" w:rsidRDefault="00ED42C5" w:rsidP="00ED42C5"/>
    <w:p w:rsidR="00ED42C5" w:rsidRDefault="00ED42C5" w:rsidP="00064938">
      <w:pPr>
        <w:pStyle w:val="Heading2"/>
        <w:numPr>
          <w:ilvl w:val="0"/>
          <w:numId w:val="2"/>
        </w:numPr>
      </w:pPr>
      <w:bookmarkStart w:id="18" w:name="_Toc184984128"/>
      <w:r>
        <w:lastRenderedPageBreak/>
        <w:t>Performance Management</w:t>
      </w:r>
      <w:bookmarkEnd w:id="18"/>
    </w:p>
    <w:p w:rsidR="00ED42C5" w:rsidRDefault="00ED42C5" w:rsidP="00ED42C5"/>
    <w:p w:rsidR="00ED42C5" w:rsidRDefault="00ED42C5" w:rsidP="00ED42C5">
      <w:r>
        <w:t>An essential component of effective people management is a robust performance management system (Armstrong &amp; Taylor, 2020). Performance management involves setting clear objectives, providing ongoing feedback, and evaluating employee performance against those objectives (Aguinis, 2019). It is a key driver of employee motivation, development, and retention (Aguinis &amp; Kraiger, 2009).</w:t>
      </w:r>
    </w:p>
    <w:p w:rsidR="00ED42C5" w:rsidRDefault="00ED42C5" w:rsidP="00ED42C5"/>
    <w:p w:rsidR="00ED42C5" w:rsidRDefault="00ED42C5" w:rsidP="00ED42C5">
      <w:r>
        <w:t>Research has shown that organizations with formal performance management processes tend to outperform those without such systems in place (Aguinis &amp; Kraiger, 2009). However, the case study indicates that TechInnovate currently lacks a "formal performance review process" (Case Study), which may contribute to the company's challenges with recruiting and retaining qualified staff.</w:t>
      </w:r>
    </w:p>
    <w:p w:rsidR="00ED42C5" w:rsidRDefault="00ED42C5" w:rsidP="00ED42C5"/>
    <w:p w:rsidR="008F72A7" w:rsidRDefault="00ED42C5" w:rsidP="00ED42C5">
      <w:r>
        <w:t>To address this gap, TechInnovate should implement a comprehensive performance management system. This should include setting SMART (specific, measurable, achievable, relevant, and time-bound) objectives for each employee, conducting regular performance reviews, and providing constructive feedback and development opportunities (Armstrong &amp; Taylor, 2020). Managers will need training to effectively implement and manage this process (Aguinis, 2019</w:t>
      </w:r>
      <w:r w:rsidR="009D746B">
        <w:t xml:space="preserve">). </w:t>
      </w:r>
    </w:p>
    <w:p w:rsidR="009D746B" w:rsidRDefault="009D746B" w:rsidP="00ED42C5"/>
    <w:p w:rsidR="009D746B" w:rsidRDefault="009D746B" w:rsidP="00064938">
      <w:pPr>
        <w:pStyle w:val="Heading2"/>
        <w:numPr>
          <w:ilvl w:val="0"/>
          <w:numId w:val="2"/>
        </w:numPr>
      </w:pPr>
      <w:bookmarkStart w:id="19" w:name="_Toc184984129"/>
      <w:r>
        <w:t>Theories and Models of Effective People Management</w:t>
      </w:r>
      <w:bookmarkEnd w:id="19"/>
    </w:p>
    <w:p w:rsidR="009D746B" w:rsidRDefault="009D746B" w:rsidP="009D746B"/>
    <w:p w:rsidR="009D746B" w:rsidRDefault="009D746B" w:rsidP="009D746B">
      <w:r>
        <w:t>Several theoretical frameworks can be applied to the development of managerial skills in people management. One prominent model is the AMO (Ability, Motivation, Opportunity) framework, which posits that employee performance is a function of their ability, motivation, and opportunity to perform (Appelbaum et al., 2000). Managers must ensure they recruit and develop employees with the right abilities, provide them with the motivation to perform, and create the necessary opportunities through job design and empowerment.</w:t>
      </w:r>
    </w:p>
    <w:p w:rsidR="009D746B" w:rsidRDefault="009D746B" w:rsidP="009D746B">
      <w:r>
        <w:t>The AMO framework suggests that TechInnovate's managers should focus on three key areas: 1) Ensuring employees have the necessary skills and knowledge to perform their roles effectively, 2) Implementing strategies to enhance employee motivation, such as aligning rewards with performance and fostering a positive work culture, and 3) Providing employees with the resources, autonomy, and support they need to succeed (Appelbaum et al., 2000).</w:t>
      </w:r>
    </w:p>
    <w:p w:rsidR="009D746B" w:rsidRDefault="009D746B" w:rsidP="009D746B">
      <w:r>
        <w:t>The concept of transformational leadership is also highly relevant, as it emphasizes the importance of inspiring and empowering employees through charismatic leadership, intellectual stimulation, and individualized consideration (Bass, 1985). Managers who exhibit transformational leadership behaviors have been shown to foster greater employee satisfaction, commitment, and performance (Liao &amp; Chuang, 2007). This is particularly important in a rapidly growing company like TechInnovate, where employees may feel overwhelmed by the pace of change and need strong leadership to guide them through the transition.</w:t>
      </w:r>
    </w:p>
    <w:p w:rsidR="009D746B" w:rsidRDefault="009D746B" w:rsidP="009D746B">
      <w:r>
        <w:t>Additionally, performance management theory highlights the need for managers to set clear, measurable goals, provide regular feedback, and link employee rewards to performance (Aguinis, 2013). This helps ensure that employees understand expectations and receive the necessary support and recognition to achieve their objectives. The lack of a formal performance review process at TechInnovate (TechInnovate Case Study) suggests that the company's managers may be missing key performance management skills.</w:t>
      </w:r>
    </w:p>
    <w:p w:rsidR="00A64627" w:rsidRDefault="00A64627" w:rsidP="00A64627">
      <w:r>
        <w:t>Here is an analysis of the people management challenges at TechInnovate using Maslow's Hierarchy of Needs theory, with in-text citations and references.</w:t>
      </w:r>
    </w:p>
    <w:p w:rsidR="00A64627" w:rsidRDefault="00A64627" w:rsidP="00A64627"/>
    <w:p w:rsidR="00A64627" w:rsidRDefault="00A64627" w:rsidP="00A64627">
      <w:r>
        <w:t>Maslow's Hierarchy of Needs is a widely-recognized theory of motivation that can be applied to people management within organizations (Maslow, 1943). According to Maslow, individuals have five levels of needs that must be satisfied: physiological, safety, belonging, esteem, and self-actualization. Applying this framework to the case study, several issues at TechInnovate can be identified.</w:t>
      </w:r>
    </w:p>
    <w:p w:rsidR="00A64627" w:rsidRDefault="00A64627" w:rsidP="00A64627"/>
    <w:p w:rsidR="00A64627" w:rsidRDefault="00A64627" w:rsidP="00A64627">
      <w:r>
        <w:lastRenderedPageBreak/>
        <w:t>Firstly, the company appears to be struggling with employees' physiological and safety needs. The rapid growth has led to challenges in recruiting and retaining qualified engineers and data scientists to meet client demand (TechInnovate case study). This suggests that TechInnovate may not be adequately fulfilling employees' basic physiological needs, such as providing competitive compensation and benefits. Additionally, the high turnover rate and lack of proper onboarding indicates that employees' need for job security and stability is not being met (TechInnovate case study).</w:t>
      </w:r>
    </w:p>
    <w:p w:rsidR="00A64627" w:rsidRDefault="00A64627" w:rsidP="00A64627"/>
    <w:p w:rsidR="00A64627" w:rsidRDefault="00A64627" w:rsidP="00A64627">
      <w:r>
        <w:t>Moving up the hierarchy, TechInnovate also faces issues related to employees' belonging and esteem needs. The case study notes that the close-knit startup culture is eroding as the company grows, leading to decreased employee satisfaction (TechInnovate case study). This implies that employees' need for a sense of belonging and social connection within the organization is not being fully addressed. Furthermore, the lack of a formal performance review process suggests that employees may not be receiving the recognition and esteem they require (TechInnovate case study).</w:t>
      </w:r>
    </w:p>
    <w:p w:rsidR="00A64627" w:rsidRDefault="00A64627" w:rsidP="00A64627"/>
    <w:p w:rsidR="00A64627" w:rsidRDefault="00A64627" w:rsidP="00A64627">
      <w:r>
        <w:t>Finally, the case study highlights the challenge of management training, with many early employees promoted to management roles without proper support (TechInnovate case study). This suggests that TechInnovate may not be adequately facilitating the self-actualization needs of its managers, who require development opportunities to reach their full potential.</w:t>
      </w:r>
    </w:p>
    <w:p w:rsidR="00A64627" w:rsidRDefault="00A64627" w:rsidP="00A64627"/>
    <w:p w:rsidR="00A64627" w:rsidRDefault="00A64627" w:rsidP="00A64627">
      <w:r>
        <w:t>To address these people management challenges, TechInnovate should consider implementing strategies aligned with Maslow's hierarchy. This may include reviewing compensation and benefits, improving onboarding and training programs, fostering a stronger sense of community and belonging, implementing a robust performance management system, and providing management development opportunities (Maslow, 1943; Daft, 2015; Noe et al., 2020). By addressing the various levels of employee needs, TechInnovate can work towards creating a more engaged, motivated, and productive workforce.</w:t>
      </w:r>
    </w:p>
    <w:p w:rsidR="00E31A8E" w:rsidRDefault="00E31A8E" w:rsidP="00A64627"/>
    <w:p w:rsidR="00064938" w:rsidRDefault="00064938" w:rsidP="00A64627"/>
    <w:p w:rsidR="00064938" w:rsidRDefault="00064938" w:rsidP="00064938">
      <w:pPr>
        <w:pStyle w:val="Heading2"/>
      </w:pPr>
      <w:bookmarkStart w:id="20" w:name="_Toc184984130"/>
      <w:r>
        <w:t>Employee Reward and Engagement</w:t>
      </w:r>
      <w:bookmarkEnd w:id="20"/>
    </w:p>
    <w:p w:rsidR="00064938" w:rsidRDefault="00064938" w:rsidP="00064938"/>
    <w:p w:rsidR="00064938" w:rsidRDefault="00064938" w:rsidP="00064938">
      <w:r>
        <w:t>In addition to performance management, employee reward and engagement are critical components of effective people management (Armstrong &amp; Taylor, 2020). Employee reward systems, which can include both financial (e.g., base pay, bonuses) and non-financial (e.g., recognition, development opportunities) elements, play a key role in attracting, motivating, and retaining talent (Aguinis, 2019).</w:t>
      </w:r>
    </w:p>
    <w:p w:rsidR="00064938" w:rsidRDefault="00064938" w:rsidP="00064938"/>
    <w:p w:rsidR="00064938" w:rsidRDefault="00064938" w:rsidP="00064938">
      <w:r>
        <w:t>Employee engagement, defined as an employee's emotional commitment to the organization and its goals, is also a strong predictor of organizational performance (Shuck &amp; Wollard, 2010). Engaged employees are more productive, innovative, and less likely to leave the organization (Bakker &amp; Leiter, 2010).</w:t>
      </w:r>
    </w:p>
    <w:p w:rsidR="00064938" w:rsidRDefault="00064938" w:rsidP="00064938"/>
    <w:p w:rsidR="00064938" w:rsidRDefault="00064938" w:rsidP="00064938">
      <w:r>
        <w:t>The case study suggests that TechInnovate may need to strengthen its employee reward and engagement practices, as the company is "struggling to hire enough qualified engineers and data scientists" and has seen "several key employees" leave for competitors (Case Study). Implementing a comprehensive reward strategy, including both monetary and non-monetary incentives, and focusing on improving employee engagement through initiatives such as regular feedback, recognition programs, and opportunities for professional development, could help the company address these challenges (Armstrong &amp; Taylor, 2020).</w:t>
      </w:r>
    </w:p>
    <w:p w:rsidR="00064938" w:rsidRDefault="00064938" w:rsidP="00064938"/>
    <w:p w:rsidR="009D746B" w:rsidRDefault="009D746B" w:rsidP="00ED42C5">
      <w:pPr>
        <w:rPr>
          <w:sz w:val="40"/>
          <w:szCs w:val="40"/>
        </w:rPr>
      </w:pPr>
    </w:p>
    <w:p w:rsidR="00E31A8E" w:rsidRDefault="00E31A8E" w:rsidP="00ED42C5">
      <w:pPr>
        <w:rPr>
          <w:sz w:val="40"/>
          <w:szCs w:val="40"/>
        </w:rPr>
      </w:pPr>
    </w:p>
    <w:p w:rsidR="00064938" w:rsidRPr="00D52E8A" w:rsidRDefault="00064938" w:rsidP="00ED42C5">
      <w:pPr>
        <w:rPr>
          <w:sz w:val="40"/>
          <w:szCs w:val="40"/>
        </w:rPr>
      </w:pPr>
    </w:p>
    <w:p w:rsidR="009D746B" w:rsidRDefault="009D746B" w:rsidP="00064938">
      <w:pPr>
        <w:pStyle w:val="Heading2"/>
        <w:numPr>
          <w:ilvl w:val="0"/>
          <w:numId w:val="2"/>
        </w:numPr>
      </w:pPr>
      <w:bookmarkStart w:id="21" w:name="_Toc184984131"/>
      <w:r>
        <w:lastRenderedPageBreak/>
        <w:t>Recommendations for TechInnovate</w:t>
      </w:r>
      <w:bookmarkEnd w:id="21"/>
    </w:p>
    <w:p w:rsidR="00A64627" w:rsidRDefault="00A64627" w:rsidP="009D746B"/>
    <w:p w:rsidR="00A64627" w:rsidRDefault="00A64627" w:rsidP="00A64627">
      <w:pPr>
        <w:tabs>
          <w:tab w:val="left" w:pos="930"/>
        </w:tabs>
      </w:pPr>
      <w:r>
        <w:t>Based on the analysis of the people management challenges at TechInnovate using Maslow's Hierarchy of Needs theory, the following SMART (Specific, Measurable, Achievable, Relevant, and Time-bound) recommendations are proposed:</w:t>
      </w:r>
    </w:p>
    <w:p w:rsidR="00A64627" w:rsidRDefault="00A64627" w:rsidP="00A64627">
      <w:pPr>
        <w:tabs>
          <w:tab w:val="left" w:pos="930"/>
        </w:tabs>
      </w:pPr>
    </w:p>
    <w:p w:rsidR="00A64627" w:rsidRDefault="00A64627" w:rsidP="00A64627">
      <w:pPr>
        <w:tabs>
          <w:tab w:val="left" w:pos="930"/>
        </w:tabs>
      </w:pPr>
      <w:r>
        <w:t>1. Implement a competitive compensation and benefits package to address employees' physiological and safety needs:</w:t>
      </w:r>
    </w:p>
    <w:p w:rsidR="00A64627" w:rsidRDefault="00A64627" w:rsidP="00A64627">
      <w:pPr>
        <w:tabs>
          <w:tab w:val="left" w:pos="930"/>
        </w:tabs>
      </w:pPr>
      <w:r>
        <w:t xml:space="preserve">   - Specific: Conduct a market analysis to benchmark TechInnovate's compensation and benefits against industry standards for comparable roles.</w:t>
      </w:r>
    </w:p>
    <w:p w:rsidR="00A64627" w:rsidRDefault="00A64627" w:rsidP="00A64627">
      <w:pPr>
        <w:tabs>
          <w:tab w:val="left" w:pos="930"/>
        </w:tabs>
      </w:pPr>
      <w:r>
        <w:t xml:space="preserve">   - Measurable: Increase the total compensation package for key technical roles by 15% within the next 6 months.</w:t>
      </w:r>
    </w:p>
    <w:p w:rsidR="00A64627" w:rsidRDefault="00A64627" w:rsidP="00A64627">
      <w:pPr>
        <w:tabs>
          <w:tab w:val="left" w:pos="930"/>
        </w:tabs>
      </w:pPr>
      <w:r>
        <w:t xml:space="preserve">   - Achievable: TechInnovate has the financial resources to invest in a more competitive compensation structure.</w:t>
      </w:r>
    </w:p>
    <w:p w:rsidR="00A64627" w:rsidRDefault="00A64627" w:rsidP="00A64627">
      <w:pPr>
        <w:tabs>
          <w:tab w:val="left" w:pos="930"/>
        </w:tabs>
      </w:pPr>
      <w:r>
        <w:t xml:space="preserve">   - Relevant: Improving compensation and benefits will help attract and retain qualified engineers and data scientists (TechInnovate case study).</w:t>
      </w:r>
    </w:p>
    <w:p w:rsidR="00A64627" w:rsidRDefault="00A64627" w:rsidP="00A64627">
      <w:pPr>
        <w:tabs>
          <w:tab w:val="left" w:pos="930"/>
        </w:tabs>
      </w:pPr>
      <w:r>
        <w:t xml:space="preserve">   - Time-bound: Complete the market analysis and implement the new compensation structure within the next 6 months.</w:t>
      </w:r>
    </w:p>
    <w:p w:rsidR="00A64627" w:rsidRDefault="00A64627" w:rsidP="00A64627">
      <w:pPr>
        <w:tabs>
          <w:tab w:val="left" w:pos="930"/>
        </w:tabs>
      </w:pPr>
    </w:p>
    <w:p w:rsidR="00A64627" w:rsidRDefault="00A64627" w:rsidP="00A64627">
      <w:pPr>
        <w:tabs>
          <w:tab w:val="left" w:pos="930"/>
        </w:tabs>
      </w:pPr>
      <w:r>
        <w:t>2. Develop a comprehensive onboarding and training program to support new hires and promote job stability:</w:t>
      </w:r>
    </w:p>
    <w:p w:rsidR="00A64627" w:rsidRDefault="00A64627" w:rsidP="00A64627">
      <w:pPr>
        <w:tabs>
          <w:tab w:val="left" w:pos="930"/>
        </w:tabs>
      </w:pPr>
      <w:r>
        <w:t xml:space="preserve">   - Specific: Create a structured onboarding program that includes mentorship, job shadowing, and technical training.</w:t>
      </w:r>
    </w:p>
    <w:p w:rsidR="00A64627" w:rsidRDefault="00A64627" w:rsidP="00A64627">
      <w:pPr>
        <w:tabs>
          <w:tab w:val="left" w:pos="930"/>
        </w:tabs>
      </w:pPr>
      <w:r>
        <w:t xml:space="preserve">   - Measurable: Reduce the turnover rate of new hires by 30% within the first year of implementation.</w:t>
      </w:r>
    </w:p>
    <w:p w:rsidR="00A64627" w:rsidRDefault="00A64627" w:rsidP="00A64627">
      <w:pPr>
        <w:tabs>
          <w:tab w:val="left" w:pos="930"/>
        </w:tabs>
      </w:pPr>
      <w:r>
        <w:t xml:space="preserve">   - Achievable: TechInnovate has the resources to dedicate to a robust onboarding and training program.</w:t>
      </w:r>
    </w:p>
    <w:p w:rsidR="00A64627" w:rsidRDefault="00A64627" w:rsidP="00A64627">
      <w:pPr>
        <w:tabs>
          <w:tab w:val="left" w:pos="930"/>
        </w:tabs>
      </w:pPr>
      <w:r>
        <w:t xml:space="preserve">   - Relevant: Improving onboarding and training will help fulfill employees' safety needs and address the high turnover rate identified in the case study (TechInnovate case study).</w:t>
      </w:r>
    </w:p>
    <w:p w:rsidR="00A64627" w:rsidRDefault="00A64627" w:rsidP="00A64627">
      <w:pPr>
        <w:tabs>
          <w:tab w:val="left" w:pos="930"/>
        </w:tabs>
      </w:pPr>
      <w:r>
        <w:t xml:space="preserve">   - Time-bound: Implement the new onboarding and training program within the next 3 months.</w:t>
      </w:r>
    </w:p>
    <w:p w:rsidR="00A64627" w:rsidRDefault="00A64627" w:rsidP="00A64627">
      <w:pPr>
        <w:tabs>
          <w:tab w:val="left" w:pos="930"/>
        </w:tabs>
      </w:pPr>
    </w:p>
    <w:p w:rsidR="00A64627" w:rsidRDefault="00A64627" w:rsidP="00A64627">
      <w:pPr>
        <w:tabs>
          <w:tab w:val="left" w:pos="930"/>
        </w:tabs>
      </w:pPr>
      <w:r>
        <w:t>3. Foster a stronger sense of community and belonging through team-building activities and employee recognition:</w:t>
      </w:r>
    </w:p>
    <w:p w:rsidR="00A64627" w:rsidRDefault="00A64627" w:rsidP="00A64627">
      <w:pPr>
        <w:tabs>
          <w:tab w:val="left" w:pos="930"/>
        </w:tabs>
      </w:pPr>
      <w:r>
        <w:t xml:space="preserve">   - Specific: Organize quarterly team-building events and implement a formal employee recognition program.</w:t>
      </w:r>
    </w:p>
    <w:p w:rsidR="00A64627" w:rsidRDefault="00A64627" w:rsidP="00A64627">
      <w:pPr>
        <w:tabs>
          <w:tab w:val="left" w:pos="930"/>
        </w:tabs>
      </w:pPr>
      <w:r>
        <w:t xml:space="preserve">   - Measurable: Increase employee satisfaction scores related to "sense of belonging" by 20% within the next 12 months.</w:t>
      </w:r>
    </w:p>
    <w:p w:rsidR="00A64627" w:rsidRDefault="00A64627" w:rsidP="00A64627">
      <w:pPr>
        <w:tabs>
          <w:tab w:val="left" w:pos="930"/>
        </w:tabs>
      </w:pPr>
      <w:r>
        <w:t xml:space="preserve">   - Achievable: TechInnovate can allocate resources to facilitate team-building and recognition initiatives.</w:t>
      </w:r>
    </w:p>
    <w:p w:rsidR="00A64627" w:rsidRDefault="00A64627" w:rsidP="00A64627">
      <w:pPr>
        <w:tabs>
          <w:tab w:val="left" w:pos="930"/>
        </w:tabs>
      </w:pPr>
      <w:r>
        <w:t xml:space="preserve">   - Relevant: Addressing employees' belonging and esteem needs will help combat the erosion of the company's close-knit culture (TechInnovate case study).</w:t>
      </w:r>
    </w:p>
    <w:p w:rsidR="00A64627" w:rsidRDefault="00A64627" w:rsidP="00A64627">
      <w:pPr>
        <w:tabs>
          <w:tab w:val="left" w:pos="930"/>
        </w:tabs>
      </w:pPr>
      <w:r>
        <w:t xml:space="preserve">   - Time-bound: Introduce the team-building events and recognition program within the next 6 months.</w:t>
      </w:r>
    </w:p>
    <w:p w:rsidR="00A64627" w:rsidRDefault="00A64627" w:rsidP="00A64627">
      <w:pPr>
        <w:tabs>
          <w:tab w:val="left" w:pos="930"/>
        </w:tabs>
      </w:pPr>
    </w:p>
    <w:p w:rsidR="00A64627" w:rsidRDefault="00A64627" w:rsidP="00A64627">
      <w:pPr>
        <w:tabs>
          <w:tab w:val="left" w:pos="930"/>
        </w:tabs>
      </w:pPr>
      <w:r>
        <w:t>4. Implement a robust performance management system to support employees' esteem needs and facilitate self-actualization:</w:t>
      </w:r>
    </w:p>
    <w:p w:rsidR="00A64627" w:rsidRDefault="00A64627" w:rsidP="00A64627">
      <w:pPr>
        <w:tabs>
          <w:tab w:val="left" w:pos="930"/>
        </w:tabs>
      </w:pPr>
      <w:r>
        <w:t xml:space="preserve">   - Specific: Develop and rollout a formal performance review process that includes goal-setting, feedback, and development planning.</w:t>
      </w:r>
    </w:p>
    <w:p w:rsidR="00A64627" w:rsidRDefault="00A64627" w:rsidP="00A64627">
      <w:pPr>
        <w:tabs>
          <w:tab w:val="left" w:pos="930"/>
        </w:tabs>
      </w:pPr>
      <w:r>
        <w:t xml:space="preserve">   - Measurable: Ensure that 100% of employees receive regular performance reviews and feedback within the next 12 months.</w:t>
      </w:r>
    </w:p>
    <w:p w:rsidR="00A64627" w:rsidRDefault="00A64627" w:rsidP="00A64627">
      <w:pPr>
        <w:tabs>
          <w:tab w:val="left" w:pos="930"/>
        </w:tabs>
      </w:pPr>
      <w:r>
        <w:t xml:space="preserve">   - Achievable: TechInnovate can dedicate HR resources to design and implement a performance management system.</w:t>
      </w:r>
    </w:p>
    <w:p w:rsidR="00A64627" w:rsidRDefault="00A64627" w:rsidP="00A64627">
      <w:pPr>
        <w:tabs>
          <w:tab w:val="left" w:pos="930"/>
        </w:tabs>
      </w:pPr>
      <w:r>
        <w:t xml:space="preserve">   - Relevant: Addressing the lack of a formal performance review process will help fulfill employees' esteem needs and support their professional development (TechInnovate case study).</w:t>
      </w:r>
    </w:p>
    <w:p w:rsidR="00A64627" w:rsidRDefault="00A64627" w:rsidP="00A64627">
      <w:pPr>
        <w:tabs>
          <w:tab w:val="left" w:pos="930"/>
        </w:tabs>
      </w:pPr>
      <w:r>
        <w:t xml:space="preserve">   - Time-bound: Launch the new performance management system within the next 9 months.</w:t>
      </w:r>
    </w:p>
    <w:p w:rsidR="00A64627" w:rsidRDefault="00A64627" w:rsidP="00A64627">
      <w:pPr>
        <w:tabs>
          <w:tab w:val="left" w:pos="930"/>
        </w:tabs>
      </w:pPr>
    </w:p>
    <w:p w:rsidR="00A64627" w:rsidRDefault="00A64627" w:rsidP="00A64627">
      <w:pPr>
        <w:tabs>
          <w:tab w:val="left" w:pos="930"/>
        </w:tabs>
      </w:pPr>
      <w:r>
        <w:lastRenderedPageBreak/>
        <w:t xml:space="preserve">By implementing these SMART recommendations, TechInnovate can address the various people management challenges identified in the case study and align its practices with Maslow's Hierarchy of Needs theory (Maslow, 1943; Daft, 2015; </w:t>
      </w:r>
      <w:r w:rsidR="00EF7F0C">
        <w:t>Noe et al., 2020). This extensive</w:t>
      </w:r>
      <w:r>
        <w:t xml:space="preserve"> approach to people management will help the company create a more engaged, motivated, and productive workforce, supporting its continued growth and success.</w:t>
      </w:r>
      <w:bookmarkStart w:id="22" w:name="_GoBack"/>
      <w:bookmarkEnd w:id="22"/>
    </w:p>
    <w:p w:rsidR="00A64627" w:rsidRDefault="00A64627" w:rsidP="00A64627"/>
    <w:p w:rsidR="00E31A8E" w:rsidRDefault="00E31A8E" w:rsidP="00A64627"/>
    <w:p w:rsidR="00A64627" w:rsidRDefault="00A64627" w:rsidP="002958B0">
      <w:pPr>
        <w:pStyle w:val="Heading2"/>
        <w:jc w:val="center"/>
      </w:pPr>
      <w:bookmarkStart w:id="23" w:name="_Toc184984132"/>
      <w:r>
        <w:t>C</w:t>
      </w:r>
      <w:r w:rsidR="00064938">
        <w:t>onclusion</w:t>
      </w:r>
      <w:bookmarkEnd w:id="23"/>
    </w:p>
    <w:p w:rsidR="00A64627" w:rsidRDefault="00A64627" w:rsidP="00A64627"/>
    <w:p w:rsidR="00A64627" w:rsidRDefault="00A64627" w:rsidP="00A64627">
      <w:r>
        <w:t>The rapid growth experienced by TechInnovate has highlighted the importance of ensuring that the company's managers have the necessary skills to effectively manage employee performance. This critical report has evaluated the key roles and skills required of managers, as well as the relevant theories and models that can be applied to address TechInnovate's people management challenges.</w:t>
      </w:r>
      <w:r w:rsidR="00064938" w:rsidRPr="00064938">
        <w:t xml:space="preserve"> </w:t>
      </w:r>
    </w:p>
    <w:p w:rsidR="00A64627" w:rsidRDefault="00A64627" w:rsidP="00A64627">
      <w:r>
        <w:t>The recommendations provided in this report, if implemented effectively, can help TechInnovate develop a more skilled and confident management team, foster a culture of employee engagement, and ultimately drive improved organizational performance. By investing in the development of its managers, TechInnovate can position itself for continued success in the highly competitive software industry.</w:t>
      </w:r>
    </w:p>
    <w:p w:rsidR="00A64627" w:rsidRDefault="00A64627" w:rsidP="00A64627"/>
    <w:p w:rsidR="00A64627" w:rsidRDefault="00A64627" w:rsidP="009D746B"/>
    <w:p w:rsidR="008F72A7" w:rsidRDefault="008F72A7" w:rsidP="005A2DF7"/>
    <w:p w:rsidR="008F72A7" w:rsidRDefault="00064938" w:rsidP="002958B0">
      <w:pPr>
        <w:pStyle w:val="Heading2"/>
        <w:jc w:val="center"/>
      </w:pPr>
      <w:bookmarkStart w:id="24" w:name="_Toc184984133"/>
      <w:r>
        <w:t>References</w:t>
      </w:r>
      <w:bookmarkEnd w:id="24"/>
    </w:p>
    <w:p w:rsidR="008F72A7" w:rsidRDefault="008F72A7" w:rsidP="005A2DF7"/>
    <w:p w:rsidR="008F72A7" w:rsidRDefault="008F72A7" w:rsidP="005A2DF7"/>
    <w:p w:rsidR="008F72A7" w:rsidRDefault="008F72A7" w:rsidP="005A2DF7"/>
    <w:p w:rsidR="008F72A7" w:rsidRDefault="008F72A7" w:rsidP="005A2DF7"/>
    <w:p w:rsidR="00E31A8E" w:rsidRDefault="00E31A8E" w:rsidP="00E31A8E"/>
    <w:p w:rsidR="00E31A8E" w:rsidRDefault="00E31A8E" w:rsidP="00E31A8E">
      <w:pPr>
        <w:pStyle w:val="ListParagraph"/>
        <w:numPr>
          <w:ilvl w:val="0"/>
          <w:numId w:val="7"/>
        </w:numPr>
      </w:pPr>
      <w:r>
        <w:t>Aguinis, H. (2013). Performance management (3rd ed.). Pearson.</w:t>
      </w:r>
    </w:p>
    <w:p w:rsidR="00E31A8E" w:rsidRDefault="00E31A8E" w:rsidP="00E31A8E">
      <w:pPr>
        <w:pStyle w:val="ListParagraph"/>
        <w:numPr>
          <w:ilvl w:val="0"/>
          <w:numId w:val="7"/>
        </w:numPr>
      </w:pPr>
      <w:r>
        <w:t>Aguinis, H. (2019). Performance Management (4th ed.). Pearson.</w:t>
      </w:r>
    </w:p>
    <w:p w:rsidR="00E31A8E" w:rsidRDefault="00E31A8E" w:rsidP="00E31A8E">
      <w:pPr>
        <w:pStyle w:val="ListParagraph"/>
        <w:numPr>
          <w:ilvl w:val="0"/>
          <w:numId w:val="7"/>
        </w:numPr>
      </w:pPr>
      <w:r>
        <w:t>Aguinis, H., &amp; Kraiger, K. (2009). Benefits of training and development for individuals and teams, organizations, and society. Annual Review of Psychology, 60, 451-474.</w:t>
      </w:r>
    </w:p>
    <w:p w:rsidR="00E31A8E" w:rsidRDefault="00E31A8E" w:rsidP="00E31A8E">
      <w:pPr>
        <w:pStyle w:val="ListParagraph"/>
        <w:numPr>
          <w:ilvl w:val="0"/>
          <w:numId w:val="7"/>
        </w:numPr>
      </w:pPr>
      <w:r>
        <w:t>Alfes, K., Truss, C., Soane, E. C., Rees, C., &amp; Gatenby, M. (2013). The relationship between line manager behaviour, perceived HRM practices, and individual performance: Examining the mediating role of engagement. Human Resource Management, 52(6), 839-859.</w:t>
      </w:r>
    </w:p>
    <w:p w:rsidR="00E31A8E" w:rsidRDefault="00E31A8E" w:rsidP="00E31A8E">
      <w:pPr>
        <w:pStyle w:val="ListParagraph"/>
        <w:numPr>
          <w:ilvl w:val="0"/>
          <w:numId w:val="7"/>
        </w:numPr>
      </w:pPr>
      <w:r>
        <w:t>Appelbaum, E., Bailey, T., Berg, P., &amp; Kalleberg, A. L. (2000). Manufacturing advantage: Why high-performance work systems pay off. Cornell University Press.</w:t>
      </w:r>
    </w:p>
    <w:p w:rsidR="00E31A8E" w:rsidRDefault="00E31A8E" w:rsidP="00E31A8E">
      <w:pPr>
        <w:pStyle w:val="ListParagraph"/>
        <w:numPr>
          <w:ilvl w:val="0"/>
          <w:numId w:val="7"/>
        </w:numPr>
      </w:pPr>
      <w:r>
        <w:t>Armstrong, M., &amp; Taylor, S. (2020). Armstrong's Handbook of Human Resource Management Practice (15th ed.). Kogan Page.</w:t>
      </w:r>
    </w:p>
    <w:p w:rsidR="00E31A8E" w:rsidRDefault="00E31A8E" w:rsidP="00E31A8E">
      <w:pPr>
        <w:pStyle w:val="ListParagraph"/>
        <w:numPr>
          <w:ilvl w:val="0"/>
          <w:numId w:val="7"/>
        </w:numPr>
      </w:pPr>
      <w:r>
        <w:t>Bakker, A. B., &amp; Leiter, M. P. (Eds.). (2010). Work Engagement: A Handbook of Essential Theory and Research. Psychology Press.</w:t>
      </w:r>
    </w:p>
    <w:p w:rsidR="00E31A8E" w:rsidRDefault="00E31A8E" w:rsidP="00E31A8E">
      <w:pPr>
        <w:pStyle w:val="ListParagraph"/>
        <w:numPr>
          <w:ilvl w:val="0"/>
          <w:numId w:val="7"/>
        </w:numPr>
      </w:pPr>
      <w:r>
        <w:t>Bass, B. M. (1985). Leadership and performance beyond expectations. Free Press.</w:t>
      </w:r>
    </w:p>
    <w:p w:rsidR="00E31A8E" w:rsidRDefault="00E31A8E" w:rsidP="00E31A8E">
      <w:pPr>
        <w:pStyle w:val="ListParagraph"/>
        <w:numPr>
          <w:ilvl w:val="0"/>
          <w:numId w:val="7"/>
        </w:numPr>
      </w:pPr>
      <w:r>
        <w:t>Daft, R. L. (2015). The leadership experience. Cengage Learning.</w:t>
      </w:r>
    </w:p>
    <w:p w:rsidR="00E31A8E" w:rsidRDefault="00E31A8E" w:rsidP="00E31A8E">
      <w:pPr>
        <w:pStyle w:val="ListParagraph"/>
        <w:numPr>
          <w:ilvl w:val="0"/>
          <w:numId w:val="7"/>
        </w:numPr>
      </w:pPr>
      <w:r>
        <w:t>Deci, E. L., &amp; Ryan, R. M. (2000). The" what" and" why" of goal pursuits: Human needs and the self-determination of behaviour. Psychological Inquiry, 11(4), 227-268.</w:t>
      </w:r>
    </w:p>
    <w:p w:rsidR="00E31A8E" w:rsidRDefault="00E31A8E" w:rsidP="00E31A8E">
      <w:pPr>
        <w:pStyle w:val="ListParagraph"/>
        <w:numPr>
          <w:ilvl w:val="0"/>
          <w:numId w:val="7"/>
        </w:numPr>
      </w:pPr>
      <w:r>
        <w:t>Liao, H., &amp; Chuang, A. (2007). Transforming service employees and climate: A multilevel, multisource examination of transformational leadership in building long-term service relationships. Journal of Applied Psychology, 92(4), 1006-1019.</w:t>
      </w:r>
    </w:p>
    <w:p w:rsidR="00E31A8E" w:rsidRDefault="00E31A8E" w:rsidP="00E31A8E">
      <w:pPr>
        <w:pStyle w:val="ListParagraph"/>
        <w:numPr>
          <w:ilvl w:val="0"/>
          <w:numId w:val="7"/>
        </w:numPr>
      </w:pPr>
      <w:r>
        <w:t>Maslow, A. H. (1943). A theory of human motivation. Psychological Review, 50(4), 370-396.</w:t>
      </w:r>
    </w:p>
    <w:p w:rsidR="00E31A8E" w:rsidRDefault="00E31A8E" w:rsidP="00E31A8E">
      <w:pPr>
        <w:pStyle w:val="ListParagraph"/>
        <w:numPr>
          <w:ilvl w:val="0"/>
          <w:numId w:val="7"/>
        </w:numPr>
      </w:pPr>
      <w:r>
        <w:t>Mintzberg, H. (1973). The Nature of Managerial Work. Harper &amp; Row.</w:t>
      </w:r>
    </w:p>
    <w:p w:rsidR="00E31A8E" w:rsidRDefault="00E31A8E" w:rsidP="00E31A8E">
      <w:pPr>
        <w:pStyle w:val="ListParagraph"/>
        <w:numPr>
          <w:ilvl w:val="0"/>
          <w:numId w:val="7"/>
        </w:numPr>
      </w:pPr>
      <w:r>
        <w:lastRenderedPageBreak/>
        <w:t>Noe, R. A., Hollenbeck, J. R., Gerhart, B., &amp; Wright, P. M. (2020). Human resource management: Gaining a competitive advantage. McGraw-Hill Education.</w:t>
      </w:r>
    </w:p>
    <w:p w:rsidR="00E31A8E" w:rsidRDefault="00E31A8E" w:rsidP="00E31A8E">
      <w:pPr>
        <w:pStyle w:val="ListParagraph"/>
        <w:numPr>
          <w:ilvl w:val="0"/>
          <w:numId w:val="7"/>
        </w:numPr>
      </w:pPr>
      <w:r>
        <w:t>Northouse, P. G. (2019). Leadership: Theory and practice (8th ed.). SAGE Publications.</w:t>
      </w:r>
    </w:p>
    <w:p w:rsidR="00E31A8E" w:rsidRDefault="00E31A8E" w:rsidP="00E31A8E">
      <w:pPr>
        <w:pStyle w:val="ListParagraph"/>
        <w:numPr>
          <w:ilvl w:val="0"/>
          <w:numId w:val="7"/>
        </w:numPr>
      </w:pPr>
      <w:r>
        <w:t>Purcell, J., &amp; Hutchinson, S. (2007). Front-line managers as agents in the HRM-performance causal chain: Theory, analysis and evidence. Human Resource Management Journal, 17(1), 3-20.</w:t>
      </w:r>
    </w:p>
    <w:p w:rsidR="00E31A8E" w:rsidRDefault="00E31A8E" w:rsidP="00E31A8E">
      <w:pPr>
        <w:pStyle w:val="ListParagraph"/>
        <w:numPr>
          <w:ilvl w:val="0"/>
          <w:numId w:val="7"/>
        </w:numPr>
      </w:pPr>
      <w:r>
        <w:t>Rahim, M. A. (2017). Managing Conflict in Organizations (4th ed.). Routledge.</w:t>
      </w:r>
    </w:p>
    <w:p w:rsidR="00E31A8E" w:rsidRDefault="00E31A8E" w:rsidP="00E31A8E">
      <w:pPr>
        <w:pStyle w:val="ListParagraph"/>
        <w:numPr>
          <w:ilvl w:val="0"/>
          <w:numId w:val="7"/>
        </w:numPr>
      </w:pPr>
      <w:r>
        <w:t>Schein, E. H. (2017). Organizational Culture and Leadership (5th ed.). Wiley.</w:t>
      </w:r>
    </w:p>
    <w:p w:rsidR="00E31A8E" w:rsidRDefault="00E31A8E" w:rsidP="00E31A8E">
      <w:pPr>
        <w:pStyle w:val="ListParagraph"/>
        <w:numPr>
          <w:ilvl w:val="0"/>
          <w:numId w:val="7"/>
        </w:numPr>
      </w:pPr>
      <w:r>
        <w:t>Shuck, B., &amp; Wollard, K. (2010). Employee engagement and HRD: A seminal review of the foundations. Human Resource Development Review, 9(1), 89-110.</w:t>
      </w:r>
    </w:p>
    <w:p w:rsidR="00E31A8E" w:rsidRDefault="00E31A8E" w:rsidP="00E31A8E">
      <w:pPr>
        <w:pStyle w:val="ListParagraph"/>
        <w:numPr>
          <w:ilvl w:val="0"/>
          <w:numId w:val="7"/>
        </w:numPr>
      </w:pPr>
      <w:r>
        <w:t>TechInnovate case study (provided).</w:t>
      </w:r>
    </w:p>
    <w:p w:rsidR="00E31A8E" w:rsidRDefault="00E31A8E" w:rsidP="00E31A8E">
      <w:pPr>
        <w:pStyle w:val="ListParagraph"/>
        <w:numPr>
          <w:ilvl w:val="0"/>
          <w:numId w:val="7"/>
        </w:numPr>
      </w:pPr>
      <w:r>
        <w:t>Yukl, G. (2013). Leadership in Organizations (8th ed.). Pearson.</w:t>
      </w:r>
    </w:p>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8F72A7" w:rsidRDefault="008F72A7" w:rsidP="005A2DF7"/>
    <w:p w:rsidR="000F0731" w:rsidRDefault="000F0731" w:rsidP="005A2DF7"/>
    <w:p w:rsidR="00E61F1F" w:rsidRDefault="00E61F1F"/>
    <w:sectPr w:rsidR="00E61F1F" w:rsidSect="005F4A20">
      <w:footerReference w:type="even" r:id="rId10"/>
      <w:footerReference w:type="default" r:id="rId11"/>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675" w:rsidRDefault="00B65675" w:rsidP="001205A1">
      <w:r>
        <w:separator/>
      </w:r>
    </w:p>
  </w:endnote>
  <w:endnote w:type="continuationSeparator" w:id="0">
    <w:p w:rsidR="00B65675" w:rsidRDefault="00B65675"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38362992"/>
      <w:docPartObj>
        <w:docPartGallery w:val="Page Numbers (Bottom of Page)"/>
        <w:docPartUnique/>
      </w:docPartObj>
    </w:sdtPr>
    <w:sdtEndPr>
      <w:rPr>
        <w:rStyle w:val="PageNumber"/>
      </w:rPr>
    </w:sdtEndPr>
    <w:sdtContent>
      <w:p w:rsidR="00637B83" w:rsidRDefault="00637B83" w:rsidP="0017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00887670"/>
      <w:docPartObj>
        <w:docPartGallery w:val="Page Numbers (Bottom of Page)"/>
        <w:docPartUnique/>
      </w:docPartObj>
    </w:sdtPr>
    <w:sdtEndPr>
      <w:rPr>
        <w:rStyle w:val="PageNumber"/>
      </w:rPr>
    </w:sdtEndPr>
    <w:sdtContent>
      <w:p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38232"/>
      <w:docPartObj>
        <w:docPartGallery w:val="Page Numbers (Bottom of Page)"/>
        <w:docPartUnique/>
      </w:docPartObj>
    </w:sdtPr>
    <w:sdtEndPr/>
    <w:sdtContent>
      <w:p w:rsidR="000F0731" w:rsidRPr="000F0731" w:rsidRDefault="000F0731" w:rsidP="000F0731">
        <w:pPr>
          <w:pStyle w:val="Footer"/>
        </w:pPr>
        <w:r w:rsidRPr="000F0731">
          <w:fldChar w:fldCharType="begin"/>
        </w:r>
        <w:r w:rsidRPr="000F0731">
          <w:instrText xml:space="preserve"> PAGE </w:instrText>
        </w:r>
        <w:r w:rsidRPr="000F0731">
          <w:fldChar w:fldCharType="separate"/>
        </w:r>
        <w:r w:rsidR="003E1730">
          <w:rPr>
            <w:noProof/>
          </w:rPr>
          <w:t>9</w:t>
        </w:r>
        <w:r w:rsidRPr="000F0731">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675" w:rsidRDefault="00B65675" w:rsidP="001205A1">
      <w:r>
        <w:separator/>
      </w:r>
    </w:p>
  </w:footnote>
  <w:footnote w:type="continuationSeparator" w:id="0">
    <w:p w:rsidR="00B65675" w:rsidRDefault="00B65675"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0C38"/>
    <w:multiLevelType w:val="hybridMultilevel"/>
    <w:tmpl w:val="C89CB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70FA0"/>
    <w:multiLevelType w:val="hybridMultilevel"/>
    <w:tmpl w:val="103E8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C1CC8"/>
    <w:multiLevelType w:val="hybridMultilevel"/>
    <w:tmpl w:val="BBA4267A"/>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 w15:restartNumberingAfterBreak="0">
    <w:nsid w:val="3A201596"/>
    <w:multiLevelType w:val="hybridMultilevel"/>
    <w:tmpl w:val="B4468E0E"/>
    <w:lvl w:ilvl="0" w:tplc="08090005">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4" w15:restartNumberingAfterBreak="0">
    <w:nsid w:val="3FDB026B"/>
    <w:multiLevelType w:val="hybridMultilevel"/>
    <w:tmpl w:val="E17E4164"/>
    <w:lvl w:ilvl="0" w:tplc="08090005">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5" w15:restartNumberingAfterBreak="0">
    <w:nsid w:val="46AF6C7E"/>
    <w:multiLevelType w:val="hybridMultilevel"/>
    <w:tmpl w:val="C16863B0"/>
    <w:lvl w:ilvl="0" w:tplc="08090005">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6" w15:restartNumberingAfterBreak="0">
    <w:nsid w:val="76446BC6"/>
    <w:multiLevelType w:val="hybridMultilevel"/>
    <w:tmpl w:val="9CD4D6D0"/>
    <w:lvl w:ilvl="0" w:tplc="08090005">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2A7"/>
    <w:rsid w:val="00036DC3"/>
    <w:rsid w:val="00064938"/>
    <w:rsid w:val="000C4ED1"/>
    <w:rsid w:val="000F0731"/>
    <w:rsid w:val="001205A1"/>
    <w:rsid w:val="001D78B9"/>
    <w:rsid w:val="00216DB3"/>
    <w:rsid w:val="002208E1"/>
    <w:rsid w:val="002958B0"/>
    <w:rsid w:val="002B6593"/>
    <w:rsid w:val="0031055C"/>
    <w:rsid w:val="003840BC"/>
    <w:rsid w:val="003B19C2"/>
    <w:rsid w:val="003E1730"/>
    <w:rsid w:val="00552FE0"/>
    <w:rsid w:val="005A2DF7"/>
    <w:rsid w:val="005D557C"/>
    <w:rsid w:val="005D583C"/>
    <w:rsid w:val="005F4A20"/>
    <w:rsid w:val="00637B83"/>
    <w:rsid w:val="006C5DBB"/>
    <w:rsid w:val="006C60E6"/>
    <w:rsid w:val="006D2C4C"/>
    <w:rsid w:val="00875863"/>
    <w:rsid w:val="008F72A7"/>
    <w:rsid w:val="00971E71"/>
    <w:rsid w:val="009D746B"/>
    <w:rsid w:val="00A15CF7"/>
    <w:rsid w:val="00A64627"/>
    <w:rsid w:val="00A65B25"/>
    <w:rsid w:val="00A81248"/>
    <w:rsid w:val="00B65675"/>
    <w:rsid w:val="00B94FE8"/>
    <w:rsid w:val="00C418E3"/>
    <w:rsid w:val="00C96559"/>
    <w:rsid w:val="00D52E8A"/>
    <w:rsid w:val="00D65658"/>
    <w:rsid w:val="00E31A8E"/>
    <w:rsid w:val="00E61F1F"/>
    <w:rsid w:val="00E638E6"/>
    <w:rsid w:val="00E752EB"/>
    <w:rsid w:val="00EB4A05"/>
    <w:rsid w:val="00ED42C5"/>
    <w:rsid w:val="00ED6742"/>
    <w:rsid w:val="00EF7F0C"/>
    <w:rsid w:val="00F0267E"/>
    <w:rsid w:val="00F32B0D"/>
    <w:rsid w:val="00FB5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8842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6"/>
    <w:qFormat/>
    <w:rsid w:val="000F0731"/>
  </w:style>
  <w:style w:type="paragraph" w:styleId="Heading1">
    <w:name w:val="heading 1"/>
    <w:basedOn w:val="Normal"/>
    <w:next w:val="Normal"/>
    <w:link w:val="Heading1Char"/>
    <w:qFormat/>
    <w:rsid w:val="000F0731"/>
    <w:pPr>
      <w:keepNext/>
      <w:keepLines/>
      <w:spacing w:before="240"/>
      <w:outlineLvl w:val="0"/>
    </w:pPr>
    <w:rPr>
      <w:rFonts w:asciiTheme="majorHAnsi" w:eastAsiaTheme="majorEastAsia" w:hAnsiTheme="majorHAnsi" w:cstheme="majorBidi"/>
      <w:b/>
      <w:color w:val="3B4455" w:themeColor="accent1"/>
      <w:sz w:val="80"/>
      <w:szCs w:val="32"/>
    </w:rPr>
  </w:style>
  <w:style w:type="paragraph" w:styleId="Heading2">
    <w:name w:val="heading 2"/>
    <w:basedOn w:val="Normal"/>
    <w:next w:val="Normal"/>
    <w:link w:val="Heading2Char"/>
    <w:uiPriority w:val="1"/>
    <w:qFormat/>
    <w:rsid w:val="000F0731"/>
    <w:pPr>
      <w:keepNext/>
      <w:keepLines/>
      <w:outlineLvl w:val="1"/>
    </w:pPr>
    <w:rPr>
      <w:rFonts w:eastAsiaTheme="majorEastAsia" w:cstheme="majorBidi"/>
      <w:color w:val="3B4455" w:themeColor="accent1"/>
      <w:sz w:val="42"/>
      <w:szCs w:val="26"/>
    </w:rPr>
  </w:style>
  <w:style w:type="paragraph" w:styleId="Heading3">
    <w:name w:val="heading 3"/>
    <w:basedOn w:val="Normal"/>
    <w:next w:val="Normal"/>
    <w:link w:val="Heading3Char"/>
    <w:uiPriority w:val="2"/>
    <w:qFormat/>
    <w:rsid w:val="000F0731"/>
    <w:pPr>
      <w:keepNext/>
      <w:keepLines/>
      <w:outlineLvl w:val="2"/>
    </w:pPr>
    <w:rPr>
      <w:rFonts w:asciiTheme="majorHAnsi" w:eastAsiaTheme="majorEastAsia" w:hAnsiTheme="majorHAnsi" w:cstheme="majorBidi"/>
      <w:b/>
      <w:color w:val="FF1571" w:themeColor="accent2"/>
      <w:sz w:val="36"/>
    </w:rPr>
  </w:style>
  <w:style w:type="paragraph" w:styleId="Heading4">
    <w:name w:val="heading 4"/>
    <w:basedOn w:val="Normal"/>
    <w:next w:val="Normal"/>
    <w:link w:val="Heading4Char"/>
    <w:uiPriority w:val="3"/>
    <w:qFormat/>
    <w:rsid w:val="005F4A20"/>
    <w:pPr>
      <w:keepNext/>
      <w:keepLines/>
      <w:spacing w:line="216" w:lineRule="auto"/>
      <w:outlineLvl w:val="3"/>
    </w:pPr>
    <w:rPr>
      <w:rFonts w:eastAsiaTheme="majorEastAsia" w:cstheme="majorBidi"/>
      <w:iCs/>
      <w:color w:val="3B4455" w:themeColor="accent1"/>
      <w:sz w:val="30"/>
    </w:rPr>
  </w:style>
  <w:style w:type="paragraph" w:styleId="Heading5">
    <w:name w:val="heading 5"/>
    <w:basedOn w:val="Normal"/>
    <w:next w:val="Normal"/>
    <w:link w:val="Heading5Char"/>
    <w:uiPriority w:val="4"/>
    <w:qFormat/>
    <w:rsid w:val="000F0731"/>
    <w:pPr>
      <w:keepNext/>
      <w:keepLines/>
      <w:outlineLvl w:val="4"/>
    </w:pPr>
    <w:rPr>
      <w:rFonts w:asciiTheme="majorHAnsi" w:eastAsiaTheme="majorEastAsia" w:hAnsiTheme="majorHAnsi" w:cstheme="majorBidi"/>
      <w:b/>
      <w:color w:val="3B4455"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4A20"/>
    <w:rPr>
      <w:rFonts w:ascii="Times New Roman" w:hAnsi="Times New Roman" w:cs="Times New Roman"/>
      <w:sz w:val="18"/>
      <w:szCs w:val="18"/>
    </w:rPr>
  </w:style>
  <w:style w:type="character" w:customStyle="1" w:styleId="Heading1Char">
    <w:name w:val="Heading 1 Char"/>
    <w:basedOn w:val="DefaultParagraphFont"/>
    <w:link w:val="Heading1"/>
    <w:rsid w:val="000F0731"/>
    <w:rPr>
      <w:rFonts w:asciiTheme="majorHAnsi" w:eastAsiaTheme="majorEastAsia" w:hAnsiTheme="majorHAnsi" w:cstheme="majorBidi"/>
      <w:b/>
      <w:color w:val="3B4455" w:themeColor="accent1"/>
      <w:sz w:val="80"/>
      <w:szCs w:val="32"/>
    </w:rPr>
  </w:style>
  <w:style w:type="character" w:customStyle="1" w:styleId="Heading2Char">
    <w:name w:val="Heading 2 Char"/>
    <w:basedOn w:val="DefaultParagraphFont"/>
    <w:link w:val="Heading2"/>
    <w:uiPriority w:val="1"/>
    <w:rsid w:val="000F0731"/>
    <w:rPr>
      <w:rFonts w:eastAsiaTheme="majorEastAsia" w:cstheme="majorBidi"/>
      <w:color w:val="3B4455" w:themeColor="accent1"/>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0F0731"/>
    <w:rPr>
      <w:rFonts w:asciiTheme="majorHAnsi" w:eastAsiaTheme="majorEastAsia" w:hAnsiTheme="majorHAnsi" w:cstheme="majorBidi"/>
      <w:b/>
      <w:color w:val="FF1571" w:themeColor="accent2"/>
      <w:sz w:val="36"/>
    </w:rPr>
  </w:style>
  <w:style w:type="character" w:customStyle="1" w:styleId="Heading4Char">
    <w:name w:val="Heading 4 Char"/>
    <w:basedOn w:val="DefaultParagraphFont"/>
    <w:link w:val="Heading4"/>
    <w:uiPriority w:val="3"/>
    <w:rsid w:val="005F4A20"/>
    <w:rPr>
      <w:rFonts w:eastAsiaTheme="majorEastAsia" w:cstheme="majorBidi"/>
      <w:iCs/>
      <w:color w:val="3B4455" w:themeColor="accent1"/>
      <w:sz w:val="30"/>
    </w:rPr>
  </w:style>
  <w:style w:type="paragraph" w:customStyle="1" w:styleId="Text">
    <w:name w:val="Text"/>
    <w:basedOn w:val="Normal"/>
    <w:uiPriority w:val="5"/>
    <w:qFormat/>
    <w:rsid w:val="005F4A20"/>
    <w:pPr>
      <w:spacing w:line="216" w:lineRule="auto"/>
    </w:pPr>
    <w:rPr>
      <w:color w:val="3B4455" w:themeColor="accent1"/>
      <w:sz w:val="28"/>
    </w:rPr>
  </w:style>
  <w:style w:type="paragraph" w:styleId="Header">
    <w:name w:val="header"/>
    <w:basedOn w:val="Normal"/>
    <w:link w:val="HeaderChar"/>
    <w:uiPriority w:val="99"/>
    <w:rsid w:val="00637B83"/>
    <w:pPr>
      <w:tabs>
        <w:tab w:val="center" w:pos="4680"/>
        <w:tab w:val="right" w:pos="9360"/>
      </w:tabs>
      <w:jc w:val="right"/>
    </w:pPr>
    <w:rPr>
      <w:color w:val="3B4455" w:themeColor="accent1"/>
      <w:sz w:val="20"/>
    </w:rPr>
  </w:style>
  <w:style w:type="character" w:customStyle="1" w:styleId="HeaderChar">
    <w:name w:val="Header Char"/>
    <w:basedOn w:val="DefaultParagraphFont"/>
    <w:link w:val="Header"/>
    <w:uiPriority w:val="99"/>
    <w:rsid w:val="005F4A20"/>
    <w:rPr>
      <w:color w:val="3B4455" w:themeColor="accent1"/>
      <w:sz w:val="20"/>
    </w:rPr>
  </w:style>
  <w:style w:type="paragraph" w:styleId="Footer">
    <w:name w:val="footer"/>
    <w:basedOn w:val="Normal"/>
    <w:link w:val="FooterChar"/>
    <w:uiPriority w:val="99"/>
    <w:rsid w:val="00637B83"/>
    <w:pPr>
      <w:tabs>
        <w:tab w:val="center" w:pos="4680"/>
        <w:tab w:val="right" w:pos="9360"/>
      </w:tabs>
      <w:jc w:val="center"/>
    </w:pPr>
    <w:rPr>
      <w:b/>
      <w:color w:val="3B4455" w:themeColor="accent1"/>
      <w:sz w:val="20"/>
    </w:rPr>
  </w:style>
  <w:style w:type="character" w:customStyle="1" w:styleId="FooterChar">
    <w:name w:val="Footer Char"/>
    <w:basedOn w:val="DefaultParagraphFont"/>
    <w:link w:val="Footer"/>
    <w:uiPriority w:val="99"/>
    <w:rsid w:val="005F4A20"/>
    <w:rPr>
      <w:b/>
      <w:color w:val="3B4455" w:themeColor="accent1"/>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0F0731"/>
    <w:rPr>
      <w:rFonts w:asciiTheme="majorHAnsi" w:eastAsiaTheme="majorEastAsia" w:hAnsiTheme="majorHAnsi" w:cstheme="majorBidi"/>
      <w:b/>
      <w:color w:val="3B4455" w:themeColor="accent1"/>
      <w:sz w:val="36"/>
    </w:rPr>
  </w:style>
  <w:style w:type="character" w:styleId="PlaceholderText">
    <w:name w:val="Placeholder Text"/>
    <w:basedOn w:val="DefaultParagraphFont"/>
    <w:uiPriority w:val="99"/>
    <w:semiHidden/>
    <w:rsid w:val="005F4A20"/>
    <w:rPr>
      <w:color w:val="808080"/>
    </w:rPr>
  </w:style>
  <w:style w:type="paragraph" w:styleId="Quote">
    <w:name w:val="Quote"/>
    <w:basedOn w:val="Normal"/>
    <w:next w:val="Normal"/>
    <w:link w:val="QuoteChar"/>
    <w:uiPriority w:val="29"/>
    <w:qFormat/>
    <w:rsid w:val="000F0731"/>
    <w:pPr>
      <w:spacing w:before="200" w:after="160"/>
    </w:pPr>
    <w:rPr>
      <w:rFonts w:asciiTheme="majorHAnsi" w:hAnsiTheme="majorHAnsi"/>
      <w:iCs/>
      <w:color w:val="26414C" w:themeColor="accent5" w:themeShade="40"/>
      <w:sz w:val="76"/>
    </w:rPr>
  </w:style>
  <w:style w:type="character" w:customStyle="1" w:styleId="QuoteChar">
    <w:name w:val="Quote Char"/>
    <w:basedOn w:val="DefaultParagraphFont"/>
    <w:link w:val="Quote"/>
    <w:uiPriority w:val="29"/>
    <w:rsid w:val="000F0731"/>
    <w:rPr>
      <w:rFonts w:asciiTheme="majorHAnsi" w:hAnsiTheme="majorHAnsi"/>
      <w:iCs/>
      <w:color w:val="26414C" w:themeColor="accent5" w:themeShade="40"/>
      <w:sz w:val="76"/>
    </w:rPr>
  </w:style>
  <w:style w:type="character" w:styleId="Hyperlink">
    <w:name w:val="Hyperlink"/>
    <w:basedOn w:val="DefaultParagraphFont"/>
    <w:uiPriority w:val="99"/>
    <w:unhideWhenUsed/>
    <w:rsid w:val="006C5DBB"/>
    <w:rPr>
      <w:color w:val="0000FF" w:themeColor="hyperlink"/>
      <w:u w:val="single"/>
    </w:rPr>
  </w:style>
  <w:style w:type="paragraph" w:styleId="TOC1">
    <w:name w:val="toc 1"/>
    <w:basedOn w:val="Normal"/>
    <w:next w:val="Normal"/>
    <w:autoRedefine/>
    <w:uiPriority w:val="39"/>
    <w:unhideWhenUsed/>
    <w:rsid w:val="006C5DBB"/>
    <w:pPr>
      <w:spacing w:after="100"/>
    </w:pPr>
    <w:rPr>
      <w:lang w:val="en-GB"/>
    </w:rPr>
  </w:style>
  <w:style w:type="paragraph" w:styleId="TOC2">
    <w:name w:val="toc 2"/>
    <w:basedOn w:val="Normal"/>
    <w:next w:val="Normal"/>
    <w:autoRedefine/>
    <w:uiPriority w:val="39"/>
    <w:unhideWhenUsed/>
    <w:rsid w:val="006C5DBB"/>
    <w:pPr>
      <w:spacing w:after="100"/>
      <w:ind w:left="240"/>
    </w:pPr>
    <w:rPr>
      <w:lang w:val="en-GB"/>
    </w:rPr>
  </w:style>
  <w:style w:type="paragraph" w:styleId="TOC3">
    <w:name w:val="toc 3"/>
    <w:basedOn w:val="Normal"/>
    <w:next w:val="Normal"/>
    <w:autoRedefine/>
    <w:uiPriority w:val="39"/>
    <w:semiHidden/>
    <w:unhideWhenUsed/>
    <w:rsid w:val="006C5DBB"/>
    <w:pPr>
      <w:spacing w:after="100"/>
      <w:ind w:left="480"/>
    </w:pPr>
    <w:rPr>
      <w:lang w:val="en-GB"/>
    </w:rPr>
  </w:style>
  <w:style w:type="paragraph" w:styleId="TOCHeading">
    <w:name w:val="TOC Heading"/>
    <w:basedOn w:val="Heading1"/>
    <w:next w:val="Normal"/>
    <w:uiPriority w:val="39"/>
    <w:unhideWhenUsed/>
    <w:qFormat/>
    <w:rsid w:val="006C5DBB"/>
    <w:pPr>
      <w:spacing w:line="256" w:lineRule="auto"/>
      <w:outlineLvl w:val="9"/>
    </w:pPr>
    <w:rPr>
      <w:b w:val="0"/>
      <w:color w:val="2C323F" w:themeColor="accent1" w:themeShade="BF"/>
      <w:sz w:val="32"/>
      <w:lang w:val="en-GB"/>
    </w:rPr>
  </w:style>
  <w:style w:type="paragraph" w:styleId="ListParagraph">
    <w:name w:val="List Paragraph"/>
    <w:basedOn w:val="Normal"/>
    <w:uiPriority w:val="34"/>
    <w:qFormat/>
    <w:rsid w:val="00E31A8E"/>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10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Geometric%20student%20report.dotx" TargetMode="External"/></Relationships>
</file>

<file path=word/theme/theme1.xml><?xml version="1.0" encoding="utf-8"?>
<a:theme xmlns:a="http://schemas.openxmlformats.org/drawingml/2006/main" name="MSR">
  <a:themeElements>
    <a:clrScheme name="MSR">
      <a:dk1>
        <a:srgbClr val="000000"/>
      </a:dk1>
      <a:lt1>
        <a:srgbClr val="FFFFFF"/>
      </a:lt1>
      <a:dk2>
        <a:srgbClr val="5E5E5E"/>
      </a:dk2>
      <a:lt2>
        <a:srgbClr val="D6D5D5"/>
      </a:lt2>
      <a:accent1>
        <a:srgbClr val="3B4455"/>
      </a:accent1>
      <a:accent2>
        <a:srgbClr val="FF1571"/>
      </a:accent2>
      <a:accent3>
        <a:srgbClr val="FDC082"/>
      </a:accent3>
      <a:accent4>
        <a:srgbClr val="C9DDE5"/>
      </a:accent4>
      <a:accent5>
        <a:srgbClr val="DBE8ED"/>
      </a:accent5>
      <a:accent6>
        <a:srgbClr val="F2F2F2"/>
      </a:accent6>
      <a:hlink>
        <a:srgbClr val="0000FF"/>
      </a:hlink>
      <a:folHlink>
        <a:srgbClr val="FF00FF"/>
      </a:folHlink>
    </a:clrScheme>
    <a:fontScheme name="ArialBlack GillSans">
      <a:majorFont>
        <a:latin typeface="Arial Black"/>
        <a:ea typeface=""/>
        <a:cs typeface=""/>
      </a:majorFont>
      <a:minorFont>
        <a:latin typeface="Gill Sans MT"/>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BEE7B5EC-5714-E248-8BF3-EA9E1DF22420}" vid="{AE48099E-E8E2-3541-8D32-170253DAFA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9C2606-6035-49A0-8211-65DEE79E8914}">
  <ds:schemaRefs>
    <ds:schemaRef ds:uri="http://schemas.microsoft.com/sharepoint/v3/contenttype/forms"/>
  </ds:schemaRefs>
</ds:datastoreItem>
</file>

<file path=customXml/itemProps2.xml><?xml version="1.0" encoding="utf-8"?>
<ds:datastoreItem xmlns:ds="http://schemas.openxmlformats.org/officeDocument/2006/customXml" ds:itemID="{1FDE1A47-5C16-4CBF-90B0-BC2DEED23AB8}">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8699111-9D6F-4FD1-899A-4E0B300B1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Geometric student report.dotx</Template>
  <TotalTime>0</TotalTime>
  <Pages>9</Pages>
  <Words>3135</Words>
  <Characters>17874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2024-12-07T14:32:00Z</dcterms:created>
  <dcterms:modified xsi:type="dcterms:W3CDTF">2024-12-13T13:02:00Z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